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AC6C6F" w:rsidRDefault="00293622" w:rsidP="004A6040">
      <w:pPr>
        <w:pStyle w:val="1-MainHeading"/>
      </w:pPr>
      <w:bookmarkStart w:id="0" w:name="_Toc22898842"/>
      <w:bookmarkStart w:id="1" w:name="_Toc40177082"/>
      <w:r w:rsidRPr="00AC6C6F">
        <w:t>5</w:t>
      </w:r>
      <w:r w:rsidR="00433044" w:rsidRPr="00AC6C6F">
        <w:t>.</w:t>
      </w:r>
      <w:r w:rsidRPr="00AC6C6F">
        <w:t>09</w:t>
      </w:r>
      <w:r w:rsidR="00163F66" w:rsidRPr="00AC6C6F">
        <w:tab/>
      </w:r>
      <w:r w:rsidR="006B22DF" w:rsidRPr="00AC6C6F">
        <w:t>MOGAMULIZUMAB</w:t>
      </w:r>
      <w:r w:rsidR="00163F66" w:rsidRPr="00AC6C6F">
        <w:t>,</w:t>
      </w:r>
      <w:r w:rsidR="00163F66" w:rsidRPr="00AC6C6F">
        <w:br/>
      </w:r>
      <w:r w:rsidR="006B22DF" w:rsidRPr="00AC6C6F">
        <w:t>Solution conc</w:t>
      </w:r>
      <w:r w:rsidR="002D5D0B">
        <w:t xml:space="preserve">entrate for I.V. infusion 20 mg in </w:t>
      </w:r>
      <w:r w:rsidR="006B22DF" w:rsidRPr="00AC6C6F">
        <w:t>5 mL</w:t>
      </w:r>
      <w:r w:rsidR="00163F66" w:rsidRPr="00AC6C6F">
        <w:t>,</w:t>
      </w:r>
      <w:r w:rsidR="00163F66" w:rsidRPr="00AC6C6F">
        <w:br/>
      </w:r>
      <w:r w:rsidR="006B22DF" w:rsidRPr="00AC6C6F">
        <w:t>Poteligeo</w:t>
      </w:r>
      <w:r w:rsidR="00B60939" w:rsidRPr="00AC6C6F">
        <w:rPr>
          <w:vertAlign w:val="superscript"/>
        </w:rPr>
        <w:t>®</w:t>
      </w:r>
      <w:r w:rsidR="004A6040" w:rsidRPr="00AC6C6F">
        <w:t>,</w:t>
      </w:r>
      <w:r w:rsidR="004A6040" w:rsidRPr="00AC6C6F">
        <w:br/>
      </w:r>
      <w:r w:rsidR="006B22DF" w:rsidRPr="00AC6C6F">
        <w:t>Kyowa Kirin Australia Pty Ltd</w:t>
      </w:r>
      <w:bookmarkEnd w:id="0"/>
      <w:bookmarkEnd w:id="1"/>
    </w:p>
    <w:p w:rsidR="00AF726E" w:rsidRPr="00AC6C6F" w:rsidRDefault="00AF726E" w:rsidP="00AF726E">
      <w:pPr>
        <w:pStyle w:val="2-SectionHeading"/>
        <w:numPr>
          <w:ilvl w:val="0"/>
          <w:numId w:val="1"/>
        </w:numPr>
      </w:pPr>
      <w:bookmarkStart w:id="2" w:name="_Toc40177084"/>
      <w:bookmarkStart w:id="3" w:name="_Toc22898844"/>
      <w:r w:rsidRPr="00AC6C6F">
        <w:t>Purpose of submission</w:t>
      </w:r>
      <w:bookmarkEnd w:id="2"/>
    </w:p>
    <w:p w:rsidR="00AF726E" w:rsidRPr="00AC6C6F" w:rsidRDefault="00AF726E" w:rsidP="00AF726E">
      <w:pPr>
        <w:pStyle w:val="3-BodyText"/>
      </w:pPr>
      <w:r w:rsidRPr="00AC6C6F">
        <w:t xml:space="preserve">The submission requested an Authority Required listing for mogamulizumab for the treatment of </w:t>
      </w:r>
      <w:r w:rsidR="00EC5F25" w:rsidRPr="00AC6C6F">
        <w:t xml:space="preserve">patients with </w:t>
      </w:r>
      <w:r w:rsidRPr="00AC6C6F">
        <w:t>relapsed or refractory cutaneous T cell lymphoma (CTCL) disease following at least one prior systemic treatment for the condition.</w:t>
      </w:r>
    </w:p>
    <w:p w:rsidR="00AF726E" w:rsidRPr="00AC6C6F" w:rsidRDefault="00AF726E" w:rsidP="00AF726E">
      <w:pPr>
        <w:pStyle w:val="3-BodyText"/>
      </w:pPr>
      <w:r w:rsidRPr="00AC6C6F">
        <w:t xml:space="preserve">Listing was requested on the basis of a cost-effectiveness analysis versus vorinostat. The key components addressed by the submission are presented in Table 1. </w:t>
      </w:r>
      <w:r w:rsidR="00EC5F25" w:rsidRPr="00AC6C6F">
        <w:rPr>
          <w:iCs/>
        </w:rPr>
        <w:t>While the primary and secondary clinical claims in the submission refer to the specific CTCL subtypes for which evidence was provided (mycosis fungoides – MF and Sezary syndrome – SS) the proposed PBS listing was agnostic to disease subtype.</w:t>
      </w:r>
    </w:p>
    <w:p w:rsidR="00AF726E" w:rsidRPr="00AC6C6F" w:rsidRDefault="00AF726E" w:rsidP="00AF726E">
      <w:pPr>
        <w:keepNext/>
      </w:pPr>
      <w:r w:rsidRPr="00AC6C6F">
        <w:rPr>
          <w:rStyle w:val="CommentReference"/>
        </w:rPr>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AF726E" w:rsidRPr="00AC6C6F" w:rsidTr="00302235">
        <w:trPr>
          <w:tblHeader/>
        </w:trPr>
        <w:tc>
          <w:tcPr>
            <w:tcW w:w="1668" w:type="dxa"/>
            <w:vAlign w:val="center"/>
          </w:tcPr>
          <w:p w:rsidR="00AF726E" w:rsidRPr="00AC6C6F" w:rsidRDefault="00AF726E" w:rsidP="00302235">
            <w:pPr>
              <w:pStyle w:val="In-tableHeading"/>
              <w:rPr>
                <w:bCs/>
                <w:szCs w:val="20"/>
                <w:lang w:val="en-AU"/>
              </w:rPr>
            </w:pPr>
            <w:r w:rsidRPr="00AC6C6F">
              <w:rPr>
                <w:bCs/>
                <w:szCs w:val="20"/>
                <w:lang w:val="en-AU"/>
              </w:rPr>
              <w:t>Component</w:t>
            </w:r>
          </w:p>
        </w:tc>
        <w:tc>
          <w:tcPr>
            <w:tcW w:w="7488" w:type="dxa"/>
            <w:vAlign w:val="center"/>
          </w:tcPr>
          <w:p w:rsidR="00AF726E" w:rsidRPr="00AC6C6F" w:rsidRDefault="00AF726E" w:rsidP="00302235">
            <w:pPr>
              <w:pStyle w:val="In-tableHeading"/>
              <w:rPr>
                <w:bCs/>
                <w:szCs w:val="20"/>
                <w:lang w:val="en-AU"/>
              </w:rPr>
            </w:pPr>
            <w:r w:rsidRPr="00AC6C6F">
              <w:rPr>
                <w:bCs/>
                <w:szCs w:val="20"/>
                <w:lang w:val="en-AU"/>
              </w:rPr>
              <w:t>Description</w:t>
            </w:r>
          </w:p>
        </w:tc>
      </w:tr>
      <w:tr w:rsidR="00AF726E" w:rsidRPr="00AC6C6F" w:rsidTr="00302235">
        <w:trPr>
          <w:tblHeader/>
        </w:trPr>
        <w:tc>
          <w:tcPr>
            <w:tcW w:w="1668" w:type="dxa"/>
            <w:vAlign w:val="center"/>
          </w:tcPr>
          <w:p w:rsidR="00AF726E" w:rsidRPr="00AC6C6F" w:rsidRDefault="00AF726E" w:rsidP="00302235">
            <w:pPr>
              <w:pStyle w:val="TableText0"/>
              <w:rPr>
                <w:bCs w:val="0"/>
                <w:szCs w:val="20"/>
              </w:rPr>
            </w:pPr>
            <w:r w:rsidRPr="00AC6C6F">
              <w:rPr>
                <w:bCs w:val="0"/>
                <w:szCs w:val="20"/>
              </w:rPr>
              <w:t xml:space="preserve">Population </w:t>
            </w:r>
            <w:r w:rsidRPr="00AC6C6F">
              <w:rPr>
                <w:bCs w:val="0"/>
                <w:vertAlign w:val="superscript"/>
              </w:rPr>
              <w:t>a,b</w:t>
            </w:r>
          </w:p>
        </w:tc>
        <w:tc>
          <w:tcPr>
            <w:tcW w:w="7488" w:type="dxa"/>
            <w:vAlign w:val="center"/>
          </w:tcPr>
          <w:p w:rsidR="00AF726E" w:rsidRPr="00AC6C6F" w:rsidRDefault="00A431BF" w:rsidP="00302235">
            <w:pPr>
              <w:pStyle w:val="TableText0"/>
              <w:rPr>
                <w:rFonts w:cs="Arial"/>
                <w:bCs w:val="0"/>
                <w:szCs w:val="20"/>
              </w:rPr>
            </w:pPr>
            <w:r w:rsidRPr="00AC6C6F">
              <w:rPr>
                <w:rStyle w:val="Small"/>
                <w:rFonts w:ascii="Arial Narrow" w:hAnsi="Arial Narrow" w:cs="Arial"/>
                <w:bCs w:val="0"/>
                <w:szCs w:val="20"/>
              </w:rPr>
              <w:t>CTCL</w:t>
            </w:r>
            <w:r w:rsidR="00AF726E" w:rsidRPr="00AC6C6F">
              <w:rPr>
                <w:rStyle w:val="Small"/>
                <w:rFonts w:ascii="Arial Narrow" w:hAnsi="Arial Narrow" w:cs="Arial"/>
                <w:bCs w:val="0"/>
                <w:szCs w:val="20"/>
              </w:rPr>
              <w:t xml:space="preserve"> including MF, SS, pcALCL and LyP and various other less common T cell lymphomas and lymphoproliferative disorders as specified by the WHO-EORTC Classification System for CTCL. </w:t>
            </w:r>
          </w:p>
        </w:tc>
      </w:tr>
      <w:tr w:rsidR="00AF726E" w:rsidRPr="00AC6C6F" w:rsidTr="00302235">
        <w:trPr>
          <w:tblHeader/>
        </w:trPr>
        <w:tc>
          <w:tcPr>
            <w:tcW w:w="1668" w:type="dxa"/>
            <w:vAlign w:val="center"/>
          </w:tcPr>
          <w:p w:rsidR="00AF726E" w:rsidRPr="00AC6C6F" w:rsidRDefault="00AF726E" w:rsidP="00302235">
            <w:pPr>
              <w:pStyle w:val="TableText0"/>
              <w:rPr>
                <w:bCs w:val="0"/>
                <w:szCs w:val="20"/>
              </w:rPr>
            </w:pPr>
            <w:r w:rsidRPr="00AC6C6F">
              <w:rPr>
                <w:bCs w:val="0"/>
                <w:szCs w:val="20"/>
              </w:rPr>
              <w:t>Intervention</w:t>
            </w:r>
          </w:p>
        </w:tc>
        <w:tc>
          <w:tcPr>
            <w:tcW w:w="7488" w:type="dxa"/>
            <w:vAlign w:val="center"/>
          </w:tcPr>
          <w:p w:rsidR="00AF726E" w:rsidRPr="00AC6C6F" w:rsidRDefault="00AF726E" w:rsidP="00302235">
            <w:pPr>
              <w:pStyle w:val="TableText0"/>
              <w:rPr>
                <w:rFonts w:cs="Arial"/>
                <w:bCs w:val="0"/>
                <w:szCs w:val="20"/>
              </w:rPr>
            </w:pPr>
            <w:r w:rsidRPr="00AC6C6F">
              <w:rPr>
                <w:rStyle w:val="Small"/>
                <w:rFonts w:ascii="Arial Narrow" w:hAnsi="Arial Narrow" w:cs="Arial"/>
                <w:bCs w:val="0"/>
                <w:szCs w:val="20"/>
              </w:rPr>
              <w:t xml:space="preserve">Mogamulizumab 1.0 mg/kg IV weekly on days 1, 8, 15 and 22 of the first cycle, followed by every 2 weeks on </w:t>
            </w:r>
            <w:r w:rsidR="00BA538E" w:rsidRPr="00AC6C6F">
              <w:rPr>
                <w:rStyle w:val="Small"/>
                <w:rFonts w:ascii="Arial Narrow" w:hAnsi="Arial Narrow" w:cs="Arial"/>
                <w:bCs w:val="0"/>
                <w:szCs w:val="20"/>
              </w:rPr>
              <w:t>d</w:t>
            </w:r>
            <w:r w:rsidRPr="00AC6C6F">
              <w:rPr>
                <w:rStyle w:val="Small"/>
                <w:rFonts w:ascii="Arial Narrow" w:hAnsi="Arial Narrow" w:cs="Arial"/>
                <w:bCs w:val="0"/>
                <w:szCs w:val="20"/>
              </w:rPr>
              <w:t>ays 1 and 15 of each subsequent 28-day cycle until disease progression or unacceptable toxicity.</w:t>
            </w:r>
          </w:p>
        </w:tc>
      </w:tr>
      <w:tr w:rsidR="00AF726E" w:rsidRPr="00AC6C6F" w:rsidTr="00302235">
        <w:trPr>
          <w:tblHeader/>
        </w:trPr>
        <w:tc>
          <w:tcPr>
            <w:tcW w:w="1668" w:type="dxa"/>
            <w:vAlign w:val="center"/>
          </w:tcPr>
          <w:p w:rsidR="00AF726E" w:rsidRPr="00AC6C6F" w:rsidRDefault="00AF726E" w:rsidP="00302235">
            <w:pPr>
              <w:pStyle w:val="TableText0"/>
              <w:rPr>
                <w:bCs w:val="0"/>
                <w:szCs w:val="20"/>
              </w:rPr>
            </w:pPr>
            <w:r w:rsidRPr="00AC6C6F">
              <w:rPr>
                <w:bCs w:val="0"/>
                <w:szCs w:val="20"/>
              </w:rPr>
              <w:t>Comparator</w:t>
            </w:r>
          </w:p>
        </w:tc>
        <w:tc>
          <w:tcPr>
            <w:tcW w:w="7488" w:type="dxa"/>
            <w:vAlign w:val="center"/>
          </w:tcPr>
          <w:p w:rsidR="00AF726E" w:rsidRPr="00AC6C6F" w:rsidRDefault="00AF726E" w:rsidP="00302235">
            <w:pPr>
              <w:pStyle w:val="Table"/>
              <w:rPr>
                <w:rStyle w:val="Small"/>
                <w:rFonts w:ascii="Arial Narrow" w:hAnsi="Arial Narrow" w:cs="Arial"/>
                <w:szCs w:val="20"/>
              </w:rPr>
            </w:pPr>
            <w:r w:rsidRPr="00AC6C6F">
              <w:rPr>
                <w:rStyle w:val="Small"/>
                <w:rFonts w:ascii="Arial Narrow" w:hAnsi="Arial Narrow" w:cs="Arial"/>
                <w:szCs w:val="20"/>
              </w:rPr>
              <w:t>Main: Vorinostat 400 mg orally daily, until disease progression or unacceptable toxicity.</w:t>
            </w:r>
          </w:p>
          <w:p w:rsidR="00AF726E" w:rsidRPr="00AC6C6F" w:rsidRDefault="00AF726E" w:rsidP="00302235">
            <w:pPr>
              <w:pStyle w:val="TableText0"/>
              <w:rPr>
                <w:rFonts w:cs="Arial"/>
                <w:bCs w:val="0"/>
                <w:szCs w:val="20"/>
                <w:vertAlign w:val="superscript"/>
              </w:rPr>
            </w:pPr>
            <w:r w:rsidRPr="00AC6C6F">
              <w:rPr>
                <w:rStyle w:val="Small"/>
                <w:rFonts w:ascii="Arial Narrow" w:hAnsi="Arial Narrow" w:cs="Arial"/>
                <w:bCs w:val="0"/>
                <w:szCs w:val="20"/>
              </w:rPr>
              <w:t xml:space="preserve">Secondary: Brentuximab 1.8 mg/kg IV every 3 weeks, for up to 16 cycles </w:t>
            </w:r>
            <w:r w:rsidRPr="00AC6C6F">
              <w:rPr>
                <w:rStyle w:val="Small"/>
                <w:rFonts w:ascii="Arial Narrow" w:hAnsi="Arial Narrow" w:cs="Arial"/>
                <w:bCs w:val="0"/>
                <w:szCs w:val="20"/>
                <w:vertAlign w:val="superscript"/>
              </w:rPr>
              <w:t>c</w:t>
            </w:r>
          </w:p>
        </w:tc>
      </w:tr>
      <w:tr w:rsidR="00AF726E" w:rsidRPr="00AC6C6F" w:rsidTr="00302235">
        <w:trPr>
          <w:tblHeader/>
        </w:trPr>
        <w:tc>
          <w:tcPr>
            <w:tcW w:w="1668" w:type="dxa"/>
            <w:vAlign w:val="center"/>
          </w:tcPr>
          <w:p w:rsidR="00AF726E" w:rsidRPr="00AC6C6F" w:rsidRDefault="00AF726E" w:rsidP="00302235">
            <w:pPr>
              <w:pStyle w:val="TableText0"/>
              <w:rPr>
                <w:bCs w:val="0"/>
                <w:szCs w:val="20"/>
              </w:rPr>
            </w:pPr>
            <w:r w:rsidRPr="00AC6C6F">
              <w:rPr>
                <w:bCs w:val="0"/>
                <w:szCs w:val="20"/>
              </w:rPr>
              <w:t>Outcomes</w:t>
            </w:r>
          </w:p>
        </w:tc>
        <w:tc>
          <w:tcPr>
            <w:tcW w:w="7488" w:type="dxa"/>
            <w:vAlign w:val="center"/>
          </w:tcPr>
          <w:p w:rsidR="00AF726E" w:rsidRPr="00AC6C6F" w:rsidRDefault="00AF726E" w:rsidP="00302235">
            <w:pPr>
              <w:pStyle w:val="Table"/>
              <w:rPr>
                <w:rFonts w:ascii="Arial Narrow" w:hAnsi="Arial Narrow" w:cs="Arial"/>
                <w:szCs w:val="20"/>
              </w:rPr>
            </w:pPr>
            <w:r w:rsidRPr="00AC6C6F">
              <w:rPr>
                <w:rStyle w:val="Small"/>
                <w:rFonts w:ascii="Arial Narrow" w:hAnsi="Arial Narrow" w:cs="Arial"/>
                <w:szCs w:val="20"/>
              </w:rPr>
              <w:t>PFS, ORR, TTR, DOR, TTNT, OS, HRQoL and Safety</w:t>
            </w:r>
          </w:p>
        </w:tc>
      </w:tr>
      <w:tr w:rsidR="00AF726E" w:rsidRPr="00AC6C6F" w:rsidTr="00302235">
        <w:trPr>
          <w:tblHeader/>
        </w:trPr>
        <w:tc>
          <w:tcPr>
            <w:tcW w:w="1668" w:type="dxa"/>
            <w:vAlign w:val="center"/>
          </w:tcPr>
          <w:p w:rsidR="00AF726E" w:rsidRPr="00AC6C6F" w:rsidRDefault="00AF726E" w:rsidP="00302235">
            <w:pPr>
              <w:pStyle w:val="TableText0"/>
              <w:rPr>
                <w:bCs w:val="0"/>
                <w:szCs w:val="20"/>
              </w:rPr>
            </w:pPr>
            <w:r w:rsidRPr="00AC6C6F">
              <w:rPr>
                <w:bCs w:val="0"/>
                <w:szCs w:val="20"/>
              </w:rPr>
              <w:t>Clinical claim</w:t>
            </w:r>
          </w:p>
        </w:tc>
        <w:tc>
          <w:tcPr>
            <w:tcW w:w="7488" w:type="dxa"/>
            <w:vAlign w:val="center"/>
          </w:tcPr>
          <w:p w:rsidR="00AF726E" w:rsidRPr="00AC6C6F" w:rsidRDefault="00AF726E" w:rsidP="00302235">
            <w:pPr>
              <w:pStyle w:val="Table"/>
              <w:rPr>
                <w:rStyle w:val="Small"/>
                <w:rFonts w:ascii="Arial Narrow" w:hAnsi="Arial Narrow" w:cs="Arial"/>
                <w:bCs/>
                <w:szCs w:val="20"/>
              </w:rPr>
            </w:pPr>
            <w:r w:rsidRPr="00AC6C6F">
              <w:rPr>
                <w:rStyle w:val="SmallBold"/>
                <w:rFonts w:ascii="Arial Narrow" w:hAnsi="Arial Narrow" w:cs="Arial"/>
                <w:bCs/>
                <w:szCs w:val="20"/>
              </w:rPr>
              <w:t>Primary</w:t>
            </w:r>
            <w:r w:rsidRPr="00AC6C6F">
              <w:rPr>
                <w:rStyle w:val="Small"/>
                <w:rFonts w:ascii="Arial Narrow" w:hAnsi="Arial Narrow" w:cs="Arial"/>
                <w:bCs/>
                <w:szCs w:val="20"/>
              </w:rPr>
              <w:t>: In patients with MF or SS which is relapsed or refractory after at least one prior systemic therapy, mogamulizumab provides significantly and importantly superior effectiveness with different but generally non-inferior safety to the main comparator vorinostat.</w:t>
            </w:r>
          </w:p>
          <w:p w:rsidR="00AF726E" w:rsidRPr="00AC6C6F" w:rsidRDefault="00AF726E" w:rsidP="00302235">
            <w:pPr>
              <w:pStyle w:val="TableText0"/>
              <w:rPr>
                <w:rFonts w:cs="Arial"/>
                <w:szCs w:val="20"/>
                <w:vertAlign w:val="superscript"/>
              </w:rPr>
            </w:pPr>
            <w:r w:rsidRPr="00AC6C6F">
              <w:rPr>
                <w:rStyle w:val="SmallBold"/>
                <w:rFonts w:ascii="Arial Narrow" w:hAnsi="Arial Narrow" w:cs="Arial"/>
                <w:szCs w:val="20"/>
              </w:rPr>
              <w:t>Secondary</w:t>
            </w:r>
            <w:r w:rsidRPr="00AC6C6F">
              <w:rPr>
                <w:rStyle w:val="Small"/>
                <w:rFonts w:ascii="Arial Narrow" w:hAnsi="Arial Narrow" w:cs="Arial"/>
                <w:szCs w:val="20"/>
              </w:rPr>
              <w:t>: In patients with MF or SS which is relapsed or refractory after at least one prior systemic therapy, mogamulizumab provides a qualitatively (but unquantifiably) different mix of efficacy and safety effects to the secondary comparator brentuximab. </w:t>
            </w:r>
            <w:r w:rsidRPr="00AC6C6F">
              <w:rPr>
                <w:rStyle w:val="Small"/>
                <w:rFonts w:ascii="Arial Narrow" w:hAnsi="Arial Narrow" w:cs="Arial"/>
                <w:szCs w:val="20"/>
                <w:vertAlign w:val="superscript"/>
              </w:rPr>
              <w:t>c,d</w:t>
            </w:r>
          </w:p>
        </w:tc>
      </w:tr>
    </w:tbl>
    <w:p w:rsidR="00AF726E" w:rsidRPr="00AC6C6F" w:rsidRDefault="00AF726E" w:rsidP="00AF726E">
      <w:pPr>
        <w:rPr>
          <w:rFonts w:ascii="Arial Narrow" w:hAnsi="Arial Narrow"/>
          <w:sz w:val="18"/>
          <w:szCs w:val="18"/>
        </w:rPr>
      </w:pPr>
      <w:r w:rsidRPr="00AC6C6F">
        <w:rPr>
          <w:rFonts w:ascii="Arial Narrow" w:hAnsi="Arial Narrow"/>
          <w:sz w:val="18"/>
          <w:szCs w:val="18"/>
        </w:rPr>
        <w:t>Source: Table 1-1, p30 of the submission.</w:t>
      </w:r>
    </w:p>
    <w:p w:rsidR="00AF726E" w:rsidRPr="00AC6C6F" w:rsidRDefault="00AF726E" w:rsidP="00AF726E">
      <w:pPr>
        <w:rPr>
          <w:rFonts w:ascii="Arial Narrow" w:hAnsi="Arial Narrow"/>
          <w:sz w:val="18"/>
          <w:szCs w:val="18"/>
        </w:rPr>
      </w:pPr>
      <w:r w:rsidRPr="00AC6C6F">
        <w:rPr>
          <w:rFonts w:ascii="Arial Narrow" w:hAnsi="Arial Narrow"/>
          <w:sz w:val="18"/>
          <w:szCs w:val="18"/>
        </w:rPr>
        <w:t xml:space="preserve">Abbreviations: CTCL = </w:t>
      </w:r>
      <w:r w:rsidRPr="00AC6C6F">
        <w:rPr>
          <w:rStyle w:val="Small"/>
          <w:rFonts w:ascii="Arial Narrow" w:hAnsi="Arial Narrow"/>
          <w:sz w:val="18"/>
          <w:szCs w:val="18"/>
        </w:rPr>
        <w:t>cutaneous T cell lymphoma;</w:t>
      </w:r>
      <w:r w:rsidRPr="00AC6C6F">
        <w:rPr>
          <w:rFonts w:ascii="Arial Narrow" w:hAnsi="Arial Narrow"/>
          <w:sz w:val="18"/>
          <w:szCs w:val="18"/>
        </w:rPr>
        <w:t xml:space="preserve"> DOR = duration of response; HRQoL = health related quality of life; IV = intravenous; LyP = </w:t>
      </w:r>
      <w:r w:rsidRPr="00AC6C6F">
        <w:rPr>
          <w:rStyle w:val="Small"/>
          <w:rFonts w:ascii="Arial Narrow" w:hAnsi="Arial Narrow"/>
          <w:sz w:val="18"/>
          <w:szCs w:val="18"/>
        </w:rPr>
        <w:t>lymphomatoid papulosis;</w:t>
      </w:r>
      <w:r w:rsidRPr="00AC6C6F">
        <w:rPr>
          <w:rFonts w:ascii="Arial Narrow" w:hAnsi="Arial Narrow"/>
          <w:sz w:val="18"/>
          <w:szCs w:val="18"/>
        </w:rPr>
        <w:t xml:space="preserve"> MF = </w:t>
      </w:r>
      <w:r w:rsidRPr="00AC6C6F">
        <w:rPr>
          <w:rStyle w:val="Small"/>
          <w:rFonts w:ascii="Arial Narrow" w:hAnsi="Arial Narrow"/>
          <w:sz w:val="18"/>
          <w:szCs w:val="18"/>
        </w:rPr>
        <w:t>mycosi</w:t>
      </w:r>
      <w:r w:rsidR="00EC5F25" w:rsidRPr="00AC6C6F">
        <w:rPr>
          <w:rStyle w:val="Small"/>
          <w:rFonts w:ascii="Arial Narrow" w:hAnsi="Arial Narrow"/>
          <w:sz w:val="18"/>
          <w:szCs w:val="18"/>
        </w:rPr>
        <w:t xml:space="preserve">s </w:t>
      </w:r>
      <w:r w:rsidRPr="00AC6C6F">
        <w:rPr>
          <w:rStyle w:val="Small"/>
          <w:rFonts w:ascii="Arial Narrow" w:hAnsi="Arial Narrow"/>
          <w:sz w:val="18"/>
          <w:szCs w:val="18"/>
        </w:rPr>
        <w:t>fungoides</w:t>
      </w:r>
      <w:r w:rsidRPr="00AC6C6F">
        <w:rPr>
          <w:rFonts w:ascii="Arial Narrow" w:hAnsi="Arial Narrow"/>
          <w:sz w:val="18"/>
          <w:szCs w:val="18"/>
        </w:rPr>
        <w:t xml:space="preserve">; ORR = overall response rate; OS = overall survival; pcALCL = </w:t>
      </w:r>
      <w:r w:rsidRPr="00AC6C6F">
        <w:rPr>
          <w:rStyle w:val="Small"/>
          <w:rFonts w:ascii="Arial Narrow" w:hAnsi="Arial Narrow"/>
          <w:sz w:val="18"/>
          <w:szCs w:val="18"/>
        </w:rPr>
        <w:t>primary cutaneous anaplastic large-cell lymphoma;</w:t>
      </w:r>
      <w:r w:rsidRPr="00AC6C6F">
        <w:rPr>
          <w:rFonts w:ascii="Arial Narrow" w:hAnsi="Arial Narrow"/>
          <w:sz w:val="18"/>
          <w:szCs w:val="18"/>
        </w:rPr>
        <w:t xml:space="preserve"> PFS = progression free survival; SS = </w:t>
      </w:r>
      <w:r w:rsidRPr="00AC6C6F">
        <w:rPr>
          <w:rStyle w:val="Small"/>
          <w:rFonts w:ascii="Arial Narrow" w:hAnsi="Arial Narrow"/>
          <w:sz w:val="18"/>
          <w:szCs w:val="18"/>
        </w:rPr>
        <w:t>Sezary syndrome</w:t>
      </w:r>
      <w:r w:rsidRPr="00AC6C6F">
        <w:rPr>
          <w:rFonts w:ascii="Arial Narrow" w:hAnsi="Arial Narrow"/>
          <w:sz w:val="18"/>
          <w:szCs w:val="18"/>
        </w:rPr>
        <w:t xml:space="preserve">; TTNT = time to next treatment; TTR = time to response; WHO-EORTC = </w:t>
      </w:r>
      <w:r w:rsidRPr="00AC6C6F">
        <w:rPr>
          <w:rFonts w:ascii="Arial Narrow" w:hAnsi="Arial Narrow"/>
          <w:color w:val="000000"/>
          <w:sz w:val="18"/>
          <w:szCs w:val="18"/>
          <w:shd w:val="clear" w:color="auto" w:fill="FFFFFF"/>
        </w:rPr>
        <w:t>World Health Organization-European Organization for Research and Treatment of Cancer</w:t>
      </w:r>
      <w:r w:rsidRPr="00AC6C6F">
        <w:rPr>
          <w:rFonts w:ascii="Arial Narrow" w:hAnsi="Arial Narrow"/>
          <w:sz w:val="18"/>
          <w:szCs w:val="18"/>
        </w:rPr>
        <w:t xml:space="preserve"> </w:t>
      </w:r>
    </w:p>
    <w:p w:rsidR="00AF726E" w:rsidRPr="00AC6C6F" w:rsidRDefault="00AF726E" w:rsidP="00AF726E">
      <w:pPr>
        <w:rPr>
          <w:rFonts w:ascii="Arial Narrow" w:hAnsi="Arial Narrow"/>
          <w:sz w:val="18"/>
          <w:szCs w:val="18"/>
        </w:rPr>
      </w:pPr>
      <w:r w:rsidRPr="00AC6C6F">
        <w:rPr>
          <w:rFonts w:ascii="Arial Narrow" w:hAnsi="Arial Narrow"/>
          <w:sz w:val="18"/>
          <w:szCs w:val="18"/>
          <w:vertAlign w:val="superscript"/>
        </w:rPr>
        <w:t xml:space="preserve">a </w:t>
      </w:r>
      <w:r w:rsidRPr="00AC6C6F">
        <w:rPr>
          <w:rFonts w:ascii="Arial Narrow" w:hAnsi="Arial Narrow"/>
          <w:sz w:val="18"/>
          <w:szCs w:val="18"/>
        </w:rPr>
        <w:t xml:space="preserve">The requested population in the submission is in the relapsed or refractory CTCL population after at least one prior systemic therapy. </w:t>
      </w:r>
    </w:p>
    <w:p w:rsidR="00AF726E" w:rsidRPr="00AC6C6F" w:rsidRDefault="00AF726E" w:rsidP="00AF726E">
      <w:pPr>
        <w:rPr>
          <w:rFonts w:ascii="Arial Narrow" w:hAnsi="Arial Narrow"/>
          <w:sz w:val="18"/>
          <w:szCs w:val="18"/>
        </w:rPr>
      </w:pPr>
      <w:r w:rsidRPr="00AC6C6F">
        <w:rPr>
          <w:rFonts w:ascii="Arial Narrow" w:hAnsi="Arial Narrow"/>
          <w:sz w:val="18"/>
          <w:szCs w:val="18"/>
          <w:vertAlign w:val="superscript"/>
        </w:rPr>
        <w:t xml:space="preserve">b </w:t>
      </w:r>
      <w:r w:rsidRPr="00AC6C6F">
        <w:rPr>
          <w:rFonts w:ascii="Arial Narrow" w:hAnsi="Arial Narrow"/>
          <w:sz w:val="18"/>
          <w:szCs w:val="18"/>
        </w:rPr>
        <w:t>The requested population is the same as the PBS population for vorinostat</w:t>
      </w:r>
      <w:r w:rsidR="008845BA" w:rsidRPr="00AC6C6F">
        <w:rPr>
          <w:rFonts w:ascii="Arial Narrow" w:hAnsi="Arial Narrow"/>
          <w:sz w:val="18"/>
          <w:szCs w:val="18"/>
        </w:rPr>
        <w:t xml:space="preserve"> </w:t>
      </w:r>
      <w:r w:rsidR="008845BA" w:rsidRPr="00AC6C6F">
        <w:rPr>
          <w:rFonts w:ascii="Arial Narrow" w:hAnsi="Arial Narrow"/>
          <w:iCs/>
          <w:sz w:val="18"/>
          <w:szCs w:val="18"/>
        </w:rPr>
        <w:t>but is not restricted to those who are SCT ineligible</w:t>
      </w:r>
      <w:r w:rsidRPr="00AC6C6F">
        <w:rPr>
          <w:rFonts w:ascii="Arial Narrow" w:hAnsi="Arial Narrow"/>
          <w:sz w:val="18"/>
          <w:szCs w:val="18"/>
        </w:rPr>
        <w:t xml:space="preserve">; however, the primary clinical claim is in patients with MF or SS based on MAVORIC which is narrower than the stated population. </w:t>
      </w:r>
    </w:p>
    <w:p w:rsidR="00AF726E" w:rsidRPr="00AC6C6F" w:rsidRDefault="00AF726E" w:rsidP="00AF726E">
      <w:pPr>
        <w:rPr>
          <w:rFonts w:ascii="Arial Narrow" w:hAnsi="Arial Narrow"/>
          <w:sz w:val="18"/>
          <w:szCs w:val="18"/>
        </w:rPr>
      </w:pPr>
      <w:r w:rsidRPr="00AC6C6F">
        <w:rPr>
          <w:rFonts w:ascii="Arial Narrow" w:hAnsi="Arial Narrow"/>
          <w:sz w:val="18"/>
          <w:szCs w:val="18"/>
          <w:vertAlign w:val="superscript"/>
        </w:rPr>
        <w:t xml:space="preserve">c </w:t>
      </w:r>
      <w:r w:rsidRPr="00AC6C6F">
        <w:rPr>
          <w:rFonts w:ascii="Arial Narrow" w:hAnsi="Arial Narrow"/>
          <w:sz w:val="18"/>
          <w:szCs w:val="18"/>
        </w:rPr>
        <w:t>Based on the clinical evidence provided to justify the clinical claims, the mention of ‘brentuximab’ in the submission refers to the antibody-conjugated brentuximab vedotin.</w:t>
      </w:r>
    </w:p>
    <w:p w:rsidR="00AF726E" w:rsidRPr="00AC6C6F" w:rsidRDefault="00AF726E" w:rsidP="00AF726E">
      <w:pPr>
        <w:pStyle w:val="TableFigureFooter"/>
        <w:rPr>
          <w:i/>
          <w:iCs/>
          <w:szCs w:val="18"/>
        </w:rPr>
      </w:pPr>
      <w:r w:rsidRPr="00AC6C6F">
        <w:rPr>
          <w:szCs w:val="18"/>
          <w:vertAlign w:val="superscript"/>
        </w:rPr>
        <w:t xml:space="preserve">d </w:t>
      </w:r>
      <w:r w:rsidRPr="00AC6C6F">
        <w:rPr>
          <w:szCs w:val="18"/>
        </w:rPr>
        <w:t xml:space="preserve">The secondary clinical claim states patients with MF or SS, however in section 2 (p61 of the submission) the claim is made </w:t>
      </w:r>
      <w:r w:rsidR="008845BA" w:rsidRPr="00AC6C6F">
        <w:rPr>
          <w:szCs w:val="18"/>
        </w:rPr>
        <w:t>for</w:t>
      </w:r>
      <w:r w:rsidRPr="00AC6C6F">
        <w:rPr>
          <w:szCs w:val="18"/>
        </w:rPr>
        <w:t xml:space="preserve"> patients with CTCL (with no subgroup specification).</w:t>
      </w:r>
      <w:r w:rsidRPr="00AC6C6F">
        <w:rPr>
          <w:i/>
          <w:iCs/>
          <w:szCs w:val="18"/>
        </w:rPr>
        <w:t xml:space="preserve"> </w:t>
      </w:r>
    </w:p>
    <w:p w:rsidR="00AF726E" w:rsidRPr="00AC6C6F" w:rsidRDefault="00AF726E" w:rsidP="00AF726E">
      <w:pPr>
        <w:pStyle w:val="2-SectionHeading"/>
        <w:numPr>
          <w:ilvl w:val="0"/>
          <w:numId w:val="1"/>
        </w:numPr>
      </w:pPr>
      <w:bookmarkStart w:id="4" w:name="_Toc40177085"/>
      <w:r w:rsidRPr="00AC6C6F">
        <w:lastRenderedPageBreak/>
        <w:t>Background</w:t>
      </w:r>
      <w:bookmarkEnd w:id="4"/>
    </w:p>
    <w:p w:rsidR="00AF726E" w:rsidRPr="00AC6C6F" w:rsidRDefault="00AF726E" w:rsidP="00AF726E">
      <w:pPr>
        <w:pStyle w:val="4-SubsectionHeading"/>
      </w:pPr>
      <w:bookmarkStart w:id="5" w:name="_Toc40177086"/>
      <w:r w:rsidRPr="00AC6C6F">
        <w:t>Registration status</w:t>
      </w:r>
      <w:bookmarkEnd w:id="5"/>
    </w:p>
    <w:p w:rsidR="004C564E" w:rsidRPr="00AC6C6F" w:rsidRDefault="004C564E" w:rsidP="004C564E">
      <w:pPr>
        <w:pStyle w:val="3-BodyText"/>
      </w:pPr>
      <w:r w:rsidRPr="00AC6C6F">
        <w:rPr>
          <w:b/>
        </w:rPr>
        <w:t xml:space="preserve">TGA status at time of </w:t>
      </w:r>
      <w:r w:rsidR="004566E5" w:rsidRPr="00AC6C6F">
        <w:rPr>
          <w:b/>
        </w:rPr>
        <w:t>PBAC consideration</w:t>
      </w:r>
      <w:r w:rsidRPr="00AC6C6F">
        <w:t xml:space="preserve">: </w:t>
      </w:r>
      <w:r w:rsidR="00843DA6" w:rsidRPr="00AC6C6F">
        <w:t xml:space="preserve">No TGA documents were available. </w:t>
      </w:r>
    </w:p>
    <w:p w:rsidR="00EC5F25" w:rsidRPr="00AC6C6F" w:rsidRDefault="00D57F20" w:rsidP="005B0C79">
      <w:pPr>
        <w:pStyle w:val="3-BodyText"/>
      </w:pPr>
      <w:r w:rsidRPr="00AC6C6F">
        <w:t>The PBAC noted that m</w:t>
      </w:r>
      <w:r w:rsidR="00AF726E" w:rsidRPr="00AC6C6F">
        <w:t xml:space="preserve">ogamulizumab is not currently TGA approved. An application </w:t>
      </w:r>
      <w:r w:rsidR="00EC5F25" w:rsidRPr="00AC6C6F">
        <w:t xml:space="preserve">to register </w:t>
      </w:r>
      <w:r w:rsidR="00AF726E" w:rsidRPr="00AC6C6F">
        <w:t>mogamulizumab was filed with the TGA under the new Comparable Overseas Regulators pathway on 18</w:t>
      </w:r>
      <w:r w:rsidR="00AF726E" w:rsidRPr="00AC6C6F">
        <w:rPr>
          <w:vertAlign w:val="superscript"/>
        </w:rPr>
        <w:t>th</w:t>
      </w:r>
      <w:r w:rsidR="00AF726E" w:rsidRPr="00AC6C6F">
        <w:t xml:space="preserve"> February 2020. </w:t>
      </w:r>
      <w:r w:rsidR="004566E5" w:rsidRPr="00AC6C6F">
        <w:t xml:space="preserve">The outcome of the first round evaluation </w:t>
      </w:r>
      <w:r w:rsidR="00A431BF" w:rsidRPr="00AC6C6F">
        <w:t>wa</w:t>
      </w:r>
      <w:r w:rsidR="004566E5" w:rsidRPr="00AC6C6F">
        <w:t>s not anticipated until 31 July 2020 with a decision from the TGA Delegate not expected until 7 January 2021.</w:t>
      </w:r>
    </w:p>
    <w:p w:rsidR="007B0BB3" w:rsidRPr="00AC6C6F" w:rsidRDefault="007B0BB3" w:rsidP="00F47200">
      <w:pPr>
        <w:pStyle w:val="3-BodyText"/>
      </w:pPr>
      <w:r w:rsidRPr="00AC6C6F">
        <w:t>The requested TGA indication was “for the treatment of adult patients with mycosis fungoides (MF) or Sezary syndrome (SS) who have received at least one prior systemic therapy.”</w:t>
      </w:r>
    </w:p>
    <w:p w:rsidR="00AF726E" w:rsidRPr="00AC6C6F" w:rsidRDefault="00AF726E" w:rsidP="00F47200">
      <w:pPr>
        <w:pStyle w:val="3-BodyText"/>
      </w:pPr>
      <w:r w:rsidRPr="00AC6C6F">
        <w:t>Mogamulizumab was approved for CTCL (with</w:t>
      </w:r>
      <w:r w:rsidR="009963EB" w:rsidRPr="00AC6C6F">
        <w:t>out reference to</w:t>
      </w:r>
      <w:r w:rsidRPr="00AC6C6F">
        <w:t xml:space="preserve"> subtype specification) in 2014 in Japan and</w:t>
      </w:r>
      <w:r w:rsidR="00A431BF" w:rsidRPr="00AC6C6F">
        <w:t xml:space="preserve"> for MF and SS</w:t>
      </w:r>
      <w:r w:rsidRPr="00AC6C6F">
        <w:t xml:space="preserve"> in 2018 by the Food and Drug Administration </w:t>
      </w:r>
      <w:r w:rsidR="007B0BB3" w:rsidRPr="00AC6C6F">
        <w:t xml:space="preserve">(FDA) </w:t>
      </w:r>
      <w:r w:rsidRPr="00AC6C6F">
        <w:t xml:space="preserve">and </w:t>
      </w:r>
      <w:r w:rsidR="00BE7352" w:rsidRPr="00AC6C6F">
        <w:t>European Medicines Agency (EMA)</w:t>
      </w:r>
      <w:r w:rsidRPr="00AC6C6F">
        <w:t xml:space="preserve">. </w:t>
      </w:r>
    </w:p>
    <w:p w:rsidR="0093681E" w:rsidRPr="00AC6C6F" w:rsidRDefault="0093681E" w:rsidP="0093681E">
      <w:pPr>
        <w:pStyle w:val="3-BodyText"/>
        <w:numPr>
          <w:ilvl w:val="0"/>
          <w:numId w:val="0"/>
        </w:numPr>
        <w:ind w:left="720"/>
        <w:rPr>
          <w:i/>
        </w:rPr>
      </w:pPr>
      <w:r w:rsidRPr="00AC6C6F">
        <w:rPr>
          <w:i/>
        </w:rPr>
        <w:t>For more detail on PBAC’s view, see section 7 PBAC outcome.</w:t>
      </w:r>
    </w:p>
    <w:p w:rsidR="00AF726E" w:rsidRPr="00AC6C6F" w:rsidRDefault="00AF726E" w:rsidP="00AF726E">
      <w:pPr>
        <w:pStyle w:val="2-SectionHeading"/>
        <w:numPr>
          <w:ilvl w:val="0"/>
          <w:numId w:val="1"/>
        </w:numPr>
      </w:pPr>
      <w:bookmarkStart w:id="6" w:name="_Toc40177087"/>
      <w:r w:rsidRPr="00AC6C6F">
        <w:t>Requested listing</w:t>
      </w:r>
      <w:bookmarkEnd w:id="6"/>
    </w:p>
    <w:p w:rsidR="00AF726E" w:rsidRPr="003B3F2F" w:rsidRDefault="00AF726E" w:rsidP="00AF726E">
      <w:pPr>
        <w:pStyle w:val="3-BodyText"/>
        <w:rPr>
          <w:color w:val="0066FF"/>
        </w:rPr>
      </w:pPr>
      <w:r w:rsidRPr="00AC6C6F">
        <w:t>The proposed restriction for mogamulizumab on the PBS is as monotherapy, for relapsed or refractory CTCL after at least one prior systemic therapy</w:t>
      </w:r>
      <w:r w:rsidRPr="00AC6C6F">
        <w:rPr>
          <w:color w:val="000000" w:themeColor="text1"/>
        </w:rPr>
        <w:t xml:space="preserve">. </w:t>
      </w:r>
      <w:r w:rsidRPr="00AC6C6F">
        <w:t xml:space="preserve">The submission </w:t>
      </w:r>
      <w:r w:rsidR="00A431BF" w:rsidRPr="00AC6C6F">
        <w:t xml:space="preserve">proposed </w:t>
      </w:r>
      <w:r w:rsidRPr="00AC6C6F">
        <w:t xml:space="preserve">separate listings for initial and continuing therapy. </w:t>
      </w:r>
      <w:r w:rsidR="004566E5" w:rsidRPr="00AC6C6F">
        <w:t>Suggestions and additions proposed by the Secretariat are added in italics and suggested deletions are crossed out with strikethrough.</w:t>
      </w:r>
    </w:p>
    <w:p w:rsidR="00705A9E" w:rsidRPr="00AC6C6F" w:rsidRDefault="00705A9E" w:rsidP="00705A9E">
      <w:pPr>
        <w:spacing w:after="120"/>
        <w:rPr>
          <w:rFonts w:ascii="Arial Narrow" w:hAnsi="Arial Narrow" w:cstheme="minorHAnsi"/>
          <w:sz w:val="18"/>
          <w:szCs w:val="1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134"/>
        <w:gridCol w:w="992"/>
        <w:gridCol w:w="709"/>
        <w:gridCol w:w="1772"/>
        <w:gridCol w:w="1772"/>
      </w:tblGrid>
      <w:tr w:rsidR="00705A9E" w:rsidRPr="00AC6C6F" w:rsidTr="00F43738">
        <w:trPr>
          <w:cantSplit/>
          <w:trHeight w:val="471"/>
        </w:trPr>
        <w:tc>
          <w:tcPr>
            <w:tcW w:w="2547" w:type="dxa"/>
          </w:tcPr>
          <w:p w:rsidR="00705A9E" w:rsidRPr="00AC6C6F" w:rsidRDefault="00705A9E" w:rsidP="00705A9E">
            <w:pPr>
              <w:keepNext/>
              <w:ind w:left="-108"/>
              <w:rPr>
                <w:rFonts w:ascii="Arial Narrow" w:hAnsi="Arial Narrow"/>
                <w:b/>
                <w:sz w:val="18"/>
                <w:szCs w:val="18"/>
              </w:rPr>
            </w:pPr>
            <w:r w:rsidRPr="00AC6C6F">
              <w:rPr>
                <w:rFonts w:ascii="Arial Narrow" w:hAnsi="Arial Narrow"/>
                <w:b/>
                <w:sz w:val="18"/>
                <w:szCs w:val="18"/>
              </w:rPr>
              <w:t>Name, Restriction,</w:t>
            </w:r>
          </w:p>
          <w:p w:rsidR="00705A9E" w:rsidRPr="00AC6C6F" w:rsidRDefault="00705A9E" w:rsidP="00705A9E">
            <w:pPr>
              <w:keepNext/>
              <w:ind w:left="-108"/>
              <w:rPr>
                <w:rFonts w:ascii="Arial Narrow" w:hAnsi="Arial Narrow"/>
                <w:b/>
                <w:sz w:val="18"/>
                <w:szCs w:val="18"/>
              </w:rPr>
            </w:pPr>
            <w:r w:rsidRPr="00AC6C6F">
              <w:rPr>
                <w:rFonts w:ascii="Arial Narrow" w:hAnsi="Arial Narrow"/>
                <w:b/>
                <w:sz w:val="18"/>
                <w:szCs w:val="18"/>
              </w:rPr>
              <w:t>Manner of administration and form</w:t>
            </w:r>
          </w:p>
        </w:tc>
        <w:tc>
          <w:tcPr>
            <w:tcW w:w="1134" w:type="dxa"/>
          </w:tcPr>
          <w:p w:rsidR="00705A9E" w:rsidRPr="00AC6C6F" w:rsidRDefault="00705A9E" w:rsidP="00705A9E">
            <w:pPr>
              <w:keepNext/>
              <w:ind w:left="-108"/>
              <w:jc w:val="center"/>
              <w:rPr>
                <w:rFonts w:ascii="Arial Narrow" w:hAnsi="Arial Narrow"/>
                <w:b/>
                <w:sz w:val="18"/>
                <w:szCs w:val="18"/>
              </w:rPr>
            </w:pPr>
            <w:r w:rsidRPr="00AC6C6F">
              <w:rPr>
                <w:rFonts w:ascii="Arial Narrow" w:hAnsi="Arial Narrow"/>
                <w:b/>
                <w:sz w:val="18"/>
                <w:szCs w:val="18"/>
              </w:rPr>
              <w:t>PBS item code</w:t>
            </w:r>
          </w:p>
        </w:tc>
        <w:tc>
          <w:tcPr>
            <w:tcW w:w="992" w:type="dxa"/>
          </w:tcPr>
          <w:p w:rsidR="00705A9E" w:rsidRPr="00AC6C6F" w:rsidRDefault="00705A9E" w:rsidP="00705A9E">
            <w:pPr>
              <w:keepNext/>
              <w:ind w:left="-108"/>
              <w:jc w:val="center"/>
              <w:rPr>
                <w:rFonts w:ascii="Arial Narrow" w:hAnsi="Arial Narrow"/>
                <w:b/>
                <w:sz w:val="18"/>
                <w:szCs w:val="18"/>
              </w:rPr>
            </w:pPr>
            <w:r w:rsidRPr="00AC6C6F">
              <w:rPr>
                <w:rFonts w:ascii="Arial Narrow" w:hAnsi="Arial Narrow"/>
                <w:b/>
                <w:sz w:val="18"/>
                <w:szCs w:val="18"/>
              </w:rPr>
              <w:t>Max.</w:t>
            </w:r>
          </w:p>
          <w:p w:rsidR="00705A9E" w:rsidRPr="00AC6C6F" w:rsidRDefault="00705A9E" w:rsidP="00705A9E">
            <w:pPr>
              <w:keepNext/>
              <w:ind w:left="-108"/>
              <w:jc w:val="center"/>
              <w:rPr>
                <w:rFonts w:ascii="Arial Narrow" w:hAnsi="Arial Narrow"/>
                <w:b/>
                <w:sz w:val="18"/>
                <w:szCs w:val="18"/>
              </w:rPr>
            </w:pPr>
            <w:r w:rsidRPr="00AC6C6F">
              <w:rPr>
                <w:rFonts w:ascii="Arial Narrow" w:hAnsi="Arial Narrow"/>
                <w:b/>
                <w:sz w:val="18"/>
                <w:szCs w:val="18"/>
              </w:rPr>
              <w:t>Amount</w:t>
            </w:r>
          </w:p>
        </w:tc>
        <w:tc>
          <w:tcPr>
            <w:tcW w:w="709" w:type="dxa"/>
          </w:tcPr>
          <w:p w:rsidR="00705A9E" w:rsidRPr="00AC6C6F" w:rsidRDefault="00705A9E" w:rsidP="00705A9E">
            <w:pPr>
              <w:keepNext/>
              <w:ind w:left="-108"/>
              <w:jc w:val="center"/>
              <w:rPr>
                <w:rFonts w:ascii="Arial Narrow" w:hAnsi="Arial Narrow"/>
                <w:b/>
                <w:sz w:val="18"/>
                <w:szCs w:val="18"/>
              </w:rPr>
            </w:pPr>
            <w:r w:rsidRPr="00AC6C6F">
              <w:rPr>
                <w:rFonts w:ascii="Arial Narrow" w:hAnsi="Arial Narrow"/>
                <w:b/>
                <w:sz w:val="18"/>
                <w:szCs w:val="18"/>
              </w:rPr>
              <w:t>№.of</w:t>
            </w:r>
          </w:p>
          <w:p w:rsidR="00705A9E" w:rsidRPr="00AC6C6F" w:rsidRDefault="00705A9E" w:rsidP="00705A9E">
            <w:pPr>
              <w:keepNext/>
              <w:ind w:left="-108"/>
              <w:jc w:val="center"/>
              <w:rPr>
                <w:rFonts w:ascii="Arial Narrow" w:hAnsi="Arial Narrow"/>
                <w:b/>
                <w:sz w:val="18"/>
                <w:szCs w:val="18"/>
              </w:rPr>
            </w:pPr>
            <w:r w:rsidRPr="00AC6C6F">
              <w:rPr>
                <w:rFonts w:ascii="Arial Narrow" w:hAnsi="Arial Narrow"/>
                <w:b/>
                <w:sz w:val="18"/>
                <w:szCs w:val="18"/>
              </w:rPr>
              <w:t>Rpts</w:t>
            </w:r>
          </w:p>
        </w:tc>
        <w:tc>
          <w:tcPr>
            <w:tcW w:w="1772" w:type="dxa"/>
          </w:tcPr>
          <w:p w:rsidR="00705A9E" w:rsidRPr="00AC6C6F" w:rsidRDefault="007B1498" w:rsidP="00705A9E">
            <w:pPr>
              <w:keepNext/>
              <w:rPr>
                <w:rFonts w:ascii="Arial Narrow" w:hAnsi="Arial Narrow"/>
                <w:b/>
                <w:sz w:val="18"/>
                <w:szCs w:val="18"/>
              </w:rPr>
            </w:pPr>
            <w:r>
              <w:rPr>
                <w:rFonts w:ascii="Arial Narrow" w:hAnsi="Arial Narrow"/>
                <w:b/>
                <w:sz w:val="18"/>
                <w:szCs w:val="18"/>
              </w:rPr>
              <w:t>Dispensed Price M</w:t>
            </w:r>
            <w:r w:rsidR="00705A9E" w:rsidRPr="00AC6C6F">
              <w:rPr>
                <w:rFonts w:ascii="Arial Narrow" w:hAnsi="Arial Narrow"/>
                <w:b/>
                <w:sz w:val="18"/>
                <w:szCs w:val="18"/>
              </w:rPr>
              <w:t xml:space="preserve">ax. </w:t>
            </w:r>
            <w:r w:rsidRPr="00AC6C6F">
              <w:rPr>
                <w:rFonts w:ascii="Arial Narrow" w:hAnsi="Arial Narrow"/>
                <w:b/>
                <w:sz w:val="18"/>
                <w:szCs w:val="18"/>
              </w:rPr>
              <w:t>Qty</w:t>
            </w:r>
          </w:p>
        </w:tc>
        <w:tc>
          <w:tcPr>
            <w:tcW w:w="1772" w:type="dxa"/>
          </w:tcPr>
          <w:p w:rsidR="00705A9E" w:rsidRPr="00AC6C6F" w:rsidRDefault="00705A9E" w:rsidP="00705A9E">
            <w:pPr>
              <w:keepNext/>
              <w:rPr>
                <w:rFonts w:ascii="Arial Narrow" w:hAnsi="Arial Narrow"/>
                <w:b/>
                <w:sz w:val="18"/>
                <w:szCs w:val="18"/>
              </w:rPr>
            </w:pPr>
            <w:r w:rsidRPr="00AC6C6F">
              <w:rPr>
                <w:rFonts w:ascii="Arial Narrow" w:hAnsi="Arial Narrow"/>
                <w:b/>
                <w:sz w:val="18"/>
                <w:szCs w:val="18"/>
              </w:rPr>
              <w:t>Manufacturer</w:t>
            </w:r>
          </w:p>
        </w:tc>
      </w:tr>
      <w:tr w:rsidR="00705A9E" w:rsidRPr="00AC6C6F" w:rsidTr="00F43738">
        <w:trPr>
          <w:cantSplit/>
          <w:trHeight w:val="577"/>
        </w:trPr>
        <w:tc>
          <w:tcPr>
            <w:tcW w:w="2547" w:type="dxa"/>
          </w:tcPr>
          <w:p w:rsidR="00705A9E" w:rsidRPr="00AC6C6F" w:rsidRDefault="00705A9E" w:rsidP="00705A9E">
            <w:pPr>
              <w:keepNext/>
              <w:ind w:left="-108"/>
              <w:rPr>
                <w:rFonts w:ascii="Arial Narrow" w:hAnsi="Arial Narrow"/>
                <w:sz w:val="18"/>
                <w:szCs w:val="18"/>
              </w:rPr>
            </w:pPr>
            <w:r w:rsidRPr="00AC6C6F">
              <w:rPr>
                <w:rFonts w:ascii="Arial Narrow" w:hAnsi="Arial Narrow"/>
                <w:sz w:val="18"/>
                <w:szCs w:val="18"/>
              </w:rPr>
              <w:t xml:space="preserve">MOGAMULIZUMAB </w:t>
            </w:r>
          </w:p>
          <w:p w:rsidR="00705A9E" w:rsidRPr="00AC6C6F" w:rsidRDefault="00705A9E" w:rsidP="00705A9E">
            <w:pPr>
              <w:keepNext/>
              <w:ind w:left="-108"/>
              <w:rPr>
                <w:rFonts w:ascii="Arial Narrow" w:hAnsi="Arial Narrow"/>
                <w:sz w:val="18"/>
                <w:szCs w:val="18"/>
              </w:rPr>
            </w:pPr>
            <w:r w:rsidRPr="00AC6C6F">
              <w:rPr>
                <w:rFonts w:ascii="Arial Narrow" w:hAnsi="Arial Narrow" w:cstheme="minorHAnsi"/>
                <w:sz w:val="18"/>
                <w:szCs w:val="18"/>
              </w:rPr>
              <w:t>Injection</w:t>
            </w:r>
          </w:p>
        </w:tc>
        <w:tc>
          <w:tcPr>
            <w:tcW w:w="1134" w:type="dxa"/>
          </w:tcPr>
          <w:p w:rsidR="00705A9E" w:rsidRPr="00AC6C6F" w:rsidRDefault="00705A9E" w:rsidP="00705A9E">
            <w:pPr>
              <w:keepNext/>
              <w:rPr>
                <w:rFonts w:ascii="Arial Narrow" w:hAnsi="Arial Narrow"/>
                <w:sz w:val="18"/>
                <w:szCs w:val="18"/>
              </w:rPr>
            </w:pPr>
            <w:r w:rsidRPr="00AC6C6F">
              <w:rPr>
                <w:rFonts w:ascii="Arial Narrow" w:hAnsi="Arial Narrow"/>
                <w:sz w:val="18"/>
                <w:szCs w:val="18"/>
              </w:rPr>
              <w:t>NEW (Public)</w:t>
            </w:r>
          </w:p>
          <w:p w:rsidR="00705A9E" w:rsidRPr="00AC6C6F" w:rsidRDefault="00705A9E" w:rsidP="00705A9E">
            <w:pPr>
              <w:keepNext/>
              <w:ind w:left="-108"/>
              <w:jc w:val="center"/>
              <w:rPr>
                <w:rFonts w:ascii="Arial Narrow" w:hAnsi="Arial Narrow"/>
                <w:sz w:val="18"/>
                <w:szCs w:val="18"/>
              </w:rPr>
            </w:pPr>
            <w:r w:rsidRPr="00AC6C6F">
              <w:rPr>
                <w:rFonts w:ascii="Arial Narrow" w:hAnsi="Arial Narrow"/>
                <w:sz w:val="18"/>
                <w:szCs w:val="18"/>
              </w:rPr>
              <w:t>NEW (Private)</w:t>
            </w:r>
          </w:p>
        </w:tc>
        <w:tc>
          <w:tcPr>
            <w:tcW w:w="992" w:type="dxa"/>
          </w:tcPr>
          <w:p w:rsidR="00705A9E" w:rsidRPr="00AC6C6F" w:rsidRDefault="00705A9E" w:rsidP="00705A9E">
            <w:pPr>
              <w:keepNext/>
              <w:ind w:left="-108"/>
              <w:jc w:val="center"/>
              <w:rPr>
                <w:rFonts w:ascii="Arial Narrow" w:hAnsi="Arial Narrow"/>
                <w:sz w:val="18"/>
                <w:szCs w:val="18"/>
              </w:rPr>
            </w:pPr>
            <w:r w:rsidRPr="00AC6C6F">
              <w:rPr>
                <w:rFonts w:ascii="Arial Narrow" w:hAnsi="Arial Narrow"/>
                <w:sz w:val="18"/>
                <w:szCs w:val="18"/>
              </w:rPr>
              <w:t>120 mg</w:t>
            </w:r>
          </w:p>
        </w:tc>
        <w:tc>
          <w:tcPr>
            <w:tcW w:w="709" w:type="dxa"/>
          </w:tcPr>
          <w:p w:rsidR="00705A9E" w:rsidRPr="00AC6C6F" w:rsidRDefault="00705A9E" w:rsidP="00705A9E">
            <w:pPr>
              <w:keepNext/>
              <w:ind w:left="-108"/>
              <w:jc w:val="center"/>
              <w:rPr>
                <w:rFonts w:ascii="Arial Narrow" w:hAnsi="Arial Narrow"/>
                <w:sz w:val="18"/>
                <w:szCs w:val="18"/>
              </w:rPr>
            </w:pPr>
            <w:r w:rsidRPr="00AC6C6F">
              <w:rPr>
                <w:rFonts w:ascii="Arial Narrow" w:hAnsi="Arial Narrow"/>
                <w:sz w:val="18"/>
                <w:szCs w:val="18"/>
              </w:rPr>
              <w:t>7</w:t>
            </w:r>
          </w:p>
          <w:p w:rsidR="00705A9E" w:rsidRPr="00AC6C6F" w:rsidRDefault="00705A9E" w:rsidP="00705A9E">
            <w:pPr>
              <w:keepNext/>
              <w:ind w:left="-108"/>
              <w:jc w:val="center"/>
              <w:rPr>
                <w:rFonts w:ascii="Arial Narrow" w:hAnsi="Arial Narrow"/>
                <w:sz w:val="18"/>
                <w:szCs w:val="18"/>
              </w:rPr>
            </w:pPr>
          </w:p>
        </w:tc>
        <w:tc>
          <w:tcPr>
            <w:tcW w:w="1772" w:type="dxa"/>
          </w:tcPr>
          <w:p w:rsidR="00705A9E" w:rsidRPr="00AC6C6F" w:rsidRDefault="00705A9E" w:rsidP="00705A9E">
            <w:pPr>
              <w:keepNext/>
              <w:rPr>
                <w:rStyle w:val="Small"/>
                <w:rFonts w:ascii="Arial Narrow" w:hAnsi="Arial Narrow"/>
                <w:bCs/>
                <w:sz w:val="18"/>
                <w:szCs w:val="18"/>
              </w:rPr>
            </w:pPr>
            <w:r w:rsidRPr="00AC6C6F">
              <w:rPr>
                <w:rStyle w:val="Small"/>
                <w:rFonts w:ascii="Arial Narrow" w:hAnsi="Arial Narrow"/>
                <w:bCs/>
                <w:sz w:val="18"/>
                <w:szCs w:val="18"/>
              </w:rPr>
              <w:t>Published</w:t>
            </w:r>
          </w:p>
          <w:p w:rsidR="00705A9E" w:rsidRPr="00AC6C6F" w:rsidRDefault="00705A9E" w:rsidP="00705A9E">
            <w:pPr>
              <w:pStyle w:val="Table"/>
              <w:rPr>
                <w:rStyle w:val="Small"/>
                <w:rFonts w:ascii="Arial Narrow" w:hAnsi="Arial Narrow" w:cs="Arial"/>
                <w:bCs/>
                <w:sz w:val="18"/>
                <w:szCs w:val="18"/>
              </w:rPr>
            </w:pPr>
            <w:r w:rsidRPr="00AC6C6F">
              <w:rPr>
                <w:rStyle w:val="Small"/>
                <w:rFonts w:ascii="Arial Narrow" w:hAnsi="Arial Narrow" w:cs="Arial"/>
                <w:bCs/>
                <w:sz w:val="18"/>
                <w:szCs w:val="18"/>
              </w:rPr>
              <w:t xml:space="preserve">Public: $ </w:t>
            </w:r>
            <w:r w:rsidRPr="00D4267F">
              <w:rPr>
                <w:rStyle w:val="Small"/>
                <w:rFonts w:ascii="Arial Narrow" w:hAnsi="Arial Narrow" w:cs="Arial"/>
                <w:bCs/>
                <w:sz w:val="18"/>
                <w:szCs w:val="18"/>
              </w:rPr>
              <w:t>15,055.06</w:t>
            </w:r>
          </w:p>
          <w:p w:rsidR="00705A9E" w:rsidRPr="00AC6C6F" w:rsidRDefault="00705A9E" w:rsidP="00705A9E">
            <w:pPr>
              <w:keepNext/>
              <w:rPr>
                <w:rStyle w:val="Small"/>
                <w:rFonts w:ascii="Arial Narrow" w:hAnsi="Arial Narrow"/>
                <w:bCs/>
                <w:sz w:val="18"/>
                <w:szCs w:val="18"/>
              </w:rPr>
            </w:pPr>
            <w:r w:rsidRPr="00AC6C6F">
              <w:rPr>
                <w:rStyle w:val="Small"/>
                <w:rFonts w:ascii="Arial Narrow" w:hAnsi="Arial Narrow"/>
                <w:bCs/>
                <w:sz w:val="18"/>
                <w:szCs w:val="18"/>
              </w:rPr>
              <w:t xml:space="preserve">Private: $ </w:t>
            </w:r>
            <w:r w:rsidRPr="00D4267F">
              <w:rPr>
                <w:rStyle w:val="Small"/>
                <w:rFonts w:ascii="Arial Narrow" w:hAnsi="Arial Narrow"/>
                <w:bCs/>
                <w:sz w:val="18"/>
                <w:szCs w:val="18"/>
              </w:rPr>
              <w:t>15,304.40</w:t>
            </w:r>
          </w:p>
          <w:p w:rsidR="00705A9E" w:rsidRPr="00AC6C6F" w:rsidRDefault="00705A9E" w:rsidP="00705A9E">
            <w:pPr>
              <w:keepNext/>
              <w:rPr>
                <w:rStyle w:val="Small"/>
                <w:rFonts w:ascii="Arial Narrow" w:hAnsi="Arial Narrow"/>
                <w:bCs/>
                <w:sz w:val="18"/>
                <w:szCs w:val="18"/>
              </w:rPr>
            </w:pPr>
          </w:p>
          <w:p w:rsidR="00705A9E" w:rsidRPr="00AC6C6F" w:rsidRDefault="00705A9E" w:rsidP="00705A9E">
            <w:pPr>
              <w:keepNext/>
              <w:rPr>
                <w:rStyle w:val="Small"/>
                <w:rFonts w:ascii="Arial Narrow" w:hAnsi="Arial Narrow"/>
                <w:bCs/>
                <w:sz w:val="18"/>
                <w:szCs w:val="18"/>
              </w:rPr>
            </w:pPr>
            <w:r w:rsidRPr="00AC6C6F">
              <w:rPr>
                <w:rStyle w:val="Small"/>
                <w:rFonts w:ascii="Arial Narrow" w:hAnsi="Arial Narrow"/>
                <w:bCs/>
                <w:sz w:val="18"/>
                <w:szCs w:val="18"/>
              </w:rPr>
              <w:t xml:space="preserve">Effective </w:t>
            </w:r>
          </w:p>
          <w:p w:rsidR="00705A9E" w:rsidRPr="00AC6C6F" w:rsidRDefault="00705A9E" w:rsidP="00705A9E">
            <w:pPr>
              <w:pStyle w:val="Table"/>
              <w:rPr>
                <w:rStyle w:val="Small"/>
                <w:rFonts w:ascii="Arial Narrow" w:hAnsi="Arial Narrow" w:cs="Arial"/>
                <w:bCs/>
                <w:sz w:val="18"/>
                <w:szCs w:val="18"/>
              </w:rPr>
            </w:pPr>
            <w:r w:rsidRPr="00AC6C6F">
              <w:rPr>
                <w:rStyle w:val="Small"/>
                <w:rFonts w:ascii="Arial Narrow" w:hAnsi="Arial Narrow" w:cs="Arial"/>
                <w:bCs/>
                <w:sz w:val="18"/>
                <w:szCs w:val="18"/>
              </w:rPr>
              <w:t xml:space="preserve">Public: </w:t>
            </w:r>
            <w:r w:rsidRPr="00AC6C6F">
              <w:rPr>
                <w:rStyle w:val="Small"/>
                <w:rFonts w:ascii="Arial Narrow" w:hAnsi="Arial Narrow"/>
                <w:bCs/>
                <w:sz w:val="18"/>
                <w:szCs w:val="18"/>
              </w:rPr>
              <w:t xml:space="preserve">$ </w:t>
            </w:r>
            <w:r w:rsidR="00B21624">
              <w:rPr>
                <w:rStyle w:val="Small"/>
                <w:rFonts w:ascii="Arial Narrow" w:hAnsi="Arial Narrow"/>
                <w:bCs/>
                <w:noProof/>
                <w:color w:val="000000"/>
                <w:sz w:val="18"/>
                <w:szCs w:val="18"/>
                <w:highlight w:val="black"/>
              </w:rPr>
              <w:t>''''''''''''''''''''''</w:t>
            </w:r>
          </w:p>
          <w:p w:rsidR="00705A9E" w:rsidRPr="00AC6C6F" w:rsidRDefault="00705A9E" w:rsidP="00705A9E">
            <w:pPr>
              <w:keepNext/>
              <w:rPr>
                <w:rFonts w:ascii="Arial Narrow" w:hAnsi="Arial Narrow"/>
                <w:sz w:val="18"/>
                <w:szCs w:val="18"/>
              </w:rPr>
            </w:pPr>
            <w:r w:rsidRPr="00AC6C6F">
              <w:rPr>
                <w:rStyle w:val="Small"/>
                <w:rFonts w:ascii="Arial Narrow" w:hAnsi="Arial Narrow"/>
                <w:bCs/>
                <w:sz w:val="18"/>
                <w:szCs w:val="18"/>
              </w:rPr>
              <w:t xml:space="preserve">Private: $ </w:t>
            </w:r>
            <w:r w:rsidR="00B21624">
              <w:rPr>
                <w:rStyle w:val="Small"/>
                <w:rFonts w:ascii="Arial Narrow" w:hAnsi="Arial Narrow"/>
                <w:bCs/>
                <w:noProof/>
                <w:color w:val="000000"/>
                <w:sz w:val="18"/>
                <w:szCs w:val="18"/>
                <w:highlight w:val="black"/>
              </w:rPr>
              <w:t>'''''''''''''''''''</w:t>
            </w:r>
          </w:p>
        </w:tc>
        <w:tc>
          <w:tcPr>
            <w:tcW w:w="1772" w:type="dxa"/>
          </w:tcPr>
          <w:p w:rsidR="00705A9E" w:rsidRPr="00AC6C6F" w:rsidRDefault="00705A9E" w:rsidP="00705A9E">
            <w:pPr>
              <w:keepNext/>
              <w:rPr>
                <w:rFonts w:ascii="Arial Narrow" w:hAnsi="Arial Narrow"/>
                <w:sz w:val="18"/>
                <w:szCs w:val="18"/>
              </w:rPr>
            </w:pPr>
            <w:r w:rsidRPr="00AC6C6F">
              <w:rPr>
                <w:rFonts w:ascii="Arial Narrow" w:hAnsi="Arial Narrow"/>
                <w:sz w:val="18"/>
                <w:szCs w:val="18"/>
              </w:rPr>
              <w:t>Kyowa Kirin Australia Pty Ltd</w:t>
            </w:r>
          </w:p>
        </w:tc>
      </w:tr>
      <w:tr w:rsidR="00705A9E" w:rsidRPr="00AC6C6F" w:rsidTr="00F43738">
        <w:trPr>
          <w:cantSplit/>
          <w:trHeight w:val="225"/>
        </w:trPr>
        <w:tc>
          <w:tcPr>
            <w:tcW w:w="8926" w:type="dxa"/>
            <w:gridSpan w:val="6"/>
          </w:tcPr>
          <w:p w:rsidR="00705A9E" w:rsidRPr="00AC6C6F" w:rsidRDefault="00705A9E" w:rsidP="00705A9E">
            <w:pPr>
              <w:keepNext/>
              <w:rPr>
                <w:rFonts w:ascii="Arial Narrow" w:hAnsi="Arial Narrow"/>
                <w:b/>
                <w:sz w:val="18"/>
                <w:szCs w:val="18"/>
              </w:rPr>
            </w:pPr>
            <w:r w:rsidRPr="00AC6C6F">
              <w:rPr>
                <w:rFonts w:ascii="Arial Narrow" w:hAnsi="Arial Narrow"/>
                <w:b/>
                <w:sz w:val="18"/>
                <w:szCs w:val="18"/>
              </w:rPr>
              <w:t>Available brands</w:t>
            </w:r>
          </w:p>
        </w:tc>
      </w:tr>
      <w:tr w:rsidR="00705A9E" w:rsidRPr="00AC6C6F" w:rsidTr="00F43738">
        <w:trPr>
          <w:cantSplit/>
          <w:trHeight w:val="360"/>
        </w:trPr>
        <w:tc>
          <w:tcPr>
            <w:tcW w:w="8926" w:type="dxa"/>
            <w:gridSpan w:val="6"/>
          </w:tcPr>
          <w:p w:rsidR="00705A9E" w:rsidRPr="00AC6C6F" w:rsidRDefault="00705A9E" w:rsidP="00705A9E">
            <w:pPr>
              <w:rPr>
                <w:rFonts w:ascii="Arial Narrow" w:hAnsi="Arial Narrow"/>
                <w:sz w:val="18"/>
                <w:szCs w:val="18"/>
              </w:rPr>
            </w:pPr>
            <w:r w:rsidRPr="00AC6C6F">
              <w:rPr>
                <w:rFonts w:ascii="Arial Narrow" w:hAnsi="Arial Narrow"/>
                <w:sz w:val="18"/>
                <w:szCs w:val="18"/>
              </w:rPr>
              <w:t>Poteligeo</w:t>
            </w:r>
          </w:p>
          <w:p w:rsidR="00705A9E" w:rsidRPr="00AC6C6F" w:rsidRDefault="00705A9E" w:rsidP="00705A9E">
            <w:pPr>
              <w:rPr>
                <w:rFonts w:ascii="Arial Narrow" w:hAnsi="Arial Narrow"/>
                <w:sz w:val="18"/>
                <w:szCs w:val="18"/>
              </w:rPr>
            </w:pPr>
            <w:r w:rsidRPr="00AC6C6F">
              <w:rPr>
                <w:rFonts w:ascii="Arial Narrow" w:hAnsi="Arial Narrow" w:cstheme="minorHAnsi"/>
                <w:sz w:val="18"/>
                <w:szCs w:val="18"/>
              </w:rPr>
              <w:t>(mogamulizumab 20 mg/5 mL injection, 5 mL vial)</w:t>
            </w:r>
          </w:p>
        </w:tc>
      </w:tr>
    </w:tbl>
    <w:p w:rsidR="00705A9E" w:rsidRPr="00AC6C6F" w:rsidRDefault="00705A9E" w:rsidP="00705A9E"/>
    <w:p w:rsidR="00705A9E" w:rsidRPr="00AC6C6F" w:rsidRDefault="00705A9E" w:rsidP="00705A9E">
      <w:pPr>
        <w:rPr>
          <w:rFonts w:ascii="Arial Narrow" w:hAnsi="Arial Narrow"/>
          <w:b/>
          <w:sz w:val="18"/>
          <w:szCs w:val="1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7"/>
      </w:tblGrid>
      <w:tr w:rsidR="006125CC" w:rsidRPr="00AC6C6F" w:rsidTr="006125CC">
        <w:tc>
          <w:tcPr>
            <w:tcW w:w="5000" w:type="pct"/>
            <w:tcBorders>
              <w:top w:val="single" w:sz="4" w:space="0" w:color="auto"/>
              <w:left w:val="single" w:sz="4" w:space="0" w:color="auto"/>
              <w:bottom w:val="single" w:sz="4" w:space="0" w:color="auto"/>
              <w:right w:val="single" w:sz="4" w:space="0" w:color="auto"/>
            </w:tcBorders>
          </w:tcPr>
          <w:p w:rsidR="006125CC" w:rsidRPr="00AC6C6F" w:rsidRDefault="006125CC" w:rsidP="00F43738">
            <w:pPr>
              <w:rPr>
                <w:rFonts w:ascii="Arial Narrow" w:hAnsi="Arial Narrow"/>
                <w:sz w:val="18"/>
                <w:szCs w:val="18"/>
              </w:rPr>
            </w:pPr>
            <w:r w:rsidRPr="00AC6C6F">
              <w:rPr>
                <w:rFonts w:ascii="Arial Narrow" w:hAnsi="Arial Narrow"/>
                <w:b/>
                <w:sz w:val="18"/>
                <w:szCs w:val="18"/>
              </w:rPr>
              <w:t xml:space="preserve">Category / Program:  </w:t>
            </w:r>
            <w:r w:rsidRPr="00AC6C6F">
              <w:rPr>
                <w:rFonts w:ascii="Arial Narrow" w:hAnsi="Arial Narrow"/>
                <w:sz w:val="18"/>
                <w:szCs w:val="18"/>
              </w:rPr>
              <w:t>Section 100 – Efficient Funding of Chemother</w:t>
            </w:r>
            <w:r w:rsidR="005C2013">
              <w:rPr>
                <w:rFonts w:ascii="Arial Narrow" w:hAnsi="Arial Narrow"/>
                <w:sz w:val="18"/>
                <w:szCs w:val="18"/>
              </w:rPr>
              <w:t xml:space="preserve">apy (Public/Private hospital)  </w:t>
            </w:r>
          </w:p>
        </w:tc>
      </w:tr>
      <w:tr w:rsidR="006125CC" w:rsidRPr="00AC6C6F" w:rsidTr="006125CC">
        <w:trPr>
          <w:trHeight w:val="238"/>
        </w:trPr>
        <w:tc>
          <w:tcPr>
            <w:tcW w:w="5000" w:type="pct"/>
            <w:tcBorders>
              <w:top w:val="single" w:sz="4" w:space="0" w:color="auto"/>
              <w:left w:val="single" w:sz="4" w:space="0" w:color="auto"/>
              <w:bottom w:val="single" w:sz="4" w:space="0" w:color="auto"/>
              <w:right w:val="single" w:sz="4" w:space="0" w:color="auto"/>
            </w:tcBorders>
          </w:tcPr>
          <w:p w:rsidR="006125CC" w:rsidRPr="00AC6C6F" w:rsidRDefault="006125CC" w:rsidP="006125CC">
            <w:pPr>
              <w:rPr>
                <w:rFonts w:ascii="Arial Narrow" w:hAnsi="Arial Narrow"/>
                <w:sz w:val="18"/>
                <w:szCs w:val="18"/>
              </w:rPr>
            </w:pPr>
            <w:r w:rsidRPr="00AC6C6F">
              <w:rPr>
                <w:rFonts w:ascii="Arial Narrow" w:hAnsi="Arial Narrow"/>
                <w:b/>
                <w:sz w:val="18"/>
                <w:szCs w:val="18"/>
              </w:rPr>
              <w:t xml:space="preserve">Prescriber type:  </w:t>
            </w:r>
            <w:r w:rsidRPr="00AC6C6F">
              <w:rPr>
                <w:rFonts w:ascii="Arial Narrow" w:hAnsi="Arial Narrow"/>
                <w:sz w:val="18"/>
                <w:szCs w:val="18"/>
              </w:rPr>
              <w:fldChar w:fldCharType="begin">
                <w:ffData>
                  <w:name w:val=""/>
                  <w:enabled/>
                  <w:calcOnExit w:val="0"/>
                  <w:checkBox>
                    <w:sizeAuto/>
                    <w:default w:val="1"/>
                  </w:checkBox>
                </w:ffData>
              </w:fldChar>
            </w:r>
            <w:r w:rsidRPr="00AC6C6F">
              <w:rPr>
                <w:rFonts w:ascii="Arial Narrow" w:hAnsi="Arial Narrow"/>
                <w:sz w:val="18"/>
                <w:szCs w:val="18"/>
              </w:rPr>
              <w:instrText xml:space="preserve"> FORMCHECKBOX </w:instrText>
            </w:r>
            <w:r w:rsidR="005C2013">
              <w:rPr>
                <w:rFonts w:ascii="Arial Narrow" w:hAnsi="Arial Narrow"/>
                <w:sz w:val="18"/>
                <w:szCs w:val="18"/>
              </w:rPr>
            </w:r>
            <w:r w:rsidR="005C2013">
              <w:rPr>
                <w:rFonts w:ascii="Arial Narrow" w:hAnsi="Arial Narrow"/>
                <w:sz w:val="18"/>
                <w:szCs w:val="18"/>
              </w:rPr>
              <w:fldChar w:fldCharType="separate"/>
            </w:r>
            <w:r w:rsidRPr="00AC6C6F">
              <w:rPr>
                <w:rFonts w:ascii="Arial Narrow" w:hAnsi="Arial Narrow"/>
                <w:sz w:val="18"/>
                <w:szCs w:val="18"/>
              </w:rPr>
              <w:fldChar w:fldCharType="end"/>
            </w:r>
            <w:r w:rsidRPr="00AC6C6F">
              <w:rPr>
                <w:rFonts w:ascii="Arial Narrow" w:hAnsi="Arial Narrow"/>
                <w:sz w:val="18"/>
                <w:szCs w:val="18"/>
              </w:rPr>
              <w:t xml:space="preserve">Medical Practitioners  </w:t>
            </w:r>
          </w:p>
        </w:tc>
      </w:tr>
      <w:tr w:rsidR="006125CC" w:rsidRPr="00AC6C6F" w:rsidTr="006125CC">
        <w:trPr>
          <w:trHeight w:val="525"/>
        </w:trPr>
        <w:tc>
          <w:tcPr>
            <w:tcW w:w="5000" w:type="pct"/>
            <w:tcBorders>
              <w:top w:val="single" w:sz="4" w:space="0" w:color="auto"/>
              <w:left w:val="single" w:sz="4" w:space="0" w:color="auto"/>
              <w:bottom w:val="single" w:sz="4" w:space="0" w:color="auto"/>
              <w:right w:val="single" w:sz="4" w:space="0" w:color="auto"/>
            </w:tcBorders>
          </w:tcPr>
          <w:p w:rsidR="006125CC" w:rsidRPr="00AC6C6F" w:rsidRDefault="006125CC" w:rsidP="00F43738">
            <w:pPr>
              <w:rPr>
                <w:rFonts w:ascii="Arial Narrow" w:hAnsi="Arial Narrow"/>
                <w:b/>
                <w:sz w:val="18"/>
                <w:szCs w:val="18"/>
              </w:rPr>
            </w:pPr>
            <w:r w:rsidRPr="00AC6C6F">
              <w:rPr>
                <w:rFonts w:ascii="Arial Narrow" w:hAnsi="Arial Narrow"/>
                <w:b/>
                <w:sz w:val="18"/>
                <w:szCs w:val="18"/>
              </w:rPr>
              <w:t>Restriction type / Method:</w:t>
            </w:r>
          </w:p>
          <w:p w:rsidR="006125CC" w:rsidRPr="00AC6C6F" w:rsidRDefault="006125CC" w:rsidP="00F43738">
            <w:pPr>
              <w:rPr>
                <w:rFonts w:ascii="Arial Narrow" w:hAnsi="Arial Narrow"/>
                <w:sz w:val="18"/>
                <w:szCs w:val="18"/>
              </w:rPr>
            </w:pPr>
            <w:r w:rsidRPr="00AC6C6F">
              <w:rPr>
                <w:rFonts w:ascii="Arial Narrow" w:hAnsi="Arial Narrow"/>
                <w:sz w:val="18"/>
                <w:szCs w:val="18"/>
              </w:rPr>
              <w:fldChar w:fldCharType="begin">
                <w:ffData>
                  <w:name w:val=""/>
                  <w:enabled/>
                  <w:calcOnExit w:val="0"/>
                  <w:checkBox>
                    <w:sizeAuto/>
                    <w:default w:val="1"/>
                  </w:checkBox>
                </w:ffData>
              </w:fldChar>
            </w:r>
            <w:r w:rsidRPr="00AC6C6F">
              <w:rPr>
                <w:rFonts w:ascii="Arial Narrow" w:hAnsi="Arial Narrow"/>
                <w:sz w:val="18"/>
                <w:szCs w:val="18"/>
              </w:rPr>
              <w:instrText xml:space="preserve"> FORMCHECKBOX </w:instrText>
            </w:r>
            <w:r w:rsidR="005C2013">
              <w:rPr>
                <w:rFonts w:ascii="Arial Narrow" w:hAnsi="Arial Narrow"/>
                <w:sz w:val="18"/>
                <w:szCs w:val="18"/>
              </w:rPr>
            </w:r>
            <w:r w:rsidR="005C2013">
              <w:rPr>
                <w:rFonts w:ascii="Arial Narrow" w:hAnsi="Arial Narrow"/>
                <w:sz w:val="18"/>
                <w:szCs w:val="18"/>
              </w:rPr>
              <w:fldChar w:fldCharType="separate"/>
            </w:r>
            <w:r w:rsidRPr="00AC6C6F">
              <w:rPr>
                <w:rFonts w:ascii="Arial Narrow" w:hAnsi="Arial Narrow"/>
                <w:sz w:val="18"/>
                <w:szCs w:val="18"/>
              </w:rPr>
              <w:fldChar w:fldCharType="end"/>
            </w:r>
            <w:r w:rsidRPr="00AC6C6F">
              <w:rPr>
                <w:rFonts w:ascii="Arial Narrow" w:hAnsi="Arial Narrow"/>
                <w:strike/>
                <w:sz w:val="18"/>
                <w:szCs w:val="18"/>
              </w:rPr>
              <w:t>Authority Required – delayed/non-real time assessment by Services Australia ( written application lodged by mail or electronic upload)</w:t>
            </w:r>
          </w:p>
          <w:p w:rsidR="006125CC" w:rsidRPr="00AC6C6F" w:rsidRDefault="006125CC" w:rsidP="00F43738">
            <w:pPr>
              <w:rPr>
                <w:rFonts w:ascii="Arial Narrow" w:hAnsi="Arial Narrow"/>
                <w:sz w:val="18"/>
                <w:szCs w:val="18"/>
              </w:rPr>
            </w:pPr>
            <w:r w:rsidRPr="00AC6C6F">
              <w:rPr>
                <w:rFonts w:ascii="Arial Narrow" w:hAnsi="Arial Narrow"/>
                <w:sz w:val="18"/>
                <w:szCs w:val="18"/>
              </w:rPr>
              <w:fldChar w:fldCharType="begin">
                <w:ffData>
                  <w:name w:val=""/>
                  <w:enabled/>
                  <w:calcOnExit w:val="0"/>
                  <w:checkBox>
                    <w:sizeAuto/>
                    <w:default w:val="1"/>
                  </w:checkBox>
                </w:ffData>
              </w:fldChar>
            </w:r>
            <w:r w:rsidRPr="00AC6C6F">
              <w:rPr>
                <w:rFonts w:ascii="Arial Narrow" w:hAnsi="Arial Narrow"/>
                <w:sz w:val="18"/>
                <w:szCs w:val="18"/>
              </w:rPr>
              <w:instrText xml:space="preserve"> FORMCHECKBOX </w:instrText>
            </w:r>
            <w:r w:rsidR="005C2013">
              <w:rPr>
                <w:rFonts w:ascii="Arial Narrow" w:hAnsi="Arial Narrow"/>
                <w:sz w:val="18"/>
                <w:szCs w:val="18"/>
              </w:rPr>
            </w:r>
            <w:r w:rsidR="005C2013">
              <w:rPr>
                <w:rFonts w:ascii="Arial Narrow" w:hAnsi="Arial Narrow"/>
                <w:sz w:val="18"/>
                <w:szCs w:val="18"/>
              </w:rPr>
              <w:fldChar w:fldCharType="separate"/>
            </w:r>
            <w:r w:rsidRPr="00AC6C6F">
              <w:rPr>
                <w:rFonts w:ascii="Arial Narrow" w:hAnsi="Arial Narrow"/>
                <w:sz w:val="18"/>
                <w:szCs w:val="18"/>
              </w:rPr>
              <w:fldChar w:fldCharType="end"/>
            </w:r>
            <w:r w:rsidRPr="00AC6C6F">
              <w:rPr>
                <w:rFonts w:ascii="Arial Narrow" w:hAnsi="Arial Narrow"/>
                <w:sz w:val="18"/>
                <w:szCs w:val="18"/>
              </w:rPr>
              <w:t xml:space="preserve">Authority Required </w:t>
            </w:r>
            <w:r w:rsidRPr="00AC6C6F">
              <w:rPr>
                <w:rFonts w:ascii="Arial Narrow" w:hAnsi="Arial Narrow"/>
                <w:i/>
                <w:sz w:val="18"/>
                <w:szCs w:val="18"/>
              </w:rPr>
              <w:t>- immediate/real-time assessment by Services Australia (Telephone/Online )</w:t>
            </w:r>
          </w:p>
        </w:tc>
      </w:tr>
      <w:tr w:rsidR="006125CC" w:rsidRPr="00AC6C6F" w:rsidTr="006125CC">
        <w:tc>
          <w:tcPr>
            <w:tcW w:w="5000" w:type="pct"/>
            <w:vAlign w:val="center"/>
          </w:tcPr>
          <w:p w:rsidR="006125CC" w:rsidRPr="00AC6C6F" w:rsidRDefault="006125CC" w:rsidP="00F43738">
            <w:pPr>
              <w:rPr>
                <w:rFonts w:ascii="Arial Narrow" w:hAnsi="Arial Narrow"/>
                <w:b/>
                <w:bCs/>
                <w:color w:val="333333"/>
                <w:sz w:val="18"/>
                <w:szCs w:val="18"/>
              </w:rPr>
            </w:pPr>
            <w:r w:rsidRPr="00AC6C6F">
              <w:rPr>
                <w:rFonts w:ascii="Arial Narrow" w:hAnsi="Arial Narrow"/>
                <w:b/>
                <w:bCs/>
                <w:color w:val="333333"/>
                <w:sz w:val="18"/>
                <w:szCs w:val="18"/>
              </w:rPr>
              <w:t xml:space="preserve">Condition: </w:t>
            </w:r>
            <w:r w:rsidRPr="00AC6C6F">
              <w:rPr>
                <w:rFonts w:ascii="Arial Narrow" w:hAnsi="Arial Narrow"/>
                <w:bCs/>
                <w:color w:val="333333"/>
                <w:sz w:val="18"/>
                <w:szCs w:val="18"/>
              </w:rPr>
              <w:t>Cutaneous T-cell lymphoma</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b/>
                <w:bCs/>
                <w:color w:val="333333"/>
                <w:sz w:val="18"/>
                <w:szCs w:val="18"/>
              </w:rPr>
              <w:lastRenderedPageBreak/>
              <w:t>Indication:</w:t>
            </w:r>
            <w:r w:rsidRPr="00AC6C6F">
              <w:rPr>
                <w:rFonts w:ascii="Arial Narrow" w:hAnsi="Arial Narrow"/>
                <w:color w:val="333333"/>
                <w:sz w:val="18"/>
                <w:szCs w:val="18"/>
              </w:rPr>
              <w:t xml:space="preserve"> </w:t>
            </w:r>
            <w:r w:rsidRPr="00AC6C6F">
              <w:rPr>
                <w:rFonts w:ascii="Arial Narrow" w:hAnsi="Arial Narrow"/>
                <w:bCs/>
                <w:color w:val="333333"/>
                <w:sz w:val="18"/>
                <w:szCs w:val="18"/>
              </w:rPr>
              <w:t>Cutaneous T-cell lymphoma</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b/>
                <w:bCs/>
                <w:color w:val="333333"/>
                <w:sz w:val="18"/>
                <w:szCs w:val="18"/>
              </w:rPr>
              <w:t>Treatment Phase:</w:t>
            </w:r>
            <w:r w:rsidRPr="00AC6C6F">
              <w:rPr>
                <w:rFonts w:ascii="Arial Narrow" w:hAnsi="Arial Narrow"/>
                <w:color w:val="333333"/>
                <w:sz w:val="18"/>
                <w:szCs w:val="18"/>
              </w:rPr>
              <w:t xml:space="preserve"> Initial treatment</w:t>
            </w:r>
          </w:p>
        </w:tc>
      </w:tr>
      <w:tr w:rsidR="006125CC" w:rsidRPr="00AC6C6F" w:rsidTr="006125CC">
        <w:tc>
          <w:tcPr>
            <w:tcW w:w="5000" w:type="pct"/>
            <w:vAlign w:val="center"/>
          </w:tcPr>
          <w:p w:rsidR="006125CC" w:rsidRPr="00AC6C6F" w:rsidRDefault="006125CC" w:rsidP="00F43738">
            <w:pPr>
              <w:rPr>
                <w:rFonts w:ascii="Arial Narrow" w:hAnsi="Arial Narrow"/>
                <w:b/>
                <w:bCs/>
                <w:color w:val="333333"/>
                <w:sz w:val="18"/>
                <w:szCs w:val="18"/>
              </w:rPr>
            </w:pPr>
            <w:r w:rsidRPr="00AC6C6F">
              <w:rPr>
                <w:rFonts w:ascii="Arial Narrow" w:hAnsi="Arial Narrow"/>
                <w:b/>
                <w:bCs/>
                <w:color w:val="333333"/>
                <w:sz w:val="18"/>
                <w:szCs w:val="18"/>
              </w:rPr>
              <w:t>Clinical criteria:</w:t>
            </w:r>
          </w:p>
        </w:tc>
      </w:tr>
      <w:tr w:rsidR="006125CC" w:rsidRPr="00AC6C6F" w:rsidTr="006125CC">
        <w:tc>
          <w:tcPr>
            <w:tcW w:w="5000" w:type="pct"/>
            <w:vAlign w:val="center"/>
          </w:tcPr>
          <w:p w:rsidR="006125CC" w:rsidRPr="00AC6C6F" w:rsidRDefault="006125CC" w:rsidP="00F43738">
            <w:pPr>
              <w:rPr>
                <w:rFonts w:ascii="Arial Narrow" w:hAnsi="Arial Narrow"/>
                <w:bCs/>
                <w:i/>
                <w:color w:val="333333"/>
                <w:sz w:val="18"/>
                <w:szCs w:val="18"/>
              </w:rPr>
            </w:pPr>
            <w:r w:rsidRPr="00AC6C6F">
              <w:rPr>
                <w:rFonts w:ascii="Arial Narrow" w:hAnsi="Arial Narrow"/>
                <w:bCs/>
                <w:i/>
                <w:color w:val="333333"/>
                <w:sz w:val="18"/>
                <w:szCs w:val="18"/>
              </w:rPr>
              <w:t>Patient must have a diagnosis of mycosis fungoides; or</w:t>
            </w:r>
          </w:p>
        </w:tc>
      </w:tr>
      <w:tr w:rsidR="006125CC" w:rsidRPr="00AC6C6F" w:rsidTr="006125CC">
        <w:tc>
          <w:tcPr>
            <w:tcW w:w="5000" w:type="pct"/>
            <w:vAlign w:val="center"/>
          </w:tcPr>
          <w:p w:rsidR="006125CC" w:rsidRPr="00AC6C6F" w:rsidRDefault="006125CC" w:rsidP="00F43738">
            <w:pPr>
              <w:rPr>
                <w:rFonts w:ascii="Arial Narrow" w:hAnsi="Arial Narrow"/>
                <w:b/>
                <w:bCs/>
                <w:color w:val="333333"/>
                <w:sz w:val="18"/>
                <w:szCs w:val="18"/>
              </w:rPr>
            </w:pPr>
            <w:r w:rsidRPr="00AC6C6F">
              <w:rPr>
                <w:rFonts w:ascii="Arial Narrow" w:hAnsi="Arial Narrow"/>
                <w:bCs/>
                <w:i/>
                <w:color w:val="333333"/>
                <w:sz w:val="18"/>
                <w:szCs w:val="18"/>
              </w:rPr>
              <w:t>Patient must have a diagnosis of Sezary syndrome</w:t>
            </w:r>
          </w:p>
        </w:tc>
      </w:tr>
      <w:tr w:rsidR="006125CC" w:rsidRPr="00AC6C6F" w:rsidTr="006125CC">
        <w:tc>
          <w:tcPr>
            <w:tcW w:w="5000" w:type="pct"/>
            <w:vAlign w:val="center"/>
          </w:tcPr>
          <w:p w:rsidR="006125CC" w:rsidRPr="00AC6C6F" w:rsidRDefault="006125CC" w:rsidP="00F43738">
            <w:pPr>
              <w:rPr>
                <w:rFonts w:ascii="Arial Narrow" w:hAnsi="Arial Narrow"/>
                <w:b/>
                <w:bCs/>
                <w:i/>
                <w:color w:val="333333"/>
                <w:sz w:val="18"/>
                <w:szCs w:val="18"/>
              </w:rPr>
            </w:pPr>
            <w:r w:rsidRPr="00AC6C6F">
              <w:rPr>
                <w:rFonts w:ascii="Arial Narrow" w:hAnsi="Arial Narrow"/>
                <w:b/>
                <w:bCs/>
                <w:i/>
                <w:color w:val="333333"/>
                <w:sz w:val="18"/>
                <w:szCs w:val="18"/>
              </w:rPr>
              <w:t>AND</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b/>
                <w:bCs/>
                <w:color w:val="333333"/>
                <w:sz w:val="18"/>
                <w:szCs w:val="18"/>
              </w:rPr>
              <w:t>Clinical criteria:</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cs="Arial Narrow"/>
                <w:iCs/>
                <w:sz w:val="18"/>
                <w:szCs w:val="18"/>
              </w:rPr>
              <w:t xml:space="preserve">Patient must have received </w:t>
            </w:r>
            <w:r w:rsidRPr="00AC6C6F">
              <w:rPr>
                <w:rFonts w:ascii="Arial Narrow" w:hAnsi="Arial Narrow" w:cs="Arial Narrow"/>
                <w:iCs/>
                <w:strike/>
                <w:sz w:val="18"/>
                <w:szCs w:val="18"/>
              </w:rPr>
              <w:t>at least one</w:t>
            </w:r>
            <w:r w:rsidRPr="00AC6C6F">
              <w:rPr>
                <w:rFonts w:ascii="Arial Narrow" w:hAnsi="Arial Narrow" w:cs="Arial Narrow"/>
                <w:iCs/>
                <w:sz w:val="18"/>
                <w:szCs w:val="18"/>
              </w:rPr>
              <w:t xml:space="preserve"> prior systemic </w:t>
            </w:r>
            <w:r w:rsidRPr="00AC6C6F">
              <w:rPr>
                <w:rFonts w:ascii="Arial Narrow" w:hAnsi="Arial Narrow" w:cs="Arial Narrow"/>
                <w:iCs/>
                <w:strike/>
                <w:sz w:val="18"/>
                <w:szCs w:val="18"/>
              </w:rPr>
              <w:t>therapy</w:t>
            </w:r>
            <w:r w:rsidRPr="00AC6C6F">
              <w:rPr>
                <w:rFonts w:ascii="Arial Narrow" w:hAnsi="Arial Narrow" w:cs="Arial Narrow"/>
                <w:iCs/>
                <w:sz w:val="18"/>
                <w:szCs w:val="18"/>
              </w:rPr>
              <w:t xml:space="preserve"> </w:t>
            </w:r>
            <w:r w:rsidRPr="00AC6C6F">
              <w:rPr>
                <w:rFonts w:ascii="Arial Narrow" w:hAnsi="Arial Narrow" w:cs="Arial Narrow"/>
                <w:i/>
                <w:iCs/>
                <w:sz w:val="18"/>
                <w:szCs w:val="18"/>
              </w:rPr>
              <w:t>treatment</w:t>
            </w:r>
            <w:r w:rsidRPr="00AC6C6F">
              <w:rPr>
                <w:rFonts w:ascii="Arial Narrow" w:hAnsi="Arial Narrow" w:cs="Arial Narrow"/>
                <w:iCs/>
                <w:sz w:val="18"/>
                <w:szCs w:val="18"/>
              </w:rPr>
              <w:t xml:space="preserve"> for this condition.</w:t>
            </w:r>
          </w:p>
        </w:tc>
      </w:tr>
      <w:tr w:rsidR="006125CC" w:rsidRPr="00AC6C6F" w:rsidTr="006125CC">
        <w:tc>
          <w:tcPr>
            <w:tcW w:w="5000" w:type="pct"/>
            <w:vAlign w:val="center"/>
          </w:tcPr>
          <w:p w:rsidR="006125CC" w:rsidRPr="00AC6C6F" w:rsidRDefault="006125CC" w:rsidP="00F43738">
            <w:pPr>
              <w:rPr>
                <w:rFonts w:ascii="Arial Narrow" w:hAnsi="Arial Narrow"/>
                <w:b/>
                <w:bCs/>
                <w:color w:val="333333"/>
                <w:sz w:val="18"/>
                <w:szCs w:val="18"/>
              </w:rPr>
            </w:pPr>
            <w:r w:rsidRPr="00AC6C6F">
              <w:rPr>
                <w:rFonts w:ascii="Arial Narrow" w:hAnsi="Arial Narrow"/>
                <w:b/>
                <w:bCs/>
                <w:color w:val="333333"/>
                <w:sz w:val="18"/>
                <w:szCs w:val="18"/>
              </w:rPr>
              <w:t>AND</w:t>
            </w:r>
          </w:p>
        </w:tc>
      </w:tr>
      <w:tr w:rsidR="006125CC" w:rsidRPr="00AC6C6F" w:rsidTr="006125CC">
        <w:tc>
          <w:tcPr>
            <w:tcW w:w="5000" w:type="pct"/>
            <w:vAlign w:val="center"/>
          </w:tcPr>
          <w:p w:rsidR="006125CC" w:rsidRPr="00AC6C6F" w:rsidRDefault="006125CC" w:rsidP="00F43738">
            <w:pPr>
              <w:rPr>
                <w:rFonts w:ascii="Arial Narrow" w:hAnsi="Arial Narrow"/>
                <w:b/>
                <w:bCs/>
                <w:color w:val="333333"/>
                <w:sz w:val="18"/>
                <w:szCs w:val="18"/>
              </w:rPr>
            </w:pPr>
            <w:r w:rsidRPr="00AC6C6F">
              <w:rPr>
                <w:rFonts w:ascii="Arial Narrow" w:hAnsi="Arial Narrow"/>
                <w:b/>
                <w:bCs/>
                <w:color w:val="333333"/>
                <w:sz w:val="18"/>
                <w:szCs w:val="18"/>
              </w:rPr>
              <w:t>Clinical criteria:</w:t>
            </w:r>
          </w:p>
        </w:tc>
      </w:tr>
      <w:tr w:rsidR="006125CC" w:rsidRPr="00AC6C6F" w:rsidTr="006125CC">
        <w:tc>
          <w:tcPr>
            <w:tcW w:w="5000" w:type="pct"/>
            <w:vAlign w:val="center"/>
            <w:hideMark/>
          </w:tcPr>
          <w:p w:rsidR="006125CC" w:rsidRPr="00AC6C6F" w:rsidRDefault="006125CC" w:rsidP="00F43738">
            <w:pPr>
              <w:rPr>
                <w:rFonts w:ascii="Arial Narrow" w:hAnsi="Arial Narrow"/>
                <w:strike/>
                <w:color w:val="333333"/>
                <w:sz w:val="18"/>
                <w:szCs w:val="18"/>
              </w:rPr>
            </w:pPr>
            <w:r w:rsidRPr="00AC6C6F">
              <w:rPr>
                <w:rFonts w:ascii="Arial Narrow" w:hAnsi="Arial Narrow"/>
                <w:strike/>
                <w:color w:val="333333"/>
                <w:sz w:val="18"/>
                <w:szCs w:val="18"/>
              </w:rPr>
              <w:t>Patient must have relapsed or refractory disease following prior systemic therapy for this condition.</w:t>
            </w:r>
          </w:p>
          <w:p w:rsidR="006125CC" w:rsidRPr="00AC6C6F" w:rsidRDefault="006125CC" w:rsidP="00F43738">
            <w:pPr>
              <w:rPr>
                <w:rFonts w:ascii="Arial Narrow" w:hAnsi="Arial Narrow"/>
                <w:i/>
                <w:color w:val="333333"/>
                <w:sz w:val="18"/>
                <w:szCs w:val="18"/>
              </w:rPr>
            </w:pPr>
            <w:r w:rsidRPr="00AC6C6F">
              <w:rPr>
                <w:rFonts w:ascii="Arial Narrow" w:hAnsi="Arial Narrow"/>
                <w:i/>
                <w:color w:val="333333"/>
                <w:sz w:val="18"/>
                <w:szCs w:val="18"/>
              </w:rPr>
              <w:t>The condition must be relapsed or refractory</w:t>
            </w:r>
          </w:p>
        </w:tc>
      </w:tr>
      <w:tr w:rsidR="006125CC" w:rsidRPr="00AC6C6F" w:rsidTr="006125CC">
        <w:tc>
          <w:tcPr>
            <w:tcW w:w="5000" w:type="pct"/>
            <w:vAlign w:val="center"/>
          </w:tcPr>
          <w:p w:rsidR="006125CC" w:rsidRPr="00AC6C6F" w:rsidRDefault="006125CC" w:rsidP="00F43738">
            <w:pPr>
              <w:rPr>
                <w:rFonts w:ascii="Arial Narrow" w:hAnsi="Arial Narrow"/>
                <w:b/>
                <w:color w:val="333333"/>
                <w:sz w:val="18"/>
                <w:szCs w:val="18"/>
              </w:rPr>
            </w:pPr>
            <w:r w:rsidRPr="00AC6C6F">
              <w:rPr>
                <w:rFonts w:ascii="Arial Narrow" w:hAnsi="Arial Narrow"/>
                <w:b/>
                <w:color w:val="333333"/>
                <w:sz w:val="18"/>
                <w:szCs w:val="18"/>
              </w:rPr>
              <w:t>AND</w:t>
            </w:r>
          </w:p>
        </w:tc>
      </w:tr>
      <w:tr w:rsidR="006125CC" w:rsidRPr="00AC6C6F" w:rsidTr="006125CC">
        <w:tc>
          <w:tcPr>
            <w:tcW w:w="5000" w:type="pct"/>
            <w:vAlign w:val="center"/>
          </w:tcPr>
          <w:p w:rsidR="006125CC" w:rsidRPr="00AC6C6F" w:rsidRDefault="006125CC" w:rsidP="00F43738">
            <w:pPr>
              <w:rPr>
                <w:rFonts w:ascii="Arial Narrow" w:hAnsi="Arial Narrow"/>
                <w:strike/>
                <w:color w:val="333333"/>
                <w:sz w:val="18"/>
                <w:szCs w:val="18"/>
              </w:rPr>
            </w:pPr>
            <w:r w:rsidRPr="00AC6C6F">
              <w:rPr>
                <w:rFonts w:ascii="Arial Narrow" w:hAnsi="Arial Narrow"/>
                <w:b/>
                <w:bCs/>
                <w:color w:val="333333"/>
                <w:sz w:val="18"/>
                <w:szCs w:val="18"/>
              </w:rPr>
              <w:t>Clinical criteria:</w:t>
            </w:r>
          </w:p>
        </w:tc>
      </w:tr>
      <w:tr w:rsidR="006125CC" w:rsidRPr="00AC6C6F" w:rsidTr="006125CC">
        <w:tc>
          <w:tcPr>
            <w:tcW w:w="5000" w:type="pct"/>
            <w:vAlign w:val="center"/>
          </w:tcPr>
          <w:p w:rsidR="006125CC" w:rsidRPr="00AC6C6F" w:rsidRDefault="006125CC" w:rsidP="00F43738">
            <w:pPr>
              <w:rPr>
                <w:rFonts w:ascii="Arial Narrow" w:hAnsi="Arial Narrow"/>
                <w:i/>
                <w:color w:val="333333"/>
                <w:sz w:val="18"/>
                <w:szCs w:val="18"/>
              </w:rPr>
            </w:pPr>
            <w:r w:rsidRPr="00AC6C6F">
              <w:rPr>
                <w:rFonts w:ascii="Arial Narrow" w:hAnsi="Arial Narrow"/>
                <w:i/>
                <w:color w:val="333333"/>
                <w:sz w:val="18"/>
                <w:szCs w:val="18"/>
              </w:rPr>
              <w:t>The treatment must not exceed a total of 8 doses under this restriction.</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b/>
                <w:bCs/>
                <w:color w:val="333333"/>
                <w:sz w:val="18"/>
                <w:szCs w:val="18"/>
              </w:rPr>
              <w:t>AND</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b/>
                <w:bCs/>
                <w:color w:val="333333"/>
                <w:sz w:val="18"/>
                <w:szCs w:val="18"/>
              </w:rPr>
              <w:t>Clinical criteria:</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color w:val="333333"/>
                <w:sz w:val="18"/>
                <w:szCs w:val="18"/>
              </w:rPr>
              <w:t xml:space="preserve">The treatment must be the sole PBS-subsidised systemic </w:t>
            </w:r>
            <w:r w:rsidRPr="00AC6C6F">
              <w:rPr>
                <w:rFonts w:ascii="Arial Narrow" w:hAnsi="Arial Narrow"/>
                <w:i/>
                <w:color w:val="333333"/>
                <w:sz w:val="18"/>
                <w:szCs w:val="18"/>
              </w:rPr>
              <w:t xml:space="preserve">anti-cancer </w:t>
            </w:r>
            <w:r w:rsidRPr="00AC6C6F">
              <w:rPr>
                <w:rFonts w:ascii="Arial Narrow" w:hAnsi="Arial Narrow"/>
                <w:color w:val="333333"/>
                <w:sz w:val="18"/>
                <w:szCs w:val="18"/>
              </w:rPr>
              <w:t>therapy for this condition.</w:t>
            </w:r>
          </w:p>
        </w:tc>
      </w:tr>
      <w:tr w:rsidR="006125CC" w:rsidRPr="00AC6C6F" w:rsidTr="006125CC">
        <w:tc>
          <w:tcPr>
            <w:tcW w:w="5000" w:type="pct"/>
            <w:vAlign w:val="center"/>
          </w:tcPr>
          <w:p w:rsidR="006125CC" w:rsidRPr="00AC6C6F" w:rsidRDefault="006125CC" w:rsidP="00F43738">
            <w:pPr>
              <w:rPr>
                <w:rFonts w:ascii="Arial Narrow" w:hAnsi="Arial Narrow"/>
                <w:i/>
                <w:strike/>
                <w:color w:val="333333"/>
                <w:sz w:val="18"/>
                <w:szCs w:val="18"/>
              </w:rPr>
            </w:pPr>
            <w:r w:rsidRPr="00AC6C6F">
              <w:rPr>
                <w:rFonts w:ascii="Arial Narrow" w:hAnsi="Arial Narrow"/>
                <w:b/>
                <w:bCs/>
                <w:i/>
                <w:strike/>
                <w:color w:val="333333"/>
                <w:sz w:val="18"/>
                <w:szCs w:val="18"/>
              </w:rPr>
              <w:t>Prescribing Instructions:</w:t>
            </w:r>
          </w:p>
          <w:p w:rsidR="006125CC" w:rsidRPr="00AC6C6F" w:rsidRDefault="006125CC" w:rsidP="00F43738">
            <w:pPr>
              <w:rPr>
                <w:rFonts w:ascii="Arial Narrow" w:hAnsi="Arial Narrow"/>
                <w:i/>
                <w:strike/>
                <w:color w:val="333333"/>
                <w:sz w:val="18"/>
                <w:szCs w:val="18"/>
              </w:rPr>
            </w:pPr>
            <w:r w:rsidRPr="00AC6C6F">
              <w:rPr>
                <w:rFonts w:ascii="Arial Narrow" w:hAnsi="Arial Narrow"/>
                <w:i/>
                <w:strike/>
                <w:color w:val="333333"/>
                <w:sz w:val="18"/>
                <w:szCs w:val="18"/>
              </w:rPr>
              <w:t>Applications for authorisation of initial treatment must be in writing and must include:</w:t>
            </w:r>
          </w:p>
          <w:p w:rsidR="006125CC" w:rsidRPr="00AC6C6F" w:rsidRDefault="006125CC" w:rsidP="00F43738">
            <w:pPr>
              <w:rPr>
                <w:rFonts w:ascii="Arial Narrow" w:hAnsi="Arial Narrow"/>
                <w:i/>
                <w:strike/>
                <w:color w:val="333333"/>
                <w:sz w:val="18"/>
                <w:szCs w:val="18"/>
              </w:rPr>
            </w:pPr>
            <w:r w:rsidRPr="00AC6C6F">
              <w:rPr>
                <w:rFonts w:ascii="Arial Narrow" w:hAnsi="Arial Narrow"/>
                <w:i/>
                <w:strike/>
                <w:color w:val="333333"/>
                <w:sz w:val="18"/>
                <w:szCs w:val="18"/>
              </w:rPr>
              <w:t>(a) a completed authority prescription form; and</w:t>
            </w:r>
          </w:p>
          <w:p w:rsidR="006125CC" w:rsidRPr="00AC6C6F" w:rsidRDefault="006125CC" w:rsidP="00F43738">
            <w:pPr>
              <w:rPr>
                <w:rFonts w:ascii="Arial Narrow" w:hAnsi="Arial Narrow"/>
                <w:color w:val="333333"/>
                <w:sz w:val="18"/>
                <w:szCs w:val="18"/>
              </w:rPr>
            </w:pPr>
            <w:r w:rsidRPr="00AC6C6F">
              <w:rPr>
                <w:rFonts w:ascii="Arial Narrow" w:hAnsi="Arial Narrow"/>
                <w:i/>
                <w:strike/>
                <w:color w:val="333333"/>
                <w:sz w:val="18"/>
                <w:szCs w:val="18"/>
              </w:rPr>
              <w:t>(b) a completed cutaneous T-cell lymphoma (CTCL) initial PBS Authority Application - Supporting Information Form</w:t>
            </w:r>
          </w:p>
        </w:tc>
      </w:tr>
      <w:tr w:rsidR="006125CC" w:rsidRPr="00AC6C6F" w:rsidTr="006125CC">
        <w:tc>
          <w:tcPr>
            <w:tcW w:w="5000" w:type="pct"/>
          </w:tcPr>
          <w:p w:rsidR="006125CC" w:rsidRPr="00AC6C6F" w:rsidRDefault="006125CC" w:rsidP="00F43738">
            <w:pPr>
              <w:spacing w:after="120"/>
              <w:rPr>
                <w:rFonts w:ascii="Arial Narrow" w:hAnsi="Arial Narrow"/>
                <w:i/>
                <w:color w:val="333333"/>
                <w:sz w:val="18"/>
                <w:szCs w:val="18"/>
              </w:rPr>
            </w:pPr>
            <w:r w:rsidRPr="00AC6C6F">
              <w:rPr>
                <w:rFonts w:ascii="Arial Narrow" w:hAnsi="Arial Narrow"/>
                <w:b/>
                <w:i/>
                <w:color w:val="333333"/>
                <w:sz w:val="18"/>
                <w:szCs w:val="18"/>
              </w:rPr>
              <w:t>Administrative: Advice:</w:t>
            </w:r>
          </w:p>
          <w:p w:rsidR="006125CC" w:rsidRPr="00AC6C6F" w:rsidRDefault="006125CC" w:rsidP="00F43738">
            <w:pPr>
              <w:rPr>
                <w:rFonts w:ascii="Arial Narrow" w:hAnsi="Arial Narrow"/>
                <w:i/>
                <w:strike/>
                <w:color w:val="333333"/>
                <w:sz w:val="18"/>
                <w:szCs w:val="18"/>
              </w:rPr>
            </w:pPr>
            <w:r w:rsidRPr="00AC6C6F">
              <w:rPr>
                <w:rFonts w:ascii="Arial Narrow" w:hAnsi="Arial Narrow"/>
                <w:i/>
                <w:strike/>
                <w:color w:val="333333"/>
                <w:sz w:val="18"/>
                <w:szCs w:val="18"/>
              </w:rPr>
              <w:t>Any queries concerning the arrangements to prescribe may be directed to Services Australia on 1800 700 270 (hours of operation 8 a.m. to 5 p.m. EST Monday to Friday).</w:t>
            </w:r>
          </w:p>
          <w:p w:rsidR="006125CC" w:rsidRPr="00AC6C6F" w:rsidRDefault="006125CC" w:rsidP="00F43738">
            <w:pPr>
              <w:rPr>
                <w:rFonts w:ascii="Arial Narrow" w:hAnsi="Arial Narrow"/>
                <w:i/>
                <w:strike/>
                <w:color w:val="333333"/>
                <w:sz w:val="18"/>
                <w:szCs w:val="18"/>
              </w:rPr>
            </w:pPr>
          </w:p>
          <w:p w:rsidR="006125CC" w:rsidRPr="00AC6C6F" w:rsidRDefault="006125CC" w:rsidP="00F43738">
            <w:pPr>
              <w:rPr>
                <w:rFonts w:ascii="Arial Narrow" w:hAnsi="Arial Narrow"/>
                <w:i/>
                <w:strike/>
                <w:color w:val="333333"/>
                <w:sz w:val="18"/>
                <w:szCs w:val="18"/>
              </w:rPr>
            </w:pPr>
            <w:r w:rsidRPr="00AC6C6F">
              <w:rPr>
                <w:rFonts w:ascii="Arial Narrow" w:hAnsi="Arial Narrow"/>
                <w:i/>
                <w:strike/>
                <w:color w:val="333333"/>
                <w:sz w:val="18"/>
                <w:szCs w:val="18"/>
              </w:rPr>
              <w:t xml:space="preserve">Prescribing information (including Authority Application forms and other relevant documentation as applicable) is available on the Services Australia website at </w:t>
            </w:r>
            <w:r w:rsidRPr="00B21624">
              <w:rPr>
                <w:rFonts w:ascii="Arial Narrow" w:hAnsi="Arial Narrow"/>
                <w:strike/>
                <w:sz w:val="18"/>
                <w:szCs w:val="18"/>
              </w:rPr>
              <w:t>www.servicesaustralia.gov.au</w:t>
            </w:r>
          </w:p>
          <w:p w:rsidR="006125CC" w:rsidRPr="00AC6C6F" w:rsidRDefault="006125CC" w:rsidP="00F43738">
            <w:pPr>
              <w:rPr>
                <w:rFonts w:ascii="Arial Narrow" w:hAnsi="Arial Narrow"/>
                <w:i/>
                <w:strike/>
                <w:color w:val="333333"/>
                <w:sz w:val="18"/>
                <w:szCs w:val="18"/>
              </w:rPr>
            </w:pPr>
          </w:p>
          <w:p w:rsidR="006125CC" w:rsidRPr="00AC6C6F" w:rsidRDefault="006125CC" w:rsidP="00F43738">
            <w:pPr>
              <w:rPr>
                <w:rFonts w:ascii="Arial Narrow" w:hAnsi="Arial Narrow"/>
                <w:i/>
                <w:strike/>
                <w:color w:val="333333"/>
                <w:sz w:val="18"/>
                <w:szCs w:val="18"/>
              </w:rPr>
            </w:pPr>
            <w:r w:rsidRPr="00AC6C6F">
              <w:rPr>
                <w:rFonts w:ascii="Arial Narrow" w:hAnsi="Arial Narrow"/>
                <w:i/>
                <w:strike/>
                <w:color w:val="333333"/>
                <w:sz w:val="18"/>
                <w:szCs w:val="18"/>
              </w:rPr>
              <w:t xml:space="preserve">Applications for authority to prescribe should be submitted online using the form upload facility in Health Professional Online Services (HPOS) at </w:t>
            </w:r>
            <w:r w:rsidRPr="00B21624">
              <w:rPr>
                <w:rFonts w:ascii="Arial Narrow" w:hAnsi="Arial Narrow"/>
                <w:strike/>
                <w:sz w:val="18"/>
                <w:szCs w:val="18"/>
              </w:rPr>
              <w:t>www.servicesaustralia.gov.au/hpos</w:t>
            </w:r>
          </w:p>
          <w:p w:rsidR="006125CC" w:rsidRPr="00AC6C6F" w:rsidRDefault="006125CC" w:rsidP="00F43738">
            <w:pPr>
              <w:rPr>
                <w:rFonts w:ascii="Arial Narrow" w:hAnsi="Arial Narrow"/>
                <w:i/>
                <w:strike/>
                <w:color w:val="333333"/>
                <w:sz w:val="18"/>
                <w:szCs w:val="18"/>
              </w:rPr>
            </w:pPr>
          </w:p>
          <w:p w:rsidR="006125CC" w:rsidRPr="00AC6C6F" w:rsidRDefault="006125CC" w:rsidP="00F43738">
            <w:pPr>
              <w:rPr>
                <w:rFonts w:ascii="Arial Narrow" w:hAnsi="Arial Narrow"/>
                <w:i/>
                <w:strike/>
                <w:color w:val="333333"/>
                <w:sz w:val="18"/>
                <w:szCs w:val="18"/>
              </w:rPr>
            </w:pPr>
            <w:r w:rsidRPr="00AC6C6F">
              <w:rPr>
                <w:rFonts w:ascii="Arial Narrow" w:hAnsi="Arial Narrow"/>
                <w:i/>
                <w:strike/>
                <w:color w:val="333333"/>
                <w:sz w:val="18"/>
                <w:szCs w:val="18"/>
              </w:rPr>
              <w:t>Or mailed to:</w:t>
            </w:r>
          </w:p>
          <w:p w:rsidR="006125CC" w:rsidRPr="00AC6C6F" w:rsidRDefault="006125CC" w:rsidP="00F43738">
            <w:pPr>
              <w:rPr>
                <w:rFonts w:ascii="Arial Narrow" w:hAnsi="Arial Narrow"/>
                <w:i/>
                <w:strike/>
                <w:color w:val="333333"/>
                <w:sz w:val="18"/>
                <w:szCs w:val="18"/>
              </w:rPr>
            </w:pPr>
            <w:r w:rsidRPr="00AC6C6F">
              <w:rPr>
                <w:rFonts w:ascii="Arial Narrow" w:hAnsi="Arial Narrow"/>
                <w:i/>
                <w:strike/>
                <w:color w:val="333333"/>
                <w:sz w:val="18"/>
                <w:szCs w:val="18"/>
              </w:rPr>
              <w:t>Services Australia</w:t>
            </w:r>
          </w:p>
          <w:p w:rsidR="006125CC" w:rsidRPr="00AC6C6F" w:rsidRDefault="006125CC" w:rsidP="00F43738">
            <w:pPr>
              <w:rPr>
                <w:rFonts w:ascii="Arial Narrow" w:hAnsi="Arial Narrow"/>
                <w:i/>
                <w:strike/>
                <w:color w:val="333333"/>
                <w:sz w:val="18"/>
                <w:szCs w:val="18"/>
              </w:rPr>
            </w:pPr>
            <w:r w:rsidRPr="00AC6C6F">
              <w:rPr>
                <w:rFonts w:ascii="Arial Narrow" w:hAnsi="Arial Narrow"/>
                <w:i/>
                <w:strike/>
                <w:color w:val="333333"/>
                <w:sz w:val="18"/>
                <w:szCs w:val="18"/>
              </w:rPr>
              <w:t>Complex Drugs</w:t>
            </w:r>
          </w:p>
          <w:p w:rsidR="006125CC" w:rsidRPr="00AC6C6F" w:rsidRDefault="006125CC" w:rsidP="00F43738">
            <w:pPr>
              <w:rPr>
                <w:rFonts w:ascii="Arial Narrow" w:hAnsi="Arial Narrow"/>
                <w:i/>
                <w:color w:val="333333"/>
                <w:sz w:val="18"/>
                <w:szCs w:val="18"/>
              </w:rPr>
            </w:pPr>
            <w:r w:rsidRPr="00AC6C6F">
              <w:rPr>
                <w:rFonts w:ascii="Arial Narrow" w:hAnsi="Arial Narrow"/>
                <w:i/>
                <w:color w:val="333333"/>
                <w:sz w:val="18"/>
                <w:szCs w:val="18"/>
              </w:rPr>
              <w:t>Reply Paid 9826</w:t>
            </w:r>
          </w:p>
          <w:p w:rsidR="006125CC" w:rsidRPr="00AC6C6F" w:rsidRDefault="006125CC" w:rsidP="00F43738">
            <w:pPr>
              <w:rPr>
                <w:rFonts w:ascii="Arial Narrow" w:hAnsi="Arial Narrow"/>
                <w:i/>
                <w:color w:val="333333"/>
                <w:sz w:val="18"/>
                <w:szCs w:val="18"/>
              </w:rPr>
            </w:pPr>
            <w:r w:rsidRPr="00AC6C6F">
              <w:rPr>
                <w:rFonts w:ascii="Arial Narrow" w:hAnsi="Arial Narrow"/>
                <w:i/>
                <w:color w:val="333333"/>
                <w:sz w:val="18"/>
                <w:szCs w:val="18"/>
              </w:rPr>
              <w:t>HOBART TAS 7001</w:t>
            </w:r>
          </w:p>
          <w:p w:rsidR="006125CC" w:rsidRPr="00AC6C6F" w:rsidRDefault="006125CC" w:rsidP="00F43738">
            <w:pPr>
              <w:rPr>
                <w:rFonts w:ascii="Arial Narrow" w:hAnsi="Arial Narrow"/>
                <w:i/>
                <w:color w:val="333333"/>
                <w:sz w:val="18"/>
                <w:szCs w:val="18"/>
              </w:rPr>
            </w:pPr>
          </w:p>
        </w:tc>
      </w:tr>
      <w:tr w:rsidR="006125CC" w:rsidRPr="00AC6C6F" w:rsidTr="006125CC">
        <w:tc>
          <w:tcPr>
            <w:tcW w:w="5000" w:type="pct"/>
            <w:vAlign w:val="center"/>
          </w:tcPr>
          <w:p w:rsidR="006125CC" w:rsidRPr="00AC6C6F" w:rsidRDefault="006125CC" w:rsidP="00F43738">
            <w:pPr>
              <w:rPr>
                <w:rFonts w:ascii="Arial Narrow" w:hAnsi="Arial Narrow"/>
                <w:b/>
                <w:bCs/>
                <w:i/>
                <w:color w:val="333333"/>
                <w:sz w:val="18"/>
                <w:szCs w:val="18"/>
              </w:rPr>
            </w:pPr>
            <w:r w:rsidRPr="00AC6C6F">
              <w:rPr>
                <w:rFonts w:ascii="Arial Narrow" w:hAnsi="Arial Narrow"/>
                <w:b/>
                <w:bCs/>
                <w:i/>
                <w:color w:val="333333"/>
                <w:sz w:val="18"/>
                <w:szCs w:val="18"/>
              </w:rPr>
              <w:t>Administrative Advice:</w:t>
            </w:r>
          </w:p>
          <w:p w:rsidR="006125CC" w:rsidRPr="00AC6C6F" w:rsidRDefault="006125CC" w:rsidP="00F43738">
            <w:pPr>
              <w:rPr>
                <w:rFonts w:ascii="Arial Narrow" w:hAnsi="Arial Narrow"/>
                <w:bCs/>
                <w:i/>
                <w:color w:val="333333"/>
                <w:sz w:val="18"/>
                <w:szCs w:val="18"/>
              </w:rPr>
            </w:pPr>
            <w:r w:rsidRPr="00AC6C6F">
              <w:rPr>
                <w:rFonts w:ascii="Arial Narrow" w:hAnsi="Arial Narrow"/>
                <w:bCs/>
                <w:i/>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6125CC" w:rsidRPr="00AC6C6F" w:rsidTr="006125CC">
        <w:tc>
          <w:tcPr>
            <w:tcW w:w="5000" w:type="pct"/>
            <w:vAlign w:val="center"/>
            <w:hideMark/>
          </w:tcPr>
          <w:p w:rsidR="006125CC" w:rsidRPr="00AC6C6F" w:rsidRDefault="006125CC" w:rsidP="00F43738">
            <w:pPr>
              <w:rPr>
                <w:rFonts w:ascii="Arial Narrow" w:hAnsi="Arial Narrow"/>
                <w:bCs/>
                <w:i/>
                <w:color w:val="333333"/>
                <w:sz w:val="18"/>
                <w:szCs w:val="18"/>
              </w:rPr>
            </w:pPr>
            <w:r w:rsidRPr="00AC6C6F">
              <w:rPr>
                <w:rFonts w:ascii="Arial Narrow" w:hAnsi="Arial Narrow"/>
                <w:b/>
                <w:bCs/>
                <w:i/>
                <w:color w:val="333333"/>
                <w:sz w:val="18"/>
                <w:szCs w:val="18"/>
              </w:rPr>
              <w:t>Administrative Advice:</w:t>
            </w:r>
            <w:r w:rsidRPr="00AC6C6F">
              <w:rPr>
                <w:rFonts w:ascii="Arial Narrow" w:hAnsi="Arial Narrow"/>
                <w:bCs/>
                <w:i/>
                <w:color w:val="333333"/>
                <w:sz w:val="18"/>
                <w:szCs w:val="18"/>
              </w:rPr>
              <w:t xml:space="preserve"> </w:t>
            </w:r>
            <w:r w:rsidRPr="00AC6C6F">
              <w:rPr>
                <w:rFonts w:ascii="Arial Narrow" w:hAnsi="Arial Narrow"/>
                <w:i/>
                <w:color w:val="333333"/>
                <w:sz w:val="18"/>
                <w:szCs w:val="18"/>
              </w:rPr>
              <w:t>No increase in the maximum number of repeats may be authorised.</w:t>
            </w:r>
          </w:p>
        </w:tc>
      </w:tr>
      <w:tr w:rsidR="006125CC" w:rsidRPr="00AC6C6F" w:rsidTr="006125CC">
        <w:tc>
          <w:tcPr>
            <w:tcW w:w="5000" w:type="pct"/>
            <w:vAlign w:val="center"/>
            <w:hideMark/>
          </w:tcPr>
          <w:p w:rsidR="006125CC" w:rsidRPr="00AC6C6F" w:rsidRDefault="006125CC" w:rsidP="00F43738">
            <w:pPr>
              <w:rPr>
                <w:rFonts w:ascii="Arial Narrow" w:hAnsi="Arial Narrow"/>
                <w:i/>
                <w:color w:val="333333"/>
                <w:sz w:val="18"/>
                <w:szCs w:val="18"/>
              </w:rPr>
            </w:pPr>
            <w:r w:rsidRPr="00AC6C6F">
              <w:rPr>
                <w:rFonts w:ascii="Arial Narrow" w:hAnsi="Arial Narrow"/>
                <w:b/>
                <w:bCs/>
                <w:i/>
                <w:color w:val="333333"/>
                <w:sz w:val="18"/>
                <w:szCs w:val="18"/>
              </w:rPr>
              <w:t xml:space="preserve">Administrative Advice: </w:t>
            </w:r>
            <w:r w:rsidRPr="00AC6C6F">
              <w:rPr>
                <w:rFonts w:ascii="Arial Narrow" w:hAnsi="Arial Narrow"/>
                <w:i/>
                <w:color w:val="333333"/>
                <w:sz w:val="18"/>
                <w:szCs w:val="18"/>
              </w:rPr>
              <w:t>No increase in the maximum quantity or number of units may be authorised.</w:t>
            </w:r>
          </w:p>
        </w:tc>
      </w:tr>
      <w:tr w:rsidR="006125CC" w:rsidRPr="00AC6C6F" w:rsidTr="006125CC">
        <w:tc>
          <w:tcPr>
            <w:tcW w:w="5000" w:type="pct"/>
            <w:vAlign w:val="center"/>
            <w:hideMark/>
          </w:tcPr>
          <w:p w:rsidR="006125CC" w:rsidRPr="00AC6C6F" w:rsidRDefault="006125CC" w:rsidP="00F43738">
            <w:pPr>
              <w:rPr>
                <w:rFonts w:ascii="Arial Narrow" w:hAnsi="Arial Narrow"/>
                <w:i/>
                <w:color w:val="333333"/>
                <w:sz w:val="18"/>
                <w:szCs w:val="18"/>
              </w:rPr>
            </w:pPr>
            <w:r w:rsidRPr="00AC6C6F">
              <w:rPr>
                <w:rFonts w:ascii="Arial Narrow" w:hAnsi="Arial Narrow"/>
                <w:b/>
                <w:bCs/>
                <w:i/>
                <w:color w:val="333333"/>
                <w:sz w:val="18"/>
                <w:szCs w:val="18"/>
              </w:rPr>
              <w:t>Administrative Advice:</w:t>
            </w:r>
            <w:r w:rsidRPr="00AC6C6F">
              <w:rPr>
                <w:rFonts w:ascii="Arial Narrow" w:hAnsi="Arial Narrow"/>
                <w:bCs/>
                <w:i/>
                <w:color w:val="333333"/>
                <w:sz w:val="18"/>
                <w:szCs w:val="18"/>
              </w:rPr>
              <w:t xml:space="preserve"> </w:t>
            </w:r>
            <w:r w:rsidRPr="00AC6C6F">
              <w:rPr>
                <w:rFonts w:ascii="Arial Narrow" w:hAnsi="Arial Narrow"/>
                <w:i/>
                <w:color w:val="333333"/>
                <w:sz w:val="18"/>
                <w:szCs w:val="18"/>
              </w:rPr>
              <w:t>Special Pricing Arrangements apply.</w:t>
            </w:r>
          </w:p>
        </w:tc>
      </w:tr>
    </w:tbl>
    <w:p w:rsidR="00705A9E" w:rsidRPr="00AC6C6F" w:rsidRDefault="00705A9E" w:rsidP="00705A9E"/>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134"/>
        <w:gridCol w:w="850"/>
        <w:gridCol w:w="851"/>
        <w:gridCol w:w="1772"/>
        <w:gridCol w:w="1772"/>
      </w:tblGrid>
      <w:tr w:rsidR="00D64C9D" w:rsidRPr="00AC6C6F" w:rsidTr="00F43738">
        <w:trPr>
          <w:cantSplit/>
          <w:trHeight w:val="471"/>
        </w:trPr>
        <w:tc>
          <w:tcPr>
            <w:tcW w:w="2547" w:type="dxa"/>
          </w:tcPr>
          <w:p w:rsidR="00D64C9D" w:rsidRPr="00AC6C6F" w:rsidRDefault="00D64C9D" w:rsidP="00F43738">
            <w:pPr>
              <w:keepNext/>
              <w:ind w:left="-108"/>
              <w:rPr>
                <w:rFonts w:ascii="Arial Narrow" w:hAnsi="Arial Narrow"/>
                <w:b/>
                <w:sz w:val="18"/>
                <w:szCs w:val="18"/>
              </w:rPr>
            </w:pPr>
            <w:r w:rsidRPr="00AC6C6F">
              <w:rPr>
                <w:rFonts w:ascii="Arial Narrow" w:hAnsi="Arial Narrow"/>
                <w:b/>
                <w:sz w:val="18"/>
                <w:szCs w:val="18"/>
              </w:rPr>
              <w:lastRenderedPageBreak/>
              <w:t>Name, Restriction,</w:t>
            </w:r>
          </w:p>
          <w:p w:rsidR="00D64C9D" w:rsidRPr="00AC6C6F" w:rsidRDefault="00D64C9D" w:rsidP="00F43738">
            <w:pPr>
              <w:keepNext/>
              <w:ind w:left="-108"/>
              <w:rPr>
                <w:rFonts w:ascii="Arial Narrow" w:hAnsi="Arial Narrow"/>
                <w:b/>
                <w:sz w:val="18"/>
                <w:szCs w:val="18"/>
              </w:rPr>
            </w:pPr>
            <w:r w:rsidRPr="00AC6C6F">
              <w:rPr>
                <w:rFonts w:ascii="Arial Narrow" w:hAnsi="Arial Narrow"/>
                <w:b/>
                <w:sz w:val="18"/>
                <w:szCs w:val="18"/>
              </w:rPr>
              <w:t>Manner of administration and form</w:t>
            </w:r>
          </w:p>
        </w:tc>
        <w:tc>
          <w:tcPr>
            <w:tcW w:w="1134" w:type="dxa"/>
          </w:tcPr>
          <w:p w:rsidR="00D64C9D" w:rsidRPr="00AC6C6F" w:rsidRDefault="00D64C9D" w:rsidP="00F43738">
            <w:pPr>
              <w:keepNext/>
              <w:ind w:left="-108"/>
              <w:jc w:val="center"/>
              <w:rPr>
                <w:rFonts w:ascii="Arial Narrow" w:hAnsi="Arial Narrow"/>
                <w:b/>
                <w:sz w:val="18"/>
                <w:szCs w:val="18"/>
              </w:rPr>
            </w:pPr>
            <w:r w:rsidRPr="00AC6C6F">
              <w:rPr>
                <w:rFonts w:ascii="Arial Narrow" w:hAnsi="Arial Narrow"/>
                <w:b/>
                <w:sz w:val="18"/>
                <w:szCs w:val="18"/>
              </w:rPr>
              <w:t>PBS item code</w:t>
            </w:r>
          </w:p>
        </w:tc>
        <w:tc>
          <w:tcPr>
            <w:tcW w:w="850" w:type="dxa"/>
          </w:tcPr>
          <w:p w:rsidR="00D64C9D" w:rsidRPr="00AC6C6F" w:rsidRDefault="00D64C9D" w:rsidP="00F43738">
            <w:pPr>
              <w:keepNext/>
              <w:ind w:left="-108"/>
              <w:jc w:val="center"/>
              <w:rPr>
                <w:rFonts w:ascii="Arial Narrow" w:hAnsi="Arial Narrow"/>
                <w:b/>
                <w:sz w:val="18"/>
                <w:szCs w:val="18"/>
              </w:rPr>
            </w:pPr>
            <w:r w:rsidRPr="00AC6C6F">
              <w:rPr>
                <w:rFonts w:ascii="Arial Narrow" w:hAnsi="Arial Narrow"/>
                <w:b/>
                <w:sz w:val="18"/>
                <w:szCs w:val="18"/>
              </w:rPr>
              <w:t>Max.</w:t>
            </w:r>
          </w:p>
          <w:p w:rsidR="00D64C9D" w:rsidRPr="00AC6C6F" w:rsidRDefault="00D64C9D" w:rsidP="00F43738">
            <w:pPr>
              <w:keepNext/>
              <w:ind w:left="-108"/>
              <w:jc w:val="center"/>
              <w:rPr>
                <w:rFonts w:ascii="Arial Narrow" w:hAnsi="Arial Narrow"/>
                <w:b/>
                <w:sz w:val="18"/>
                <w:szCs w:val="18"/>
              </w:rPr>
            </w:pPr>
            <w:r w:rsidRPr="00AC6C6F">
              <w:rPr>
                <w:rFonts w:ascii="Arial Narrow" w:hAnsi="Arial Narrow"/>
                <w:b/>
                <w:sz w:val="18"/>
                <w:szCs w:val="18"/>
              </w:rPr>
              <w:t>Amount</w:t>
            </w:r>
          </w:p>
        </w:tc>
        <w:tc>
          <w:tcPr>
            <w:tcW w:w="851" w:type="dxa"/>
          </w:tcPr>
          <w:p w:rsidR="00D64C9D" w:rsidRPr="00AC6C6F" w:rsidRDefault="00D64C9D" w:rsidP="00F43738">
            <w:pPr>
              <w:keepNext/>
              <w:ind w:left="-108"/>
              <w:jc w:val="center"/>
              <w:rPr>
                <w:rFonts w:ascii="Arial Narrow" w:hAnsi="Arial Narrow"/>
                <w:b/>
                <w:sz w:val="18"/>
                <w:szCs w:val="18"/>
              </w:rPr>
            </w:pPr>
            <w:r w:rsidRPr="00AC6C6F">
              <w:rPr>
                <w:rFonts w:ascii="Arial Narrow" w:hAnsi="Arial Narrow"/>
                <w:b/>
                <w:sz w:val="18"/>
                <w:szCs w:val="18"/>
              </w:rPr>
              <w:t>№.of</w:t>
            </w:r>
          </w:p>
          <w:p w:rsidR="00D64C9D" w:rsidRPr="00AC6C6F" w:rsidRDefault="00D64C9D" w:rsidP="00F43738">
            <w:pPr>
              <w:keepNext/>
              <w:ind w:left="-108"/>
              <w:jc w:val="center"/>
              <w:rPr>
                <w:rFonts w:ascii="Arial Narrow" w:hAnsi="Arial Narrow"/>
                <w:b/>
                <w:sz w:val="18"/>
                <w:szCs w:val="18"/>
              </w:rPr>
            </w:pPr>
            <w:r w:rsidRPr="00AC6C6F">
              <w:rPr>
                <w:rFonts w:ascii="Arial Narrow" w:hAnsi="Arial Narrow"/>
                <w:b/>
                <w:sz w:val="18"/>
                <w:szCs w:val="18"/>
              </w:rPr>
              <w:t>Rpts</w:t>
            </w:r>
          </w:p>
        </w:tc>
        <w:tc>
          <w:tcPr>
            <w:tcW w:w="1772" w:type="dxa"/>
          </w:tcPr>
          <w:p w:rsidR="00D64C9D" w:rsidRPr="00AC6C6F" w:rsidRDefault="007B1498" w:rsidP="00F43738">
            <w:pPr>
              <w:keepNext/>
              <w:rPr>
                <w:rFonts w:ascii="Arial Narrow" w:hAnsi="Arial Narrow"/>
                <w:b/>
                <w:sz w:val="18"/>
                <w:szCs w:val="18"/>
              </w:rPr>
            </w:pPr>
            <w:r>
              <w:rPr>
                <w:rFonts w:ascii="Arial Narrow" w:hAnsi="Arial Narrow"/>
                <w:b/>
                <w:sz w:val="18"/>
                <w:szCs w:val="18"/>
              </w:rPr>
              <w:t>Dispensed Price M</w:t>
            </w:r>
            <w:r w:rsidR="00D64C9D" w:rsidRPr="00AC6C6F">
              <w:rPr>
                <w:rFonts w:ascii="Arial Narrow" w:hAnsi="Arial Narrow"/>
                <w:b/>
                <w:sz w:val="18"/>
                <w:szCs w:val="18"/>
              </w:rPr>
              <w:t xml:space="preserve">ax. </w:t>
            </w:r>
            <w:r w:rsidRPr="00AC6C6F">
              <w:rPr>
                <w:rFonts w:ascii="Arial Narrow" w:hAnsi="Arial Narrow"/>
                <w:b/>
                <w:sz w:val="18"/>
                <w:szCs w:val="18"/>
              </w:rPr>
              <w:t>Qty</w:t>
            </w:r>
          </w:p>
        </w:tc>
        <w:tc>
          <w:tcPr>
            <w:tcW w:w="1772" w:type="dxa"/>
          </w:tcPr>
          <w:p w:rsidR="00D64C9D" w:rsidRPr="00AC6C6F" w:rsidRDefault="00D64C9D" w:rsidP="00F43738">
            <w:pPr>
              <w:keepNext/>
              <w:rPr>
                <w:rFonts w:ascii="Arial Narrow" w:hAnsi="Arial Narrow"/>
                <w:b/>
                <w:sz w:val="18"/>
                <w:szCs w:val="18"/>
              </w:rPr>
            </w:pPr>
            <w:r w:rsidRPr="00AC6C6F">
              <w:rPr>
                <w:rFonts w:ascii="Arial Narrow" w:hAnsi="Arial Narrow"/>
                <w:b/>
                <w:sz w:val="18"/>
                <w:szCs w:val="18"/>
              </w:rPr>
              <w:t>Manufacturer</w:t>
            </w:r>
          </w:p>
        </w:tc>
      </w:tr>
      <w:tr w:rsidR="00D64C9D" w:rsidRPr="00AC6C6F" w:rsidTr="00F43738">
        <w:trPr>
          <w:cantSplit/>
          <w:trHeight w:val="577"/>
        </w:trPr>
        <w:tc>
          <w:tcPr>
            <w:tcW w:w="2547" w:type="dxa"/>
          </w:tcPr>
          <w:p w:rsidR="00D64C9D" w:rsidRPr="00AC6C6F" w:rsidRDefault="00D64C9D" w:rsidP="00F43738">
            <w:pPr>
              <w:keepNext/>
              <w:ind w:left="-108"/>
              <w:rPr>
                <w:rFonts w:ascii="Arial Narrow" w:hAnsi="Arial Narrow"/>
                <w:sz w:val="18"/>
                <w:szCs w:val="18"/>
              </w:rPr>
            </w:pPr>
            <w:r w:rsidRPr="00AC6C6F">
              <w:rPr>
                <w:rFonts w:ascii="Arial Narrow" w:hAnsi="Arial Narrow"/>
                <w:sz w:val="18"/>
                <w:szCs w:val="18"/>
              </w:rPr>
              <w:t xml:space="preserve">MOGAMULIZUMAB </w:t>
            </w:r>
          </w:p>
          <w:p w:rsidR="00D64C9D" w:rsidRPr="00AC6C6F" w:rsidRDefault="00D64C9D" w:rsidP="00F43738">
            <w:pPr>
              <w:keepNext/>
              <w:ind w:left="-108"/>
              <w:rPr>
                <w:rFonts w:ascii="Arial Narrow" w:hAnsi="Arial Narrow"/>
                <w:sz w:val="18"/>
                <w:szCs w:val="18"/>
              </w:rPr>
            </w:pPr>
            <w:r w:rsidRPr="00AC6C6F">
              <w:rPr>
                <w:rFonts w:ascii="Arial Narrow" w:hAnsi="Arial Narrow" w:cstheme="minorHAnsi"/>
                <w:sz w:val="18"/>
                <w:szCs w:val="18"/>
              </w:rPr>
              <w:t>Injection</w:t>
            </w:r>
          </w:p>
        </w:tc>
        <w:tc>
          <w:tcPr>
            <w:tcW w:w="1134" w:type="dxa"/>
          </w:tcPr>
          <w:p w:rsidR="00D64C9D" w:rsidRPr="00AC6C6F" w:rsidRDefault="00D64C9D" w:rsidP="00F43738">
            <w:pPr>
              <w:keepNext/>
              <w:rPr>
                <w:rFonts w:ascii="Arial Narrow" w:hAnsi="Arial Narrow"/>
                <w:sz w:val="18"/>
                <w:szCs w:val="18"/>
              </w:rPr>
            </w:pPr>
            <w:r w:rsidRPr="00AC6C6F">
              <w:rPr>
                <w:rFonts w:ascii="Arial Narrow" w:hAnsi="Arial Narrow"/>
                <w:sz w:val="18"/>
                <w:szCs w:val="18"/>
              </w:rPr>
              <w:t>NEW (Public)</w:t>
            </w:r>
          </w:p>
          <w:p w:rsidR="00D64C9D" w:rsidRPr="00AC6C6F" w:rsidRDefault="00D64C9D" w:rsidP="00F43738">
            <w:pPr>
              <w:keepNext/>
              <w:ind w:left="-108"/>
              <w:jc w:val="center"/>
              <w:rPr>
                <w:rFonts w:ascii="Arial Narrow" w:hAnsi="Arial Narrow"/>
                <w:sz w:val="18"/>
                <w:szCs w:val="18"/>
              </w:rPr>
            </w:pPr>
            <w:r w:rsidRPr="00AC6C6F">
              <w:rPr>
                <w:rFonts w:ascii="Arial Narrow" w:hAnsi="Arial Narrow"/>
                <w:sz w:val="18"/>
                <w:szCs w:val="18"/>
              </w:rPr>
              <w:t>NEW (Private)</w:t>
            </w:r>
          </w:p>
        </w:tc>
        <w:tc>
          <w:tcPr>
            <w:tcW w:w="850" w:type="dxa"/>
          </w:tcPr>
          <w:p w:rsidR="00D64C9D" w:rsidRPr="00AC6C6F" w:rsidRDefault="00D64C9D" w:rsidP="00F43738">
            <w:pPr>
              <w:keepNext/>
              <w:ind w:left="-108"/>
              <w:jc w:val="center"/>
              <w:rPr>
                <w:rFonts w:ascii="Arial Narrow" w:hAnsi="Arial Narrow"/>
                <w:sz w:val="18"/>
                <w:szCs w:val="18"/>
              </w:rPr>
            </w:pPr>
            <w:r w:rsidRPr="00AC6C6F">
              <w:rPr>
                <w:rFonts w:ascii="Arial Narrow" w:hAnsi="Arial Narrow"/>
                <w:sz w:val="18"/>
                <w:szCs w:val="18"/>
              </w:rPr>
              <w:t>120 mg</w:t>
            </w:r>
          </w:p>
        </w:tc>
        <w:tc>
          <w:tcPr>
            <w:tcW w:w="851" w:type="dxa"/>
          </w:tcPr>
          <w:p w:rsidR="00D64C9D" w:rsidRPr="00AC6C6F" w:rsidRDefault="00D64C9D" w:rsidP="00F43738">
            <w:pPr>
              <w:keepNext/>
              <w:ind w:left="-108"/>
              <w:jc w:val="center"/>
              <w:rPr>
                <w:rFonts w:ascii="Arial Narrow" w:hAnsi="Arial Narrow"/>
                <w:sz w:val="18"/>
                <w:szCs w:val="18"/>
              </w:rPr>
            </w:pPr>
            <w:r w:rsidRPr="00AC6C6F">
              <w:rPr>
                <w:rFonts w:ascii="Arial Narrow" w:hAnsi="Arial Narrow"/>
                <w:sz w:val="18"/>
                <w:szCs w:val="18"/>
              </w:rPr>
              <w:t>5</w:t>
            </w:r>
          </w:p>
          <w:p w:rsidR="00D64C9D" w:rsidRPr="00AC6C6F" w:rsidRDefault="00D64C9D" w:rsidP="00F43738">
            <w:pPr>
              <w:keepNext/>
              <w:ind w:left="-108"/>
              <w:jc w:val="center"/>
              <w:rPr>
                <w:rFonts w:ascii="Arial Narrow" w:hAnsi="Arial Narrow"/>
                <w:sz w:val="18"/>
                <w:szCs w:val="18"/>
              </w:rPr>
            </w:pPr>
          </w:p>
        </w:tc>
        <w:tc>
          <w:tcPr>
            <w:tcW w:w="1772" w:type="dxa"/>
          </w:tcPr>
          <w:p w:rsidR="00D64C9D" w:rsidRPr="00AC6C6F" w:rsidRDefault="00D64C9D" w:rsidP="00D64C9D">
            <w:pPr>
              <w:keepNext/>
              <w:rPr>
                <w:rStyle w:val="Small"/>
                <w:rFonts w:ascii="Arial Narrow" w:hAnsi="Arial Narrow"/>
                <w:bCs/>
                <w:sz w:val="18"/>
                <w:szCs w:val="18"/>
              </w:rPr>
            </w:pPr>
            <w:r w:rsidRPr="00AC6C6F">
              <w:rPr>
                <w:rStyle w:val="Small"/>
                <w:rFonts w:ascii="Arial Narrow" w:hAnsi="Arial Narrow"/>
                <w:bCs/>
                <w:sz w:val="18"/>
                <w:szCs w:val="18"/>
              </w:rPr>
              <w:t>Published</w:t>
            </w:r>
          </w:p>
          <w:p w:rsidR="00D64C9D" w:rsidRPr="00AC6C6F" w:rsidRDefault="00D64C9D" w:rsidP="00D64C9D">
            <w:pPr>
              <w:pStyle w:val="Table"/>
              <w:rPr>
                <w:rStyle w:val="Small"/>
                <w:rFonts w:ascii="Arial Narrow" w:hAnsi="Arial Narrow" w:cs="Arial"/>
                <w:bCs/>
                <w:sz w:val="18"/>
                <w:szCs w:val="18"/>
              </w:rPr>
            </w:pPr>
            <w:r w:rsidRPr="00AC6C6F">
              <w:rPr>
                <w:rStyle w:val="Small"/>
                <w:rFonts w:ascii="Arial Narrow" w:hAnsi="Arial Narrow" w:cs="Arial"/>
                <w:bCs/>
                <w:sz w:val="18"/>
                <w:szCs w:val="18"/>
              </w:rPr>
              <w:t xml:space="preserve">Public: $ </w:t>
            </w:r>
            <w:r w:rsidRPr="00D4267F">
              <w:rPr>
                <w:rStyle w:val="Small"/>
                <w:rFonts w:ascii="Arial Narrow" w:hAnsi="Arial Narrow" w:cs="Arial"/>
                <w:bCs/>
                <w:sz w:val="18"/>
                <w:szCs w:val="18"/>
              </w:rPr>
              <w:t>15,055.06</w:t>
            </w:r>
          </w:p>
          <w:p w:rsidR="00D64C9D" w:rsidRPr="00AC6C6F" w:rsidRDefault="00D64C9D" w:rsidP="00D64C9D">
            <w:pPr>
              <w:keepNext/>
              <w:rPr>
                <w:rStyle w:val="Small"/>
                <w:rFonts w:ascii="Arial Narrow" w:hAnsi="Arial Narrow"/>
                <w:bCs/>
                <w:sz w:val="18"/>
                <w:szCs w:val="18"/>
              </w:rPr>
            </w:pPr>
            <w:r w:rsidRPr="00AC6C6F">
              <w:rPr>
                <w:rStyle w:val="Small"/>
                <w:rFonts w:ascii="Arial Narrow" w:hAnsi="Arial Narrow"/>
                <w:bCs/>
                <w:sz w:val="18"/>
                <w:szCs w:val="18"/>
              </w:rPr>
              <w:t xml:space="preserve">Private: $ </w:t>
            </w:r>
            <w:r w:rsidRPr="00D4267F">
              <w:rPr>
                <w:rStyle w:val="Small"/>
                <w:rFonts w:ascii="Arial Narrow" w:hAnsi="Arial Narrow"/>
                <w:bCs/>
                <w:sz w:val="18"/>
                <w:szCs w:val="18"/>
              </w:rPr>
              <w:t>15,304.40</w:t>
            </w:r>
          </w:p>
          <w:p w:rsidR="00D64C9D" w:rsidRPr="00AC6C6F" w:rsidRDefault="00D64C9D" w:rsidP="00D64C9D">
            <w:pPr>
              <w:keepNext/>
              <w:rPr>
                <w:rStyle w:val="Small"/>
                <w:rFonts w:ascii="Arial Narrow" w:hAnsi="Arial Narrow"/>
                <w:bCs/>
                <w:sz w:val="18"/>
                <w:szCs w:val="18"/>
              </w:rPr>
            </w:pPr>
          </w:p>
          <w:p w:rsidR="00D64C9D" w:rsidRPr="00AC6C6F" w:rsidRDefault="00D64C9D" w:rsidP="00D64C9D">
            <w:pPr>
              <w:keepNext/>
              <w:rPr>
                <w:rStyle w:val="Small"/>
                <w:rFonts w:ascii="Arial Narrow" w:hAnsi="Arial Narrow"/>
                <w:bCs/>
                <w:sz w:val="18"/>
                <w:szCs w:val="18"/>
              </w:rPr>
            </w:pPr>
            <w:r w:rsidRPr="00AC6C6F">
              <w:rPr>
                <w:rStyle w:val="Small"/>
                <w:rFonts w:ascii="Arial Narrow" w:hAnsi="Arial Narrow"/>
                <w:bCs/>
                <w:sz w:val="18"/>
                <w:szCs w:val="18"/>
              </w:rPr>
              <w:t xml:space="preserve">Effective </w:t>
            </w:r>
          </w:p>
          <w:p w:rsidR="00D64C9D" w:rsidRPr="00AC6C6F" w:rsidRDefault="00D64C9D" w:rsidP="00D64C9D">
            <w:pPr>
              <w:pStyle w:val="Table"/>
              <w:rPr>
                <w:rStyle w:val="Small"/>
                <w:rFonts w:ascii="Arial Narrow" w:hAnsi="Arial Narrow" w:cs="Arial"/>
                <w:bCs/>
                <w:sz w:val="18"/>
                <w:szCs w:val="18"/>
              </w:rPr>
            </w:pPr>
            <w:r w:rsidRPr="00AC6C6F">
              <w:rPr>
                <w:rStyle w:val="Small"/>
                <w:rFonts w:ascii="Arial Narrow" w:hAnsi="Arial Narrow" w:cs="Arial"/>
                <w:bCs/>
                <w:sz w:val="18"/>
                <w:szCs w:val="18"/>
              </w:rPr>
              <w:t xml:space="preserve">Public: </w:t>
            </w:r>
            <w:r w:rsidRPr="00AC6C6F">
              <w:rPr>
                <w:rStyle w:val="Small"/>
                <w:rFonts w:ascii="Arial Narrow" w:hAnsi="Arial Narrow"/>
                <w:bCs/>
                <w:sz w:val="18"/>
                <w:szCs w:val="18"/>
              </w:rPr>
              <w:t>$</w:t>
            </w:r>
            <w:r w:rsidR="00B21624">
              <w:rPr>
                <w:rStyle w:val="Small"/>
                <w:rFonts w:ascii="Arial Narrow" w:hAnsi="Arial Narrow"/>
                <w:bCs/>
                <w:noProof/>
                <w:color w:val="000000"/>
                <w:sz w:val="18"/>
                <w:szCs w:val="18"/>
                <w:highlight w:val="black"/>
              </w:rPr>
              <w:t xml:space="preserve"> ''''''''''''''''''''</w:t>
            </w:r>
          </w:p>
          <w:p w:rsidR="00D64C9D" w:rsidRPr="00AC6C6F" w:rsidRDefault="00D64C9D" w:rsidP="00D64C9D">
            <w:pPr>
              <w:keepNext/>
              <w:rPr>
                <w:rFonts w:ascii="Arial Narrow" w:hAnsi="Arial Narrow"/>
                <w:sz w:val="18"/>
                <w:szCs w:val="18"/>
              </w:rPr>
            </w:pPr>
            <w:r w:rsidRPr="00AC6C6F">
              <w:rPr>
                <w:rStyle w:val="Small"/>
                <w:rFonts w:ascii="Arial Narrow" w:hAnsi="Arial Narrow"/>
                <w:bCs/>
                <w:sz w:val="18"/>
                <w:szCs w:val="18"/>
              </w:rPr>
              <w:t xml:space="preserve">Private: $ </w:t>
            </w:r>
            <w:r w:rsidR="00B21624">
              <w:rPr>
                <w:rStyle w:val="Small"/>
                <w:rFonts w:ascii="Arial Narrow" w:hAnsi="Arial Narrow"/>
                <w:bCs/>
                <w:noProof/>
                <w:color w:val="000000"/>
                <w:sz w:val="18"/>
                <w:szCs w:val="18"/>
                <w:highlight w:val="black"/>
              </w:rPr>
              <w:t>'''''''''''''''''''</w:t>
            </w:r>
          </w:p>
        </w:tc>
        <w:tc>
          <w:tcPr>
            <w:tcW w:w="1772" w:type="dxa"/>
          </w:tcPr>
          <w:p w:rsidR="00D64C9D" w:rsidRPr="00AC6C6F" w:rsidRDefault="00D64C9D" w:rsidP="00F43738">
            <w:pPr>
              <w:keepNext/>
              <w:rPr>
                <w:rFonts w:ascii="Arial Narrow" w:hAnsi="Arial Narrow"/>
                <w:sz w:val="18"/>
                <w:szCs w:val="18"/>
              </w:rPr>
            </w:pPr>
            <w:r w:rsidRPr="00AC6C6F">
              <w:rPr>
                <w:rFonts w:ascii="Arial Narrow" w:hAnsi="Arial Narrow"/>
                <w:sz w:val="18"/>
                <w:szCs w:val="18"/>
              </w:rPr>
              <w:t>Kyowa Kirin Australia Pty Ltd</w:t>
            </w:r>
          </w:p>
        </w:tc>
      </w:tr>
      <w:tr w:rsidR="00705A9E" w:rsidRPr="00AC6C6F" w:rsidTr="00F43738">
        <w:trPr>
          <w:cantSplit/>
          <w:trHeight w:val="225"/>
        </w:trPr>
        <w:tc>
          <w:tcPr>
            <w:tcW w:w="8926" w:type="dxa"/>
            <w:gridSpan w:val="6"/>
          </w:tcPr>
          <w:p w:rsidR="00705A9E" w:rsidRPr="00AC6C6F" w:rsidRDefault="00705A9E" w:rsidP="00F43738">
            <w:pPr>
              <w:keepNext/>
              <w:rPr>
                <w:rFonts w:ascii="Arial Narrow" w:hAnsi="Arial Narrow"/>
                <w:b/>
                <w:sz w:val="18"/>
                <w:szCs w:val="18"/>
              </w:rPr>
            </w:pPr>
            <w:r w:rsidRPr="00AC6C6F">
              <w:rPr>
                <w:rFonts w:ascii="Arial Narrow" w:hAnsi="Arial Narrow"/>
                <w:b/>
                <w:sz w:val="18"/>
                <w:szCs w:val="18"/>
              </w:rPr>
              <w:t>Available brands</w:t>
            </w:r>
          </w:p>
        </w:tc>
      </w:tr>
      <w:tr w:rsidR="00705A9E" w:rsidRPr="00AC6C6F" w:rsidTr="00F43738">
        <w:trPr>
          <w:cantSplit/>
          <w:trHeight w:val="360"/>
        </w:trPr>
        <w:tc>
          <w:tcPr>
            <w:tcW w:w="8926" w:type="dxa"/>
            <w:gridSpan w:val="6"/>
          </w:tcPr>
          <w:p w:rsidR="00705A9E" w:rsidRPr="00AC6C6F" w:rsidRDefault="00705A9E" w:rsidP="00F43738">
            <w:pPr>
              <w:rPr>
                <w:rFonts w:ascii="Arial Narrow" w:hAnsi="Arial Narrow"/>
                <w:sz w:val="18"/>
                <w:szCs w:val="18"/>
              </w:rPr>
            </w:pPr>
            <w:r w:rsidRPr="00AC6C6F">
              <w:rPr>
                <w:rFonts w:ascii="Arial Narrow" w:hAnsi="Arial Narrow"/>
                <w:sz w:val="18"/>
                <w:szCs w:val="18"/>
              </w:rPr>
              <w:t>Poteligeo</w:t>
            </w:r>
          </w:p>
          <w:p w:rsidR="00705A9E" w:rsidRPr="00AC6C6F" w:rsidRDefault="00705A9E" w:rsidP="00F43738">
            <w:pPr>
              <w:rPr>
                <w:rFonts w:ascii="Arial Narrow" w:hAnsi="Arial Narrow"/>
                <w:sz w:val="18"/>
                <w:szCs w:val="18"/>
              </w:rPr>
            </w:pPr>
            <w:r w:rsidRPr="00AC6C6F">
              <w:rPr>
                <w:rFonts w:ascii="Arial Narrow" w:hAnsi="Arial Narrow" w:cstheme="minorHAnsi"/>
                <w:sz w:val="18"/>
                <w:szCs w:val="18"/>
              </w:rPr>
              <w:t>(mogamulizumab 20 mg/5 mL injection, 5 mL vial)</w:t>
            </w:r>
          </w:p>
        </w:tc>
      </w:tr>
    </w:tbl>
    <w:p w:rsidR="00705A9E" w:rsidRPr="00AC6C6F" w:rsidRDefault="00705A9E" w:rsidP="00705A9E"/>
    <w:p w:rsidR="00705A9E" w:rsidRPr="00AC6C6F" w:rsidRDefault="00705A9E" w:rsidP="00705A9E">
      <w:pPr>
        <w:rPr>
          <w:rFonts w:ascii="Arial Narrow" w:hAnsi="Arial Narrow"/>
          <w:b/>
          <w:sz w:val="18"/>
          <w:szCs w:val="1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7"/>
      </w:tblGrid>
      <w:tr w:rsidR="006125CC" w:rsidRPr="00AC6C6F" w:rsidTr="006125CC">
        <w:tc>
          <w:tcPr>
            <w:tcW w:w="5000" w:type="pct"/>
            <w:tcBorders>
              <w:top w:val="single" w:sz="4" w:space="0" w:color="auto"/>
              <w:left w:val="single" w:sz="4" w:space="0" w:color="auto"/>
              <w:bottom w:val="single" w:sz="4" w:space="0" w:color="auto"/>
              <w:right w:val="single" w:sz="4" w:space="0" w:color="auto"/>
            </w:tcBorders>
          </w:tcPr>
          <w:p w:rsidR="006125CC" w:rsidRPr="00AC6C6F" w:rsidRDefault="006125CC" w:rsidP="00F43738">
            <w:pPr>
              <w:rPr>
                <w:rFonts w:ascii="Arial Narrow" w:hAnsi="Arial Narrow"/>
                <w:sz w:val="18"/>
                <w:szCs w:val="18"/>
              </w:rPr>
            </w:pPr>
            <w:r w:rsidRPr="00AC6C6F">
              <w:rPr>
                <w:rFonts w:ascii="Arial Narrow" w:hAnsi="Arial Narrow"/>
                <w:b/>
                <w:sz w:val="18"/>
                <w:szCs w:val="18"/>
              </w:rPr>
              <w:t xml:space="preserve">Category / Program:   </w:t>
            </w:r>
            <w:r w:rsidRPr="00AC6C6F">
              <w:rPr>
                <w:rFonts w:ascii="Arial Narrow" w:hAnsi="Arial Narrow"/>
                <w:sz w:val="18"/>
                <w:szCs w:val="18"/>
              </w:rPr>
              <w:t xml:space="preserve">Section 100 – Efficient Funding of Chemotherapy (Public/Private hospital)   </w:t>
            </w:r>
          </w:p>
        </w:tc>
      </w:tr>
      <w:tr w:rsidR="006125CC" w:rsidRPr="00AC6C6F" w:rsidTr="006125CC">
        <w:trPr>
          <w:trHeight w:val="276"/>
        </w:trPr>
        <w:tc>
          <w:tcPr>
            <w:tcW w:w="5000" w:type="pct"/>
            <w:tcBorders>
              <w:top w:val="single" w:sz="4" w:space="0" w:color="auto"/>
              <w:left w:val="single" w:sz="4" w:space="0" w:color="auto"/>
              <w:bottom w:val="single" w:sz="4" w:space="0" w:color="auto"/>
              <w:right w:val="single" w:sz="4" w:space="0" w:color="auto"/>
            </w:tcBorders>
          </w:tcPr>
          <w:p w:rsidR="006125CC" w:rsidRPr="00AC6C6F" w:rsidRDefault="006125CC" w:rsidP="006125CC">
            <w:pPr>
              <w:rPr>
                <w:rFonts w:ascii="Arial Narrow" w:hAnsi="Arial Narrow"/>
                <w:sz w:val="18"/>
                <w:szCs w:val="18"/>
              </w:rPr>
            </w:pPr>
            <w:r w:rsidRPr="00AC6C6F">
              <w:rPr>
                <w:rFonts w:ascii="Arial Narrow" w:hAnsi="Arial Narrow"/>
                <w:b/>
                <w:sz w:val="18"/>
                <w:szCs w:val="18"/>
              </w:rPr>
              <w:t xml:space="preserve">Prescriber type:  </w:t>
            </w:r>
            <w:r w:rsidRPr="00AC6C6F">
              <w:rPr>
                <w:rFonts w:ascii="Arial Narrow" w:hAnsi="Arial Narrow"/>
                <w:sz w:val="18"/>
                <w:szCs w:val="18"/>
              </w:rPr>
              <w:fldChar w:fldCharType="begin">
                <w:ffData>
                  <w:name w:val=""/>
                  <w:enabled/>
                  <w:calcOnExit w:val="0"/>
                  <w:checkBox>
                    <w:sizeAuto/>
                    <w:default w:val="1"/>
                  </w:checkBox>
                </w:ffData>
              </w:fldChar>
            </w:r>
            <w:r w:rsidRPr="00AC6C6F">
              <w:rPr>
                <w:rFonts w:ascii="Arial Narrow" w:hAnsi="Arial Narrow"/>
                <w:sz w:val="18"/>
                <w:szCs w:val="18"/>
              </w:rPr>
              <w:instrText xml:space="preserve"> FORMCHECKBOX </w:instrText>
            </w:r>
            <w:r w:rsidR="005C2013">
              <w:rPr>
                <w:rFonts w:ascii="Arial Narrow" w:hAnsi="Arial Narrow"/>
                <w:sz w:val="18"/>
                <w:szCs w:val="18"/>
              </w:rPr>
            </w:r>
            <w:r w:rsidR="005C2013">
              <w:rPr>
                <w:rFonts w:ascii="Arial Narrow" w:hAnsi="Arial Narrow"/>
                <w:sz w:val="18"/>
                <w:szCs w:val="18"/>
              </w:rPr>
              <w:fldChar w:fldCharType="separate"/>
            </w:r>
            <w:r w:rsidRPr="00AC6C6F">
              <w:rPr>
                <w:rFonts w:ascii="Arial Narrow" w:hAnsi="Arial Narrow"/>
                <w:sz w:val="18"/>
                <w:szCs w:val="18"/>
              </w:rPr>
              <w:fldChar w:fldCharType="end"/>
            </w:r>
            <w:r w:rsidRPr="00AC6C6F">
              <w:rPr>
                <w:rFonts w:ascii="Arial Narrow" w:hAnsi="Arial Narrow"/>
                <w:sz w:val="18"/>
                <w:szCs w:val="18"/>
              </w:rPr>
              <w:t xml:space="preserve">Medical Practitioners  </w:t>
            </w:r>
          </w:p>
        </w:tc>
      </w:tr>
      <w:tr w:rsidR="006125CC" w:rsidRPr="00AC6C6F" w:rsidTr="006125CC">
        <w:tc>
          <w:tcPr>
            <w:tcW w:w="5000" w:type="pct"/>
            <w:tcBorders>
              <w:top w:val="single" w:sz="4" w:space="0" w:color="auto"/>
              <w:left w:val="single" w:sz="4" w:space="0" w:color="auto"/>
              <w:bottom w:val="single" w:sz="4" w:space="0" w:color="auto"/>
              <w:right w:val="single" w:sz="4" w:space="0" w:color="auto"/>
            </w:tcBorders>
          </w:tcPr>
          <w:p w:rsidR="006125CC" w:rsidRPr="00AC6C6F" w:rsidRDefault="006125CC" w:rsidP="00F43738">
            <w:pPr>
              <w:rPr>
                <w:rFonts w:ascii="Arial Narrow" w:hAnsi="Arial Narrow"/>
                <w:b/>
                <w:sz w:val="18"/>
                <w:szCs w:val="18"/>
              </w:rPr>
            </w:pPr>
            <w:r w:rsidRPr="00AC6C6F">
              <w:rPr>
                <w:rFonts w:ascii="Arial Narrow" w:hAnsi="Arial Narrow"/>
                <w:b/>
                <w:sz w:val="18"/>
                <w:szCs w:val="18"/>
              </w:rPr>
              <w:t>Restriction type / Method:</w:t>
            </w:r>
          </w:p>
          <w:p w:rsidR="006125CC" w:rsidRPr="00AC6C6F" w:rsidRDefault="006125CC" w:rsidP="00F43738">
            <w:pPr>
              <w:rPr>
                <w:rFonts w:ascii="Arial Narrow" w:hAnsi="Arial Narrow"/>
                <w:sz w:val="18"/>
                <w:szCs w:val="18"/>
              </w:rPr>
            </w:pPr>
            <w:r w:rsidRPr="00AC6C6F">
              <w:rPr>
                <w:rFonts w:ascii="Arial Narrow" w:hAnsi="Arial Narrow"/>
                <w:sz w:val="18"/>
                <w:szCs w:val="18"/>
              </w:rPr>
              <w:fldChar w:fldCharType="begin">
                <w:ffData>
                  <w:name w:val="Check3"/>
                  <w:enabled/>
                  <w:calcOnExit w:val="0"/>
                  <w:checkBox>
                    <w:sizeAuto/>
                    <w:default w:val="1"/>
                  </w:checkBox>
                </w:ffData>
              </w:fldChar>
            </w:r>
            <w:r w:rsidRPr="00AC6C6F">
              <w:rPr>
                <w:rFonts w:ascii="Arial Narrow" w:hAnsi="Arial Narrow"/>
                <w:sz w:val="18"/>
                <w:szCs w:val="18"/>
              </w:rPr>
              <w:instrText xml:space="preserve"> FORMCHECKBOX </w:instrText>
            </w:r>
            <w:r w:rsidR="005C2013">
              <w:rPr>
                <w:rFonts w:ascii="Arial Narrow" w:hAnsi="Arial Narrow"/>
                <w:sz w:val="18"/>
                <w:szCs w:val="18"/>
              </w:rPr>
            </w:r>
            <w:r w:rsidR="005C2013">
              <w:rPr>
                <w:rFonts w:ascii="Arial Narrow" w:hAnsi="Arial Narrow"/>
                <w:sz w:val="18"/>
                <w:szCs w:val="18"/>
              </w:rPr>
              <w:fldChar w:fldCharType="separate"/>
            </w:r>
            <w:r w:rsidRPr="00AC6C6F">
              <w:rPr>
                <w:rFonts w:ascii="Arial Narrow" w:hAnsi="Arial Narrow"/>
                <w:sz w:val="18"/>
                <w:szCs w:val="18"/>
              </w:rPr>
              <w:fldChar w:fldCharType="end"/>
            </w:r>
            <w:r w:rsidRPr="00AC6C6F">
              <w:rPr>
                <w:rFonts w:ascii="Arial Narrow" w:hAnsi="Arial Narrow"/>
                <w:sz w:val="18"/>
                <w:szCs w:val="18"/>
              </w:rPr>
              <w:t>Authority Required – immediate/real-time assessment by Services Australia (Telephone/Online)</w:t>
            </w:r>
          </w:p>
        </w:tc>
      </w:tr>
      <w:tr w:rsidR="006125CC" w:rsidRPr="00AC6C6F" w:rsidTr="006125CC">
        <w:tc>
          <w:tcPr>
            <w:tcW w:w="5000" w:type="pct"/>
            <w:vAlign w:val="center"/>
          </w:tcPr>
          <w:p w:rsidR="006125CC" w:rsidRPr="00AC6C6F" w:rsidRDefault="006125CC" w:rsidP="00F43738">
            <w:pPr>
              <w:rPr>
                <w:rFonts w:ascii="Arial Narrow" w:hAnsi="Arial Narrow"/>
                <w:b/>
                <w:bCs/>
                <w:color w:val="333333"/>
                <w:sz w:val="18"/>
                <w:szCs w:val="18"/>
              </w:rPr>
            </w:pPr>
            <w:r w:rsidRPr="00AC6C6F">
              <w:rPr>
                <w:rFonts w:ascii="Arial Narrow" w:hAnsi="Arial Narrow"/>
                <w:b/>
                <w:bCs/>
                <w:color w:val="333333"/>
                <w:sz w:val="18"/>
                <w:szCs w:val="18"/>
              </w:rPr>
              <w:t xml:space="preserve">Condition: </w:t>
            </w:r>
            <w:r w:rsidRPr="00AC6C6F">
              <w:rPr>
                <w:rFonts w:ascii="Arial Narrow" w:hAnsi="Arial Narrow"/>
                <w:bCs/>
                <w:color w:val="333333"/>
                <w:sz w:val="18"/>
                <w:szCs w:val="18"/>
              </w:rPr>
              <w:t>Cutaneous T-cell lymphoma</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b/>
                <w:bCs/>
                <w:color w:val="333333"/>
                <w:sz w:val="18"/>
                <w:szCs w:val="18"/>
              </w:rPr>
              <w:t>Indication:</w:t>
            </w:r>
            <w:r w:rsidRPr="00AC6C6F">
              <w:rPr>
                <w:rFonts w:ascii="Arial Narrow" w:hAnsi="Arial Narrow"/>
                <w:color w:val="333333"/>
                <w:sz w:val="18"/>
                <w:szCs w:val="18"/>
              </w:rPr>
              <w:t xml:space="preserve"> </w:t>
            </w:r>
            <w:r w:rsidRPr="00AC6C6F">
              <w:rPr>
                <w:rFonts w:ascii="Arial Narrow" w:hAnsi="Arial Narrow"/>
                <w:bCs/>
                <w:color w:val="333333"/>
                <w:sz w:val="18"/>
                <w:szCs w:val="18"/>
              </w:rPr>
              <w:t>Cutaneous T-cell lymphoma</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b/>
                <w:bCs/>
                <w:color w:val="333333"/>
                <w:sz w:val="18"/>
                <w:szCs w:val="18"/>
              </w:rPr>
              <w:t>Treatment Phase:</w:t>
            </w:r>
            <w:r w:rsidRPr="00AC6C6F">
              <w:rPr>
                <w:rFonts w:ascii="Arial Narrow" w:hAnsi="Arial Narrow"/>
                <w:color w:val="333333"/>
                <w:sz w:val="18"/>
                <w:szCs w:val="18"/>
              </w:rPr>
              <w:t xml:space="preserve"> Continuing treatment</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b/>
                <w:bCs/>
                <w:color w:val="333333"/>
                <w:sz w:val="18"/>
                <w:szCs w:val="18"/>
              </w:rPr>
              <w:t>Clinical criteria:</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cs="Arial Narrow"/>
                <w:iCs/>
                <w:sz w:val="18"/>
                <w:szCs w:val="18"/>
              </w:rPr>
              <w:t>Patient must have previously received PBS-subsidised treatment with this drug for this condition.</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b/>
                <w:bCs/>
                <w:color w:val="333333"/>
                <w:sz w:val="18"/>
                <w:szCs w:val="18"/>
              </w:rPr>
              <w:t>AND</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b/>
                <w:bCs/>
                <w:color w:val="333333"/>
                <w:sz w:val="18"/>
                <w:szCs w:val="18"/>
              </w:rPr>
              <w:t>Clinical criteria:</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color w:val="333333"/>
                <w:sz w:val="18"/>
                <w:szCs w:val="18"/>
              </w:rPr>
              <w:t>Patient must not have progressive disease while receiving PBS-subsidised treatment with this drug for this condition.</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b/>
                <w:bCs/>
                <w:color w:val="333333"/>
                <w:sz w:val="18"/>
                <w:szCs w:val="18"/>
              </w:rPr>
              <w:t>AND</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b/>
                <w:bCs/>
                <w:color w:val="333333"/>
                <w:sz w:val="18"/>
                <w:szCs w:val="18"/>
              </w:rPr>
              <w:t>Clinical criteria:</w:t>
            </w:r>
          </w:p>
        </w:tc>
      </w:tr>
      <w:tr w:rsidR="006125CC" w:rsidRPr="00AC6C6F" w:rsidTr="006125CC">
        <w:tc>
          <w:tcPr>
            <w:tcW w:w="5000" w:type="pct"/>
            <w:vAlign w:val="center"/>
            <w:hideMark/>
          </w:tcPr>
          <w:p w:rsidR="006125CC" w:rsidRPr="00AC6C6F" w:rsidRDefault="006125CC" w:rsidP="00F43738">
            <w:pPr>
              <w:rPr>
                <w:rFonts w:ascii="Arial Narrow" w:hAnsi="Arial Narrow"/>
                <w:color w:val="333333"/>
                <w:sz w:val="18"/>
                <w:szCs w:val="18"/>
              </w:rPr>
            </w:pPr>
            <w:r w:rsidRPr="00AC6C6F">
              <w:rPr>
                <w:rFonts w:ascii="Arial Narrow" w:hAnsi="Arial Narrow"/>
                <w:color w:val="333333"/>
                <w:sz w:val="18"/>
                <w:szCs w:val="18"/>
              </w:rPr>
              <w:t xml:space="preserve">The treatment must be the sole PBS-subsidised systemic </w:t>
            </w:r>
            <w:r w:rsidRPr="00AC6C6F">
              <w:rPr>
                <w:rFonts w:ascii="Arial Narrow" w:hAnsi="Arial Narrow"/>
                <w:i/>
                <w:color w:val="333333"/>
                <w:sz w:val="18"/>
                <w:szCs w:val="18"/>
              </w:rPr>
              <w:t xml:space="preserve">anti-cancer </w:t>
            </w:r>
            <w:r w:rsidRPr="00AC6C6F">
              <w:rPr>
                <w:rFonts w:ascii="Arial Narrow" w:hAnsi="Arial Narrow"/>
                <w:color w:val="333333"/>
                <w:sz w:val="18"/>
                <w:szCs w:val="18"/>
              </w:rPr>
              <w:t>therapy for this condition.</w:t>
            </w:r>
          </w:p>
        </w:tc>
      </w:tr>
      <w:tr w:rsidR="006125CC" w:rsidRPr="00AC6C6F" w:rsidTr="006125CC">
        <w:tc>
          <w:tcPr>
            <w:tcW w:w="5000" w:type="pct"/>
            <w:vAlign w:val="center"/>
          </w:tcPr>
          <w:p w:rsidR="006125CC" w:rsidRPr="00AC6C6F" w:rsidRDefault="006125CC" w:rsidP="00F43738">
            <w:pPr>
              <w:rPr>
                <w:rFonts w:ascii="Arial Narrow" w:hAnsi="Arial Narrow"/>
                <w:i/>
                <w:color w:val="333333"/>
                <w:sz w:val="18"/>
                <w:szCs w:val="18"/>
              </w:rPr>
            </w:pPr>
            <w:r w:rsidRPr="00AC6C6F">
              <w:rPr>
                <w:rFonts w:ascii="Arial Narrow" w:hAnsi="Arial Narrow"/>
                <w:b/>
                <w:bCs/>
                <w:i/>
                <w:color w:val="333333"/>
                <w:sz w:val="18"/>
                <w:szCs w:val="18"/>
              </w:rPr>
              <w:t>Administrative Advice: [if a telephone/online Initial treatment Authority approval is recommended by PBAC]</w:t>
            </w:r>
          </w:p>
          <w:p w:rsidR="006125CC" w:rsidRPr="00AC6C6F" w:rsidRDefault="006125CC" w:rsidP="00F43738">
            <w:pPr>
              <w:spacing w:after="120"/>
              <w:rPr>
                <w:rFonts w:ascii="Arial Narrow" w:hAnsi="Arial Narrow"/>
                <w:i/>
                <w:color w:val="333333"/>
                <w:sz w:val="18"/>
                <w:szCs w:val="18"/>
              </w:rPr>
            </w:pPr>
            <w:r w:rsidRPr="00AC6C6F">
              <w:rPr>
                <w:rFonts w:ascii="Arial Narrow" w:hAnsi="Arial Narrow"/>
                <w:i/>
                <w:color w:val="333333"/>
                <w:sz w:val="18"/>
                <w:szCs w:val="18"/>
              </w:rPr>
              <w:t xml:space="preserve">Applications for authorisation under this restriction may be made in real time using the Online PBS Authorities system (see www.servicesaustralia.gov.au/HPOS) or by telephone by contacting Services Australia on 1800 888 333 </w:t>
            </w:r>
          </w:p>
        </w:tc>
      </w:tr>
      <w:tr w:rsidR="006125CC" w:rsidRPr="00AC6C6F" w:rsidTr="006125CC">
        <w:tc>
          <w:tcPr>
            <w:tcW w:w="5000" w:type="pct"/>
            <w:vAlign w:val="center"/>
          </w:tcPr>
          <w:p w:rsidR="006125CC" w:rsidRPr="00AC6C6F" w:rsidRDefault="006125CC" w:rsidP="00F43738">
            <w:pPr>
              <w:rPr>
                <w:rFonts w:ascii="Arial Narrow" w:hAnsi="Arial Narrow"/>
                <w:i/>
                <w:color w:val="333333"/>
                <w:sz w:val="18"/>
                <w:szCs w:val="18"/>
              </w:rPr>
            </w:pPr>
            <w:r w:rsidRPr="00AC6C6F">
              <w:rPr>
                <w:rFonts w:ascii="Arial Narrow" w:hAnsi="Arial Narrow"/>
                <w:b/>
                <w:bCs/>
                <w:i/>
                <w:color w:val="333333"/>
                <w:sz w:val="18"/>
                <w:szCs w:val="18"/>
              </w:rPr>
              <w:t>Administrative Advice: [if a written-only Initial treatment Authority listing is recommended by PBAC]</w:t>
            </w:r>
          </w:p>
          <w:p w:rsidR="006125CC" w:rsidRPr="00AC6C6F" w:rsidRDefault="006125CC" w:rsidP="00F43738">
            <w:pPr>
              <w:rPr>
                <w:rFonts w:ascii="Arial Narrow" w:hAnsi="Arial Narrow"/>
                <w:bCs/>
                <w:i/>
                <w:color w:val="333333"/>
                <w:sz w:val="18"/>
                <w:szCs w:val="18"/>
              </w:rPr>
            </w:pPr>
            <w:r w:rsidRPr="00AC6C6F">
              <w:rPr>
                <w:rFonts w:ascii="Arial Narrow" w:hAnsi="Arial Narrow"/>
                <w:bCs/>
                <w:i/>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6125CC" w:rsidRPr="00AC6C6F" w:rsidTr="006125CC">
        <w:tc>
          <w:tcPr>
            <w:tcW w:w="5000" w:type="pct"/>
            <w:vAlign w:val="center"/>
            <w:hideMark/>
          </w:tcPr>
          <w:p w:rsidR="006125CC" w:rsidRPr="00AC6C6F" w:rsidRDefault="006125CC" w:rsidP="00F43738">
            <w:pPr>
              <w:rPr>
                <w:rFonts w:ascii="Arial Narrow" w:hAnsi="Arial Narrow"/>
                <w:bCs/>
                <w:i/>
                <w:color w:val="333333"/>
                <w:sz w:val="18"/>
                <w:szCs w:val="18"/>
              </w:rPr>
            </w:pPr>
            <w:r w:rsidRPr="00AC6C6F">
              <w:rPr>
                <w:rFonts w:ascii="Arial Narrow" w:hAnsi="Arial Narrow"/>
                <w:b/>
                <w:bCs/>
                <w:i/>
                <w:color w:val="333333"/>
                <w:sz w:val="18"/>
                <w:szCs w:val="18"/>
              </w:rPr>
              <w:t>Administrative Advice:</w:t>
            </w:r>
            <w:r w:rsidRPr="00AC6C6F">
              <w:rPr>
                <w:rFonts w:ascii="Arial Narrow" w:hAnsi="Arial Narrow"/>
                <w:bCs/>
                <w:i/>
                <w:color w:val="333333"/>
                <w:sz w:val="18"/>
                <w:szCs w:val="18"/>
              </w:rPr>
              <w:t xml:space="preserve"> </w:t>
            </w:r>
            <w:r w:rsidRPr="00AC6C6F">
              <w:rPr>
                <w:rFonts w:ascii="Arial Narrow" w:hAnsi="Arial Narrow"/>
                <w:i/>
                <w:color w:val="333333"/>
                <w:sz w:val="18"/>
                <w:szCs w:val="18"/>
              </w:rPr>
              <w:t>No increase in the maximum number of repeats may be authorised.</w:t>
            </w:r>
          </w:p>
        </w:tc>
      </w:tr>
      <w:tr w:rsidR="006125CC" w:rsidRPr="00AC6C6F" w:rsidTr="006125CC">
        <w:tc>
          <w:tcPr>
            <w:tcW w:w="5000" w:type="pct"/>
            <w:vAlign w:val="center"/>
            <w:hideMark/>
          </w:tcPr>
          <w:p w:rsidR="006125CC" w:rsidRPr="00AC6C6F" w:rsidRDefault="006125CC" w:rsidP="00F43738">
            <w:pPr>
              <w:rPr>
                <w:rFonts w:ascii="Arial Narrow" w:hAnsi="Arial Narrow"/>
                <w:i/>
                <w:color w:val="333333"/>
                <w:sz w:val="18"/>
                <w:szCs w:val="18"/>
              </w:rPr>
            </w:pPr>
            <w:r w:rsidRPr="00AC6C6F">
              <w:rPr>
                <w:rFonts w:ascii="Arial Narrow" w:hAnsi="Arial Narrow"/>
                <w:b/>
                <w:bCs/>
                <w:i/>
                <w:color w:val="333333"/>
                <w:sz w:val="18"/>
                <w:szCs w:val="18"/>
              </w:rPr>
              <w:t>Administrative Advice:</w:t>
            </w:r>
            <w:r w:rsidRPr="00AC6C6F">
              <w:rPr>
                <w:rFonts w:ascii="Arial Narrow" w:hAnsi="Arial Narrow"/>
                <w:i/>
                <w:color w:val="333333"/>
                <w:sz w:val="18"/>
                <w:szCs w:val="18"/>
              </w:rPr>
              <w:t xml:space="preserve"> No increase in the maximum quantity or number of units may be authorised.</w:t>
            </w:r>
          </w:p>
        </w:tc>
      </w:tr>
      <w:tr w:rsidR="006125CC" w:rsidRPr="00AC6C6F" w:rsidTr="006125CC">
        <w:tc>
          <w:tcPr>
            <w:tcW w:w="5000" w:type="pct"/>
            <w:vAlign w:val="center"/>
          </w:tcPr>
          <w:p w:rsidR="006125CC" w:rsidRPr="00AC6C6F" w:rsidRDefault="006125CC" w:rsidP="00F43738">
            <w:pPr>
              <w:rPr>
                <w:rFonts w:ascii="Arial Narrow" w:hAnsi="Arial Narrow"/>
                <w:i/>
                <w:color w:val="333333"/>
                <w:sz w:val="18"/>
                <w:szCs w:val="18"/>
              </w:rPr>
            </w:pPr>
            <w:r w:rsidRPr="00AC6C6F">
              <w:rPr>
                <w:rFonts w:ascii="Arial Narrow" w:hAnsi="Arial Narrow"/>
                <w:b/>
                <w:bCs/>
                <w:i/>
                <w:color w:val="333333"/>
                <w:sz w:val="18"/>
                <w:szCs w:val="18"/>
              </w:rPr>
              <w:t>Administrative Advice:</w:t>
            </w:r>
            <w:r w:rsidRPr="00AC6C6F">
              <w:rPr>
                <w:rFonts w:ascii="Arial Narrow" w:hAnsi="Arial Narrow"/>
                <w:bCs/>
                <w:i/>
                <w:color w:val="333333"/>
                <w:sz w:val="18"/>
                <w:szCs w:val="18"/>
              </w:rPr>
              <w:t xml:space="preserve"> </w:t>
            </w:r>
            <w:r w:rsidRPr="00AC6C6F">
              <w:rPr>
                <w:rFonts w:ascii="Arial Narrow" w:hAnsi="Arial Narrow"/>
                <w:i/>
                <w:color w:val="333333"/>
                <w:sz w:val="18"/>
                <w:szCs w:val="18"/>
              </w:rPr>
              <w:t xml:space="preserve"> Special Pricing Arrangements apply.</w:t>
            </w:r>
          </w:p>
        </w:tc>
      </w:tr>
    </w:tbl>
    <w:p w:rsidR="00AF726E" w:rsidRPr="00AC6C6F" w:rsidRDefault="00AF726E" w:rsidP="00AF726E"/>
    <w:p w:rsidR="00874DAC" w:rsidRPr="00AC6C6F" w:rsidRDefault="00AF726E" w:rsidP="00AF726E">
      <w:pPr>
        <w:pStyle w:val="3-BodyText"/>
        <w:rPr>
          <w:color w:val="0066FF"/>
        </w:rPr>
      </w:pPr>
      <w:r w:rsidRPr="00AC6C6F">
        <w:t xml:space="preserve">A special pricing arrangement </w:t>
      </w:r>
      <w:r w:rsidR="009963EB" w:rsidRPr="00AC6C6F">
        <w:t>based on</w:t>
      </w:r>
      <w:r w:rsidRPr="00AC6C6F">
        <w:t xml:space="preserve"> a </w:t>
      </w:r>
      <w:r w:rsidR="00B21624">
        <w:rPr>
          <w:noProof/>
          <w:color w:val="000000"/>
          <w:highlight w:val="black"/>
        </w:rPr>
        <w:t>''''''''</w:t>
      </w:r>
      <w:r w:rsidRPr="00AC6C6F">
        <w:t>% rebate on the published approved ex-manufacturer price (AEMP) was proposed</w:t>
      </w:r>
      <w:r w:rsidR="00EC5F25" w:rsidRPr="00AC6C6F">
        <w:t xml:space="preserve">, resulting in </w:t>
      </w:r>
      <w:r w:rsidRPr="00AC6C6F">
        <w:t>a</w:t>
      </w:r>
      <w:r w:rsidR="00EC5F25" w:rsidRPr="00AC6C6F">
        <w:t xml:space="preserve"> published AEMP of $</w:t>
      </w:r>
      <w:r w:rsidR="00B21624">
        <w:rPr>
          <w:noProof/>
          <w:color w:val="000000"/>
          <w:highlight w:val="black"/>
        </w:rPr>
        <w:t>'''''''''</w:t>
      </w:r>
      <w:r w:rsidR="00EC5F25" w:rsidRPr="00AC6C6F">
        <w:t xml:space="preserve"> and an effective AEMP of $</w:t>
      </w:r>
      <w:r w:rsidR="00B21624">
        <w:rPr>
          <w:noProof/>
          <w:color w:val="000000"/>
          <w:highlight w:val="black"/>
        </w:rPr>
        <w:t>''''''''''</w:t>
      </w:r>
      <w:r w:rsidR="00EC5F25" w:rsidRPr="00AC6C6F">
        <w:t xml:space="preserve"> for a </w:t>
      </w:r>
      <w:r w:rsidRPr="00AC6C6F">
        <w:t>1 x 20 mg vial. The effective dispensed price per maximum amount (DPMA) was calculated based on the effective AEMP (</w:t>
      </w:r>
      <w:r w:rsidR="008845BA" w:rsidRPr="00AC6C6F">
        <w:t>this was $</w:t>
      </w:r>
      <w:r w:rsidR="00B21624">
        <w:rPr>
          <w:noProof/>
          <w:color w:val="000000"/>
          <w:highlight w:val="black"/>
        </w:rPr>
        <w:t>''''''''''''''''</w:t>
      </w:r>
      <w:r w:rsidR="008845BA" w:rsidRPr="00AC6C6F">
        <w:t xml:space="preserve"> </w:t>
      </w:r>
      <w:r w:rsidRPr="00AC6C6F">
        <w:t xml:space="preserve">for </w:t>
      </w:r>
      <w:r w:rsidR="008845BA" w:rsidRPr="00AC6C6F">
        <w:t xml:space="preserve">the </w:t>
      </w:r>
      <w:r w:rsidRPr="00AC6C6F">
        <w:t xml:space="preserve">private </w:t>
      </w:r>
      <w:r w:rsidR="008845BA" w:rsidRPr="00AC6C6F">
        <w:t>sector</w:t>
      </w:r>
      <w:r w:rsidRPr="00AC6C6F">
        <w:t xml:space="preserve">). </w:t>
      </w:r>
    </w:p>
    <w:p w:rsidR="000F0A95" w:rsidRPr="00AC6C6F" w:rsidRDefault="00AF726E" w:rsidP="00AF726E">
      <w:pPr>
        <w:pStyle w:val="3-BodyText"/>
        <w:rPr>
          <w:iCs/>
        </w:rPr>
      </w:pPr>
      <w:r w:rsidRPr="00AC6C6F">
        <w:rPr>
          <w:color w:val="000000" w:themeColor="text1"/>
        </w:rPr>
        <w:t xml:space="preserve">The requested TGA indication </w:t>
      </w:r>
      <w:r w:rsidR="009963EB" w:rsidRPr="00AC6C6F">
        <w:rPr>
          <w:color w:val="000000" w:themeColor="text1"/>
        </w:rPr>
        <w:t>i</w:t>
      </w:r>
      <w:r w:rsidRPr="00AC6C6F">
        <w:rPr>
          <w:color w:val="000000" w:themeColor="text1"/>
        </w:rPr>
        <w:t xml:space="preserve">s specific to </w:t>
      </w:r>
      <w:r w:rsidR="008845BA" w:rsidRPr="00AC6C6F">
        <w:rPr>
          <w:color w:val="000000" w:themeColor="text1"/>
        </w:rPr>
        <w:t xml:space="preserve">the </w:t>
      </w:r>
      <w:r w:rsidRPr="00AC6C6F">
        <w:rPr>
          <w:color w:val="000000" w:themeColor="text1"/>
        </w:rPr>
        <w:t xml:space="preserve">MF and </w:t>
      </w:r>
      <w:r w:rsidR="008845BA" w:rsidRPr="00AC6C6F">
        <w:rPr>
          <w:color w:val="000000" w:themeColor="text1"/>
        </w:rPr>
        <w:t>SS</w:t>
      </w:r>
      <w:r w:rsidRPr="00AC6C6F">
        <w:rPr>
          <w:color w:val="000000" w:themeColor="text1"/>
        </w:rPr>
        <w:t xml:space="preserve"> subtypes of CTCL, based on the pivotal</w:t>
      </w:r>
      <w:r w:rsidR="00A431BF" w:rsidRPr="00AC6C6F">
        <w:rPr>
          <w:color w:val="000000" w:themeColor="text1"/>
        </w:rPr>
        <w:t xml:space="preserve"> clinical</w:t>
      </w:r>
      <w:r w:rsidRPr="00AC6C6F">
        <w:rPr>
          <w:color w:val="000000" w:themeColor="text1"/>
        </w:rPr>
        <w:t xml:space="preserve"> trial</w:t>
      </w:r>
      <w:r w:rsidR="00A431BF" w:rsidRPr="00AC6C6F">
        <w:rPr>
          <w:color w:val="000000" w:themeColor="text1"/>
        </w:rPr>
        <w:t>,</w:t>
      </w:r>
      <w:r w:rsidRPr="00AC6C6F">
        <w:rPr>
          <w:color w:val="000000" w:themeColor="text1"/>
        </w:rPr>
        <w:t xml:space="preserve"> MAVORIC</w:t>
      </w:r>
      <w:r w:rsidR="00A431BF" w:rsidRPr="00AC6C6F">
        <w:rPr>
          <w:color w:val="000000" w:themeColor="text1"/>
        </w:rPr>
        <w:t>,</w:t>
      </w:r>
      <w:r w:rsidRPr="00AC6C6F">
        <w:rPr>
          <w:color w:val="000000" w:themeColor="text1"/>
        </w:rPr>
        <w:t xml:space="preserve"> which </w:t>
      </w:r>
      <w:r w:rsidR="009963EB" w:rsidRPr="00AC6C6F">
        <w:rPr>
          <w:color w:val="000000" w:themeColor="text1"/>
        </w:rPr>
        <w:t xml:space="preserve">limited </w:t>
      </w:r>
      <w:r w:rsidRPr="00AC6C6F">
        <w:rPr>
          <w:color w:val="000000" w:themeColor="text1"/>
        </w:rPr>
        <w:t>r</w:t>
      </w:r>
      <w:r w:rsidRPr="00AC6C6F">
        <w:t>ecruit</w:t>
      </w:r>
      <w:r w:rsidR="009963EB" w:rsidRPr="00AC6C6F">
        <w:t>ment</w:t>
      </w:r>
      <w:r w:rsidRPr="00AC6C6F">
        <w:t xml:space="preserve"> </w:t>
      </w:r>
      <w:r w:rsidR="009963EB" w:rsidRPr="00AC6C6F">
        <w:t xml:space="preserve">to </w:t>
      </w:r>
      <w:r w:rsidRPr="00AC6C6F">
        <w:t xml:space="preserve">patients with either MF or SS. However, the submission requested that mogamulizumab be made available on the PBS for the treatment of CTCL irrespective of subtype and disease stage. The </w:t>
      </w:r>
      <w:r w:rsidR="00EC5F25" w:rsidRPr="00AC6C6F">
        <w:t xml:space="preserve">submission justified this approach </w:t>
      </w:r>
      <w:r w:rsidRPr="00AC6C6F">
        <w:t xml:space="preserve">based on the CCR4-mediated mechanism of action </w:t>
      </w:r>
      <w:r w:rsidRPr="00AC6C6F">
        <w:lastRenderedPageBreak/>
        <w:t xml:space="preserve">of mogamulizumab and the almost universal overexpression of these receptors to some extent in all CTCL subtypes. </w:t>
      </w:r>
      <w:r w:rsidRPr="00AC6C6F">
        <w:rPr>
          <w:iCs/>
        </w:rPr>
        <w:t>However</w:t>
      </w:r>
      <w:r w:rsidR="00EC5F25" w:rsidRPr="00AC6C6F">
        <w:rPr>
          <w:iCs/>
        </w:rPr>
        <w:t>,</w:t>
      </w:r>
      <w:r w:rsidRPr="00AC6C6F">
        <w:rPr>
          <w:iCs/>
        </w:rPr>
        <w:t xml:space="preserve"> the </w:t>
      </w:r>
      <w:r w:rsidR="00EC5F25" w:rsidRPr="00AC6C6F">
        <w:rPr>
          <w:iCs/>
        </w:rPr>
        <w:t xml:space="preserve">submission did not present </w:t>
      </w:r>
      <w:r w:rsidRPr="00AC6C6F">
        <w:rPr>
          <w:iCs/>
        </w:rPr>
        <w:t xml:space="preserve">clinical evidence of the extent of CCR4 expression in CTCL subtypes or the use of mogamulizumab in CTCL </w:t>
      </w:r>
      <w:r w:rsidR="00EC5F25" w:rsidRPr="00AC6C6F">
        <w:rPr>
          <w:iCs/>
        </w:rPr>
        <w:t xml:space="preserve">subtypes </w:t>
      </w:r>
      <w:r w:rsidRPr="00AC6C6F">
        <w:rPr>
          <w:iCs/>
        </w:rPr>
        <w:t xml:space="preserve">other than MF or SS. </w:t>
      </w:r>
      <w:r w:rsidR="000F0A95" w:rsidRPr="00AC6C6F">
        <w:rPr>
          <w:iCs/>
        </w:rPr>
        <w:t xml:space="preserve">The Pre-Sub-Committee Response (PSCR) stated there are only limited and heterogeneous data available in relation to this issue, however these </w:t>
      </w:r>
      <w:r w:rsidR="00656CC4" w:rsidRPr="00AC6C6F">
        <w:rPr>
          <w:iCs/>
        </w:rPr>
        <w:t xml:space="preserve">data </w:t>
      </w:r>
      <w:r w:rsidR="000F0A95" w:rsidRPr="00AC6C6F">
        <w:rPr>
          <w:iCs/>
        </w:rPr>
        <w:t>suggest CCR4 is typically overexpressed by a significant majority of patients with CTCL subtypes other than MF or SS.</w:t>
      </w:r>
    </w:p>
    <w:p w:rsidR="007634C9" w:rsidRPr="00AC6C6F" w:rsidRDefault="0074101B" w:rsidP="00AF726E">
      <w:pPr>
        <w:pStyle w:val="3-BodyText"/>
        <w:rPr>
          <w:color w:val="0066FF"/>
        </w:rPr>
      </w:pPr>
      <w:r w:rsidRPr="00AC6C6F">
        <w:rPr>
          <w:iCs/>
        </w:rPr>
        <w:t>I</w:t>
      </w:r>
      <w:r w:rsidR="00AF726E" w:rsidRPr="00AC6C6F">
        <w:rPr>
          <w:iCs/>
        </w:rPr>
        <w:t>n considering the</w:t>
      </w:r>
      <w:r w:rsidR="00C448AF" w:rsidRPr="00AC6C6F">
        <w:rPr>
          <w:iCs/>
        </w:rPr>
        <w:t xml:space="preserve"> November 2018 </w:t>
      </w:r>
      <w:r w:rsidR="00AF726E" w:rsidRPr="00AC6C6F">
        <w:rPr>
          <w:iCs/>
        </w:rPr>
        <w:t xml:space="preserve"> </w:t>
      </w:r>
      <w:r w:rsidR="000D4CB7" w:rsidRPr="00AC6C6F">
        <w:rPr>
          <w:iCs/>
        </w:rPr>
        <w:t xml:space="preserve">application to list </w:t>
      </w:r>
      <w:r w:rsidR="00AF726E" w:rsidRPr="00AC6C6F">
        <w:rPr>
          <w:iCs/>
        </w:rPr>
        <w:t>brentuximab</w:t>
      </w:r>
      <w:r w:rsidR="008C1E87" w:rsidRPr="00AC6C6F">
        <w:rPr>
          <w:iCs/>
        </w:rPr>
        <w:t xml:space="preserve"> vedotin</w:t>
      </w:r>
      <w:r w:rsidR="00AF726E" w:rsidRPr="00AC6C6F">
        <w:rPr>
          <w:iCs/>
        </w:rPr>
        <w:t xml:space="preserve"> </w:t>
      </w:r>
      <w:r w:rsidR="008C1E87" w:rsidRPr="00AC6C6F">
        <w:rPr>
          <w:iCs/>
        </w:rPr>
        <w:t>(</w:t>
      </w:r>
      <w:r w:rsidR="008C1E87" w:rsidRPr="00AC6C6F">
        <w:rPr>
          <w:rFonts w:cs="Calibri"/>
        </w:rPr>
        <w:t>hereafter referred to as brentuximab)</w:t>
      </w:r>
      <w:r w:rsidR="00AF726E" w:rsidRPr="00AC6C6F">
        <w:rPr>
          <w:iCs/>
        </w:rPr>
        <w:t xml:space="preserve">, the PBAC </w:t>
      </w:r>
      <w:r w:rsidR="00C448AF" w:rsidRPr="00AC6C6F">
        <w:rPr>
          <w:iCs/>
        </w:rPr>
        <w:t xml:space="preserve">noted </w:t>
      </w:r>
      <w:r w:rsidR="00AF726E" w:rsidRPr="00AC6C6F">
        <w:rPr>
          <w:iCs/>
        </w:rPr>
        <w:t>that the</w:t>
      </w:r>
      <w:r w:rsidR="00AF726E" w:rsidRPr="00AC6C6F">
        <w:t xml:space="preserve"> </w:t>
      </w:r>
      <w:r w:rsidR="00AF726E" w:rsidRPr="00AC6C6F">
        <w:rPr>
          <w:iCs/>
        </w:rPr>
        <w:t xml:space="preserve">lymphomatoid papulosis (LyP) subtype </w:t>
      </w:r>
      <w:r w:rsidR="00EC5F25" w:rsidRPr="00AC6C6F">
        <w:rPr>
          <w:iCs/>
        </w:rPr>
        <w:t xml:space="preserve">of CTCL </w:t>
      </w:r>
      <w:r w:rsidR="00AF726E" w:rsidRPr="00AC6C6F">
        <w:rPr>
          <w:iCs/>
        </w:rPr>
        <w:t>is not consistently defined as a cancer, can resolve without treatment and does not affect life-expectancy. Therefore</w:t>
      </w:r>
      <w:r w:rsidR="00EC5F25" w:rsidRPr="00AC6C6F">
        <w:rPr>
          <w:iCs/>
        </w:rPr>
        <w:t>,</w:t>
      </w:r>
      <w:r w:rsidR="00AF726E" w:rsidRPr="00AC6C6F">
        <w:rPr>
          <w:iCs/>
        </w:rPr>
        <w:t xml:space="preserve"> the PBAC recommended that patients with the LyP CTCL subtype be excluded from PBS subsided access to brentuximab (paragraph 5.10, brentuximab vedotin</w:t>
      </w:r>
      <w:r w:rsidR="002F042E" w:rsidRPr="00AC6C6F">
        <w:rPr>
          <w:iCs/>
        </w:rPr>
        <w:t xml:space="preserve"> Public Summary Document (</w:t>
      </w:r>
      <w:r w:rsidR="00AF726E" w:rsidRPr="00AC6C6F">
        <w:rPr>
          <w:iCs/>
        </w:rPr>
        <w:t>PSD</w:t>
      </w:r>
      <w:r w:rsidR="002F042E" w:rsidRPr="00AC6C6F">
        <w:rPr>
          <w:iCs/>
        </w:rPr>
        <w:t>)</w:t>
      </w:r>
      <w:r w:rsidR="00AF726E" w:rsidRPr="00AC6C6F">
        <w:rPr>
          <w:iCs/>
        </w:rPr>
        <w:t>, November 2018 PBAC meeting).</w:t>
      </w:r>
      <w:r w:rsidR="00AC1354" w:rsidRPr="00AC6C6F">
        <w:rPr>
          <w:iCs/>
        </w:rPr>
        <w:t xml:space="preserve"> The PSCR noted that the restriction for the main comparator, vorinostat, permits use in any CTCL subtype, which would generally be interpret</w:t>
      </w:r>
      <w:r w:rsidR="00656201" w:rsidRPr="00AC6C6F">
        <w:rPr>
          <w:iCs/>
        </w:rPr>
        <w:t>ed to include LyP.</w:t>
      </w:r>
      <w:r w:rsidR="00874DAC" w:rsidRPr="00AC6C6F">
        <w:rPr>
          <w:iCs/>
        </w:rPr>
        <w:t xml:space="preserve"> </w:t>
      </w:r>
    </w:p>
    <w:p w:rsidR="00AF726E" w:rsidRPr="00AC6C6F" w:rsidRDefault="00D84031" w:rsidP="00AF726E">
      <w:pPr>
        <w:pStyle w:val="3-BodyText"/>
        <w:rPr>
          <w:color w:val="0066FF"/>
        </w:rPr>
      </w:pPr>
      <w:r w:rsidRPr="00AC6C6F">
        <w:rPr>
          <w:iCs/>
        </w:rPr>
        <w:t>The PBAC noted the clinical evidence from MAVORIC was limited to patients with MF or SS. The PBAC also noted the differences in the 5 year disease-specific survival times across CTCL subtypes.</w:t>
      </w:r>
      <w:r w:rsidRPr="00AC6C6F">
        <w:rPr>
          <w:rStyle w:val="FootnoteReference"/>
          <w:iCs/>
        </w:rPr>
        <w:footnoteReference w:id="2"/>
      </w:r>
      <w:r w:rsidRPr="00AC6C6F">
        <w:rPr>
          <w:iCs/>
        </w:rPr>
        <w:t xml:space="preserve"> </w:t>
      </w:r>
      <w:r w:rsidR="00874DAC" w:rsidRPr="00AC6C6F">
        <w:rPr>
          <w:iCs/>
        </w:rPr>
        <w:t>The PBAC c</w:t>
      </w:r>
      <w:r w:rsidR="007634C9" w:rsidRPr="00AC6C6F">
        <w:rPr>
          <w:iCs/>
        </w:rPr>
        <w:t xml:space="preserve">onsidered </w:t>
      </w:r>
      <w:r w:rsidRPr="00AC6C6F">
        <w:rPr>
          <w:iCs/>
        </w:rPr>
        <w:t xml:space="preserve">it </w:t>
      </w:r>
      <w:r w:rsidR="00416C93" w:rsidRPr="00AC6C6F">
        <w:rPr>
          <w:iCs/>
        </w:rPr>
        <w:t>to</w:t>
      </w:r>
      <w:r w:rsidRPr="00AC6C6F">
        <w:rPr>
          <w:iCs/>
        </w:rPr>
        <w:t xml:space="preserve"> be appropriate to exclude PBS subsidised access to mogamulizumab for CTCL subtypes such as LyP and pcALCL where </w:t>
      </w:r>
      <w:r w:rsidRPr="00AC6C6F">
        <w:rPr>
          <w:rFonts w:cstheme="minorHAnsi"/>
          <w:iCs/>
        </w:rPr>
        <w:t>≥</w:t>
      </w:r>
      <w:r w:rsidRPr="00AC6C6F">
        <w:rPr>
          <w:iCs/>
        </w:rPr>
        <w:t xml:space="preserve"> 95% of patients were alive at 5 years</w:t>
      </w:r>
      <w:r w:rsidR="007634C9" w:rsidRPr="00AC6C6F">
        <w:rPr>
          <w:iCs/>
        </w:rPr>
        <w:t>.</w:t>
      </w:r>
    </w:p>
    <w:p w:rsidR="00AF726E" w:rsidRPr="00AC6C6F" w:rsidRDefault="00AF726E" w:rsidP="00AF726E">
      <w:pPr>
        <w:pStyle w:val="3-BodyText"/>
        <w:rPr>
          <w:color w:val="0066FF"/>
        </w:rPr>
      </w:pPr>
      <w:r w:rsidRPr="00AC6C6F">
        <w:t>Consistent with brentuximab, the proposed PBS listing is not restricted to patients ineligible for stem cell transplantation (SCT); the listing for vorinostat is restricted to patients ineligible for SCT.</w:t>
      </w:r>
      <w:r w:rsidRPr="00AC6C6F">
        <w:rPr>
          <w:iCs/>
        </w:rPr>
        <w:t xml:space="preserve"> The international </w:t>
      </w:r>
      <w:r w:rsidR="008845BA" w:rsidRPr="00AC6C6F">
        <w:rPr>
          <w:iCs/>
        </w:rPr>
        <w:t xml:space="preserve">treatment </w:t>
      </w:r>
      <w:r w:rsidRPr="00AC6C6F">
        <w:rPr>
          <w:iCs/>
        </w:rPr>
        <w:t xml:space="preserve">guidelines </w:t>
      </w:r>
      <w:r w:rsidR="008845BA" w:rsidRPr="00AC6C6F">
        <w:rPr>
          <w:iCs/>
        </w:rPr>
        <w:t xml:space="preserve">for CTCL </w:t>
      </w:r>
      <w:r w:rsidRPr="00AC6C6F">
        <w:rPr>
          <w:iCs/>
        </w:rPr>
        <w:t xml:space="preserve">do not </w:t>
      </w:r>
      <w:r w:rsidR="00416C93" w:rsidRPr="00AC6C6F">
        <w:rPr>
          <w:iCs/>
        </w:rPr>
        <w:t>state</w:t>
      </w:r>
      <w:r w:rsidRPr="00AC6C6F">
        <w:rPr>
          <w:iCs/>
        </w:rPr>
        <w:t xml:space="preserve"> the timing of allogeneic SCT with respect to the numerous biological agents that are becoming available (</w:t>
      </w:r>
      <w:r w:rsidR="000D4CB7" w:rsidRPr="00AC6C6F">
        <w:rPr>
          <w:iCs/>
        </w:rPr>
        <w:t xml:space="preserve">see the </w:t>
      </w:r>
      <w:r w:rsidRPr="00AC6C6F">
        <w:rPr>
          <w:iCs/>
        </w:rPr>
        <w:t>B</w:t>
      </w:r>
      <w:r w:rsidR="008C1E87" w:rsidRPr="00AC6C6F">
        <w:rPr>
          <w:iCs/>
        </w:rPr>
        <w:t xml:space="preserve">ritish </w:t>
      </w:r>
      <w:r w:rsidRPr="00AC6C6F">
        <w:rPr>
          <w:iCs/>
        </w:rPr>
        <w:t>A</w:t>
      </w:r>
      <w:r w:rsidR="008C1E87" w:rsidRPr="00AC6C6F">
        <w:rPr>
          <w:iCs/>
        </w:rPr>
        <w:t xml:space="preserve">ssociation of </w:t>
      </w:r>
      <w:r w:rsidRPr="00AC6C6F">
        <w:rPr>
          <w:iCs/>
        </w:rPr>
        <w:t>D</w:t>
      </w:r>
      <w:r w:rsidR="008C1E87" w:rsidRPr="00AC6C6F">
        <w:rPr>
          <w:iCs/>
        </w:rPr>
        <w:t>ermatologists</w:t>
      </w:r>
      <w:r w:rsidRPr="00AC6C6F">
        <w:rPr>
          <w:iCs/>
        </w:rPr>
        <w:t>/U</w:t>
      </w:r>
      <w:r w:rsidR="008C1E87" w:rsidRPr="00AC6C6F">
        <w:rPr>
          <w:iCs/>
        </w:rPr>
        <w:t xml:space="preserve">nited Kingdom </w:t>
      </w:r>
      <w:r w:rsidRPr="00AC6C6F">
        <w:rPr>
          <w:iCs/>
        </w:rPr>
        <w:t>C</w:t>
      </w:r>
      <w:r w:rsidR="008C1E87" w:rsidRPr="00AC6C6F">
        <w:rPr>
          <w:iCs/>
        </w:rPr>
        <w:t xml:space="preserve">utaneous </w:t>
      </w:r>
      <w:r w:rsidRPr="00AC6C6F">
        <w:rPr>
          <w:iCs/>
        </w:rPr>
        <w:t>L</w:t>
      </w:r>
      <w:r w:rsidR="008C1E87" w:rsidRPr="00AC6C6F">
        <w:rPr>
          <w:iCs/>
        </w:rPr>
        <w:t xml:space="preserve">ymphoma </w:t>
      </w:r>
      <w:r w:rsidRPr="00AC6C6F">
        <w:rPr>
          <w:iCs/>
        </w:rPr>
        <w:t>G</w:t>
      </w:r>
      <w:r w:rsidR="008C1E87" w:rsidRPr="00AC6C6F">
        <w:rPr>
          <w:iCs/>
        </w:rPr>
        <w:t>roup</w:t>
      </w:r>
      <w:r w:rsidR="000D4CB7" w:rsidRPr="00AC6C6F">
        <w:rPr>
          <w:iCs/>
        </w:rPr>
        <w:t xml:space="preserve"> guidelines</w:t>
      </w:r>
      <w:r w:rsidRPr="00AC6C6F">
        <w:rPr>
          <w:iCs/>
        </w:rPr>
        <w:t xml:space="preserve">; Gilson 2019). While the submission </w:t>
      </w:r>
      <w:r w:rsidR="008845BA" w:rsidRPr="00AC6C6F">
        <w:rPr>
          <w:iCs/>
        </w:rPr>
        <w:t>did</w:t>
      </w:r>
      <w:r w:rsidRPr="00AC6C6F">
        <w:rPr>
          <w:iCs/>
        </w:rPr>
        <w:t xml:space="preserve"> not propose the specific exclusion of SCT eligible patients, there are safety concerns with undergoing an allogeneic transplant following mogamulizumab treatment, such as increased risk of severe graft versus host disease. </w:t>
      </w:r>
      <w:r w:rsidR="00EC5F25" w:rsidRPr="00AC6C6F">
        <w:rPr>
          <w:iCs/>
        </w:rPr>
        <w:t xml:space="preserve">Moreover, the economic evaluation presented in Section 3 </w:t>
      </w:r>
      <w:r w:rsidR="008845BA" w:rsidRPr="00AC6C6F">
        <w:rPr>
          <w:iCs/>
        </w:rPr>
        <w:t>wa</w:t>
      </w:r>
      <w:r w:rsidR="00EC5F25" w:rsidRPr="00AC6C6F">
        <w:rPr>
          <w:iCs/>
        </w:rPr>
        <w:t>s based on a survival analysis which excluded patients who subsequently had a</w:t>
      </w:r>
      <w:r w:rsidR="008845BA" w:rsidRPr="00AC6C6F">
        <w:rPr>
          <w:iCs/>
        </w:rPr>
        <w:t>n</w:t>
      </w:r>
      <w:r w:rsidR="00EC5F25" w:rsidRPr="00AC6C6F">
        <w:rPr>
          <w:iCs/>
        </w:rPr>
        <w:t xml:space="preserve"> SCT</w:t>
      </w:r>
      <w:r w:rsidR="00E635F0" w:rsidRPr="00AC6C6F">
        <w:rPr>
          <w:iCs/>
        </w:rPr>
        <w:t>.</w:t>
      </w:r>
    </w:p>
    <w:p w:rsidR="00AF726E" w:rsidRPr="00AC6C6F" w:rsidRDefault="00AF726E" w:rsidP="00AF726E">
      <w:pPr>
        <w:pStyle w:val="3-BodyText"/>
        <w:rPr>
          <w:color w:val="0066FF"/>
        </w:rPr>
      </w:pPr>
      <w:r w:rsidRPr="00AC6C6F">
        <w:rPr>
          <w:iCs/>
          <w:color w:val="000000" w:themeColor="text1"/>
        </w:rPr>
        <w:t xml:space="preserve">The submission requested that the definition of prior systemic therapy </w:t>
      </w:r>
      <w:r w:rsidR="00E635F0" w:rsidRPr="00AC6C6F">
        <w:rPr>
          <w:iCs/>
          <w:color w:val="000000" w:themeColor="text1"/>
        </w:rPr>
        <w:t xml:space="preserve">in the PBS listing </w:t>
      </w:r>
      <w:r w:rsidRPr="00AC6C6F">
        <w:rPr>
          <w:iCs/>
          <w:color w:val="000000" w:themeColor="text1"/>
        </w:rPr>
        <w:t xml:space="preserve">not be limited to chemotherapy </w:t>
      </w:r>
      <w:r w:rsidR="00E635F0" w:rsidRPr="00AC6C6F">
        <w:rPr>
          <w:iCs/>
          <w:color w:val="000000" w:themeColor="text1"/>
        </w:rPr>
        <w:t>(</w:t>
      </w:r>
      <w:r w:rsidRPr="00AC6C6F">
        <w:rPr>
          <w:iCs/>
          <w:color w:val="000000" w:themeColor="text1"/>
        </w:rPr>
        <w:t xml:space="preserve">as </w:t>
      </w:r>
      <w:r w:rsidR="00E635F0" w:rsidRPr="00AC6C6F">
        <w:rPr>
          <w:iCs/>
          <w:color w:val="000000" w:themeColor="text1"/>
        </w:rPr>
        <w:t xml:space="preserve">currently applies to </w:t>
      </w:r>
      <w:r w:rsidRPr="00AC6C6F">
        <w:rPr>
          <w:iCs/>
          <w:color w:val="000000" w:themeColor="text1"/>
        </w:rPr>
        <w:t>the vorinostat</w:t>
      </w:r>
      <w:r w:rsidR="00E635F0" w:rsidRPr="00AC6C6F">
        <w:rPr>
          <w:iCs/>
          <w:color w:val="000000" w:themeColor="text1"/>
        </w:rPr>
        <w:t xml:space="preserve"> listing)</w:t>
      </w:r>
      <w:r w:rsidRPr="00AC6C6F">
        <w:rPr>
          <w:iCs/>
          <w:color w:val="000000" w:themeColor="text1"/>
        </w:rPr>
        <w:t xml:space="preserve">. </w:t>
      </w:r>
      <w:r w:rsidRPr="00AC6C6F">
        <w:rPr>
          <w:color w:val="000000" w:themeColor="text1"/>
        </w:rPr>
        <w:t xml:space="preserve">This </w:t>
      </w:r>
      <w:r w:rsidR="00C448AF" w:rsidRPr="00AC6C6F">
        <w:rPr>
          <w:color w:val="000000" w:themeColor="text1"/>
        </w:rPr>
        <w:t xml:space="preserve">is consistent with the clinical evidence </w:t>
      </w:r>
      <w:r w:rsidRPr="00AC6C6F">
        <w:rPr>
          <w:color w:val="000000" w:themeColor="text1"/>
        </w:rPr>
        <w:t xml:space="preserve">as a high proportion of patients enrolled in </w:t>
      </w:r>
      <w:r w:rsidR="00C448AF" w:rsidRPr="00AC6C6F">
        <w:rPr>
          <w:color w:val="000000" w:themeColor="text1"/>
        </w:rPr>
        <w:t xml:space="preserve">the </w:t>
      </w:r>
      <w:r w:rsidRPr="00AC6C6F">
        <w:rPr>
          <w:color w:val="000000" w:themeColor="text1"/>
        </w:rPr>
        <w:t xml:space="preserve">MAVORIC </w:t>
      </w:r>
      <w:r w:rsidR="00C448AF" w:rsidRPr="00AC6C6F">
        <w:rPr>
          <w:color w:val="000000" w:themeColor="text1"/>
        </w:rPr>
        <w:t xml:space="preserve">trial </w:t>
      </w:r>
      <w:r w:rsidRPr="00AC6C6F">
        <w:rPr>
          <w:color w:val="000000" w:themeColor="text1"/>
        </w:rPr>
        <w:t xml:space="preserve">had received prior CTCL treatment with conventional chemotherapy </w:t>
      </w:r>
      <w:r w:rsidR="00C448AF" w:rsidRPr="00AC6C6F">
        <w:rPr>
          <w:color w:val="000000" w:themeColor="text1"/>
        </w:rPr>
        <w:t>as well as</w:t>
      </w:r>
      <w:r w:rsidRPr="00AC6C6F">
        <w:rPr>
          <w:color w:val="000000" w:themeColor="text1"/>
        </w:rPr>
        <w:t xml:space="preserve"> other therapies such as bexarotene and interferon (Kim, 2018).</w:t>
      </w:r>
    </w:p>
    <w:p w:rsidR="0093681E" w:rsidRPr="00AC6C6F" w:rsidRDefault="0093681E" w:rsidP="0093681E">
      <w:pPr>
        <w:pStyle w:val="3-BodyText"/>
        <w:numPr>
          <w:ilvl w:val="0"/>
          <w:numId w:val="0"/>
        </w:numPr>
        <w:ind w:left="720"/>
        <w:rPr>
          <w:i/>
          <w:iCs/>
        </w:rPr>
      </w:pPr>
      <w:r w:rsidRPr="00AC6C6F">
        <w:rPr>
          <w:i/>
          <w:iCs/>
        </w:rPr>
        <w:t>For more detail on PBAC’s view, see section 7 PBAC outcome.</w:t>
      </w:r>
    </w:p>
    <w:p w:rsidR="00AF726E" w:rsidRPr="00AC6C6F" w:rsidRDefault="00AF726E" w:rsidP="00AF726E">
      <w:pPr>
        <w:pStyle w:val="2-SectionHeading"/>
        <w:numPr>
          <w:ilvl w:val="0"/>
          <w:numId w:val="1"/>
        </w:numPr>
      </w:pPr>
      <w:bookmarkStart w:id="7" w:name="_Toc40177088"/>
      <w:r w:rsidRPr="00AC6C6F">
        <w:t>Population and disease</w:t>
      </w:r>
      <w:bookmarkEnd w:id="7"/>
    </w:p>
    <w:p w:rsidR="00AF726E" w:rsidRPr="00AC6C6F" w:rsidRDefault="00AF726E" w:rsidP="00AF726E">
      <w:pPr>
        <w:pStyle w:val="3-BodyText"/>
        <w:rPr>
          <w:color w:val="0066FF"/>
        </w:rPr>
      </w:pPr>
      <w:r w:rsidRPr="00AC6C6F">
        <w:t>Lymphoma is a haematological cancer of the lymphocytes. CTCL is a rare subtype of Non-Hodgkin lymphoma (2-3% of cases) that presents with skin manifestation at diagnosis and eventually involves the lymph nodes, blood and internal organs (p1, Vorinostat, PSD, March 2011 PBAC meeting). The two most common forms of CTCL are MF or SS which comprise approximately two-thirds of CTCL</w:t>
      </w:r>
      <w:r w:rsidR="00D24153" w:rsidRPr="00AC6C6F">
        <w:t xml:space="preserve"> cases</w:t>
      </w:r>
      <w:r w:rsidRPr="00AC6C6F">
        <w:t xml:space="preserve">, the remainder are various CD30+ primary cutaneous lymphoproliferative disorders, most notably primary cutaneous anaplastic large cell lymphoma (pcALCL) and LyP. </w:t>
      </w:r>
    </w:p>
    <w:p w:rsidR="00AF726E" w:rsidRPr="00AC6C6F" w:rsidRDefault="00AF726E" w:rsidP="00AF726E">
      <w:pPr>
        <w:pStyle w:val="3-BodyText"/>
        <w:rPr>
          <w:color w:val="0066FF"/>
        </w:rPr>
      </w:pPr>
      <w:r w:rsidRPr="00AC6C6F">
        <w:t xml:space="preserve">Mogamulizumab is a defucosylated, humanised IgG1 kappa immunoglobulin that selectively binds to C-C chemokine receptor type 4 (CCR4), a G-protein-coupled that is involved in the trafficking of lymphocytes to various organs including the skin, resulting in depletion of the target cells. CCR4 is inherently expressed on the surface of certain T cell malignancies, such as MF and SS. </w:t>
      </w:r>
    </w:p>
    <w:p w:rsidR="00AF726E" w:rsidRPr="00AC6C6F" w:rsidRDefault="005E6682" w:rsidP="00D24153">
      <w:pPr>
        <w:pStyle w:val="3-BodyText"/>
        <w:rPr>
          <w:color w:val="0066FF"/>
        </w:rPr>
      </w:pPr>
      <w:r w:rsidRPr="00AC6C6F">
        <w:t>The submission stated</w:t>
      </w:r>
      <w:r w:rsidR="004350E3" w:rsidRPr="00AC6C6F">
        <w:t xml:space="preserve"> that the Australian lymphoma guideline was updated in 2009, and was no longer reflective of </w:t>
      </w:r>
      <w:r w:rsidR="000D4CB7" w:rsidRPr="00AC6C6F">
        <w:t xml:space="preserve">current </w:t>
      </w:r>
      <w:r w:rsidR="004350E3" w:rsidRPr="00AC6C6F">
        <w:t>clinical practice. Hence, t</w:t>
      </w:r>
      <w:r w:rsidR="00AF726E" w:rsidRPr="00AC6C6F">
        <w:t>he algorithm presented in the submission was said to be a simplified partial Australian treatment algorithm which reflects current real</w:t>
      </w:r>
      <w:r w:rsidR="00BA6D21" w:rsidRPr="00AC6C6F">
        <w:t>-</w:t>
      </w:r>
      <w:r w:rsidR="00AF726E" w:rsidRPr="00AC6C6F">
        <w:t>world practice.</w:t>
      </w:r>
      <w:r w:rsidR="00AF726E" w:rsidRPr="00AC6C6F">
        <w:rPr>
          <w:i/>
          <w:iCs/>
        </w:rPr>
        <w:t xml:space="preserve"> </w:t>
      </w:r>
      <w:r w:rsidR="00AF726E" w:rsidRPr="00AC6C6F">
        <w:t>The submission’s proposed place in therapy for mogamulizumab in CTCL is presented in Figure 1.</w:t>
      </w:r>
    </w:p>
    <w:p w:rsidR="00AF726E" w:rsidRPr="00AC6C6F" w:rsidRDefault="00AF726E" w:rsidP="008632D2">
      <w:pPr>
        <w:pStyle w:val="3-BodyText"/>
        <w:keepNext/>
        <w:numPr>
          <w:ilvl w:val="0"/>
          <w:numId w:val="0"/>
        </w:numPr>
        <w:rPr>
          <w:rStyle w:val="CommentReference"/>
          <w:szCs w:val="20"/>
        </w:rPr>
      </w:pPr>
      <w:r w:rsidRPr="00AC6C6F">
        <w:rPr>
          <w:rFonts w:ascii="Arial Narrow" w:hAnsi="Arial Narrow"/>
          <w:b/>
          <w:bCs/>
          <w:sz w:val="20"/>
          <w:szCs w:val="20"/>
        </w:rPr>
        <w:t>Figure 1:</w:t>
      </w:r>
      <w:r w:rsidRPr="00AC6C6F">
        <w:rPr>
          <w:rFonts w:ascii="Arial Narrow" w:hAnsi="Arial Narrow"/>
          <w:sz w:val="20"/>
          <w:szCs w:val="20"/>
        </w:rPr>
        <w:t xml:space="preserve"> </w:t>
      </w:r>
      <w:r w:rsidRPr="00AC6C6F">
        <w:rPr>
          <w:rStyle w:val="CommentReference"/>
          <w:szCs w:val="20"/>
        </w:rPr>
        <w:t xml:space="preserve">Proposed </w:t>
      </w:r>
      <w:r w:rsidRPr="00AC6C6F">
        <w:rPr>
          <w:rFonts w:ascii="Arial Narrow" w:hAnsi="Arial Narrow"/>
          <w:b/>
          <w:bCs/>
          <w:color w:val="000000" w:themeColor="text1"/>
          <w:sz w:val="20"/>
          <w:szCs w:val="20"/>
        </w:rPr>
        <w:t>simplified partial Australian treatment algorithm</w:t>
      </w:r>
    </w:p>
    <w:p w:rsidR="00D24153" w:rsidRPr="00AC6C6F" w:rsidRDefault="00AF726E" w:rsidP="008632D2">
      <w:pPr>
        <w:pStyle w:val="3-BodyText"/>
        <w:numPr>
          <w:ilvl w:val="0"/>
          <w:numId w:val="0"/>
        </w:numPr>
        <w:spacing w:after="0"/>
        <w:rPr>
          <w:rFonts w:ascii="Arial Narrow" w:hAnsi="Arial Narrow"/>
          <w:sz w:val="18"/>
          <w:szCs w:val="18"/>
        </w:rPr>
      </w:pPr>
      <w:r w:rsidRPr="00AC6C6F">
        <w:rPr>
          <w:noProof/>
        </w:rPr>
        <w:drawing>
          <wp:inline distT="0" distB="0" distL="0" distR="0" wp14:anchorId="75FA10CD" wp14:editId="399D66B4">
            <wp:extent cx="4894289" cy="4316321"/>
            <wp:effectExtent l="0" t="0" r="0" b="1905"/>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13210" cy="4333008"/>
                    </a:xfrm>
                    <a:prstGeom prst="rect">
                      <a:avLst/>
                    </a:prstGeom>
                  </pic:spPr>
                </pic:pic>
              </a:graphicData>
            </a:graphic>
          </wp:inline>
        </w:drawing>
      </w:r>
    </w:p>
    <w:p w:rsidR="00AF726E" w:rsidRPr="00AC6C6F" w:rsidRDefault="00AF726E" w:rsidP="008632D2">
      <w:pPr>
        <w:pStyle w:val="3-BodyText"/>
        <w:numPr>
          <w:ilvl w:val="0"/>
          <w:numId w:val="0"/>
        </w:numPr>
        <w:spacing w:after="0"/>
        <w:rPr>
          <w:rFonts w:ascii="Arial Narrow" w:hAnsi="Arial Narrow"/>
          <w:sz w:val="18"/>
          <w:szCs w:val="18"/>
        </w:rPr>
      </w:pPr>
      <w:r w:rsidRPr="00AC6C6F">
        <w:rPr>
          <w:rFonts w:ascii="Arial Narrow" w:hAnsi="Arial Narrow"/>
          <w:sz w:val="18"/>
          <w:szCs w:val="18"/>
        </w:rPr>
        <w:t>Source: Figure 1-10, p48 of the submission.</w:t>
      </w:r>
    </w:p>
    <w:p w:rsidR="00AF726E" w:rsidRPr="00AC6C6F" w:rsidRDefault="00AF726E" w:rsidP="008632D2">
      <w:pPr>
        <w:pStyle w:val="3-BodyText"/>
        <w:numPr>
          <w:ilvl w:val="0"/>
          <w:numId w:val="0"/>
        </w:numPr>
        <w:spacing w:after="0"/>
        <w:rPr>
          <w:color w:val="0066FF"/>
        </w:rPr>
      </w:pPr>
      <w:r w:rsidRPr="00AC6C6F">
        <w:rPr>
          <w:rFonts w:ascii="Arial Narrow" w:hAnsi="Arial Narrow"/>
          <w:sz w:val="18"/>
          <w:szCs w:val="18"/>
        </w:rPr>
        <w:t xml:space="preserve">Abbreviations: CTCL = cutaneous T cell lymphoma; ECP = extracorporeal photopheresis; SCT = stem cell transplantation </w:t>
      </w:r>
    </w:p>
    <w:p w:rsidR="00AF726E" w:rsidRPr="00AC6C6F" w:rsidRDefault="00AF726E" w:rsidP="008632D2">
      <w:pPr>
        <w:pStyle w:val="3-BodyText"/>
        <w:numPr>
          <w:ilvl w:val="0"/>
          <w:numId w:val="0"/>
        </w:numPr>
        <w:rPr>
          <w:color w:val="0066FF"/>
        </w:rPr>
      </w:pPr>
    </w:p>
    <w:p w:rsidR="00FA6339" w:rsidRPr="00AC6C6F" w:rsidRDefault="00FA6339" w:rsidP="00A20536">
      <w:pPr>
        <w:pStyle w:val="3-BodyText"/>
      </w:pPr>
      <w:r w:rsidRPr="00AC6C6F">
        <w:t>The ESC considered that relapsed or refractory CTCL was a relatively rare lymphoma with high symptom burden for which there were currently limited treatment options.</w:t>
      </w:r>
      <w:r w:rsidR="0055789B" w:rsidRPr="00AC6C6F">
        <w:t xml:space="preserve"> The PBAC noted that the </w:t>
      </w:r>
      <w:r w:rsidR="00A20536" w:rsidRPr="00AC6C6F">
        <w:t>Medical Services Advisory Committee (MSAC) recently supported public funding through the Medicare Benefits Schedule for the use of extracorporeal photopheresis for patients with erythrodermic (stage T4 M0) CTCL who are refractory to one or more systemic therapies.</w:t>
      </w:r>
      <w:r w:rsidR="00A20536" w:rsidRPr="00AC6C6F">
        <w:rPr>
          <w:rStyle w:val="FootnoteReference"/>
        </w:rPr>
        <w:footnoteReference w:id="3"/>
      </w:r>
      <w:r w:rsidR="00A20536" w:rsidRPr="00AC6C6F">
        <w:t xml:space="preserve"> </w:t>
      </w:r>
    </w:p>
    <w:p w:rsidR="0093681E" w:rsidRPr="00AC6C6F" w:rsidRDefault="0093681E" w:rsidP="0093681E">
      <w:pPr>
        <w:pStyle w:val="3-BodyText"/>
        <w:numPr>
          <w:ilvl w:val="0"/>
          <w:numId w:val="0"/>
        </w:numPr>
        <w:ind w:left="720"/>
        <w:rPr>
          <w:i/>
        </w:rPr>
      </w:pPr>
      <w:r w:rsidRPr="00AC6C6F">
        <w:rPr>
          <w:i/>
        </w:rPr>
        <w:t>For more detail on PBAC’s view, see section 7 PBAC outcome.</w:t>
      </w:r>
    </w:p>
    <w:p w:rsidR="00AF726E" w:rsidRPr="00AC6C6F" w:rsidRDefault="00AF726E" w:rsidP="00AF726E">
      <w:pPr>
        <w:pStyle w:val="2-SectionHeading"/>
        <w:numPr>
          <w:ilvl w:val="0"/>
          <w:numId w:val="1"/>
        </w:numPr>
      </w:pPr>
      <w:bookmarkStart w:id="8" w:name="_Toc40177089"/>
      <w:r w:rsidRPr="00AC6C6F">
        <w:t>Comparator</w:t>
      </w:r>
      <w:bookmarkEnd w:id="8"/>
    </w:p>
    <w:p w:rsidR="006346E1" w:rsidRPr="00AC6C6F" w:rsidRDefault="00AF726E" w:rsidP="00AF726E">
      <w:pPr>
        <w:pStyle w:val="3-BodyText"/>
        <w:rPr>
          <w:snapToGrid/>
        </w:rPr>
      </w:pPr>
      <w:r w:rsidRPr="00AC6C6F">
        <w:rPr>
          <w:snapToGrid/>
        </w:rPr>
        <w:t xml:space="preserve">The </w:t>
      </w:r>
      <w:r w:rsidRPr="00AC6C6F">
        <w:rPr>
          <w:color w:val="000000" w:themeColor="text1"/>
        </w:rPr>
        <w:t xml:space="preserve">submission nominated vorinostat as the main comparator. </w:t>
      </w:r>
      <w:r w:rsidR="006346E1" w:rsidRPr="00AC6C6F">
        <w:rPr>
          <w:color w:val="000000" w:themeColor="text1"/>
        </w:rPr>
        <w:t>The ESC considered</w:t>
      </w:r>
      <w:r w:rsidR="006346E1" w:rsidRPr="00AC6C6F">
        <w:rPr>
          <w:i/>
          <w:color w:val="000000" w:themeColor="text1"/>
        </w:rPr>
        <w:t xml:space="preserve"> </w:t>
      </w:r>
      <w:r w:rsidR="006346E1" w:rsidRPr="00AC6C6F">
        <w:t>t</w:t>
      </w:r>
      <w:r w:rsidRPr="00AC6C6F">
        <w:t xml:space="preserve">he justification and choice of vorinostat as the </w:t>
      </w:r>
      <w:r w:rsidR="00BA6D21" w:rsidRPr="00AC6C6F">
        <w:t xml:space="preserve">main </w:t>
      </w:r>
      <w:r w:rsidRPr="00AC6C6F">
        <w:t xml:space="preserve">comparator was reasonable. </w:t>
      </w:r>
    </w:p>
    <w:p w:rsidR="00AF726E" w:rsidRPr="00AC6C6F" w:rsidRDefault="006346E1" w:rsidP="00AF726E">
      <w:pPr>
        <w:pStyle w:val="3-BodyText"/>
        <w:rPr>
          <w:snapToGrid/>
        </w:rPr>
      </w:pPr>
      <w:r w:rsidRPr="00AC6C6F">
        <w:rPr>
          <w:snapToGrid/>
        </w:rPr>
        <w:t xml:space="preserve">The </w:t>
      </w:r>
      <w:r w:rsidRPr="00AC6C6F">
        <w:rPr>
          <w:color w:val="000000" w:themeColor="text1"/>
        </w:rPr>
        <w:t xml:space="preserve">submission nominated brentuximab as </w:t>
      </w:r>
      <w:r w:rsidR="00416C93" w:rsidRPr="00AC6C6F">
        <w:rPr>
          <w:color w:val="000000" w:themeColor="text1"/>
        </w:rPr>
        <w:t xml:space="preserve">a </w:t>
      </w:r>
      <w:r w:rsidRPr="00AC6C6F">
        <w:rPr>
          <w:color w:val="000000" w:themeColor="text1"/>
        </w:rPr>
        <w:t>secondary comparator.</w:t>
      </w:r>
      <w:r w:rsidRPr="00AC6C6F">
        <w:rPr>
          <w:iCs/>
          <w:szCs w:val="18"/>
        </w:rPr>
        <w:t xml:space="preserve"> </w:t>
      </w:r>
      <w:r w:rsidR="00AF726E" w:rsidRPr="00AC6C6F">
        <w:rPr>
          <w:iCs/>
          <w:szCs w:val="18"/>
        </w:rPr>
        <w:t xml:space="preserve">Brentuximab is PBS listed for a subgroup of CTCL patients with CD30+ MF, SS or pcALCL who have relapsed or refractory disease with prior systemic treatment. The submission </w:t>
      </w:r>
      <w:r w:rsidR="005E6682" w:rsidRPr="00AC6C6F">
        <w:rPr>
          <w:iCs/>
          <w:szCs w:val="18"/>
        </w:rPr>
        <w:t>stated that</w:t>
      </w:r>
      <w:r w:rsidR="00AF726E" w:rsidRPr="00AC6C6F">
        <w:rPr>
          <w:iCs/>
          <w:szCs w:val="18"/>
        </w:rPr>
        <w:t xml:space="preserve"> this population partially overlaps with the proposed mogamulizumab</w:t>
      </w:r>
      <w:r w:rsidR="00D24153" w:rsidRPr="00AC6C6F">
        <w:rPr>
          <w:iCs/>
          <w:szCs w:val="18"/>
        </w:rPr>
        <w:t xml:space="preserve"> population</w:t>
      </w:r>
      <w:r w:rsidR="00AF726E" w:rsidRPr="00AC6C6F">
        <w:rPr>
          <w:iCs/>
          <w:szCs w:val="18"/>
        </w:rPr>
        <w:t xml:space="preserve">, in that any patient eligible for brentuximab would also be able to receive mogamulizumab, but only a subgroup of CD30+ patients would be eligible to receive brentuximab. </w:t>
      </w:r>
      <w:r w:rsidRPr="00AC6C6F">
        <w:rPr>
          <w:iCs/>
          <w:szCs w:val="18"/>
        </w:rPr>
        <w:t>The ESC considered</w:t>
      </w:r>
      <w:r w:rsidRPr="00AC6C6F">
        <w:rPr>
          <w:i/>
          <w:iCs/>
          <w:szCs w:val="18"/>
        </w:rPr>
        <w:t xml:space="preserve"> </w:t>
      </w:r>
      <w:r w:rsidRPr="00AC6C6F">
        <w:rPr>
          <w:iCs/>
        </w:rPr>
        <w:t>t</w:t>
      </w:r>
      <w:r w:rsidR="00AF726E" w:rsidRPr="00AC6C6F">
        <w:rPr>
          <w:iCs/>
        </w:rPr>
        <w:t xml:space="preserve">he nomination of brentuximab as </w:t>
      </w:r>
      <w:r w:rsidR="00416C93" w:rsidRPr="00AC6C6F">
        <w:rPr>
          <w:iCs/>
        </w:rPr>
        <w:t xml:space="preserve">a </w:t>
      </w:r>
      <w:r w:rsidR="00AF726E" w:rsidRPr="00AC6C6F">
        <w:rPr>
          <w:iCs/>
        </w:rPr>
        <w:t xml:space="preserve">secondary comparator was reasonable. </w:t>
      </w:r>
    </w:p>
    <w:p w:rsidR="0093681E" w:rsidRPr="00AC6C6F" w:rsidRDefault="0093681E" w:rsidP="0093681E">
      <w:pPr>
        <w:pStyle w:val="3-BodyText"/>
        <w:numPr>
          <w:ilvl w:val="0"/>
          <w:numId w:val="0"/>
        </w:numPr>
        <w:ind w:left="720"/>
        <w:rPr>
          <w:i/>
        </w:rPr>
      </w:pPr>
      <w:r w:rsidRPr="00AC6C6F">
        <w:rPr>
          <w:i/>
        </w:rPr>
        <w:t>For more detail on PBAC’s view, see section 7 PBAC outcome.</w:t>
      </w:r>
    </w:p>
    <w:p w:rsidR="00AF726E" w:rsidRPr="00AC6C6F" w:rsidRDefault="00AF726E" w:rsidP="00AF726E">
      <w:pPr>
        <w:pStyle w:val="2-SectionHeading"/>
        <w:numPr>
          <w:ilvl w:val="0"/>
          <w:numId w:val="1"/>
        </w:numPr>
      </w:pPr>
      <w:bookmarkStart w:id="9" w:name="_Toc40177090"/>
      <w:r w:rsidRPr="00AC6C6F">
        <w:t>Consideration of the evidence</w:t>
      </w:r>
      <w:bookmarkEnd w:id="9"/>
    </w:p>
    <w:p w:rsidR="0093681E" w:rsidRPr="00AC6C6F" w:rsidRDefault="0093681E" w:rsidP="00AF726E">
      <w:pPr>
        <w:pStyle w:val="4-SubsectionHeading"/>
      </w:pPr>
      <w:bookmarkStart w:id="10" w:name="_Toc40177091"/>
      <w:r w:rsidRPr="00AC6C6F">
        <w:t xml:space="preserve">Sponsor hearing </w:t>
      </w:r>
    </w:p>
    <w:p w:rsidR="0093681E" w:rsidRPr="00AC6C6F" w:rsidRDefault="0093681E" w:rsidP="0093681E">
      <w:pPr>
        <w:pStyle w:val="3-BodyText"/>
      </w:pPr>
      <w:r w:rsidRPr="00AC6C6F">
        <w:t xml:space="preserve">There was no hearing for this item. </w:t>
      </w:r>
    </w:p>
    <w:p w:rsidR="0093681E" w:rsidRPr="00AC6C6F" w:rsidRDefault="0093681E" w:rsidP="0093681E">
      <w:pPr>
        <w:pStyle w:val="4-SubsectionHeading"/>
      </w:pPr>
      <w:r w:rsidRPr="00AC6C6F">
        <w:t>Consumer comments</w:t>
      </w:r>
    </w:p>
    <w:p w:rsidR="00A54407" w:rsidRPr="00AC6C6F" w:rsidRDefault="00A54407" w:rsidP="00A54407">
      <w:pPr>
        <w:pStyle w:val="3-BodyText"/>
        <w:rPr>
          <w:rFonts w:cstheme="minorHAnsi"/>
        </w:rPr>
      </w:pPr>
      <w:r w:rsidRPr="00AC6C6F">
        <w:rPr>
          <w:rFonts w:cstheme="minorHAnsi"/>
        </w:rPr>
        <w:t>The PBAC noted and welcomed the input from individuals (1), health care professionals (2) and organisations (3) via the Consumer Comments facility on the PBS website</w:t>
      </w:r>
      <w:r w:rsidR="00AC6C6F">
        <w:rPr>
          <w:rFonts w:cstheme="minorHAnsi"/>
        </w:rPr>
        <w:t xml:space="preserve">. </w:t>
      </w:r>
      <w:r w:rsidRPr="00AC6C6F">
        <w:rPr>
          <w:rFonts w:cstheme="minorHAnsi"/>
        </w:rPr>
        <w:t>The comments described the high symptom burden often faced by patients with relapsed or refractory CTCL. Comments from the Leukaemia Foundation, Rare Cancers Australia and Lymphoma Australia highlighted the need for new treatment options in the management of this rare cancer</w:t>
      </w:r>
      <w:r w:rsidR="00AC6C6F">
        <w:rPr>
          <w:rFonts w:cstheme="minorHAnsi"/>
        </w:rPr>
        <w:t xml:space="preserve">. </w:t>
      </w:r>
    </w:p>
    <w:p w:rsidR="00AF726E" w:rsidRPr="00AC6C6F" w:rsidRDefault="00AF726E" w:rsidP="00AF726E">
      <w:pPr>
        <w:pStyle w:val="4-SubsectionHeading"/>
      </w:pPr>
      <w:r w:rsidRPr="00AC6C6F">
        <w:t>Clinical trials</w:t>
      </w:r>
      <w:bookmarkEnd w:id="10"/>
    </w:p>
    <w:p w:rsidR="00AF726E" w:rsidRPr="00AC6C6F" w:rsidRDefault="00AF726E" w:rsidP="00AF726E">
      <w:pPr>
        <w:pStyle w:val="3-BodyText"/>
        <w:rPr>
          <w:color w:val="0066FF"/>
        </w:rPr>
      </w:pPr>
      <w:r w:rsidRPr="00AC6C6F">
        <w:rPr>
          <w:rFonts w:cstheme="minorHAnsi"/>
        </w:rPr>
        <w:t xml:space="preserve">The submission was based predominantly on one head-to-head phase 3, open-label, randomised clinical trial (RCT), MAVORIC </w:t>
      </w:r>
      <w:r w:rsidRPr="00AC6C6F">
        <w:rPr>
          <w:rStyle w:val="Small"/>
          <w:rFonts w:ascii="Calibri" w:hAnsi="Calibri" w:cs="Calibri"/>
          <w:bCs/>
          <w:sz w:val="24"/>
        </w:rPr>
        <w:t>(N = 372)</w:t>
      </w:r>
      <w:r w:rsidRPr="00AC6C6F">
        <w:rPr>
          <w:rFonts w:cstheme="minorHAnsi"/>
        </w:rPr>
        <w:t xml:space="preserve"> comparing mogamulizumab with vorinostat in patients with MF or SS CTCL subtypes following at least one prior systemic therapy. For the secondary comparator, brentuximab, the submission presented a naïve comparison between </w:t>
      </w:r>
      <w:r w:rsidR="00A4756C" w:rsidRPr="00AC6C6F">
        <w:rPr>
          <w:rFonts w:cstheme="minorHAnsi"/>
        </w:rPr>
        <w:t xml:space="preserve">the </w:t>
      </w:r>
      <w:r w:rsidRPr="00AC6C6F">
        <w:rPr>
          <w:rFonts w:cstheme="minorHAnsi"/>
        </w:rPr>
        <w:t>MAVORIC and ALCANZA (</w:t>
      </w:r>
      <w:r w:rsidR="008479DE" w:rsidRPr="00AC6C6F">
        <w:rPr>
          <w:rFonts w:cstheme="minorHAnsi"/>
        </w:rPr>
        <w:t>N</w:t>
      </w:r>
      <w:r w:rsidRPr="00AC6C6F">
        <w:rPr>
          <w:rFonts w:cstheme="minorHAnsi"/>
        </w:rPr>
        <w:t xml:space="preserve"> = 131) </w:t>
      </w:r>
      <w:r w:rsidR="00A4756C" w:rsidRPr="00AC6C6F">
        <w:rPr>
          <w:rFonts w:cstheme="minorHAnsi"/>
        </w:rPr>
        <w:t xml:space="preserve">trials. ALCANZA </w:t>
      </w:r>
      <w:r w:rsidRPr="00AC6C6F">
        <w:rPr>
          <w:rFonts w:cstheme="minorHAnsi"/>
        </w:rPr>
        <w:t xml:space="preserve">was a phase 3, open-label, RCT comparing brentuximab and physician choice of bexarotene or methotrexate for previously treated patients with CD30+ </w:t>
      </w:r>
      <w:r w:rsidR="003900E8" w:rsidRPr="00AC6C6F">
        <w:rPr>
          <w:rFonts w:cstheme="minorHAnsi"/>
        </w:rPr>
        <w:t>MF or pcA</w:t>
      </w:r>
      <w:r w:rsidR="008479DE" w:rsidRPr="00AC6C6F">
        <w:rPr>
          <w:rFonts w:cstheme="minorHAnsi"/>
        </w:rPr>
        <w:t>LC</w:t>
      </w:r>
      <w:r w:rsidR="003900E8" w:rsidRPr="00AC6C6F">
        <w:rPr>
          <w:rFonts w:cstheme="minorHAnsi"/>
        </w:rPr>
        <w:t>L</w:t>
      </w:r>
      <w:r w:rsidR="008479DE" w:rsidRPr="00AC6C6F">
        <w:rPr>
          <w:rFonts w:cstheme="minorHAnsi"/>
        </w:rPr>
        <w:t xml:space="preserve"> subtypes of </w:t>
      </w:r>
      <w:r w:rsidRPr="00AC6C6F">
        <w:rPr>
          <w:rFonts w:cstheme="minorHAnsi"/>
        </w:rPr>
        <w:t xml:space="preserve">CTCL. </w:t>
      </w:r>
    </w:p>
    <w:p w:rsidR="00AF726E" w:rsidRPr="00AC6C6F" w:rsidRDefault="00AF726E" w:rsidP="00AF726E">
      <w:pPr>
        <w:pStyle w:val="3-BodyText"/>
        <w:rPr>
          <w:color w:val="0066FF"/>
        </w:rPr>
      </w:pPr>
      <w:r w:rsidRPr="00AC6C6F">
        <w:rPr>
          <w:rFonts w:cstheme="minorHAnsi"/>
        </w:rPr>
        <w:t>Six supplementary non-randomised trials were also presented as supportive evidence</w:t>
      </w:r>
      <w:r w:rsidR="00F47F13" w:rsidRPr="00AC6C6F">
        <w:rPr>
          <w:rFonts w:cstheme="minorHAnsi"/>
        </w:rPr>
        <w:t>:</w:t>
      </w:r>
      <w:r w:rsidRPr="00AC6C6F">
        <w:rPr>
          <w:rFonts w:cstheme="minorHAnsi"/>
        </w:rPr>
        <w:t xml:space="preserve"> </w:t>
      </w:r>
    </w:p>
    <w:p w:rsidR="00AF726E" w:rsidRPr="00AC6C6F" w:rsidRDefault="00AF726E" w:rsidP="004A37B7">
      <w:pPr>
        <w:pStyle w:val="ListBullet"/>
        <w:widowControl w:val="0"/>
        <w:numPr>
          <w:ilvl w:val="0"/>
          <w:numId w:val="10"/>
        </w:numPr>
        <w:ind w:left="1080"/>
        <w:rPr>
          <w:rFonts w:cstheme="minorHAnsi"/>
          <w:color w:val="000000"/>
          <w:shd w:val="clear" w:color="auto" w:fill="FFFFFF"/>
        </w:rPr>
      </w:pPr>
      <w:r w:rsidRPr="00AC6C6F">
        <w:rPr>
          <w:rFonts w:cstheme="minorHAnsi"/>
        </w:rPr>
        <w:t xml:space="preserve">Two mogamulizumab trials: </w:t>
      </w:r>
      <w:r w:rsidRPr="00AC6C6F">
        <w:rPr>
          <w:rFonts w:cstheme="minorHAnsi"/>
          <w:color w:val="000000"/>
          <w:shd w:val="clear" w:color="auto" w:fill="FFFFFF"/>
        </w:rPr>
        <w:t>KW-0761-001 (</w:t>
      </w:r>
      <w:r w:rsidR="008479DE" w:rsidRPr="00AC6C6F">
        <w:rPr>
          <w:rFonts w:cstheme="minorHAnsi"/>
          <w:color w:val="000000"/>
          <w:shd w:val="clear" w:color="auto" w:fill="FFFFFF"/>
        </w:rPr>
        <w:t>N</w:t>
      </w:r>
      <w:r w:rsidRPr="00AC6C6F">
        <w:rPr>
          <w:rFonts w:cstheme="minorHAnsi"/>
          <w:color w:val="000000"/>
          <w:shd w:val="clear" w:color="auto" w:fill="FFFFFF"/>
        </w:rPr>
        <w:t xml:space="preserve"> = 41) a </w:t>
      </w:r>
      <w:r w:rsidR="006030BA" w:rsidRPr="00AC6C6F">
        <w:rPr>
          <w:rFonts w:cstheme="minorHAnsi"/>
          <w:color w:val="000000"/>
          <w:shd w:val="clear" w:color="auto" w:fill="FFFFFF"/>
        </w:rPr>
        <w:t xml:space="preserve">phase </w:t>
      </w:r>
      <w:r w:rsidRPr="00AC6C6F">
        <w:rPr>
          <w:rFonts w:cstheme="minorHAnsi"/>
          <w:color w:val="000000"/>
          <w:shd w:val="clear" w:color="auto" w:fill="FFFFFF"/>
        </w:rPr>
        <w:t>I/II trial in previously treated peripheral T cell lymphoma or CTCL; and KW-0761-004 (</w:t>
      </w:r>
      <w:r w:rsidR="008479DE" w:rsidRPr="00AC6C6F">
        <w:rPr>
          <w:rFonts w:cstheme="minorHAnsi"/>
          <w:color w:val="000000"/>
          <w:shd w:val="clear" w:color="auto" w:fill="FFFFFF"/>
        </w:rPr>
        <w:t>N</w:t>
      </w:r>
      <w:r w:rsidRPr="00AC6C6F">
        <w:rPr>
          <w:rFonts w:cstheme="minorHAnsi"/>
          <w:color w:val="000000"/>
          <w:shd w:val="clear" w:color="auto" w:fill="FFFFFF"/>
        </w:rPr>
        <w:t xml:space="preserve"> = 38)</w:t>
      </w:r>
      <w:r w:rsidR="006030BA" w:rsidRPr="00AC6C6F">
        <w:rPr>
          <w:rFonts w:cstheme="minorHAnsi"/>
          <w:color w:val="000000"/>
          <w:shd w:val="clear" w:color="auto" w:fill="FFFFFF"/>
        </w:rPr>
        <w:t>,</w:t>
      </w:r>
      <w:r w:rsidRPr="00AC6C6F">
        <w:rPr>
          <w:rFonts w:cstheme="minorHAnsi"/>
          <w:color w:val="000000"/>
          <w:shd w:val="clear" w:color="auto" w:fill="FFFFFF"/>
        </w:rPr>
        <w:t xml:space="preserve"> a </w:t>
      </w:r>
      <w:r w:rsidR="006030BA" w:rsidRPr="00AC6C6F">
        <w:rPr>
          <w:rFonts w:cstheme="minorHAnsi"/>
          <w:color w:val="000000"/>
          <w:shd w:val="clear" w:color="auto" w:fill="FFFFFF"/>
        </w:rPr>
        <w:t xml:space="preserve">late phase </w:t>
      </w:r>
      <w:r w:rsidRPr="00AC6C6F">
        <w:rPr>
          <w:rFonts w:cstheme="minorHAnsi"/>
          <w:color w:val="000000"/>
          <w:shd w:val="clear" w:color="auto" w:fill="FFFFFF"/>
        </w:rPr>
        <w:t>II trial in CCR4-positive peripheral T/NK-</w:t>
      </w:r>
      <w:r w:rsidR="00F47F13" w:rsidRPr="00AC6C6F">
        <w:rPr>
          <w:rFonts w:cstheme="minorHAnsi"/>
          <w:color w:val="000000"/>
          <w:shd w:val="clear" w:color="auto" w:fill="FFFFFF"/>
        </w:rPr>
        <w:t>c</w:t>
      </w:r>
      <w:r w:rsidRPr="00AC6C6F">
        <w:rPr>
          <w:rFonts w:cstheme="minorHAnsi"/>
          <w:color w:val="000000"/>
          <w:shd w:val="clear" w:color="auto" w:fill="FFFFFF"/>
        </w:rPr>
        <w:t>ell lymphoma</w:t>
      </w:r>
      <w:r w:rsidR="00AC6C6F">
        <w:rPr>
          <w:rFonts w:cstheme="minorHAnsi"/>
          <w:color w:val="000000"/>
          <w:shd w:val="clear" w:color="auto" w:fill="FFFFFF"/>
        </w:rPr>
        <w:t xml:space="preserve">. </w:t>
      </w:r>
    </w:p>
    <w:p w:rsidR="00AF726E" w:rsidRPr="00AC6C6F" w:rsidRDefault="00AF726E" w:rsidP="004A37B7">
      <w:pPr>
        <w:pStyle w:val="ListBullet"/>
        <w:widowControl w:val="0"/>
        <w:numPr>
          <w:ilvl w:val="0"/>
          <w:numId w:val="10"/>
        </w:numPr>
        <w:ind w:left="1080"/>
        <w:rPr>
          <w:rFonts w:cstheme="minorHAnsi"/>
        </w:rPr>
      </w:pPr>
      <w:r w:rsidRPr="00AC6C6F">
        <w:rPr>
          <w:rFonts w:cstheme="minorHAnsi"/>
          <w:color w:val="000000"/>
          <w:shd w:val="clear" w:color="auto" w:fill="FFFFFF"/>
        </w:rPr>
        <w:t>Two</w:t>
      </w:r>
      <w:r w:rsidRPr="00AC6C6F">
        <w:rPr>
          <w:rFonts w:cstheme="minorHAnsi"/>
        </w:rPr>
        <w:t xml:space="preserve"> vorinostat trials: </w:t>
      </w:r>
      <w:r w:rsidRPr="00AC6C6F">
        <w:rPr>
          <w:rFonts w:cstheme="minorHAnsi"/>
          <w:color w:val="000000"/>
          <w:shd w:val="clear" w:color="auto" w:fill="FFFFFF"/>
        </w:rPr>
        <w:t>Study P001 (</w:t>
      </w:r>
      <w:r w:rsidR="008479DE" w:rsidRPr="00AC6C6F">
        <w:rPr>
          <w:rFonts w:cstheme="minorHAnsi"/>
          <w:color w:val="000000"/>
          <w:shd w:val="clear" w:color="auto" w:fill="FFFFFF"/>
        </w:rPr>
        <w:t>N</w:t>
      </w:r>
      <w:r w:rsidRPr="00AC6C6F">
        <w:rPr>
          <w:rFonts w:cstheme="minorHAnsi"/>
          <w:color w:val="000000"/>
          <w:shd w:val="clear" w:color="auto" w:fill="FFFFFF"/>
        </w:rPr>
        <w:t xml:space="preserve"> = 74)</w:t>
      </w:r>
      <w:r w:rsidR="006030BA" w:rsidRPr="00AC6C6F">
        <w:rPr>
          <w:rFonts w:cstheme="minorHAnsi"/>
          <w:color w:val="000000"/>
          <w:shd w:val="clear" w:color="auto" w:fill="FFFFFF"/>
        </w:rPr>
        <w:t>,</w:t>
      </w:r>
      <w:r w:rsidRPr="00AC6C6F">
        <w:rPr>
          <w:rFonts w:cstheme="minorHAnsi"/>
          <w:color w:val="000000"/>
          <w:shd w:val="clear" w:color="auto" w:fill="FFFFFF"/>
        </w:rPr>
        <w:t xml:space="preserve"> a </w:t>
      </w:r>
      <w:r w:rsidR="006030BA" w:rsidRPr="00AC6C6F">
        <w:rPr>
          <w:rFonts w:cstheme="minorHAnsi"/>
          <w:color w:val="000000"/>
          <w:shd w:val="clear" w:color="auto" w:fill="FFFFFF"/>
        </w:rPr>
        <w:t xml:space="preserve">phase </w:t>
      </w:r>
      <w:r w:rsidRPr="00AC6C6F">
        <w:rPr>
          <w:rFonts w:cstheme="minorHAnsi"/>
          <w:color w:val="000000"/>
          <w:shd w:val="clear" w:color="auto" w:fill="FFFFFF"/>
        </w:rPr>
        <w:t xml:space="preserve">IIb </w:t>
      </w:r>
      <w:r w:rsidR="00F47F13" w:rsidRPr="00AC6C6F">
        <w:rPr>
          <w:rFonts w:cstheme="minorHAnsi"/>
          <w:color w:val="000000"/>
          <w:shd w:val="clear" w:color="auto" w:fill="FFFFFF"/>
        </w:rPr>
        <w:t xml:space="preserve">trial </w:t>
      </w:r>
      <w:r w:rsidRPr="00AC6C6F">
        <w:rPr>
          <w:rFonts w:cstheme="minorHAnsi"/>
          <w:color w:val="000000"/>
          <w:shd w:val="clear" w:color="auto" w:fill="FFFFFF"/>
        </w:rPr>
        <w:t>in advanced CTCL; and Study P005 (</w:t>
      </w:r>
      <w:r w:rsidR="008479DE" w:rsidRPr="00AC6C6F">
        <w:rPr>
          <w:rFonts w:cstheme="minorHAnsi"/>
          <w:color w:val="000000"/>
          <w:shd w:val="clear" w:color="auto" w:fill="FFFFFF"/>
        </w:rPr>
        <w:t>N</w:t>
      </w:r>
      <w:r w:rsidRPr="00AC6C6F">
        <w:rPr>
          <w:rFonts w:cstheme="minorHAnsi"/>
          <w:color w:val="000000"/>
          <w:shd w:val="clear" w:color="auto" w:fill="FFFFFF"/>
        </w:rPr>
        <w:t xml:space="preserve"> = 33) a </w:t>
      </w:r>
      <w:r w:rsidR="006030BA" w:rsidRPr="00AC6C6F">
        <w:rPr>
          <w:rFonts w:cstheme="minorHAnsi"/>
          <w:color w:val="000000"/>
        </w:rPr>
        <w:t xml:space="preserve">phase </w:t>
      </w:r>
      <w:r w:rsidRPr="00AC6C6F">
        <w:rPr>
          <w:rFonts w:cstheme="minorHAnsi"/>
          <w:color w:val="000000"/>
        </w:rPr>
        <w:t xml:space="preserve">II trial in refractory CTCL. </w:t>
      </w:r>
    </w:p>
    <w:p w:rsidR="006030BA" w:rsidRPr="00AC6C6F" w:rsidRDefault="00AF726E" w:rsidP="004A37B7">
      <w:pPr>
        <w:pStyle w:val="ListBullet"/>
        <w:widowControl w:val="0"/>
        <w:numPr>
          <w:ilvl w:val="0"/>
          <w:numId w:val="10"/>
        </w:numPr>
        <w:ind w:left="1080"/>
        <w:jc w:val="left"/>
        <w:rPr>
          <w:rFonts w:cstheme="minorHAnsi"/>
        </w:rPr>
      </w:pPr>
      <w:r w:rsidRPr="00AC6C6F">
        <w:rPr>
          <w:rFonts w:cstheme="minorHAnsi"/>
        </w:rPr>
        <w:t xml:space="preserve">Two </w:t>
      </w:r>
      <w:r w:rsidRPr="00AC6C6F">
        <w:rPr>
          <w:rFonts w:cstheme="minorHAnsi"/>
          <w:color w:val="000000"/>
          <w:shd w:val="clear" w:color="auto" w:fill="FFFFFF"/>
        </w:rPr>
        <w:t>brentuximab trials: Duvic 2015 (</w:t>
      </w:r>
      <w:r w:rsidR="008479DE" w:rsidRPr="00AC6C6F">
        <w:rPr>
          <w:rFonts w:cstheme="minorHAnsi"/>
          <w:color w:val="000000"/>
          <w:shd w:val="clear" w:color="auto" w:fill="FFFFFF"/>
        </w:rPr>
        <w:t>N</w:t>
      </w:r>
      <w:r w:rsidRPr="00AC6C6F">
        <w:rPr>
          <w:rFonts w:cstheme="minorHAnsi"/>
          <w:color w:val="000000"/>
          <w:shd w:val="clear" w:color="auto" w:fill="FFFFFF"/>
        </w:rPr>
        <w:t xml:space="preserve"> = 48)</w:t>
      </w:r>
      <w:r w:rsidR="006030BA" w:rsidRPr="00AC6C6F">
        <w:rPr>
          <w:rFonts w:cstheme="minorHAnsi"/>
          <w:color w:val="000000"/>
          <w:shd w:val="clear" w:color="auto" w:fill="FFFFFF"/>
        </w:rPr>
        <w:t>,</w:t>
      </w:r>
      <w:r w:rsidRPr="00AC6C6F">
        <w:rPr>
          <w:rFonts w:cstheme="minorHAnsi"/>
          <w:color w:val="000000"/>
          <w:shd w:val="clear" w:color="auto" w:fill="FFFFFF"/>
        </w:rPr>
        <w:t xml:space="preserve"> </w:t>
      </w:r>
      <w:r w:rsidRPr="00AC6C6F">
        <w:rPr>
          <w:rFonts w:cstheme="minorHAnsi"/>
        </w:rPr>
        <w:t xml:space="preserve">a </w:t>
      </w:r>
      <w:r w:rsidR="006030BA" w:rsidRPr="00AC6C6F">
        <w:rPr>
          <w:shd w:val="clear" w:color="auto" w:fill="FFFFFF"/>
        </w:rPr>
        <w:t xml:space="preserve">phase </w:t>
      </w:r>
      <w:r w:rsidRPr="00AC6C6F">
        <w:rPr>
          <w:shd w:val="clear" w:color="auto" w:fill="FFFFFF"/>
        </w:rPr>
        <w:t>II trial in CD30+ CTCL and LyP; and Kim 2015 (</w:t>
      </w:r>
      <w:r w:rsidR="008479DE" w:rsidRPr="00AC6C6F">
        <w:rPr>
          <w:shd w:val="clear" w:color="auto" w:fill="FFFFFF"/>
        </w:rPr>
        <w:t>N</w:t>
      </w:r>
      <w:r w:rsidRPr="00AC6C6F">
        <w:rPr>
          <w:shd w:val="clear" w:color="auto" w:fill="FFFFFF"/>
        </w:rPr>
        <w:t xml:space="preserve"> = 32)</w:t>
      </w:r>
      <w:r w:rsidR="006030BA" w:rsidRPr="00AC6C6F">
        <w:rPr>
          <w:shd w:val="clear" w:color="auto" w:fill="FFFFFF"/>
        </w:rPr>
        <w:t>,</w:t>
      </w:r>
      <w:r w:rsidRPr="00AC6C6F">
        <w:rPr>
          <w:shd w:val="clear" w:color="auto" w:fill="FFFFFF"/>
        </w:rPr>
        <w:t xml:space="preserve"> a </w:t>
      </w:r>
      <w:r w:rsidR="006030BA" w:rsidRPr="00AC6C6F">
        <w:t xml:space="preserve">phase </w:t>
      </w:r>
      <w:r w:rsidRPr="00AC6C6F">
        <w:t xml:space="preserve">II </w:t>
      </w:r>
      <w:r w:rsidR="00263C8C" w:rsidRPr="00AC6C6F">
        <w:t>i</w:t>
      </w:r>
      <w:r w:rsidR="00F47F13" w:rsidRPr="00AC6C6F">
        <w:t>nvest</w:t>
      </w:r>
      <w:r w:rsidRPr="00AC6C6F">
        <w:t xml:space="preserve">igator-initiated trial in MF and SS with CD30 expression. </w:t>
      </w:r>
      <w:r w:rsidR="006030BA" w:rsidRPr="00AC6C6F">
        <w:rPr>
          <w:i/>
          <w:iCs/>
        </w:rPr>
        <w:br/>
      </w:r>
    </w:p>
    <w:p w:rsidR="00AF726E" w:rsidRPr="00AC6C6F" w:rsidRDefault="00AF726E" w:rsidP="00AF726E">
      <w:pPr>
        <w:pStyle w:val="3-BodyText"/>
      </w:pPr>
      <w:r w:rsidRPr="00AC6C6F">
        <w:rPr>
          <w:snapToGrid/>
        </w:rPr>
        <w:t>Details of the two RCT</w:t>
      </w:r>
      <w:r w:rsidR="006030BA" w:rsidRPr="00AC6C6F">
        <w:rPr>
          <w:snapToGrid/>
        </w:rPr>
        <w:t>s</w:t>
      </w:r>
      <w:r w:rsidRPr="00AC6C6F">
        <w:rPr>
          <w:snapToGrid/>
        </w:rPr>
        <w:t xml:space="preserve"> and six non-randomised trials presented in the submission are provided in Table 2</w:t>
      </w:r>
      <w:r w:rsidR="00AC6C6F">
        <w:rPr>
          <w:snapToGrid/>
        </w:rPr>
        <w:t xml:space="preserve">. </w:t>
      </w:r>
    </w:p>
    <w:p w:rsidR="00AF726E" w:rsidRPr="00AC6C6F" w:rsidRDefault="00AF726E" w:rsidP="00AF726E">
      <w:pPr>
        <w:pStyle w:val="TableFigureHeading"/>
        <w:rPr>
          <w:rStyle w:val="CommentReference"/>
          <w:b/>
          <w:bCs w:val="0"/>
        </w:rPr>
      </w:pPr>
      <w:r w:rsidRPr="00AC6C6F">
        <w:rPr>
          <w:rStyle w:val="CommentReference"/>
          <w:b/>
          <w:bCs w:val="0"/>
        </w:rPr>
        <w:t>Table 2: Trials and associated reports presented in the submission</w:t>
      </w:r>
    </w:p>
    <w:tbl>
      <w:tblPr>
        <w:tblStyle w:val="TableGrid"/>
        <w:tblW w:w="9017" w:type="dxa"/>
        <w:tblLook w:val="04A0" w:firstRow="1" w:lastRow="0" w:firstColumn="1" w:lastColumn="0" w:noHBand="0" w:noVBand="1"/>
        <w:tblCaption w:val="Table 2: Trials and associated reports presented in the submission"/>
      </w:tblPr>
      <w:tblGrid>
        <w:gridCol w:w="1692"/>
        <w:gridCol w:w="5668"/>
        <w:gridCol w:w="1657"/>
      </w:tblGrid>
      <w:tr w:rsidR="00AF726E" w:rsidRPr="00AC6C6F" w:rsidTr="00302235">
        <w:trPr>
          <w:tblHeader/>
        </w:trPr>
        <w:tc>
          <w:tcPr>
            <w:tcW w:w="1693" w:type="dxa"/>
            <w:shd w:val="clear" w:color="auto" w:fill="auto"/>
          </w:tcPr>
          <w:p w:rsidR="00AF726E" w:rsidRPr="00AC6C6F" w:rsidRDefault="00AF726E" w:rsidP="00302235">
            <w:pPr>
              <w:pStyle w:val="Table"/>
              <w:widowControl w:val="0"/>
              <w:rPr>
                <w:rFonts w:ascii="Arial Narrow" w:hAnsi="Arial Narrow"/>
                <w:b/>
                <w:bCs/>
                <w:szCs w:val="20"/>
              </w:rPr>
            </w:pPr>
            <w:r w:rsidRPr="00AC6C6F">
              <w:rPr>
                <w:rFonts w:ascii="Arial Narrow" w:hAnsi="Arial Narrow"/>
                <w:b/>
                <w:bCs/>
                <w:szCs w:val="20"/>
              </w:rPr>
              <w:t>Trial ID</w:t>
            </w:r>
          </w:p>
        </w:tc>
        <w:tc>
          <w:tcPr>
            <w:tcW w:w="5673" w:type="dxa"/>
            <w:shd w:val="clear" w:color="auto" w:fill="auto"/>
          </w:tcPr>
          <w:p w:rsidR="00AF726E" w:rsidRPr="00AC6C6F" w:rsidRDefault="00AF726E" w:rsidP="00302235">
            <w:pPr>
              <w:pStyle w:val="Table"/>
              <w:widowControl w:val="0"/>
              <w:rPr>
                <w:rFonts w:ascii="Arial Narrow" w:hAnsi="Arial Narrow"/>
                <w:b/>
                <w:bCs/>
                <w:szCs w:val="20"/>
              </w:rPr>
            </w:pPr>
            <w:r w:rsidRPr="00AC6C6F">
              <w:rPr>
                <w:rFonts w:ascii="Arial Narrow" w:hAnsi="Arial Narrow"/>
                <w:b/>
                <w:bCs/>
                <w:szCs w:val="20"/>
              </w:rPr>
              <w:t>Protocol title/Publication title</w:t>
            </w:r>
          </w:p>
        </w:tc>
        <w:tc>
          <w:tcPr>
            <w:tcW w:w="1651" w:type="dxa"/>
          </w:tcPr>
          <w:p w:rsidR="00AF726E" w:rsidRPr="00AC6C6F" w:rsidRDefault="00AF726E" w:rsidP="00302235">
            <w:pPr>
              <w:pStyle w:val="Table"/>
              <w:widowControl w:val="0"/>
              <w:rPr>
                <w:rFonts w:ascii="Arial Narrow" w:hAnsi="Arial Narrow"/>
                <w:b/>
                <w:bCs/>
                <w:szCs w:val="20"/>
              </w:rPr>
            </w:pPr>
            <w:r w:rsidRPr="00AC6C6F">
              <w:rPr>
                <w:rFonts w:ascii="Arial Narrow" w:hAnsi="Arial Narrow"/>
                <w:b/>
                <w:bCs/>
                <w:szCs w:val="20"/>
              </w:rPr>
              <w:t>Publication Citation</w:t>
            </w:r>
          </w:p>
        </w:tc>
      </w:tr>
      <w:tr w:rsidR="00AF726E" w:rsidRPr="00AC6C6F" w:rsidTr="00302235">
        <w:trPr>
          <w:trHeight w:val="54"/>
        </w:trPr>
        <w:tc>
          <w:tcPr>
            <w:tcW w:w="9017" w:type="dxa"/>
            <w:gridSpan w:val="3"/>
            <w:shd w:val="clear" w:color="auto" w:fill="auto"/>
          </w:tcPr>
          <w:p w:rsidR="00AF726E" w:rsidRPr="00AC6C6F" w:rsidRDefault="00AF726E" w:rsidP="00302235">
            <w:pPr>
              <w:pStyle w:val="Table"/>
              <w:widowControl w:val="0"/>
              <w:rPr>
                <w:rFonts w:ascii="Arial Narrow" w:hAnsi="Arial Narrow"/>
                <w:b/>
                <w:bCs/>
                <w:szCs w:val="20"/>
              </w:rPr>
            </w:pPr>
            <w:r w:rsidRPr="00AC6C6F">
              <w:rPr>
                <w:rFonts w:ascii="Arial Narrow" w:hAnsi="Arial Narrow"/>
                <w:b/>
                <w:bCs/>
                <w:szCs w:val="20"/>
              </w:rPr>
              <w:t>Mogamulizumab and vorinostat randomised trial</w:t>
            </w:r>
          </w:p>
        </w:tc>
      </w:tr>
      <w:tr w:rsidR="00AF726E" w:rsidRPr="00AC6C6F" w:rsidTr="00302235">
        <w:trPr>
          <w:trHeight w:val="443"/>
        </w:trPr>
        <w:tc>
          <w:tcPr>
            <w:tcW w:w="1693" w:type="dxa"/>
            <w:vMerge w:val="restart"/>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MAVORIC</w:t>
            </w:r>
          </w:p>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KW-0761-010</w:t>
            </w:r>
          </w:p>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 xml:space="preserve">NCT01728805 </w:t>
            </w:r>
            <w:r w:rsidRPr="00AC6C6F">
              <w:rPr>
                <w:rFonts w:ascii="Arial Narrow" w:hAnsi="Arial Narrow"/>
                <w:szCs w:val="20"/>
                <w:vertAlign w:val="superscript"/>
              </w:rPr>
              <w:t>a</w:t>
            </w:r>
          </w:p>
        </w:tc>
        <w:tc>
          <w:tcPr>
            <w:tcW w:w="5673" w:type="dxa"/>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Open-label, Multi-center, Randomised Study of Anti-CCR4 Monoclonal Antibody KW-0761 (mogamulizumab) Versus Vorinostat in Subjects with Previously Treated Cutaneous T-cell Lymphoma (CTCL)</w:t>
            </w:r>
          </w:p>
        </w:tc>
        <w:tc>
          <w:tcPr>
            <w:tcW w:w="1651" w:type="dxa"/>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August 2017</w:t>
            </w:r>
          </w:p>
          <w:p w:rsidR="00AF726E" w:rsidRPr="00AC6C6F" w:rsidRDefault="00AF726E" w:rsidP="00302235">
            <w:pPr>
              <w:pStyle w:val="Table"/>
              <w:widowControl w:val="0"/>
              <w:rPr>
                <w:rFonts w:ascii="Arial Narrow" w:hAnsi="Arial Narrow"/>
                <w:szCs w:val="20"/>
              </w:rPr>
            </w:pPr>
          </w:p>
          <w:p w:rsidR="00AF726E" w:rsidRPr="00AC6C6F" w:rsidRDefault="00AF726E" w:rsidP="00302235">
            <w:pPr>
              <w:pStyle w:val="Table"/>
              <w:widowControl w:val="0"/>
              <w:rPr>
                <w:rFonts w:ascii="Arial Narrow" w:hAnsi="Arial Narrow"/>
                <w:szCs w:val="20"/>
              </w:rPr>
            </w:pPr>
          </w:p>
        </w:tc>
      </w:tr>
      <w:tr w:rsidR="00AF726E" w:rsidRPr="00AC6C6F" w:rsidTr="00302235">
        <w:trPr>
          <w:trHeight w:val="443"/>
        </w:trPr>
        <w:tc>
          <w:tcPr>
            <w:tcW w:w="1693" w:type="dxa"/>
            <w:vMerge/>
            <w:shd w:val="clear" w:color="auto" w:fill="auto"/>
          </w:tcPr>
          <w:p w:rsidR="00AF726E" w:rsidRPr="00AC6C6F" w:rsidRDefault="00AF726E" w:rsidP="00302235">
            <w:pPr>
              <w:pStyle w:val="Table"/>
              <w:widowControl w:val="0"/>
              <w:rPr>
                <w:rFonts w:ascii="Arial Narrow" w:hAnsi="Arial Narrow"/>
                <w:szCs w:val="20"/>
              </w:rPr>
            </w:pPr>
          </w:p>
        </w:tc>
        <w:tc>
          <w:tcPr>
            <w:tcW w:w="5673" w:type="dxa"/>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cs="Helvetica"/>
                <w:color w:val="000000"/>
                <w:szCs w:val="20"/>
              </w:rPr>
              <w:t>Kim Y, Bagot M, Pinter-Brown L, al e. Mogamulizumab versus vorinostat in previously treated cutaneous T-cell lymphoma (MAVORIC): an international, open-label, randomised, controlled phase 3 trial.</w:t>
            </w:r>
          </w:p>
        </w:tc>
        <w:tc>
          <w:tcPr>
            <w:tcW w:w="1651" w:type="dxa"/>
          </w:tcPr>
          <w:p w:rsidR="00AF726E" w:rsidRPr="00AC6C6F" w:rsidRDefault="00AF726E" w:rsidP="00302235">
            <w:pPr>
              <w:pStyle w:val="Table"/>
              <w:widowControl w:val="0"/>
              <w:rPr>
                <w:rFonts w:ascii="Arial Narrow" w:hAnsi="Arial Narrow"/>
                <w:szCs w:val="20"/>
              </w:rPr>
            </w:pPr>
            <w:r w:rsidRPr="00AC6C6F">
              <w:rPr>
                <w:rFonts w:ascii="Arial Narrow" w:hAnsi="Arial Narrow" w:cs="Helvetica"/>
                <w:i/>
                <w:iCs/>
                <w:color w:val="000000"/>
                <w:szCs w:val="20"/>
              </w:rPr>
              <w:t>Lancet Oncol</w:t>
            </w:r>
            <w:r w:rsidRPr="00AC6C6F">
              <w:rPr>
                <w:rFonts w:ascii="Arial Narrow" w:hAnsi="Arial Narrow" w:cs="Helvetica"/>
                <w:color w:val="000000"/>
                <w:szCs w:val="20"/>
              </w:rPr>
              <w:t>. 2018.</w:t>
            </w:r>
          </w:p>
        </w:tc>
      </w:tr>
      <w:tr w:rsidR="00AF726E" w:rsidRPr="00AC6C6F" w:rsidTr="00302235">
        <w:trPr>
          <w:trHeight w:val="187"/>
        </w:trPr>
        <w:tc>
          <w:tcPr>
            <w:tcW w:w="9017" w:type="dxa"/>
            <w:gridSpan w:val="3"/>
            <w:shd w:val="clear" w:color="auto" w:fill="auto"/>
          </w:tcPr>
          <w:p w:rsidR="00AF726E" w:rsidRPr="00AC6C6F" w:rsidRDefault="00AF726E" w:rsidP="00302235">
            <w:pPr>
              <w:pStyle w:val="Table"/>
              <w:widowControl w:val="0"/>
              <w:rPr>
                <w:rFonts w:ascii="Arial Narrow" w:hAnsi="Arial Narrow"/>
                <w:b/>
                <w:bCs/>
                <w:szCs w:val="20"/>
              </w:rPr>
            </w:pPr>
            <w:r w:rsidRPr="00AC6C6F">
              <w:rPr>
                <w:rFonts w:ascii="Arial Narrow" w:hAnsi="Arial Narrow"/>
                <w:b/>
                <w:bCs/>
                <w:szCs w:val="20"/>
              </w:rPr>
              <w:t xml:space="preserve">Mogamulizumab non-randomised trials </w:t>
            </w:r>
          </w:p>
        </w:tc>
      </w:tr>
      <w:tr w:rsidR="00AF726E" w:rsidRPr="00AC6C6F" w:rsidTr="00302235">
        <w:trPr>
          <w:trHeight w:val="521"/>
        </w:trPr>
        <w:tc>
          <w:tcPr>
            <w:tcW w:w="1693" w:type="dxa"/>
            <w:vMerge w:val="restart"/>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KW-0761-001</w:t>
            </w:r>
          </w:p>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NCT00888927</w:t>
            </w:r>
          </w:p>
        </w:tc>
        <w:tc>
          <w:tcPr>
            <w:tcW w:w="5673" w:type="dxa"/>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Open-label, Multi-center, Dose Escalation Phase 1/2 Study of Anti-CCR4 Monoclonal Antibody KW-0761 as Monotherapy in Subjects with Previously Treated Peripheral T-cell Lymphoma or Cutaneous T-cell Lymphoma</w:t>
            </w:r>
          </w:p>
        </w:tc>
        <w:tc>
          <w:tcPr>
            <w:tcW w:w="1651" w:type="dxa"/>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March 2016</w:t>
            </w:r>
          </w:p>
          <w:p w:rsidR="00AF726E" w:rsidRPr="00AC6C6F" w:rsidRDefault="00AF726E" w:rsidP="00302235">
            <w:pPr>
              <w:pStyle w:val="Table"/>
              <w:widowControl w:val="0"/>
              <w:rPr>
                <w:rFonts w:ascii="Arial Narrow" w:hAnsi="Arial Narrow"/>
                <w:szCs w:val="20"/>
              </w:rPr>
            </w:pPr>
          </w:p>
          <w:p w:rsidR="00AF726E" w:rsidRPr="00AC6C6F" w:rsidRDefault="00AF726E" w:rsidP="00302235">
            <w:pPr>
              <w:pStyle w:val="Table"/>
              <w:widowControl w:val="0"/>
              <w:rPr>
                <w:rFonts w:ascii="Arial Narrow" w:hAnsi="Arial Narrow"/>
                <w:szCs w:val="20"/>
              </w:rPr>
            </w:pPr>
          </w:p>
          <w:p w:rsidR="00AF726E" w:rsidRPr="00AC6C6F" w:rsidRDefault="00AF726E" w:rsidP="00302235">
            <w:pPr>
              <w:pStyle w:val="Table"/>
              <w:widowControl w:val="0"/>
              <w:rPr>
                <w:rFonts w:ascii="Arial Narrow" w:hAnsi="Arial Narrow"/>
                <w:szCs w:val="20"/>
              </w:rPr>
            </w:pPr>
          </w:p>
        </w:tc>
      </w:tr>
      <w:tr w:rsidR="00AF726E" w:rsidRPr="00AC6C6F" w:rsidTr="00302235">
        <w:trPr>
          <w:trHeight w:val="520"/>
        </w:trPr>
        <w:tc>
          <w:tcPr>
            <w:tcW w:w="1693" w:type="dxa"/>
            <w:vMerge/>
            <w:shd w:val="clear" w:color="auto" w:fill="auto"/>
          </w:tcPr>
          <w:p w:rsidR="00AF726E" w:rsidRPr="00AC6C6F" w:rsidRDefault="00AF726E" w:rsidP="00302235">
            <w:pPr>
              <w:pStyle w:val="Table"/>
              <w:widowControl w:val="0"/>
              <w:rPr>
                <w:rFonts w:ascii="Arial Narrow" w:hAnsi="Arial Narrow"/>
                <w:szCs w:val="20"/>
              </w:rPr>
            </w:pPr>
          </w:p>
        </w:tc>
        <w:tc>
          <w:tcPr>
            <w:tcW w:w="5673" w:type="dxa"/>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cs="Helvetica"/>
                <w:color w:val="000000"/>
                <w:szCs w:val="20"/>
              </w:rPr>
              <w:t>Duvic M, Pinter-Brown L, Foss F, al e. Phase 1/2 study of mogamulizumab, a defucosylated anti-CCR4 antibody, in previously treated patients with cutaneous T-cell lymphoma.</w:t>
            </w:r>
          </w:p>
        </w:tc>
        <w:tc>
          <w:tcPr>
            <w:tcW w:w="1651" w:type="dxa"/>
          </w:tcPr>
          <w:p w:rsidR="00AF726E" w:rsidRPr="00AC6C6F" w:rsidRDefault="00AF726E" w:rsidP="00302235">
            <w:pPr>
              <w:pStyle w:val="Table"/>
              <w:widowControl w:val="0"/>
              <w:rPr>
                <w:rFonts w:ascii="Arial Narrow" w:hAnsi="Arial Narrow"/>
                <w:szCs w:val="20"/>
              </w:rPr>
            </w:pPr>
            <w:r w:rsidRPr="00AC6C6F">
              <w:rPr>
                <w:rFonts w:ascii="Arial Narrow" w:hAnsi="Arial Narrow" w:cs="Helvetica"/>
                <w:i/>
                <w:iCs/>
                <w:color w:val="000000"/>
                <w:szCs w:val="20"/>
              </w:rPr>
              <w:t>Blood</w:t>
            </w:r>
            <w:r w:rsidRPr="00AC6C6F">
              <w:rPr>
                <w:rFonts w:ascii="Arial Narrow" w:hAnsi="Arial Narrow" w:cs="Helvetica"/>
                <w:color w:val="000000"/>
                <w:szCs w:val="20"/>
              </w:rPr>
              <w:t>. 2015;125(12):1883-9.</w:t>
            </w:r>
          </w:p>
        </w:tc>
      </w:tr>
      <w:tr w:rsidR="00AF726E" w:rsidRPr="00AC6C6F" w:rsidTr="00302235">
        <w:trPr>
          <w:trHeight w:val="460"/>
        </w:trPr>
        <w:tc>
          <w:tcPr>
            <w:tcW w:w="1693" w:type="dxa"/>
            <w:vMerge w:val="restart"/>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KW-0761-004</w:t>
            </w:r>
          </w:p>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NCT01192984</w:t>
            </w:r>
          </w:p>
        </w:tc>
        <w:tc>
          <w:tcPr>
            <w:tcW w:w="5673" w:type="dxa"/>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A Late Phase II Study of KW-0761 in Subjects with CCR4-Positive Peripheral T/NK-Cell Lymphoma</w:t>
            </w:r>
          </w:p>
        </w:tc>
        <w:tc>
          <w:tcPr>
            <w:tcW w:w="1651" w:type="dxa"/>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March 2014</w:t>
            </w:r>
          </w:p>
          <w:p w:rsidR="00AF726E" w:rsidRPr="00AC6C6F" w:rsidRDefault="00AF726E" w:rsidP="00302235">
            <w:pPr>
              <w:pStyle w:val="Table"/>
              <w:widowControl w:val="0"/>
              <w:rPr>
                <w:rFonts w:ascii="Arial Narrow" w:hAnsi="Arial Narrow"/>
                <w:szCs w:val="20"/>
              </w:rPr>
            </w:pPr>
          </w:p>
        </w:tc>
      </w:tr>
      <w:tr w:rsidR="00AF726E" w:rsidRPr="00AC6C6F" w:rsidTr="00302235">
        <w:trPr>
          <w:trHeight w:val="459"/>
        </w:trPr>
        <w:tc>
          <w:tcPr>
            <w:tcW w:w="1693" w:type="dxa"/>
            <w:vMerge/>
            <w:shd w:val="clear" w:color="auto" w:fill="auto"/>
          </w:tcPr>
          <w:p w:rsidR="00AF726E" w:rsidRPr="00AC6C6F" w:rsidRDefault="00AF726E" w:rsidP="00302235">
            <w:pPr>
              <w:pStyle w:val="Table"/>
              <w:widowControl w:val="0"/>
              <w:rPr>
                <w:rFonts w:ascii="Arial Narrow" w:hAnsi="Arial Narrow"/>
                <w:szCs w:val="20"/>
              </w:rPr>
            </w:pPr>
          </w:p>
        </w:tc>
        <w:tc>
          <w:tcPr>
            <w:tcW w:w="5673" w:type="dxa"/>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cs="Helvetica"/>
                <w:color w:val="000000"/>
                <w:szCs w:val="20"/>
              </w:rPr>
              <w:t>Ogura M, Ishida T, Hatake K, al e. Multicenter Phase II Study of Mogamulizumab (KW-0761), a Defucosylated Anti-CC Chemokine Receptor 4 Antibody, in Patients With Relapsed Peripheral T-Cell Lymphoma and Cutaneous T-Cell Lymphoma.</w:t>
            </w:r>
          </w:p>
        </w:tc>
        <w:tc>
          <w:tcPr>
            <w:tcW w:w="1651" w:type="dxa"/>
          </w:tcPr>
          <w:p w:rsidR="00AF726E" w:rsidRPr="00AC6C6F" w:rsidRDefault="00AF726E" w:rsidP="00302235">
            <w:pPr>
              <w:pStyle w:val="Table"/>
              <w:widowControl w:val="0"/>
              <w:rPr>
                <w:rFonts w:ascii="Arial Narrow" w:hAnsi="Arial Narrow"/>
                <w:szCs w:val="20"/>
              </w:rPr>
            </w:pPr>
            <w:r w:rsidRPr="00AC6C6F">
              <w:rPr>
                <w:rFonts w:ascii="Arial Narrow" w:hAnsi="Arial Narrow" w:cs="Helvetica"/>
                <w:i/>
                <w:iCs/>
                <w:color w:val="000000"/>
                <w:szCs w:val="20"/>
              </w:rPr>
              <w:t>Journal of Clinical Oncology.</w:t>
            </w:r>
            <w:r w:rsidRPr="00AC6C6F">
              <w:rPr>
                <w:rFonts w:ascii="Arial Narrow" w:hAnsi="Arial Narrow" w:cs="Helvetica"/>
                <w:color w:val="000000"/>
                <w:szCs w:val="20"/>
              </w:rPr>
              <w:t xml:space="preserve"> 2014;32:1157-63.</w:t>
            </w:r>
          </w:p>
        </w:tc>
      </w:tr>
      <w:tr w:rsidR="00AF726E" w:rsidRPr="00AC6C6F" w:rsidTr="00302235">
        <w:trPr>
          <w:trHeight w:val="123"/>
        </w:trPr>
        <w:tc>
          <w:tcPr>
            <w:tcW w:w="9017" w:type="dxa"/>
            <w:gridSpan w:val="3"/>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b/>
                <w:bCs/>
                <w:szCs w:val="20"/>
              </w:rPr>
              <w:t>Vorinostat non-randomised trials</w:t>
            </w:r>
          </w:p>
        </w:tc>
      </w:tr>
      <w:tr w:rsidR="00AF726E" w:rsidRPr="00AC6C6F" w:rsidTr="00302235">
        <w:trPr>
          <w:trHeight w:val="382"/>
        </w:trPr>
        <w:tc>
          <w:tcPr>
            <w:tcW w:w="1693" w:type="dxa"/>
            <w:vMerge w:val="restart"/>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Study P001</w:t>
            </w:r>
          </w:p>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NCT00091559</w:t>
            </w:r>
          </w:p>
        </w:tc>
        <w:tc>
          <w:tcPr>
            <w:tcW w:w="5673" w:type="dxa"/>
            <w:shd w:val="clear" w:color="auto" w:fill="auto"/>
          </w:tcPr>
          <w:p w:rsidR="00AF726E" w:rsidRPr="00AC6C6F" w:rsidRDefault="00AF726E" w:rsidP="00302235">
            <w:pPr>
              <w:widowControl w:val="0"/>
              <w:rPr>
                <w:rFonts w:ascii="Arial Narrow" w:hAnsi="Arial Narrow"/>
                <w:color w:val="000000"/>
                <w:sz w:val="20"/>
                <w:szCs w:val="20"/>
                <w:shd w:val="clear" w:color="auto" w:fill="FFFFFF"/>
              </w:rPr>
            </w:pPr>
            <w:r w:rsidRPr="00AC6C6F">
              <w:rPr>
                <w:rFonts w:ascii="Arial Narrow" w:hAnsi="Arial Narrow"/>
                <w:color w:val="000000"/>
                <w:sz w:val="20"/>
                <w:szCs w:val="20"/>
                <w:shd w:val="clear" w:color="auto" w:fill="FFFFFF"/>
              </w:rPr>
              <w:t>Phase IIb Multicenter Clinical Trial of Oral Suberoylanilide Hydroxamic Acid (SAHA) in Advanced Cutaneous T-cell Lymphoma</w:t>
            </w:r>
          </w:p>
        </w:tc>
        <w:tc>
          <w:tcPr>
            <w:tcW w:w="1651" w:type="dxa"/>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March 2006</w:t>
            </w:r>
          </w:p>
        </w:tc>
      </w:tr>
      <w:tr w:rsidR="00AF726E" w:rsidRPr="00AC6C6F" w:rsidTr="00302235">
        <w:trPr>
          <w:trHeight w:val="399"/>
        </w:trPr>
        <w:tc>
          <w:tcPr>
            <w:tcW w:w="1693" w:type="dxa"/>
            <w:vMerge/>
            <w:shd w:val="clear" w:color="auto" w:fill="auto"/>
          </w:tcPr>
          <w:p w:rsidR="00AF726E" w:rsidRPr="00AC6C6F" w:rsidRDefault="00AF726E" w:rsidP="00302235">
            <w:pPr>
              <w:pStyle w:val="Table"/>
              <w:widowControl w:val="0"/>
              <w:rPr>
                <w:rFonts w:ascii="Arial Narrow" w:hAnsi="Arial Narrow"/>
                <w:szCs w:val="20"/>
              </w:rPr>
            </w:pPr>
          </w:p>
        </w:tc>
        <w:tc>
          <w:tcPr>
            <w:tcW w:w="5673" w:type="dxa"/>
            <w:shd w:val="clear" w:color="auto" w:fill="auto"/>
          </w:tcPr>
          <w:p w:rsidR="00AF726E" w:rsidRPr="00AC6C6F" w:rsidRDefault="00AF726E" w:rsidP="00302235">
            <w:pPr>
              <w:widowControl w:val="0"/>
              <w:rPr>
                <w:rFonts w:ascii="Arial Narrow" w:hAnsi="Arial Narrow"/>
                <w:color w:val="000000"/>
                <w:sz w:val="20"/>
                <w:szCs w:val="20"/>
                <w:shd w:val="clear" w:color="auto" w:fill="FFFFFF"/>
              </w:rPr>
            </w:pPr>
            <w:r w:rsidRPr="00AC6C6F">
              <w:rPr>
                <w:rFonts w:ascii="Arial Narrow" w:hAnsi="Arial Narrow" w:cs="Helvetica"/>
                <w:color w:val="000000"/>
                <w:sz w:val="20"/>
                <w:szCs w:val="20"/>
              </w:rPr>
              <w:t>Olsen EA, Kim YH, Kuzel TM, Pacheco TR, Foss FM, Parker S, et al. Phase IIb multicenter trial of vorinostat in patients with persistent, progressive, or treatment refractory cutaneous T-cell lymphoma.</w:t>
            </w:r>
          </w:p>
        </w:tc>
        <w:tc>
          <w:tcPr>
            <w:tcW w:w="1651" w:type="dxa"/>
          </w:tcPr>
          <w:p w:rsidR="00AF726E" w:rsidRPr="00AC6C6F" w:rsidRDefault="00AF726E" w:rsidP="00302235">
            <w:pPr>
              <w:pStyle w:val="Table"/>
              <w:widowControl w:val="0"/>
              <w:rPr>
                <w:rFonts w:ascii="Arial Narrow" w:hAnsi="Arial Narrow"/>
                <w:szCs w:val="20"/>
              </w:rPr>
            </w:pPr>
            <w:r w:rsidRPr="00AC6C6F">
              <w:rPr>
                <w:rFonts w:ascii="Arial Narrow" w:hAnsi="Arial Narrow" w:cs="Helvetica"/>
                <w:i/>
                <w:iCs/>
                <w:color w:val="000000"/>
                <w:szCs w:val="20"/>
                <w:lang w:eastAsia="en-AU"/>
              </w:rPr>
              <w:t>J Clin Oncol</w:t>
            </w:r>
            <w:r w:rsidRPr="00AC6C6F">
              <w:rPr>
                <w:rFonts w:ascii="Arial Narrow" w:hAnsi="Arial Narrow" w:cs="Helvetica"/>
                <w:color w:val="000000"/>
                <w:szCs w:val="20"/>
                <w:lang w:eastAsia="en-AU"/>
              </w:rPr>
              <w:t>. 2007;25(21):3109-15.</w:t>
            </w:r>
          </w:p>
        </w:tc>
      </w:tr>
      <w:tr w:rsidR="00AF726E" w:rsidRPr="00AC6C6F" w:rsidTr="00302235">
        <w:trPr>
          <w:trHeight w:val="399"/>
        </w:trPr>
        <w:tc>
          <w:tcPr>
            <w:tcW w:w="1693" w:type="dxa"/>
            <w:vMerge/>
            <w:shd w:val="clear" w:color="auto" w:fill="auto"/>
          </w:tcPr>
          <w:p w:rsidR="00AF726E" w:rsidRPr="00AC6C6F" w:rsidRDefault="00AF726E" w:rsidP="00302235">
            <w:pPr>
              <w:pStyle w:val="Table"/>
              <w:widowControl w:val="0"/>
              <w:rPr>
                <w:rFonts w:ascii="Arial Narrow" w:hAnsi="Arial Narrow"/>
                <w:szCs w:val="20"/>
              </w:rPr>
            </w:pPr>
          </w:p>
        </w:tc>
        <w:tc>
          <w:tcPr>
            <w:tcW w:w="5673" w:type="dxa"/>
            <w:shd w:val="clear" w:color="auto" w:fill="auto"/>
          </w:tcPr>
          <w:p w:rsidR="00AF726E" w:rsidRPr="00AC6C6F" w:rsidRDefault="00AF726E" w:rsidP="00302235">
            <w:pPr>
              <w:widowControl w:val="0"/>
              <w:rPr>
                <w:rFonts w:ascii="Arial Narrow" w:hAnsi="Arial Narrow" w:cs="Helvetica"/>
                <w:color w:val="000000"/>
                <w:sz w:val="20"/>
                <w:szCs w:val="20"/>
              </w:rPr>
            </w:pPr>
            <w:r w:rsidRPr="00AC6C6F">
              <w:rPr>
                <w:rFonts w:ascii="Arial Narrow" w:hAnsi="Arial Narrow" w:cs="Helvetica"/>
                <w:color w:val="000000"/>
                <w:sz w:val="20"/>
                <w:szCs w:val="20"/>
              </w:rPr>
              <w:t xml:space="preserve">Duvic M, Olsen EA, Breneman D, Pacheco TR, Parker S, Vonderheid EC, et al. Evaluation of the long-term tolerability and clinical benefit of vorinostat in patients with advanced cutaneous T-cell lymphoma. </w:t>
            </w:r>
          </w:p>
        </w:tc>
        <w:tc>
          <w:tcPr>
            <w:tcW w:w="1651" w:type="dxa"/>
          </w:tcPr>
          <w:p w:rsidR="00AF726E" w:rsidRPr="00AC6C6F" w:rsidRDefault="00AF726E" w:rsidP="00302235">
            <w:pPr>
              <w:pStyle w:val="Table"/>
              <w:widowControl w:val="0"/>
              <w:rPr>
                <w:rFonts w:ascii="Arial Narrow" w:hAnsi="Arial Narrow" w:cs="Helvetica"/>
                <w:color w:val="000000"/>
                <w:szCs w:val="20"/>
                <w:lang w:eastAsia="en-AU"/>
              </w:rPr>
            </w:pPr>
            <w:r w:rsidRPr="00AC6C6F">
              <w:rPr>
                <w:rFonts w:ascii="Arial Narrow" w:hAnsi="Arial Narrow" w:cs="Helvetica"/>
                <w:i/>
                <w:iCs/>
                <w:color w:val="000000"/>
                <w:szCs w:val="20"/>
                <w:lang w:eastAsia="en-AU"/>
              </w:rPr>
              <w:t>Clin Lymphoma Myeloma</w:t>
            </w:r>
            <w:r w:rsidRPr="00AC6C6F">
              <w:rPr>
                <w:rFonts w:ascii="Arial Narrow" w:hAnsi="Arial Narrow" w:cs="Helvetica"/>
                <w:color w:val="000000"/>
                <w:szCs w:val="20"/>
                <w:lang w:eastAsia="en-AU"/>
              </w:rPr>
              <w:t>. 2009; 9(6)412-6</w:t>
            </w:r>
          </w:p>
        </w:tc>
      </w:tr>
      <w:tr w:rsidR="00AF726E" w:rsidRPr="00AC6C6F" w:rsidTr="00302235">
        <w:tc>
          <w:tcPr>
            <w:tcW w:w="1693" w:type="dxa"/>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Study P005</w:t>
            </w:r>
          </w:p>
        </w:tc>
        <w:tc>
          <w:tcPr>
            <w:tcW w:w="5673" w:type="dxa"/>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cs="Helvetica"/>
                <w:color w:val="000000"/>
                <w:szCs w:val="20"/>
                <w:lang w:eastAsia="en-AU"/>
              </w:rPr>
              <w:t>Duvic M, Talpur R, Ni X, Zhang C, Hazarika P, Kelly C, et al. Phase 2 trial of oral vorinostat (suberoylanilide hydroxamic acid, SAHA) for refractory cutaneous T-cell lymphoma (CTCL).</w:t>
            </w:r>
          </w:p>
        </w:tc>
        <w:tc>
          <w:tcPr>
            <w:tcW w:w="1651" w:type="dxa"/>
          </w:tcPr>
          <w:p w:rsidR="00AF726E" w:rsidRPr="00AC6C6F" w:rsidRDefault="00AF726E" w:rsidP="00302235">
            <w:pPr>
              <w:pStyle w:val="Table"/>
              <w:widowControl w:val="0"/>
              <w:rPr>
                <w:rFonts w:ascii="Arial Narrow" w:hAnsi="Arial Narrow"/>
                <w:szCs w:val="20"/>
              </w:rPr>
            </w:pPr>
            <w:r w:rsidRPr="00AC6C6F">
              <w:rPr>
                <w:rFonts w:ascii="Arial Narrow" w:hAnsi="Arial Narrow" w:cs="Helvetica"/>
                <w:i/>
                <w:iCs/>
                <w:color w:val="000000"/>
                <w:szCs w:val="20"/>
                <w:lang w:eastAsia="en-AU"/>
              </w:rPr>
              <w:t>Blood</w:t>
            </w:r>
            <w:r w:rsidRPr="00AC6C6F">
              <w:rPr>
                <w:rFonts w:ascii="Arial Narrow" w:hAnsi="Arial Narrow" w:cs="Helvetica"/>
                <w:color w:val="000000"/>
                <w:szCs w:val="20"/>
                <w:lang w:eastAsia="en-AU"/>
              </w:rPr>
              <w:t>. 2007;109(1):31-9.</w:t>
            </w:r>
          </w:p>
        </w:tc>
      </w:tr>
      <w:tr w:rsidR="00AF726E" w:rsidRPr="00AC6C6F" w:rsidTr="00302235">
        <w:tc>
          <w:tcPr>
            <w:tcW w:w="9017" w:type="dxa"/>
            <w:gridSpan w:val="3"/>
            <w:shd w:val="clear" w:color="auto" w:fill="auto"/>
          </w:tcPr>
          <w:p w:rsidR="00AF726E" w:rsidRPr="00AC6C6F" w:rsidRDefault="00AF726E" w:rsidP="00302235">
            <w:pPr>
              <w:pStyle w:val="Table"/>
              <w:widowControl w:val="0"/>
              <w:rPr>
                <w:rFonts w:ascii="Arial Narrow" w:hAnsi="Arial Narrow" w:cs="Helvetica"/>
                <w:b/>
                <w:bCs/>
                <w:color w:val="000000"/>
                <w:szCs w:val="20"/>
                <w:lang w:eastAsia="en-AU"/>
              </w:rPr>
            </w:pPr>
            <w:r w:rsidRPr="00AC6C6F">
              <w:rPr>
                <w:rFonts w:ascii="Arial Narrow" w:hAnsi="Arial Narrow" w:cs="Helvetica"/>
                <w:b/>
                <w:bCs/>
                <w:color w:val="000000"/>
                <w:szCs w:val="20"/>
                <w:lang w:eastAsia="en-AU"/>
              </w:rPr>
              <w:t xml:space="preserve">Brentuximab randomised trial </w:t>
            </w:r>
          </w:p>
        </w:tc>
      </w:tr>
      <w:tr w:rsidR="00AF726E" w:rsidRPr="00AC6C6F" w:rsidTr="00302235">
        <w:trPr>
          <w:trHeight w:val="189"/>
        </w:trPr>
        <w:tc>
          <w:tcPr>
            <w:tcW w:w="1693" w:type="dxa"/>
            <w:vMerge w:val="restart"/>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ALCANZA</w:t>
            </w:r>
          </w:p>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NCT01578499</w:t>
            </w:r>
          </w:p>
        </w:tc>
        <w:tc>
          <w:tcPr>
            <w:tcW w:w="5673" w:type="dxa"/>
            <w:shd w:val="clear" w:color="auto" w:fill="auto"/>
          </w:tcPr>
          <w:p w:rsidR="00AF726E" w:rsidRPr="00AC6C6F" w:rsidRDefault="00AF726E" w:rsidP="00302235">
            <w:pPr>
              <w:widowControl w:val="0"/>
              <w:rPr>
                <w:rFonts w:ascii="Arial Narrow" w:hAnsi="Arial Narrow"/>
                <w:sz w:val="20"/>
                <w:szCs w:val="20"/>
              </w:rPr>
            </w:pPr>
            <w:r w:rsidRPr="00AC6C6F">
              <w:rPr>
                <w:rFonts w:ascii="Arial Narrow" w:hAnsi="Arial Narrow"/>
                <w:color w:val="000000"/>
                <w:sz w:val="20"/>
                <w:szCs w:val="20"/>
                <w:shd w:val="clear" w:color="auto" w:fill="FFFFFF"/>
              </w:rPr>
              <w:t>A Randomized, Open-Label, Phase 3 Trial of Brentuximab Vedotin(SGN-35) Versus Physician's Choice (Methotrexate or Bexarotene) in Patients With CD30+ Cutaneous T-Cell Lymphoma</w:t>
            </w:r>
          </w:p>
        </w:tc>
        <w:tc>
          <w:tcPr>
            <w:tcW w:w="1651" w:type="dxa"/>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July 2018</w:t>
            </w:r>
          </w:p>
        </w:tc>
      </w:tr>
      <w:tr w:rsidR="00AF726E" w:rsidRPr="00AC6C6F" w:rsidTr="00302235">
        <w:trPr>
          <w:trHeight w:val="188"/>
        </w:trPr>
        <w:tc>
          <w:tcPr>
            <w:tcW w:w="1693" w:type="dxa"/>
            <w:vMerge/>
            <w:shd w:val="clear" w:color="auto" w:fill="auto"/>
          </w:tcPr>
          <w:p w:rsidR="00AF726E" w:rsidRPr="00AC6C6F" w:rsidRDefault="00AF726E" w:rsidP="00302235">
            <w:pPr>
              <w:pStyle w:val="Table"/>
              <w:widowControl w:val="0"/>
              <w:rPr>
                <w:rFonts w:ascii="Arial Narrow" w:hAnsi="Arial Narrow"/>
                <w:szCs w:val="20"/>
              </w:rPr>
            </w:pPr>
          </w:p>
        </w:tc>
        <w:tc>
          <w:tcPr>
            <w:tcW w:w="5673" w:type="dxa"/>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cs="Helvetica"/>
                <w:color w:val="000000"/>
                <w:szCs w:val="20"/>
                <w:lang w:eastAsia="en-AU"/>
              </w:rPr>
              <w:t>Prince HM, Kim YH, Horwitz SM, Dummer R, Scarisbrick J, Quaglino P, et al. Brentuximab vedotin or physician's choice in CD30+ cutaneous T-cell lymphoma (ALCANZA): an international, open-label, randomised, phase 3, multicentre trial. Lancet.</w:t>
            </w:r>
          </w:p>
        </w:tc>
        <w:tc>
          <w:tcPr>
            <w:tcW w:w="1651" w:type="dxa"/>
            <w:shd w:val="clear" w:color="auto" w:fill="auto"/>
          </w:tcPr>
          <w:p w:rsidR="00AF726E" w:rsidRPr="00AC6C6F" w:rsidRDefault="00AF726E" w:rsidP="00302235">
            <w:pPr>
              <w:widowControl w:val="0"/>
              <w:autoSpaceDE w:val="0"/>
              <w:autoSpaceDN w:val="0"/>
              <w:adjustRightInd w:val="0"/>
              <w:rPr>
                <w:rFonts w:ascii="Arial Narrow" w:hAnsi="Arial Narrow"/>
                <w:sz w:val="20"/>
                <w:szCs w:val="20"/>
              </w:rPr>
            </w:pPr>
            <w:r w:rsidRPr="00AC6C6F">
              <w:rPr>
                <w:rFonts w:ascii="Arial Narrow" w:hAnsi="Arial Narrow" w:cs="Helvetica"/>
                <w:i/>
                <w:iCs/>
                <w:color w:val="000000"/>
                <w:sz w:val="20"/>
                <w:szCs w:val="20"/>
              </w:rPr>
              <w:t>Lancet</w:t>
            </w:r>
            <w:r w:rsidRPr="00AC6C6F">
              <w:rPr>
                <w:rFonts w:ascii="Arial Narrow" w:hAnsi="Arial Narrow" w:cs="Helvetica"/>
                <w:color w:val="000000"/>
                <w:sz w:val="20"/>
                <w:szCs w:val="20"/>
              </w:rPr>
              <w:t xml:space="preserve"> 2017; 390(10094): 555-66</w:t>
            </w:r>
          </w:p>
        </w:tc>
      </w:tr>
      <w:tr w:rsidR="00AF726E" w:rsidRPr="00AC6C6F" w:rsidTr="00302235">
        <w:trPr>
          <w:trHeight w:val="128"/>
        </w:trPr>
        <w:tc>
          <w:tcPr>
            <w:tcW w:w="9017" w:type="dxa"/>
            <w:gridSpan w:val="3"/>
            <w:shd w:val="clear" w:color="auto" w:fill="auto"/>
          </w:tcPr>
          <w:p w:rsidR="00AF726E" w:rsidRPr="00AC6C6F" w:rsidRDefault="00AF726E" w:rsidP="00302235">
            <w:pPr>
              <w:pStyle w:val="Table"/>
              <w:widowControl w:val="0"/>
              <w:rPr>
                <w:rFonts w:ascii="Arial Narrow" w:hAnsi="Arial Narrow" w:cs="Arial"/>
                <w:b/>
                <w:bCs/>
                <w:szCs w:val="20"/>
              </w:rPr>
            </w:pPr>
            <w:r w:rsidRPr="00AC6C6F">
              <w:rPr>
                <w:rFonts w:ascii="Arial Narrow" w:hAnsi="Arial Narrow" w:cs="Arial"/>
                <w:b/>
                <w:bCs/>
                <w:szCs w:val="20"/>
              </w:rPr>
              <w:t xml:space="preserve">Brentuximab non-randomised trials </w:t>
            </w:r>
          </w:p>
        </w:tc>
      </w:tr>
      <w:tr w:rsidR="00AF726E" w:rsidRPr="00AC6C6F" w:rsidTr="00302235">
        <w:trPr>
          <w:trHeight w:val="128"/>
        </w:trPr>
        <w:tc>
          <w:tcPr>
            <w:tcW w:w="1693" w:type="dxa"/>
            <w:vMerge w:val="restart"/>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Duvic 2015</w:t>
            </w:r>
          </w:p>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NCT01352520</w:t>
            </w:r>
          </w:p>
        </w:tc>
        <w:tc>
          <w:tcPr>
            <w:tcW w:w="5673" w:type="dxa"/>
            <w:shd w:val="clear" w:color="auto" w:fill="auto"/>
          </w:tcPr>
          <w:p w:rsidR="00AF726E" w:rsidRPr="00AC6C6F" w:rsidRDefault="00AF726E" w:rsidP="00302235">
            <w:pPr>
              <w:widowControl w:val="0"/>
              <w:rPr>
                <w:rFonts w:ascii="Arial Narrow" w:hAnsi="Arial Narrow"/>
                <w:sz w:val="20"/>
                <w:szCs w:val="20"/>
              </w:rPr>
            </w:pPr>
            <w:r w:rsidRPr="00AC6C6F">
              <w:rPr>
                <w:rFonts w:ascii="Arial Narrow" w:hAnsi="Arial Narrow"/>
                <w:color w:val="000000"/>
                <w:sz w:val="20"/>
                <w:szCs w:val="20"/>
                <w:shd w:val="clear" w:color="auto" w:fill="FFFFFF"/>
              </w:rPr>
              <w:t>Phase II Trial of Brentuximab Vedotin (SGN-35) at Dose of 1.8 mg/kg IV Every 3 Weeks in Patients With CD30+ Lymphoproliferative Disorders (Cutaneous Anaplastic Large T-cell Lymphoma (ALCL), Mycosis Fungoides, and Extensive Lymphomatoid Papulosis (LyP)</w:t>
            </w:r>
          </w:p>
        </w:tc>
        <w:tc>
          <w:tcPr>
            <w:tcW w:w="1651" w:type="dxa"/>
            <w:shd w:val="clear" w:color="auto" w:fill="auto"/>
          </w:tcPr>
          <w:p w:rsidR="00AF726E" w:rsidRPr="00AC6C6F" w:rsidRDefault="00AF726E" w:rsidP="00302235">
            <w:pPr>
              <w:pStyle w:val="Table"/>
              <w:widowControl w:val="0"/>
              <w:rPr>
                <w:rFonts w:ascii="Arial Narrow" w:hAnsi="Arial Narrow" w:cs="Arial"/>
                <w:szCs w:val="20"/>
              </w:rPr>
            </w:pPr>
            <w:r w:rsidRPr="00AC6C6F">
              <w:rPr>
                <w:rFonts w:ascii="Arial Narrow" w:hAnsi="Arial Narrow" w:cs="Arial"/>
                <w:szCs w:val="20"/>
              </w:rPr>
              <w:t>July, 2019</w:t>
            </w:r>
          </w:p>
        </w:tc>
      </w:tr>
      <w:tr w:rsidR="00AF726E" w:rsidRPr="00AC6C6F" w:rsidTr="00302235">
        <w:trPr>
          <w:trHeight w:val="61"/>
        </w:trPr>
        <w:tc>
          <w:tcPr>
            <w:tcW w:w="1693" w:type="dxa"/>
            <w:vMerge/>
            <w:shd w:val="clear" w:color="auto" w:fill="auto"/>
          </w:tcPr>
          <w:p w:rsidR="00AF726E" w:rsidRPr="00AC6C6F" w:rsidRDefault="00AF726E" w:rsidP="00302235">
            <w:pPr>
              <w:pStyle w:val="Table"/>
              <w:widowControl w:val="0"/>
              <w:rPr>
                <w:rFonts w:ascii="Arial Narrow" w:hAnsi="Arial Narrow"/>
                <w:szCs w:val="20"/>
              </w:rPr>
            </w:pPr>
          </w:p>
        </w:tc>
        <w:tc>
          <w:tcPr>
            <w:tcW w:w="5673" w:type="dxa"/>
            <w:shd w:val="clear" w:color="auto" w:fill="auto"/>
          </w:tcPr>
          <w:p w:rsidR="00AF726E" w:rsidRPr="00AC6C6F" w:rsidRDefault="00AF726E" w:rsidP="00302235">
            <w:pPr>
              <w:pStyle w:val="Table"/>
              <w:widowControl w:val="0"/>
              <w:rPr>
                <w:rFonts w:ascii="Arial Narrow" w:hAnsi="Arial Narrow" w:cs="Arial"/>
                <w:szCs w:val="20"/>
              </w:rPr>
            </w:pPr>
            <w:r w:rsidRPr="00AC6C6F">
              <w:rPr>
                <w:rFonts w:ascii="Arial Narrow" w:hAnsi="Arial Narrow" w:cs="Arial"/>
                <w:color w:val="000000"/>
                <w:szCs w:val="20"/>
                <w:lang w:eastAsia="en-AU"/>
              </w:rPr>
              <w:t>Duvic M, Tetzlaff MT, Gangar P, Clos AL, Sui D, Talpur R. Results of a Phase II Trial of Brentuximab Vedotin for CD30+ Cutaneous T-Cell Lymphoma and Lymphomatoid Papulosis.</w:t>
            </w:r>
          </w:p>
        </w:tc>
        <w:tc>
          <w:tcPr>
            <w:tcW w:w="1651" w:type="dxa"/>
            <w:shd w:val="clear" w:color="auto" w:fill="auto"/>
          </w:tcPr>
          <w:p w:rsidR="00AF726E" w:rsidRPr="00AC6C6F" w:rsidRDefault="00AF726E" w:rsidP="00302235">
            <w:pPr>
              <w:pStyle w:val="Table"/>
              <w:widowControl w:val="0"/>
              <w:rPr>
                <w:rFonts w:ascii="Arial Narrow" w:hAnsi="Arial Narrow" w:cs="Arial"/>
                <w:szCs w:val="20"/>
              </w:rPr>
            </w:pPr>
            <w:r w:rsidRPr="00AC6C6F">
              <w:rPr>
                <w:rFonts w:ascii="Arial Narrow" w:hAnsi="Arial Narrow" w:cs="Arial"/>
                <w:i/>
                <w:iCs/>
                <w:color w:val="000000"/>
                <w:szCs w:val="20"/>
                <w:lang w:eastAsia="en-AU"/>
              </w:rPr>
              <w:t>J Clin Oncol</w:t>
            </w:r>
            <w:r w:rsidRPr="00AC6C6F">
              <w:rPr>
                <w:rFonts w:ascii="Arial Narrow" w:hAnsi="Arial Narrow" w:cs="Arial"/>
                <w:color w:val="000000"/>
                <w:szCs w:val="20"/>
                <w:lang w:eastAsia="en-AU"/>
              </w:rPr>
              <w:t>. 2015;33(32):3759-65.</w:t>
            </w:r>
          </w:p>
        </w:tc>
      </w:tr>
      <w:tr w:rsidR="00AF726E" w:rsidRPr="00AC6C6F" w:rsidTr="00302235">
        <w:trPr>
          <w:trHeight w:val="61"/>
        </w:trPr>
        <w:tc>
          <w:tcPr>
            <w:tcW w:w="1693" w:type="dxa"/>
            <w:vMerge/>
            <w:shd w:val="clear" w:color="auto" w:fill="auto"/>
          </w:tcPr>
          <w:p w:rsidR="00AF726E" w:rsidRPr="00AC6C6F" w:rsidRDefault="00AF726E" w:rsidP="00302235">
            <w:pPr>
              <w:pStyle w:val="Table"/>
              <w:widowControl w:val="0"/>
              <w:rPr>
                <w:rFonts w:ascii="Arial Narrow" w:hAnsi="Arial Narrow"/>
                <w:szCs w:val="20"/>
              </w:rPr>
            </w:pPr>
          </w:p>
        </w:tc>
        <w:tc>
          <w:tcPr>
            <w:tcW w:w="5673" w:type="dxa"/>
            <w:shd w:val="clear" w:color="auto" w:fill="auto"/>
          </w:tcPr>
          <w:p w:rsidR="00AF726E" w:rsidRPr="00AC6C6F" w:rsidRDefault="00AF726E" w:rsidP="00302235">
            <w:pPr>
              <w:pStyle w:val="Table"/>
              <w:widowControl w:val="0"/>
              <w:rPr>
                <w:rFonts w:ascii="Arial Narrow" w:hAnsi="Arial Narrow" w:cs="Arial"/>
                <w:szCs w:val="20"/>
              </w:rPr>
            </w:pPr>
            <w:r w:rsidRPr="00AC6C6F">
              <w:rPr>
                <w:rFonts w:ascii="Arial Narrow" w:hAnsi="Arial Narrow" w:cs="Arial"/>
                <w:color w:val="000000"/>
                <w:szCs w:val="20"/>
                <w:lang w:eastAsia="en-AU"/>
              </w:rPr>
              <w:t>Lewis DJ, Talpur R, Huen AO, Tetzlaff MT, Duvic M. Brentuximab Vedotin for Patients With Refractory Lymphomatoid Papulosis: An Analysis of Phase 2 Results.</w:t>
            </w:r>
          </w:p>
        </w:tc>
        <w:tc>
          <w:tcPr>
            <w:tcW w:w="1651" w:type="dxa"/>
            <w:shd w:val="clear" w:color="auto" w:fill="auto"/>
          </w:tcPr>
          <w:p w:rsidR="00AF726E" w:rsidRPr="00AC6C6F" w:rsidRDefault="00AF726E" w:rsidP="00302235">
            <w:pPr>
              <w:pStyle w:val="Table"/>
              <w:widowControl w:val="0"/>
              <w:rPr>
                <w:rFonts w:ascii="Arial Narrow" w:hAnsi="Arial Narrow" w:cs="Arial"/>
                <w:szCs w:val="20"/>
              </w:rPr>
            </w:pPr>
            <w:r w:rsidRPr="00AC6C6F">
              <w:rPr>
                <w:rFonts w:ascii="Arial Narrow" w:hAnsi="Arial Narrow" w:cs="Arial"/>
                <w:i/>
                <w:iCs/>
                <w:color w:val="000000"/>
                <w:szCs w:val="20"/>
                <w:lang w:eastAsia="en-AU"/>
              </w:rPr>
              <w:t>JAMA Dermatol</w:t>
            </w:r>
            <w:r w:rsidRPr="00AC6C6F">
              <w:rPr>
                <w:rFonts w:ascii="Arial Narrow" w:hAnsi="Arial Narrow" w:cs="Arial"/>
                <w:color w:val="000000"/>
                <w:szCs w:val="20"/>
                <w:lang w:eastAsia="en-AU"/>
              </w:rPr>
              <w:t>. 2017;153(12):1302-6.</w:t>
            </w:r>
          </w:p>
        </w:tc>
      </w:tr>
      <w:tr w:rsidR="00AF726E" w:rsidRPr="00AC6C6F" w:rsidTr="00302235">
        <w:trPr>
          <w:trHeight w:val="238"/>
        </w:trPr>
        <w:tc>
          <w:tcPr>
            <w:tcW w:w="1693" w:type="dxa"/>
            <w:vMerge w:val="restart"/>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Kim 2015</w:t>
            </w:r>
          </w:p>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NCT01396070</w:t>
            </w:r>
          </w:p>
        </w:tc>
        <w:tc>
          <w:tcPr>
            <w:tcW w:w="5673" w:type="dxa"/>
            <w:shd w:val="clear" w:color="auto" w:fill="auto"/>
          </w:tcPr>
          <w:p w:rsidR="00AF726E" w:rsidRPr="00AC6C6F" w:rsidRDefault="00AF726E" w:rsidP="00302235">
            <w:pPr>
              <w:widowControl w:val="0"/>
              <w:rPr>
                <w:rFonts w:ascii="Arial Narrow" w:hAnsi="Arial Narrow"/>
                <w:sz w:val="20"/>
                <w:szCs w:val="20"/>
              </w:rPr>
            </w:pPr>
            <w:r w:rsidRPr="00AC6C6F">
              <w:rPr>
                <w:rFonts w:ascii="Arial Narrow" w:hAnsi="Arial Narrow"/>
                <w:color w:val="000000"/>
                <w:sz w:val="20"/>
                <w:szCs w:val="20"/>
                <w:shd w:val="clear" w:color="auto" w:fill="FFFFFF"/>
              </w:rPr>
              <w:t>Exploratory Pilot Study of Brentuximab Vedotin (SGN-35) in Patients With Mycosis Fungoides and Sézary Syndrome With Variable CD30 Expression Level</w:t>
            </w:r>
          </w:p>
        </w:tc>
        <w:tc>
          <w:tcPr>
            <w:tcW w:w="1651" w:type="dxa"/>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szCs w:val="20"/>
              </w:rPr>
              <w:t>May 2016</w:t>
            </w:r>
          </w:p>
        </w:tc>
      </w:tr>
      <w:tr w:rsidR="00AF726E" w:rsidRPr="00AC6C6F" w:rsidTr="00302235">
        <w:trPr>
          <w:trHeight w:val="238"/>
        </w:trPr>
        <w:tc>
          <w:tcPr>
            <w:tcW w:w="1693" w:type="dxa"/>
            <w:vMerge/>
            <w:shd w:val="clear" w:color="auto" w:fill="auto"/>
          </w:tcPr>
          <w:p w:rsidR="00AF726E" w:rsidRPr="00AC6C6F" w:rsidRDefault="00AF726E" w:rsidP="00302235">
            <w:pPr>
              <w:pStyle w:val="Table"/>
              <w:widowControl w:val="0"/>
              <w:rPr>
                <w:rFonts w:ascii="Arial Narrow" w:hAnsi="Arial Narrow"/>
                <w:szCs w:val="20"/>
              </w:rPr>
            </w:pPr>
          </w:p>
        </w:tc>
        <w:tc>
          <w:tcPr>
            <w:tcW w:w="5673" w:type="dxa"/>
            <w:shd w:val="clear" w:color="auto" w:fill="auto"/>
          </w:tcPr>
          <w:p w:rsidR="00AF726E" w:rsidRPr="00AC6C6F" w:rsidRDefault="00AF726E" w:rsidP="00302235">
            <w:pPr>
              <w:widowControl w:val="0"/>
              <w:rPr>
                <w:rFonts w:ascii="Arial Narrow" w:hAnsi="Arial Narrow"/>
                <w:color w:val="000000"/>
                <w:sz w:val="20"/>
                <w:szCs w:val="20"/>
                <w:shd w:val="clear" w:color="auto" w:fill="FFFFFF"/>
              </w:rPr>
            </w:pPr>
            <w:r w:rsidRPr="00AC6C6F">
              <w:rPr>
                <w:rFonts w:ascii="Arial Narrow" w:hAnsi="Arial Narrow" w:cs="Helvetica"/>
                <w:color w:val="000000"/>
                <w:sz w:val="20"/>
                <w:szCs w:val="20"/>
              </w:rPr>
              <w:t>Kim Y, Tavallaee M, Sundram U, al. e. Phase II Investigator-Initiated Study of Brentuximab Vedotin in Mycosis Fungoides and Sezary Syndrome With Variable CD30 Expression Level: A Multi-Institution Collaborative Project.</w:t>
            </w:r>
          </w:p>
        </w:tc>
        <w:tc>
          <w:tcPr>
            <w:tcW w:w="1651" w:type="dxa"/>
            <w:shd w:val="clear" w:color="auto" w:fill="auto"/>
          </w:tcPr>
          <w:p w:rsidR="00AF726E" w:rsidRPr="00AC6C6F" w:rsidRDefault="00AF726E" w:rsidP="00302235">
            <w:pPr>
              <w:pStyle w:val="Table"/>
              <w:widowControl w:val="0"/>
              <w:rPr>
                <w:rFonts w:ascii="Arial Narrow" w:hAnsi="Arial Narrow"/>
                <w:szCs w:val="20"/>
              </w:rPr>
            </w:pPr>
            <w:r w:rsidRPr="00AC6C6F">
              <w:rPr>
                <w:rFonts w:ascii="Arial Narrow" w:hAnsi="Arial Narrow"/>
                <w:i/>
                <w:iCs/>
                <w:szCs w:val="20"/>
              </w:rPr>
              <w:t>J Clin Oncol.</w:t>
            </w:r>
            <w:r w:rsidRPr="00AC6C6F">
              <w:rPr>
                <w:rFonts w:ascii="Arial Narrow" w:hAnsi="Arial Narrow"/>
                <w:szCs w:val="20"/>
              </w:rPr>
              <w:t xml:space="preserve"> 2015;33(32):3750-8</w:t>
            </w:r>
          </w:p>
        </w:tc>
      </w:tr>
    </w:tbl>
    <w:p w:rsidR="00AF726E" w:rsidRPr="00AC6C6F" w:rsidRDefault="00AF726E" w:rsidP="00AF726E">
      <w:pPr>
        <w:pStyle w:val="TableFigureFooter"/>
        <w:widowControl w:val="0"/>
        <w:rPr>
          <w:szCs w:val="18"/>
        </w:rPr>
      </w:pPr>
      <w:r w:rsidRPr="00AC6C6F">
        <w:rPr>
          <w:szCs w:val="18"/>
        </w:rPr>
        <w:t xml:space="preserve">Source: Table 2-1 of the submission, Consolidated reference library provided by the submission in Endnote. </w:t>
      </w:r>
    </w:p>
    <w:p w:rsidR="00AF726E" w:rsidRPr="00AC6C6F" w:rsidRDefault="00AF726E" w:rsidP="00AF726E">
      <w:pPr>
        <w:pStyle w:val="TableFigureFooter"/>
        <w:widowControl w:val="0"/>
        <w:rPr>
          <w:i/>
          <w:iCs/>
          <w:szCs w:val="18"/>
        </w:rPr>
      </w:pPr>
      <w:r w:rsidRPr="00AC6C6F">
        <w:rPr>
          <w:szCs w:val="18"/>
          <w:vertAlign w:val="superscript"/>
        </w:rPr>
        <w:t xml:space="preserve">a </w:t>
      </w:r>
      <w:r w:rsidRPr="00AC6C6F">
        <w:rPr>
          <w:szCs w:val="18"/>
        </w:rPr>
        <w:t xml:space="preserve">The submission presented a Supplementary Report: Quality of Life Analysis in Subjects with Cutaneous T-Cell Lymphoma Treated with Anti-CCR4 Monoclonal Antibody KW-0761 (Mogamulizumab) Versus Vorinostat; (1 August 2017). However, this is not a published paper, and it is uncertain as to whether this information is publicly available. </w:t>
      </w:r>
    </w:p>
    <w:p w:rsidR="00AF726E" w:rsidRPr="00AC6C6F" w:rsidRDefault="00AF726E" w:rsidP="00AF726E">
      <w:pPr>
        <w:pStyle w:val="In-tableHeading"/>
        <w:rPr>
          <w:lang w:val="en-AU"/>
        </w:rPr>
      </w:pPr>
    </w:p>
    <w:p w:rsidR="002F1E2C" w:rsidRPr="00AC6C6F" w:rsidRDefault="00AF726E" w:rsidP="002F1E2C">
      <w:pPr>
        <w:pStyle w:val="3-BodyText"/>
        <w:rPr>
          <w:color w:val="0066FF"/>
        </w:rPr>
      </w:pPr>
      <w:r w:rsidRPr="00AC6C6F">
        <w:t xml:space="preserve">The key features of the included evidence are summarised in Table 3. </w:t>
      </w:r>
      <w:r w:rsidR="006030BA" w:rsidRPr="00AC6C6F">
        <w:rPr>
          <w:iCs/>
        </w:rPr>
        <w:t>Overall the presentation of the evidence from the non-randomised trials did not advance the evidence beyond that presented from the direct RCT (MAVORIC) for the primary comparison or the naïve comparison (MAVORIC vs ALCANZA) in that it did not present information on CTCL subtypes other than MF or SS (for mogamulizumab) and was not sufficiently comparable with the evidence from the RCTs to better inform those comparisons.</w:t>
      </w:r>
      <w:r w:rsidR="002F1E2C" w:rsidRPr="00AC6C6F">
        <w:rPr>
          <w:iCs/>
        </w:rPr>
        <w:t xml:space="preserve"> Accordingly, </w:t>
      </w:r>
      <w:r w:rsidR="003E0BE6" w:rsidRPr="00AC6C6F">
        <w:rPr>
          <w:iCs/>
        </w:rPr>
        <w:t xml:space="preserve">no </w:t>
      </w:r>
      <w:r w:rsidR="002F1E2C" w:rsidRPr="00AC6C6F">
        <w:rPr>
          <w:iCs/>
        </w:rPr>
        <w:t>further discussion of th</w:t>
      </w:r>
      <w:r w:rsidR="003E0BE6" w:rsidRPr="00AC6C6F">
        <w:rPr>
          <w:iCs/>
        </w:rPr>
        <w:t xml:space="preserve">e non-randomised trials is presented. </w:t>
      </w:r>
    </w:p>
    <w:p w:rsidR="00AF726E" w:rsidRPr="00AC6C6F" w:rsidRDefault="00AF726E" w:rsidP="00AF726E">
      <w:pPr>
        <w:pStyle w:val="TableFigureHeading"/>
        <w:rPr>
          <w:rStyle w:val="CommentReference"/>
          <w:b/>
          <w:bCs w:val="0"/>
        </w:rPr>
      </w:pPr>
      <w:r w:rsidRPr="00AC6C6F">
        <w:rPr>
          <w:rStyle w:val="CommentReference"/>
          <w:b/>
          <w:bCs w:val="0"/>
        </w:rPr>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69"/>
        <w:gridCol w:w="386"/>
        <w:gridCol w:w="1095"/>
        <w:gridCol w:w="1096"/>
        <w:gridCol w:w="2263"/>
        <w:gridCol w:w="1542"/>
        <w:gridCol w:w="1266"/>
      </w:tblGrid>
      <w:tr w:rsidR="00AF726E" w:rsidRPr="00AC6C6F" w:rsidTr="001965F2">
        <w:trPr>
          <w:tblHeader/>
        </w:trPr>
        <w:tc>
          <w:tcPr>
            <w:tcW w:w="759" w:type="pct"/>
            <w:shd w:val="clear" w:color="auto" w:fill="auto"/>
            <w:vAlign w:val="center"/>
          </w:tcPr>
          <w:p w:rsidR="00AF726E" w:rsidRPr="00AC6C6F" w:rsidRDefault="00AF726E" w:rsidP="00302235">
            <w:pPr>
              <w:pStyle w:val="In-tableHeading"/>
              <w:rPr>
                <w:lang w:val="en-AU"/>
              </w:rPr>
            </w:pPr>
            <w:r w:rsidRPr="00AC6C6F">
              <w:rPr>
                <w:lang w:val="en-AU"/>
              </w:rPr>
              <w:t>Trial</w:t>
            </w:r>
          </w:p>
        </w:tc>
        <w:tc>
          <w:tcPr>
            <w:tcW w:w="214" w:type="pct"/>
            <w:shd w:val="clear" w:color="auto" w:fill="auto"/>
            <w:vAlign w:val="center"/>
          </w:tcPr>
          <w:p w:rsidR="00AF726E" w:rsidRPr="00AC6C6F" w:rsidRDefault="00AF726E" w:rsidP="00302235">
            <w:pPr>
              <w:pStyle w:val="In-tableHeading"/>
              <w:jc w:val="center"/>
              <w:rPr>
                <w:lang w:val="en-AU"/>
              </w:rPr>
            </w:pPr>
            <w:r w:rsidRPr="00AC6C6F">
              <w:rPr>
                <w:lang w:val="en-AU"/>
              </w:rPr>
              <w:t>N</w:t>
            </w:r>
          </w:p>
        </w:tc>
        <w:tc>
          <w:tcPr>
            <w:tcW w:w="607" w:type="pct"/>
            <w:shd w:val="clear" w:color="auto" w:fill="auto"/>
            <w:vAlign w:val="center"/>
          </w:tcPr>
          <w:p w:rsidR="00AF726E" w:rsidRPr="00AC6C6F" w:rsidRDefault="00AF726E" w:rsidP="00302235">
            <w:pPr>
              <w:pStyle w:val="In-tableHeading"/>
              <w:jc w:val="center"/>
              <w:rPr>
                <w:lang w:val="en-AU"/>
              </w:rPr>
            </w:pPr>
            <w:r w:rsidRPr="00AC6C6F">
              <w:rPr>
                <w:lang w:val="en-AU"/>
              </w:rPr>
              <w:t>Design/ duration</w:t>
            </w:r>
          </w:p>
        </w:tc>
        <w:tc>
          <w:tcPr>
            <w:tcW w:w="608" w:type="pct"/>
            <w:shd w:val="clear" w:color="auto" w:fill="auto"/>
            <w:vAlign w:val="center"/>
          </w:tcPr>
          <w:p w:rsidR="00AF726E" w:rsidRPr="00AC6C6F" w:rsidRDefault="00AF726E" w:rsidP="00302235">
            <w:pPr>
              <w:pStyle w:val="In-tableHeading"/>
              <w:jc w:val="center"/>
              <w:rPr>
                <w:lang w:val="en-AU"/>
              </w:rPr>
            </w:pPr>
            <w:r w:rsidRPr="00AC6C6F">
              <w:rPr>
                <w:lang w:val="en-AU"/>
              </w:rPr>
              <w:t xml:space="preserve">Risk of bias </w:t>
            </w:r>
            <w:r w:rsidRPr="00AC6C6F">
              <w:rPr>
                <w:vertAlign w:val="superscript"/>
                <w:lang w:val="en-AU"/>
              </w:rPr>
              <w:t>g</w:t>
            </w:r>
          </w:p>
        </w:tc>
        <w:tc>
          <w:tcPr>
            <w:tcW w:w="1255" w:type="pct"/>
            <w:shd w:val="clear" w:color="auto" w:fill="auto"/>
            <w:vAlign w:val="center"/>
          </w:tcPr>
          <w:p w:rsidR="00AF726E" w:rsidRPr="00AC6C6F" w:rsidRDefault="00AF726E" w:rsidP="00302235">
            <w:pPr>
              <w:pStyle w:val="In-tableHeading"/>
              <w:jc w:val="center"/>
              <w:rPr>
                <w:lang w:val="en-AU"/>
              </w:rPr>
            </w:pPr>
            <w:r w:rsidRPr="00AC6C6F">
              <w:rPr>
                <w:lang w:val="en-AU"/>
              </w:rPr>
              <w:t>Patient population</w:t>
            </w:r>
          </w:p>
        </w:tc>
        <w:tc>
          <w:tcPr>
            <w:tcW w:w="855" w:type="pct"/>
            <w:shd w:val="clear" w:color="auto" w:fill="auto"/>
            <w:vAlign w:val="center"/>
          </w:tcPr>
          <w:p w:rsidR="00AF726E" w:rsidRPr="00AC6C6F" w:rsidRDefault="00AF726E" w:rsidP="00302235">
            <w:pPr>
              <w:pStyle w:val="In-tableHeading"/>
              <w:jc w:val="center"/>
              <w:rPr>
                <w:lang w:val="en-AU"/>
              </w:rPr>
            </w:pPr>
            <w:r w:rsidRPr="00AC6C6F">
              <w:rPr>
                <w:lang w:val="en-AU"/>
              </w:rPr>
              <w:t>Outcome(s)</w:t>
            </w:r>
          </w:p>
        </w:tc>
        <w:tc>
          <w:tcPr>
            <w:tcW w:w="702" w:type="pct"/>
            <w:shd w:val="clear" w:color="auto" w:fill="auto"/>
            <w:vAlign w:val="center"/>
          </w:tcPr>
          <w:p w:rsidR="00AF726E" w:rsidRPr="00AC6C6F" w:rsidRDefault="00AF726E" w:rsidP="00302235">
            <w:pPr>
              <w:pStyle w:val="In-tableHeading"/>
              <w:jc w:val="center"/>
              <w:rPr>
                <w:lang w:val="en-AU"/>
              </w:rPr>
            </w:pPr>
            <w:r w:rsidRPr="00AC6C6F">
              <w:rPr>
                <w:lang w:val="en-AU"/>
              </w:rPr>
              <w:t>Use in modelled evaluation</w:t>
            </w:r>
          </w:p>
        </w:tc>
      </w:tr>
      <w:tr w:rsidR="00AF726E" w:rsidRPr="00AC6C6F" w:rsidTr="00302235">
        <w:trPr>
          <w:tblHeader/>
        </w:trPr>
        <w:tc>
          <w:tcPr>
            <w:tcW w:w="5000" w:type="pct"/>
            <w:gridSpan w:val="7"/>
            <w:shd w:val="clear" w:color="auto" w:fill="auto"/>
            <w:vAlign w:val="center"/>
          </w:tcPr>
          <w:p w:rsidR="00AF726E" w:rsidRPr="00AC6C6F" w:rsidRDefault="00AF726E" w:rsidP="00302235">
            <w:pPr>
              <w:pStyle w:val="In-tableHeading"/>
              <w:rPr>
                <w:lang w:val="en-AU"/>
              </w:rPr>
            </w:pPr>
            <w:r w:rsidRPr="00AC6C6F">
              <w:rPr>
                <w:lang w:val="en-AU"/>
              </w:rPr>
              <w:t>Mogamulizumab vs vorinostat</w:t>
            </w:r>
          </w:p>
        </w:tc>
      </w:tr>
      <w:tr w:rsidR="00AF726E" w:rsidRPr="00AC6C6F" w:rsidTr="001965F2">
        <w:trPr>
          <w:tblHeader/>
        </w:trPr>
        <w:tc>
          <w:tcPr>
            <w:tcW w:w="759" w:type="pct"/>
            <w:shd w:val="clear" w:color="auto" w:fill="auto"/>
            <w:vAlign w:val="center"/>
          </w:tcPr>
          <w:p w:rsidR="00AF726E" w:rsidRPr="00AC6C6F" w:rsidRDefault="00AF726E" w:rsidP="00302235">
            <w:pPr>
              <w:pStyle w:val="TableText0"/>
            </w:pPr>
            <w:r w:rsidRPr="00AC6C6F">
              <w:t>MAVORIC</w:t>
            </w:r>
          </w:p>
        </w:tc>
        <w:tc>
          <w:tcPr>
            <w:tcW w:w="214" w:type="pct"/>
            <w:shd w:val="clear" w:color="auto" w:fill="auto"/>
            <w:vAlign w:val="center"/>
          </w:tcPr>
          <w:p w:rsidR="00AF726E" w:rsidRPr="00AC6C6F" w:rsidRDefault="00AF726E" w:rsidP="00302235">
            <w:pPr>
              <w:pStyle w:val="TableText0"/>
              <w:jc w:val="center"/>
            </w:pPr>
            <w:r w:rsidRPr="00AC6C6F">
              <w:t>372</w:t>
            </w:r>
          </w:p>
        </w:tc>
        <w:tc>
          <w:tcPr>
            <w:tcW w:w="607" w:type="pct"/>
            <w:shd w:val="clear" w:color="auto" w:fill="auto"/>
            <w:vAlign w:val="center"/>
          </w:tcPr>
          <w:p w:rsidR="00AF726E" w:rsidRPr="00AC6C6F" w:rsidRDefault="00AF726E" w:rsidP="00302235">
            <w:pPr>
              <w:pStyle w:val="TableText0"/>
              <w:jc w:val="center"/>
            </w:pPr>
            <w:r w:rsidRPr="00AC6C6F">
              <w:t>R, OL</w:t>
            </w:r>
          </w:p>
          <w:p w:rsidR="00AF726E" w:rsidRPr="00AC6C6F" w:rsidRDefault="00AF726E" w:rsidP="00302235">
            <w:pPr>
              <w:pStyle w:val="TableText0"/>
              <w:jc w:val="center"/>
            </w:pPr>
            <w:r w:rsidRPr="00AC6C6F">
              <w:t xml:space="preserve">17 months </w:t>
            </w:r>
          </w:p>
        </w:tc>
        <w:tc>
          <w:tcPr>
            <w:tcW w:w="608" w:type="pct"/>
            <w:shd w:val="clear" w:color="auto" w:fill="auto"/>
            <w:vAlign w:val="center"/>
          </w:tcPr>
          <w:p w:rsidR="00AF726E" w:rsidRPr="00AC6C6F" w:rsidRDefault="00AF726E" w:rsidP="00302235">
            <w:pPr>
              <w:pStyle w:val="TableText0"/>
              <w:jc w:val="center"/>
            </w:pPr>
            <w:r w:rsidRPr="00AC6C6F">
              <w:t>High</w:t>
            </w:r>
            <w:r w:rsidR="00D20241" w:rsidRPr="00AC6C6F">
              <w:t xml:space="preserve"> </w:t>
            </w:r>
            <w:r w:rsidR="00D20241" w:rsidRPr="00AC6C6F">
              <w:rPr>
                <w:vertAlign w:val="superscript"/>
              </w:rPr>
              <w:t>h</w:t>
            </w:r>
          </w:p>
        </w:tc>
        <w:tc>
          <w:tcPr>
            <w:tcW w:w="1255" w:type="pct"/>
            <w:shd w:val="clear" w:color="auto" w:fill="auto"/>
            <w:vAlign w:val="center"/>
          </w:tcPr>
          <w:p w:rsidR="00AF726E" w:rsidRPr="00AC6C6F" w:rsidRDefault="00AF726E" w:rsidP="00302235">
            <w:pPr>
              <w:pStyle w:val="TableText0"/>
              <w:jc w:val="center"/>
            </w:pPr>
            <w:r w:rsidRPr="00AC6C6F">
              <w:t xml:space="preserve">MF or SS </w:t>
            </w:r>
          </w:p>
          <w:p w:rsidR="00AF726E" w:rsidRPr="00AC6C6F" w:rsidRDefault="00AF726E" w:rsidP="00302235">
            <w:pPr>
              <w:pStyle w:val="TableText0"/>
              <w:jc w:val="center"/>
            </w:pPr>
            <w:r w:rsidRPr="00AC6C6F">
              <w:t>≥ 1 prior systemic therapy</w:t>
            </w:r>
          </w:p>
        </w:tc>
        <w:tc>
          <w:tcPr>
            <w:tcW w:w="855" w:type="pct"/>
            <w:shd w:val="clear" w:color="auto" w:fill="auto"/>
            <w:vAlign w:val="center"/>
          </w:tcPr>
          <w:p w:rsidR="00AF726E" w:rsidRPr="00AC6C6F" w:rsidRDefault="00AF726E" w:rsidP="00302235">
            <w:pPr>
              <w:pStyle w:val="TableText0"/>
              <w:jc w:val="center"/>
            </w:pPr>
            <w:r w:rsidRPr="00AC6C6F">
              <w:t xml:space="preserve">PFS, ORR, DOR, </w:t>
            </w:r>
            <w:r w:rsidR="00B90214" w:rsidRPr="00AC6C6F">
              <w:t xml:space="preserve">TTF, </w:t>
            </w:r>
            <w:r w:rsidRPr="00AC6C6F">
              <w:t xml:space="preserve">TTR, HRQoL, AEs, TTNT </w:t>
            </w:r>
            <w:r w:rsidRPr="00AC6C6F">
              <w:rPr>
                <w:vertAlign w:val="superscript"/>
              </w:rPr>
              <w:t>a</w:t>
            </w:r>
          </w:p>
        </w:tc>
        <w:tc>
          <w:tcPr>
            <w:tcW w:w="702" w:type="pct"/>
            <w:shd w:val="clear" w:color="auto" w:fill="auto"/>
            <w:vAlign w:val="center"/>
          </w:tcPr>
          <w:p w:rsidR="00AF726E" w:rsidRPr="00AC6C6F" w:rsidRDefault="00B90214" w:rsidP="00302235">
            <w:pPr>
              <w:pStyle w:val="TableText0"/>
              <w:jc w:val="center"/>
            </w:pPr>
            <w:r w:rsidRPr="00AC6C6F">
              <w:t xml:space="preserve">TTF, </w:t>
            </w:r>
            <w:r w:rsidR="00D86B28" w:rsidRPr="00AC6C6F">
              <w:t xml:space="preserve">PFS, </w:t>
            </w:r>
            <w:r w:rsidR="00AF726E" w:rsidRPr="00AC6C6F">
              <w:t>TTNT, OS</w:t>
            </w:r>
          </w:p>
        </w:tc>
      </w:tr>
      <w:tr w:rsidR="00AF726E" w:rsidRPr="00AC6C6F" w:rsidTr="001965F2">
        <w:trPr>
          <w:tblHeader/>
        </w:trPr>
        <w:tc>
          <w:tcPr>
            <w:tcW w:w="759" w:type="pct"/>
            <w:shd w:val="clear" w:color="auto" w:fill="auto"/>
            <w:vAlign w:val="center"/>
          </w:tcPr>
          <w:p w:rsidR="00AF726E" w:rsidRPr="00AC6C6F" w:rsidRDefault="00AF726E" w:rsidP="00302235">
            <w:pPr>
              <w:pStyle w:val="TableText0"/>
            </w:pPr>
            <w:r w:rsidRPr="00AC6C6F">
              <w:t>KW-0761-001</w:t>
            </w:r>
          </w:p>
          <w:p w:rsidR="003900E8" w:rsidRPr="00AC6C6F" w:rsidRDefault="003900E8" w:rsidP="00302235">
            <w:pPr>
              <w:pStyle w:val="TableText0"/>
            </w:pPr>
            <w:r w:rsidRPr="00AC6C6F">
              <w:t>(mogamulizumab)</w:t>
            </w:r>
          </w:p>
        </w:tc>
        <w:tc>
          <w:tcPr>
            <w:tcW w:w="214" w:type="pct"/>
            <w:shd w:val="clear" w:color="auto" w:fill="auto"/>
            <w:vAlign w:val="center"/>
          </w:tcPr>
          <w:p w:rsidR="00AF726E" w:rsidRPr="00AC6C6F" w:rsidRDefault="00AF726E" w:rsidP="00302235">
            <w:pPr>
              <w:pStyle w:val="TableText0"/>
              <w:jc w:val="center"/>
              <w:rPr>
                <w:vertAlign w:val="superscript"/>
              </w:rPr>
            </w:pPr>
            <w:r w:rsidRPr="00AC6C6F">
              <w:t>41</w:t>
            </w:r>
            <w:r w:rsidRPr="00AC6C6F">
              <w:rPr>
                <w:vertAlign w:val="superscript"/>
              </w:rPr>
              <w:t xml:space="preserve"> b</w:t>
            </w:r>
          </w:p>
        </w:tc>
        <w:tc>
          <w:tcPr>
            <w:tcW w:w="607" w:type="pct"/>
            <w:shd w:val="clear" w:color="auto" w:fill="auto"/>
            <w:vAlign w:val="center"/>
          </w:tcPr>
          <w:p w:rsidR="00AF726E" w:rsidRPr="00AC6C6F" w:rsidRDefault="00AF726E" w:rsidP="00302235">
            <w:pPr>
              <w:pStyle w:val="TableText0"/>
              <w:jc w:val="center"/>
              <w:rPr>
                <w:vertAlign w:val="superscript"/>
              </w:rPr>
            </w:pPr>
            <w:r w:rsidRPr="00AC6C6F">
              <w:t xml:space="preserve">MC, OL, two-part </w:t>
            </w:r>
            <w:r w:rsidRPr="00AC6C6F">
              <w:rPr>
                <w:vertAlign w:val="superscript"/>
              </w:rPr>
              <w:t>c</w:t>
            </w:r>
          </w:p>
        </w:tc>
        <w:tc>
          <w:tcPr>
            <w:tcW w:w="608" w:type="pct"/>
            <w:shd w:val="clear" w:color="auto" w:fill="auto"/>
            <w:vAlign w:val="center"/>
          </w:tcPr>
          <w:p w:rsidR="00AF726E" w:rsidRPr="00AC6C6F" w:rsidRDefault="00AF726E" w:rsidP="00302235">
            <w:pPr>
              <w:pStyle w:val="TableText0"/>
              <w:jc w:val="center"/>
            </w:pPr>
            <w:r w:rsidRPr="00AC6C6F">
              <w:t>High</w:t>
            </w:r>
          </w:p>
        </w:tc>
        <w:tc>
          <w:tcPr>
            <w:tcW w:w="1255" w:type="pct"/>
            <w:shd w:val="clear" w:color="auto" w:fill="auto"/>
            <w:vAlign w:val="center"/>
          </w:tcPr>
          <w:p w:rsidR="00AF726E" w:rsidRPr="00AC6C6F" w:rsidRDefault="00AF726E" w:rsidP="00302235">
            <w:pPr>
              <w:pStyle w:val="TableText0"/>
              <w:jc w:val="center"/>
            </w:pPr>
            <w:r w:rsidRPr="00AC6C6F">
              <w:t xml:space="preserve">MF or SS </w:t>
            </w:r>
          </w:p>
          <w:p w:rsidR="00AF726E" w:rsidRPr="00AC6C6F" w:rsidRDefault="00AF726E" w:rsidP="00302235">
            <w:pPr>
              <w:pStyle w:val="TableText0"/>
              <w:jc w:val="center"/>
            </w:pPr>
            <w:r w:rsidRPr="00AC6C6F">
              <w:t>≥ 1 prior systemic therapy</w:t>
            </w:r>
          </w:p>
        </w:tc>
        <w:tc>
          <w:tcPr>
            <w:tcW w:w="855" w:type="pct"/>
            <w:shd w:val="clear" w:color="auto" w:fill="auto"/>
            <w:vAlign w:val="center"/>
          </w:tcPr>
          <w:p w:rsidR="00AF726E" w:rsidRPr="00AC6C6F" w:rsidRDefault="00AF726E" w:rsidP="00302235">
            <w:pPr>
              <w:pStyle w:val="TableText0"/>
              <w:jc w:val="center"/>
            </w:pPr>
            <w:r w:rsidRPr="00AC6C6F">
              <w:t>ORR, DOR, TTP, TTR, PFS</w:t>
            </w:r>
          </w:p>
        </w:tc>
        <w:tc>
          <w:tcPr>
            <w:tcW w:w="702" w:type="pct"/>
            <w:shd w:val="clear" w:color="auto" w:fill="auto"/>
            <w:vAlign w:val="center"/>
          </w:tcPr>
          <w:p w:rsidR="00AF726E" w:rsidRPr="00AC6C6F" w:rsidRDefault="00AF726E" w:rsidP="00302235">
            <w:pPr>
              <w:pStyle w:val="TableText0"/>
              <w:jc w:val="center"/>
            </w:pPr>
            <w:r w:rsidRPr="00AC6C6F">
              <w:t>Not used</w:t>
            </w:r>
          </w:p>
        </w:tc>
      </w:tr>
      <w:tr w:rsidR="00AF726E" w:rsidRPr="00AC6C6F" w:rsidTr="001965F2">
        <w:trPr>
          <w:tblHeader/>
        </w:trPr>
        <w:tc>
          <w:tcPr>
            <w:tcW w:w="759" w:type="pct"/>
            <w:shd w:val="clear" w:color="auto" w:fill="auto"/>
            <w:vAlign w:val="center"/>
          </w:tcPr>
          <w:p w:rsidR="00AF726E" w:rsidRPr="00AC6C6F" w:rsidRDefault="00AF726E" w:rsidP="00302235">
            <w:pPr>
              <w:pStyle w:val="TableText0"/>
            </w:pPr>
            <w:r w:rsidRPr="00AC6C6F">
              <w:t>KW-0761-004</w:t>
            </w:r>
          </w:p>
          <w:p w:rsidR="003900E8" w:rsidRPr="00AC6C6F" w:rsidRDefault="003900E8" w:rsidP="00302235">
            <w:pPr>
              <w:pStyle w:val="TableText0"/>
            </w:pPr>
            <w:r w:rsidRPr="00AC6C6F">
              <w:t>(mogamulizumab)</w:t>
            </w:r>
          </w:p>
        </w:tc>
        <w:tc>
          <w:tcPr>
            <w:tcW w:w="214" w:type="pct"/>
            <w:shd w:val="clear" w:color="auto" w:fill="auto"/>
            <w:vAlign w:val="center"/>
          </w:tcPr>
          <w:p w:rsidR="00AF726E" w:rsidRPr="00AC6C6F" w:rsidRDefault="00AF726E" w:rsidP="00302235">
            <w:pPr>
              <w:pStyle w:val="TableText0"/>
              <w:jc w:val="center"/>
              <w:rPr>
                <w:vertAlign w:val="superscript"/>
              </w:rPr>
            </w:pPr>
            <w:r w:rsidRPr="00AC6C6F">
              <w:t xml:space="preserve">37 </w:t>
            </w:r>
            <w:r w:rsidRPr="00AC6C6F">
              <w:rPr>
                <w:vertAlign w:val="superscript"/>
              </w:rPr>
              <w:t>d</w:t>
            </w:r>
          </w:p>
        </w:tc>
        <w:tc>
          <w:tcPr>
            <w:tcW w:w="607" w:type="pct"/>
            <w:shd w:val="clear" w:color="auto" w:fill="auto"/>
            <w:vAlign w:val="center"/>
          </w:tcPr>
          <w:p w:rsidR="00AF726E" w:rsidRPr="00AC6C6F" w:rsidRDefault="00AF726E" w:rsidP="00302235">
            <w:pPr>
              <w:pStyle w:val="TableText0"/>
              <w:jc w:val="center"/>
              <w:rPr>
                <w:vertAlign w:val="superscript"/>
              </w:rPr>
            </w:pPr>
            <w:r w:rsidRPr="00AC6C6F">
              <w:t xml:space="preserve">Single-arm, MC, OL </w:t>
            </w:r>
            <w:r w:rsidRPr="00AC6C6F">
              <w:rPr>
                <w:vertAlign w:val="superscript"/>
              </w:rPr>
              <w:t>c</w:t>
            </w:r>
          </w:p>
        </w:tc>
        <w:tc>
          <w:tcPr>
            <w:tcW w:w="608" w:type="pct"/>
            <w:shd w:val="clear" w:color="auto" w:fill="auto"/>
            <w:vAlign w:val="center"/>
          </w:tcPr>
          <w:p w:rsidR="00AF726E" w:rsidRPr="00AC6C6F" w:rsidRDefault="00AF726E" w:rsidP="00302235">
            <w:pPr>
              <w:pStyle w:val="TableText0"/>
              <w:jc w:val="center"/>
            </w:pPr>
            <w:r w:rsidRPr="00AC6C6F">
              <w:t>High</w:t>
            </w:r>
          </w:p>
        </w:tc>
        <w:tc>
          <w:tcPr>
            <w:tcW w:w="1255" w:type="pct"/>
            <w:shd w:val="clear" w:color="auto" w:fill="auto"/>
            <w:vAlign w:val="center"/>
          </w:tcPr>
          <w:p w:rsidR="00AF726E" w:rsidRPr="00AC6C6F" w:rsidRDefault="00AF726E" w:rsidP="00302235">
            <w:pPr>
              <w:pStyle w:val="TableText0"/>
              <w:jc w:val="center"/>
            </w:pPr>
            <w:r w:rsidRPr="00AC6C6F">
              <w:t>CCR4+ PTCL or CTCL</w:t>
            </w:r>
          </w:p>
          <w:p w:rsidR="00AF726E" w:rsidRPr="00AC6C6F" w:rsidRDefault="00AF726E" w:rsidP="00302235">
            <w:pPr>
              <w:pStyle w:val="TableText0"/>
              <w:jc w:val="center"/>
            </w:pPr>
            <w:r w:rsidRPr="00AC6C6F">
              <w:t>Relapsed after last systemic chemotherapy</w:t>
            </w:r>
          </w:p>
        </w:tc>
        <w:tc>
          <w:tcPr>
            <w:tcW w:w="855" w:type="pct"/>
            <w:shd w:val="clear" w:color="auto" w:fill="auto"/>
            <w:vAlign w:val="center"/>
          </w:tcPr>
          <w:p w:rsidR="00AF726E" w:rsidRPr="00AC6C6F" w:rsidRDefault="00AF726E" w:rsidP="00302235">
            <w:pPr>
              <w:pStyle w:val="TableText0"/>
              <w:jc w:val="center"/>
            </w:pPr>
            <w:r w:rsidRPr="00AC6C6F">
              <w:t>BOR, PFS, OS</w:t>
            </w:r>
          </w:p>
        </w:tc>
        <w:tc>
          <w:tcPr>
            <w:tcW w:w="702" w:type="pct"/>
            <w:shd w:val="clear" w:color="auto" w:fill="auto"/>
            <w:vAlign w:val="center"/>
          </w:tcPr>
          <w:p w:rsidR="00AF726E" w:rsidRPr="00AC6C6F" w:rsidRDefault="00AF726E" w:rsidP="00302235">
            <w:pPr>
              <w:pStyle w:val="TableText0"/>
              <w:jc w:val="center"/>
            </w:pPr>
            <w:r w:rsidRPr="00AC6C6F">
              <w:t>Not used</w:t>
            </w:r>
          </w:p>
        </w:tc>
      </w:tr>
      <w:tr w:rsidR="00AF726E" w:rsidRPr="00AC6C6F" w:rsidTr="001965F2">
        <w:trPr>
          <w:tblHeader/>
        </w:trPr>
        <w:tc>
          <w:tcPr>
            <w:tcW w:w="759" w:type="pct"/>
            <w:shd w:val="clear" w:color="auto" w:fill="auto"/>
            <w:vAlign w:val="center"/>
          </w:tcPr>
          <w:p w:rsidR="00AF726E" w:rsidRPr="00AC6C6F" w:rsidRDefault="00AF726E" w:rsidP="00302235">
            <w:pPr>
              <w:pStyle w:val="TableText0"/>
            </w:pPr>
            <w:r w:rsidRPr="00AC6C6F">
              <w:t>Study P001</w:t>
            </w:r>
          </w:p>
          <w:p w:rsidR="00AF726E" w:rsidRPr="00AC6C6F" w:rsidRDefault="00AF726E" w:rsidP="00302235">
            <w:pPr>
              <w:pStyle w:val="TableText0"/>
            </w:pPr>
            <w:r w:rsidRPr="00AC6C6F">
              <w:t>(vorinostat)</w:t>
            </w:r>
          </w:p>
        </w:tc>
        <w:tc>
          <w:tcPr>
            <w:tcW w:w="214" w:type="pct"/>
            <w:shd w:val="clear" w:color="auto" w:fill="auto"/>
            <w:vAlign w:val="center"/>
          </w:tcPr>
          <w:p w:rsidR="00AF726E" w:rsidRPr="00AC6C6F" w:rsidRDefault="00AF726E" w:rsidP="00302235">
            <w:pPr>
              <w:pStyle w:val="TableText0"/>
              <w:jc w:val="center"/>
            </w:pPr>
            <w:r w:rsidRPr="00AC6C6F">
              <w:t>74</w:t>
            </w:r>
          </w:p>
        </w:tc>
        <w:tc>
          <w:tcPr>
            <w:tcW w:w="607" w:type="pct"/>
            <w:shd w:val="clear" w:color="auto" w:fill="auto"/>
            <w:vAlign w:val="center"/>
          </w:tcPr>
          <w:p w:rsidR="00AF726E" w:rsidRPr="00AC6C6F" w:rsidRDefault="00AF726E" w:rsidP="00302235">
            <w:pPr>
              <w:pStyle w:val="TableText0"/>
              <w:jc w:val="center"/>
              <w:rPr>
                <w:color w:val="000000" w:themeColor="text1"/>
              </w:rPr>
            </w:pPr>
            <w:r w:rsidRPr="00AC6C6F">
              <w:rPr>
                <w:color w:val="000000" w:themeColor="text1"/>
              </w:rPr>
              <w:t>Single-arm, MC,  OL</w:t>
            </w:r>
          </w:p>
          <w:p w:rsidR="00AF726E" w:rsidRPr="00AC6C6F" w:rsidRDefault="00AF726E" w:rsidP="00302235">
            <w:pPr>
              <w:pStyle w:val="TableText0"/>
              <w:jc w:val="center"/>
              <w:rPr>
                <w:color w:val="000000" w:themeColor="text1"/>
                <w:vertAlign w:val="superscript"/>
              </w:rPr>
            </w:pPr>
            <w:r w:rsidRPr="00AC6C6F">
              <w:rPr>
                <w:color w:val="000000" w:themeColor="text1"/>
              </w:rPr>
              <w:t xml:space="preserve">14.7 months </w:t>
            </w:r>
            <w:r w:rsidRPr="00AC6C6F">
              <w:rPr>
                <w:color w:val="000000" w:themeColor="text1"/>
                <w:vertAlign w:val="superscript"/>
              </w:rPr>
              <w:t>e</w:t>
            </w:r>
          </w:p>
        </w:tc>
        <w:tc>
          <w:tcPr>
            <w:tcW w:w="608" w:type="pct"/>
            <w:shd w:val="clear" w:color="auto" w:fill="auto"/>
            <w:vAlign w:val="center"/>
          </w:tcPr>
          <w:p w:rsidR="00AF726E" w:rsidRPr="00AC6C6F" w:rsidRDefault="00AF726E" w:rsidP="00302235">
            <w:pPr>
              <w:pStyle w:val="TableText0"/>
              <w:jc w:val="center"/>
            </w:pPr>
            <w:r w:rsidRPr="00AC6C6F">
              <w:t>High</w:t>
            </w:r>
          </w:p>
        </w:tc>
        <w:tc>
          <w:tcPr>
            <w:tcW w:w="1255" w:type="pct"/>
            <w:shd w:val="clear" w:color="auto" w:fill="auto"/>
            <w:vAlign w:val="center"/>
          </w:tcPr>
          <w:p w:rsidR="00AF726E" w:rsidRPr="00AC6C6F" w:rsidRDefault="00AF726E" w:rsidP="00302235">
            <w:pPr>
              <w:pStyle w:val="TableText0"/>
              <w:jc w:val="center"/>
            </w:pPr>
            <w:r w:rsidRPr="00AC6C6F">
              <w:t xml:space="preserve">MF or SS </w:t>
            </w:r>
          </w:p>
          <w:p w:rsidR="00AF726E" w:rsidRPr="00AC6C6F" w:rsidRDefault="00AF726E" w:rsidP="00302235">
            <w:pPr>
              <w:pStyle w:val="TableText0"/>
              <w:jc w:val="center"/>
            </w:pPr>
            <w:r w:rsidRPr="00AC6C6F">
              <w:t>≥ 2 prior therapies</w:t>
            </w:r>
          </w:p>
        </w:tc>
        <w:tc>
          <w:tcPr>
            <w:tcW w:w="855" w:type="pct"/>
            <w:shd w:val="clear" w:color="auto" w:fill="auto"/>
            <w:vAlign w:val="center"/>
          </w:tcPr>
          <w:p w:rsidR="00AF726E" w:rsidRPr="00AC6C6F" w:rsidRDefault="00AF726E" w:rsidP="00302235">
            <w:pPr>
              <w:pStyle w:val="TableText0"/>
              <w:jc w:val="center"/>
            </w:pPr>
            <w:r w:rsidRPr="00AC6C6F">
              <w:t>ORR by mSWAT, TTR, TTP, DOR, pruritus relief, AEs</w:t>
            </w:r>
          </w:p>
        </w:tc>
        <w:tc>
          <w:tcPr>
            <w:tcW w:w="702" w:type="pct"/>
            <w:shd w:val="clear" w:color="auto" w:fill="auto"/>
            <w:vAlign w:val="center"/>
          </w:tcPr>
          <w:p w:rsidR="00AF726E" w:rsidRPr="00AC6C6F" w:rsidRDefault="00AF726E" w:rsidP="00302235">
            <w:pPr>
              <w:pStyle w:val="TableText0"/>
              <w:jc w:val="center"/>
            </w:pPr>
            <w:r w:rsidRPr="00AC6C6F">
              <w:t>Not used</w:t>
            </w:r>
          </w:p>
        </w:tc>
      </w:tr>
      <w:tr w:rsidR="00AF726E" w:rsidRPr="00AC6C6F" w:rsidTr="001965F2">
        <w:trPr>
          <w:tblHeader/>
        </w:trPr>
        <w:tc>
          <w:tcPr>
            <w:tcW w:w="759" w:type="pct"/>
            <w:shd w:val="clear" w:color="auto" w:fill="auto"/>
            <w:vAlign w:val="center"/>
          </w:tcPr>
          <w:p w:rsidR="00AF726E" w:rsidRPr="00AC6C6F" w:rsidRDefault="00AF726E" w:rsidP="00302235">
            <w:pPr>
              <w:pStyle w:val="TableText0"/>
            </w:pPr>
            <w:r w:rsidRPr="00AC6C6F">
              <w:t>study P005</w:t>
            </w:r>
          </w:p>
          <w:p w:rsidR="00AF726E" w:rsidRPr="00AC6C6F" w:rsidRDefault="00AF726E" w:rsidP="00302235">
            <w:pPr>
              <w:pStyle w:val="TableText0"/>
            </w:pPr>
            <w:r w:rsidRPr="00AC6C6F">
              <w:t>(vorinostat)</w:t>
            </w:r>
          </w:p>
        </w:tc>
        <w:tc>
          <w:tcPr>
            <w:tcW w:w="214" w:type="pct"/>
            <w:shd w:val="clear" w:color="auto" w:fill="auto"/>
            <w:vAlign w:val="center"/>
          </w:tcPr>
          <w:p w:rsidR="00AF726E" w:rsidRPr="00AC6C6F" w:rsidRDefault="00AF726E" w:rsidP="00302235">
            <w:pPr>
              <w:pStyle w:val="TableText0"/>
              <w:jc w:val="center"/>
            </w:pPr>
            <w:r w:rsidRPr="00AC6C6F">
              <w:t>33</w:t>
            </w:r>
          </w:p>
        </w:tc>
        <w:tc>
          <w:tcPr>
            <w:tcW w:w="607" w:type="pct"/>
            <w:shd w:val="clear" w:color="auto" w:fill="auto"/>
            <w:vAlign w:val="center"/>
          </w:tcPr>
          <w:p w:rsidR="00AF726E" w:rsidRPr="00AC6C6F" w:rsidRDefault="00AF726E" w:rsidP="00302235">
            <w:pPr>
              <w:pStyle w:val="TableText0"/>
              <w:jc w:val="center"/>
              <w:rPr>
                <w:color w:val="000000" w:themeColor="text1"/>
              </w:rPr>
            </w:pPr>
            <w:r w:rsidRPr="00AC6C6F">
              <w:rPr>
                <w:color w:val="000000" w:themeColor="text1"/>
              </w:rPr>
              <w:t>OL</w:t>
            </w:r>
          </w:p>
          <w:p w:rsidR="00AF726E" w:rsidRPr="00AC6C6F" w:rsidRDefault="00AF726E" w:rsidP="00302235">
            <w:pPr>
              <w:pStyle w:val="TableText0"/>
              <w:jc w:val="center"/>
              <w:rPr>
                <w:color w:val="000000" w:themeColor="text1"/>
                <w:vertAlign w:val="superscript"/>
              </w:rPr>
            </w:pPr>
            <w:r w:rsidRPr="00AC6C6F">
              <w:rPr>
                <w:color w:val="000000" w:themeColor="text1"/>
              </w:rPr>
              <w:t xml:space="preserve">40 months </w:t>
            </w:r>
            <w:r w:rsidRPr="00AC6C6F">
              <w:rPr>
                <w:color w:val="000000" w:themeColor="text1"/>
                <w:vertAlign w:val="superscript"/>
              </w:rPr>
              <w:t>e</w:t>
            </w:r>
          </w:p>
        </w:tc>
        <w:tc>
          <w:tcPr>
            <w:tcW w:w="608" w:type="pct"/>
            <w:shd w:val="clear" w:color="auto" w:fill="auto"/>
            <w:vAlign w:val="center"/>
          </w:tcPr>
          <w:p w:rsidR="00AF726E" w:rsidRPr="00AC6C6F" w:rsidRDefault="00AF726E" w:rsidP="00302235">
            <w:pPr>
              <w:pStyle w:val="TableText0"/>
              <w:jc w:val="center"/>
            </w:pPr>
            <w:r w:rsidRPr="00AC6C6F">
              <w:t>High</w:t>
            </w:r>
          </w:p>
        </w:tc>
        <w:tc>
          <w:tcPr>
            <w:tcW w:w="1255" w:type="pct"/>
            <w:shd w:val="clear" w:color="auto" w:fill="auto"/>
            <w:vAlign w:val="center"/>
          </w:tcPr>
          <w:p w:rsidR="00AF726E" w:rsidRPr="00AC6C6F" w:rsidRDefault="00AF726E" w:rsidP="00302235">
            <w:pPr>
              <w:pStyle w:val="TableText0"/>
              <w:jc w:val="center"/>
            </w:pPr>
            <w:r w:rsidRPr="00AC6C6F">
              <w:t>CTCL</w:t>
            </w:r>
          </w:p>
          <w:p w:rsidR="00AF726E" w:rsidRPr="00AC6C6F" w:rsidRDefault="00AF726E" w:rsidP="00302235">
            <w:pPr>
              <w:pStyle w:val="TableText0"/>
              <w:jc w:val="center"/>
            </w:pPr>
            <w:r w:rsidRPr="00AC6C6F">
              <w:t>Refractory or intolerant to tx</w:t>
            </w:r>
          </w:p>
        </w:tc>
        <w:tc>
          <w:tcPr>
            <w:tcW w:w="855" w:type="pct"/>
            <w:shd w:val="clear" w:color="auto" w:fill="auto"/>
            <w:vAlign w:val="center"/>
          </w:tcPr>
          <w:p w:rsidR="00AF726E" w:rsidRPr="00AC6C6F" w:rsidRDefault="00AF726E" w:rsidP="00302235">
            <w:pPr>
              <w:pStyle w:val="TableText0"/>
              <w:jc w:val="center"/>
            </w:pPr>
            <w:r w:rsidRPr="00AC6C6F">
              <w:t>ORR, TTR, TTP, DOR, pruritus relief, AEs</w:t>
            </w:r>
          </w:p>
        </w:tc>
        <w:tc>
          <w:tcPr>
            <w:tcW w:w="702" w:type="pct"/>
            <w:shd w:val="clear" w:color="auto" w:fill="auto"/>
            <w:vAlign w:val="center"/>
          </w:tcPr>
          <w:p w:rsidR="00AF726E" w:rsidRPr="00AC6C6F" w:rsidRDefault="00AF726E" w:rsidP="00302235">
            <w:pPr>
              <w:pStyle w:val="TableText0"/>
              <w:jc w:val="center"/>
            </w:pPr>
            <w:r w:rsidRPr="00AC6C6F">
              <w:t>Not used</w:t>
            </w:r>
          </w:p>
        </w:tc>
      </w:tr>
      <w:tr w:rsidR="00AF726E" w:rsidRPr="00AC6C6F" w:rsidTr="00302235">
        <w:trPr>
          <w:tblHeader/>
        </w:trPr>
        <w:tc>
          <w:tcPr>
            <w:tcW w:w="5000" w:type="pct"/>
            <w:gridSpan w:val="7"/>
            <w:shd w:val="clear" w:color="auto" w:fill="auto"/>
            <w:vAlign w:val="center"/>
          </w:tcPr>
          <w:p w:rsidR="00AF726E" w:rsidRPr="00AC6C6F" w:rsidRDefault="00AF726E" w:rsidP="00302235">
            <w:pPr>
              <w:pStyle w:val="TableText0"/>
              <w:rPr>
                <w:b/>
                <w:bCs w:val="0"/>
              </w:rPr>
            </w:pPr>
            <w:r w:rsidRPr="00AC6C6F">
              <w:rPr>
                <w:b/>
                <w:bCs w:val="0"/>
              </w:rPr>
              <w:t>Mogamulizumab vs brentuximab</w:t>
            </w:r>
          </w:p>
        </w:tc>
      </w:tr>
      <w:tr w:rsidR="001965F2" w:rsidRPr="00AC6C6F" w:rsidTr="001965F2">
        <w:trPr>
          <w:tblHeader/>
        </w:trPr>
        <w:tc>
          <w:tcPr>
            <w:tcW w:w="759" w:type="pct"/>
            <w:shd w:val="clear" w:color="auto" w:fill="auto"/>
            <w:vAlign w:val="center"/>
          </w:tcPr>
          <w:p w:rsidR="001965F2" w:rsidRPr="00AC6C6F" w:rsidRDefault="001965F2" w:rsidP="00C11741">
            <w:pPr>
              <w:pStyle w:val="TableText0"/>
            </w:pPr>
            <w:r w:rsidRPr="00AC6C6F">
              <w:t>MAVORIC</w:t>
            </w:r>
          </w:p>
          <w:p w:rsidR="001965F2" w:rsidRPr="00AC6C6F" w:rsidRDefault="001965F2" w:rsidP="00C11741">
            <w:pPr>
              <w:pStyle w:val="TableText0"/>
            </w:pPr>
            <w:r w:rsidRPr="00AC6C6F">
              <w:t>(mogamulizumab)</w:t>
            </w:r>
          </w:p>
        </w:tc>
        <w:tc>
          <w:tcPr>
            <w:tcW w:w="214" w:type="pct"/>
            <w:shd w:val="clear" w:color="auto" w:fill="auto"/>
            <w:vAlign w:val="center"/>
          </w:tcPr>
          <w:p w:rsidR="001965F2" w:rsidRPr="00AC6C6F" w:rsidRDefault="001965F2" w:rsidP="00C11741">
            <w:pPr>
              <w:pStyle w:val="TableText0"/>
              <w:jc w:val="center"/>
            </w:pPr>
            <w:r w:rsidRPr="00AC6C6F">
              <w:t>372</w:t>
            </w:r>
          </w:p>
        </w:tc>
        <w:tc>
          <w:tcPr>
            <w:tcW w:w="607" w:type="pct"/>
            <w:shd w:val="clear" w:color="auto" w:fill="auto"/>
            <w:vAlign w:val="center"/>
          </w:tcPr>
          <w:p w:rsidR="001965F2" w:rsidRPr="00AC6C6F" w:rsidRDefault="001965F2" w:rsidP="00C11741">
            <w:pPr>
              <w:pStyle w:val="TableText0"/>
              <w:jc w:val="center"/>
            </w:pPr>
            <w:r w:rsidRPr="00AC6C6F">
              <w:t>R, OL</w:t>
            </w:r>
          </w:p>
          <w:p w:rsidR="001965F2" w:rsidRPr="00AC6C6F" w:rsidRDefault="001965F2" w:rsidP="00C11741">
            <w:pPr>
              <w:pStyle w:val="TableText0"/>
              <w:jc w:val="center"/>
            </w:pPr>
            <w:r w:rsidRPr="00AC6C6F">
              <w:t xml:space="preserve">17 months </w:t>
            </w:r>
          </w:p>
        </w:tc>
        <w:tc>
          <w:tcPr>
            <w:tcW w:w="608" w:type="pct"/>
            <w:shd w:val="clear" w:color="auto" w:fill="auto"/>
            <w:vAlign w:val="center"/>
          </w:tcPr>
          <w:p w:rsidR="001965F2" w:rsidRPr="00AC6C6F" w:rsidRDefault="001965F2" w:rsidP="00C11741">
            <w:pPr>
              <w:pStyle w:val="TableText0"/>
              <w:jc w:val="center"/>
            </w:pPr>
            <w:r w:rsidRPr="00AC6C6F">
              <w:t>High</w:t>
            </w:r>
            <w:r w:rsidR="00D20241" w:rsidRPr="00AC6C6F">
              <w:rPr>
                <w:vertAlign w:val="superscript"/>
              </w:rPr>
              <w:t xml:space="preserve"> h</w:t>
            </w:r>
          </w:p>
        </w:tc>
        <w:tc>
          <w:tcPr>
            <w:tcW w:w="1255" w:type="pct"/>
            <w:shd w:val="clear" w:color="auto" w:fill="auto"/>
            <w:vAlign w:val="center"/>
          </w:tcPr>
          <w:p w:rsidR="001965F2" w:rsidRPr="00AC6C6F" w:rsidRDefault="001965F2" w:rsidP="00C11741">
            <w:pPr>
              <w:pStyle w:val="TableText0"/>
              <w:jc w:val="center"/>
            </w:pPr>
            <w:r w:rsidRPr="00AC6C6F">
              <w:t xml:space="preserve">MF or SS </w:t>
            </w:r>
          </w:p>
          <w:p w:rsidR="001965F2" w:rsidRPr="00AC6C6F" w:rsidRDefault="001965F2" w:rsidP="00C11741">
            <w:pPr>
              <w:pStyle w:val="TableText0"/>
              <w:jc w:val="center"/>
            </w:pPr>
            <w:r w:rsidRPr="00AC6C6F">
              <w:t>≥ 1 prior systemic therapy</w:t>
            </w:r>
          </w:p>
        </w:tc>
        <w:tc>
          <w:tcPr>
            <w:tcW w:w="855" w:type="pct"/>
            <w:shd w:val="clear" w:color="auto" w:fill="auto"/>
            <w:vAlign w:val="center"/>
          </w:tcPr>
          <w:p w:rsidR="001965F2" w:rsidRPr="00AC6C6F" w:rsidRDefault="001965F2" w:rsidP="00C11741">
            <w:pPr>
              <w:pStyle w:val="TableText0"/>
              <w:jc w:val="center"/>
            </w:pPr>
            <w:r w:rsidRPr="00AC6C6F">
              <w:t xml:space="preserve">PFS, ORR, DOR, TTF, TTR, HRQoL, AEs, TTNT </w:t>
            </w:r>
            <w:r w:rsidRPr="00AC6C6F">
              <w:rPr>
                <w:vertAlign w:val="superscript"/>
              </w:rPr>
              <w:t>a</w:t>
            </w:r>
          </w:p>
        </w:tc>
        <w:tc>
          <w:tcPr>
            <w:tcW w:w="702" w:type="pct"/>
            <w:shd w:val="clear" w:color="auto" w:fill="auto"/>
            <w:vAlign w:val="center"/>
          </w:tcPr>
          <w:p w:rsidR="001965F2" w:rsidRPr="00AC6C6F" w:rsidRDefault="001965F2" w:rsidP="00C11741">
            <w:pPr>
              <w:pStyle w:val="TableText0"/>
              <w:jc w:val="center"/>
            </w:pPr>
            <w:r w:rsidRPr="00AC6C6F">
              <w:t>TTF, PFS, TTNT, OS</w:t>
            </w:r>
          </w:p>
        </w:tc>
      </w:tr>
      <w:tr w:rsidR="00AF726E" w:rsidRPr="00AC6C6F" w:rsidTr="001965F2">
        <w:trPr>
          <w:tblHeader/>
        </w:trPr>
        <w:tc>
          <w:tcPr>
            <w:tcW w:w="759" w:type="pct"/>
            <w:shd w:val="clear" w:color="auto" w:fill="auto"/>
            <w:vAlign w:val="center"/>
          </w:tcPr>
          <w:p w:rsidR="00AF726E" w:rsidRPr="00AC6C6F" w:rsidRDefault="00AF726E" w:rsidP="00302235">
            <w:pPr>
              <w:pStyle w:val="TableText0"/>
            </w:pPr>
            <w:r w:rsidRPr="00AC6C6F">
              <w:t>ALCANZA</w:t>
            </w:r>
          </w:p>
          <w:p w:rsidR="003900E8" w:rsidRPr="00AC6C6F" w:rsidRDefault="003900E8" w:rsidP="00302235">
            <w:pPr>
              <w:pStyle w:val="TableText0"/>
            </w:pPr>
            <w:r w:rsidRPr="00AC6C6F">
              <w:t>(brentuximab)</w:t>
            </w:r>
          </w:p>
        </w:tc>
        <w:tc>
          <w:tcPr>
            <w:tcW w:w="214" w:type="pct"/>
            <w:shd w:val="clear" w:color="auto" w:fill="auto"/>
            <w:vAlign w:val="center"/>
          </w:tcPr>
          <w:p w:rsidR="00AF726E" w:rsidRPr="00AC6C6F" w:rsidRDefault="00AF726E" w:rsidP="00302235">
            <w:pPr>
              <w:pStyle w:val="TableText0"/>
              <w:jc w:val="center"/>
            </w:pPr>
            <w:r w:rsidRPr="00AC6C6F">
              <w:t>131</w:t>
            </w:r>
          </w:p>
        </w:tc>
        <w:tc>
          <w:tcPr>
            <w:tcW w:w="607" w:type="pct"/>
            <w:shd w:val="clear" w:color="auto" w:fill="auto"/>
            <w:vAlign w:val="center"/>
          </w:tcPr>
          <w:p w:rsidR="00AF726E" w:rsidRPr="00AC6C6F" w:rsidRDefault="00AF726E" w:rsidP="00302235">
            <w:pPr>
              <w:pStyle w:val="TableText0"/>
              <w:jc w:val="center"/>
            </w:pPr>
            <w:r w:rsidRPr="00AC6C6F">
              <w:t>R, OL</w:t>
            </w:r>
          </w:p>
          <w:p w:rsidR="00AF726E" w:rsidRPr="00AC6C6F" w:rsidRDefault="00AF726E" w:rsidP="00302235">
            <w:pPr>
              <w:pStyle w:val="TableText0"/>
              <w:jc w:val="center"/>
            </w:pPr>
            <w:r w:rsidRPr="00AC6C6F">
              <w:t>22.9 months</w:t>
            </w:r>
          </w:p>
        </w:tc>
        <w:tc>
          <w:tcPr>
            <w:tcW w:w="608" w:type="pct"/>
            <w:shd w:val="clear" w:color="auto" w:fill="auto"/>
            <w:vAlign w:val="center"/>
          </w:tcPr>
          <w:p w:rsidR="00AF726E" w:rsidRPr="00AC6C6F" w:rsidRDefault="00AF726E" w:rsidP="00302235">
            <w:pPr>
              <w:pStyle w:val="TableText0"/>
              <w:jc w:val="center"/>
              <w:rPr>
                <w:vertAlign w:val="superscript"/>
              </w:rPr>
            </w:pPr>
            <w:r w:rsidRPr="00AC6C6F">
              <w:t>High</w:t>
            </w:r>
            <w:r w:rsidR="00D20241" w:rsidRPr="00AC6C6F">
              <w:t xml:space="preserve"> </w:t>
            </w:r>
            <w:r w:rsidR="00D20241" w:rsidRPr="00AC6C6F">
              <w:rPr>
                <w:vertAlign w:val="superscript"/>
              </w:rPr>
              <w:t>i</w:t>
            </w:r>
          </w:p>
        </w:tc>
        <w:tc>
          <w:tcPr>
            <w:tcW w:w="1255" w:type="pct"/>
            <w:shd w:val="clear" w:color="auto" w:fill="auto"/>
            <w:vAlign w:val="center"/>
          </w:tcPr>
          <w:p w:rsidR="00AF726E" w:rsidRPr="00AC6C6F" w:rsidRDefault="00AF726E" w:rsidP="00302235">
            <w:pPr>
              <w:pStyle w:val="TableText0"/>
              <w:jc w:val="center"/>
            </w:pPr>
            <w:r w:rsidRPr="00AC6C6F">
              <w:t xml:space="preserve">CD30+ MF or pcALCL </w:t>
            </w:r>
          </w:p>
          <w:p w:rsidR="00AF726E" w:rsidRPr="00AC6C6F" w:rsidRDefault="00AF726E" w:rsidP="00302235">
            <w:pPr>
              <w:pStyle w:val="TableText0"/>
              <w:jc w:val="center"/>
            </w:pPr>
            <w:r w:rsidRPr="00AC6C6F">
              <w:t xml:space="preserve">≥ 1 prior systemic therapy </w:t>
            </w:r>
          </w:p>
        </w:tc>
        <w:tc>
          <w:tcPr>
            <w:tcW w:w="855" w:type="pct"/>
            <w:shd w:val="clear" w:color="auto" w:fill="auto"/>
            <w:vAlign w:val="center"/>
          </w:tcPr>
          <w:p w:rsidR="00AF726E" w:rsidRPr="00AC6C6F" w:rsidRDefault="00AF726E" w:rsidP="00302235">
            <w:pPr>
              <w:pStyle w:val="TableText0"/>
              <w:jc w:val="center"/>
            </w:pPr>
            <w:r w:rsidRPr="00AC6C6F">
              <w:t>ORR4, ORR, CR, PR, PFS, mSWAT, DOR, EFS, HRQoL AEs</w:t>
            </w:r>
          </w:p>
        </w:tc>
        <w:tc>
          <w:tcPr>
            <w:tcW w:w="702" w:type="pct"/>
            <w:shd w:val="clear" w:color="auto" w:fill="auto"/>
            <w:vAlign w:val="center"/>
          </w:tcPr>
          <w:p w:rsidR="00AF726E" w:rsidRPr="00AC6C6F" w:rsidRDefault="00AF726E" w:rsidP="00302235">
            <w:pPr>
              <w:pStyle w:val="TableText0"/>
              <w:jc w:val="center"/>
            </w:pPr>
            <w:r w:rsidRPr="00AC6C6F">
              <w:t>Not used</w:t>
            </w:r>
          </w:p>
        </w:tc>
      </w:tr>
      <w:tr w:rsidR="00AF726E" w:rsidRPr="00AC6C6F" w:rsidTr="001965F2">
        <w:trPr>
          <w:tblHeader/>
        </w:trPr>
        <w:tc>
          <w:tcPr>
            <w:tcW w:w="759" w:type="pct"/>
            <w:shd w:val="clear" w:color="auto" w:fill="auto"/>
            <w:vAlign w:val="center"/>
          </w:tcPr>
          <w:p w:rsidR="00AF726E" w:rsidRPr="00AC6C6F" w:rsidRDefault="00AF726E" w:rsidP="00302235">
            <w:pPr>
              <w:pStyle w:val="TableText0"/>
            </w:pPr>
            <w:r w:rsidRPr="00AC6C6F">
              <w:t>Duvic 2015</w:t>
            </w:r>
          </w:p>
          <w:p w:rsidR="00AF726E" w:rsidRPr="00AC6C6F" w:rsidRDefault="00AF726E" w:rsidP="00302235">
            <w:pPr>
              <w:pStyle w:val="TableText0"/>
            </w:pPr>
            <w:r w:rsidRPr="00AC6C6F">
              <w:t>(brentuximab)</w:t>
            </w:r>
          </w:p>
        </w:tc>
        <w:tc>
          <w:tcPr>
            <w:tcW w:w="214" w:type="pct"/>
            <w:shd w:val="clear" w:color="auto" w:fill="auto"/>
            <w:vAlign w:val="center"/>
          </w:tcPr>
          <w:p w:rsidR="00AF726E" w:rsidRPr="00AC6C6F" w:rsidRDefault="00AF726E" w:rsidP="00302235">
            <w:pPr>
              <w:pStyle w:val="TableText0"/>
              <w:jc w:val="center"/>
            </w:pPr>
            <w:r w:rsidRPr="00AC6C6F">
              <w:rPr>
                <w:color w:val="000000" w:themeColor="text1"/>
              </w:rPr>
              <w:t>48</w:t>
            </w:r>
          </w:p>
        </w:tc>
        <w:tc>
          <w:tcPr>
            <w:tcW w:w="607" w:type="pct"/>
            <w:shd w:val="clear" w:color="auto" w:fill="auto"/>
            <w:vAlign w:val="center"/>
          </w:tcPr>
          <w:p w:rsidR="00AF726E" w:rsidRPr="00AC6C6F" w:rsidRDefault="00AF726E" w:rsidP="00302235">
            <w:pPr>
              <w:pStyle w:val="TableText0"/>
              <w:jc w:val="center"/>
            </w:pPr>
            <w:r w:rsidRPr="00AC6C6F">
              <w:t>Single-arm, OL</w:t>
            </w:r>
          </w:p>
          <w:p w:rsidR="00AF726E" w:rsidRPr="00AC6C6F" w:rsidRDefault="00AF726E" w:rsidP="00302235">
            <w:pPr>
              <w:pStyle w:val="TableText0"/>
              <w:jc w:val="center"/>
            </w:pPr>
            <w:r w:rsidRPr="00AC6C6F">
              <w:t>27 months</w:t>
            </w:r>
          </w:p>
        </w:tc>
        <w:tc>
          <w:tcPr>
            <w:tcW w:w="608" w:type="pct"/>
            <w:shd w:val="clear" w:color="auto" w:fill="auto"/>
            <w:vAlign w:val="center"/>
          </w:tcPr>
          <w:p w:rsidR="00AF726E" w:rsidRPr="00AC6C6F" w:rsidRDefault="00AF726E" w:rsidP="00302235">
            <w:pPr>
              <w:pStyle w:val="TableText0"/>
              <w:jc w:val="center"/>
            </w:pPr>
            <w:r w:rsidRPr="00AC6C6F">
              <w:t>High</w:t>
            </w:r>
          </w:p>
        </w:tc>
        <w:tc>
          <w:tcPr>
            <w:tcW w:w="1255" w:type="pct"/>
            <w:shd w:val="clear" w:color="auto" w:fill="auto"/>
            <w:vAlign w:val="center"/>
          </w:tcPr>
          <w:p w:rsidR="00AF726E" w:rsidRPr="00AC6C6F" w:rsidRDefault="00AF726E" w:rsidP="00302235">
            <w:pPr>
              <w:pStyle w:val="TableText0"/>
              <w:jc w:val="center"/>
            </w:pPr>
            <w:r w:rsidRPr="00AC6C6F">
              <w:t>CD30+ MF, pcALCL or LyP</w:t>
            </w:r>
          </w:p>
          <w:p w:rsidR="00AF726E" w:rsidRPr="00AC6C6F" w:rsidRDefault="00AF726E" w:rsidP="00302235">
            <w:pPr>
              <w:pStyle w:val="TableText0"/>
              <w:jc w:val="center"/>
              <w:rPr>
                <w:vertAlign w:val="superscript"/>
              </w:rPr>
            </w:pPr>
            <w:r w:rsidRPr="00AC6C6F">
              <w:t xml:space="preserve">≥ 1 prior therapy </w:t>
            </w:r>
            <w:r w:rsidRPr="00AC6C6F">
              <w:rPr>
                <w:vertAlign w:val="superscript"/>
              </w:rPr>
              <w:t>f</w:t>
            </w:r>
          </w:p>
        </w:tc>
        <w:tc>
          <w:tcPr>
            <w:tcW w:w="855" w:type="pct"/>
            <w:shd w:val="clear" w:color="auto" w:fill="auto"/>
            <w:vAlign w:val="center"/>
          </w:tcPr>
          <w:p w:rsidR="00AF726E" w:rsidRPr="00AC6C6F" w:rsidRDefault="00AF726E" w:rsidP="00302235">
            <w:pPr>
              <w:pStyle w:val="TableText0"/>
              <w:jc w:val="center"/>
            </w:pPr>
            <w:r w:rsidRPr="00AC6C6F">
              <w:t>ORR, CR, PR, PFS, mSWAT, AEs</w:t>
            </w:r>
          </w:p>
        </w:tc>
        <w:tc>
          <w:tcPr>
            <w:tcW w:w="702" w:type="pct"/>
            <w:shd w:val="clear" w:color="auto" w:fill="auto"/>
            <w:vAlign w:val="center"/>
          </w:tcPr>
          <w:p w:rsidR="00AF726E" w:rsidRPr="00AC6C6F" w:rsidRDefault="00AF726E" w:rsidP="00302235">
            <w:pPr>
              <w:pStyle w:val="TableText0"/>
              <w:jc w:val="center"/>
            </w:pPr>
            <w:r w:rsidRPr="00AC6C6F">
              <w:t>Not used</w:t>
            </w:r>
          </w:p>
        </w:tc>
      </w:tr>
      <w:tr w:rsidR="00AF726E" w:rsidRPr="00AC6C6F" w:rsidTr="001965F2">
        <w:trPr>
          <w:tblHeader/>
        </w:trPr>
        <w:tc>
          <w:tcPr>
            <w:tcW w:w="759" w:type="pct"/>
            <w:shd w:val="clear" w:color="auto" w:fill="auto"/>
            <w:vAlign w:val="center"/>
          </w:tcPr>
          <w:p w:rsidR="00AF726E" w:rsidRPr="00AC6C6F" w:rsidRDefault="00AF726E" w:rsidP="00302235">
            <w:pPr>
              <w:pStyle w:val="TableText0"/>
            </w:pPr>
            <w:r w:rsidRPr="00AC6C6F">
              <w:t>Kim 2015</w:t>
            </w:r>
          </w:p>
          <w:p w:rsidR="00AF726E" w:rsidRPr="00AC6C6F" w:rsidRDefault="00AF726E" w:rsidP="00302235">
            <w:pPr>
              <w:pStyle w:val="TableText0"/>
            </w:pPr>
            <w:r w:rsidRPr="00AC6C6F">
              <w:t>(brentuximab)</w:t>
            </w:r>
          </w:p>
        </w:tc>
        <w:tc>
          <w:tcPr>
            <w:tcW w:w="214" w:type="pct"/>
            <w:shd w:val="clear" w:color="auto" w:fill="auto"/>
            <w:vAlign w:val="center"/>
          </w:tcPr>
          <w:p w:rsidR="00AF726E" w:rsidRPr="00AC6C6F" w:rsidRDefault="00AF726E" w:rsidP="00302235">
            <w:pPr>
              <w:pStyle w:val="TableText0"/>
              <w:jc w:val="center"/>
            </w:pPr>
            <w:r w:rsidRPr="00AC6C6F">
              <w:t>32</w:t>
            </w:r>
          </w:p>
        </w:tc>
        <w:tc>
          <w:tcPr>
            <w:tcW w:w="607" w:type="pct"/>
            <w:shd w:val="clear" w:color="auto" w:fill="auto"/>
            <w:vAlign w:val="center"/>
          </w:tcPr>
          <w:p w:rsidR="00AF726E" w:rsidRPr="00AC6C6F" w:rsidRDefault="00AF726E" w:rsidP="00302235">
            <w:pPr>
              <w:pStyle w:val="TableText0"/>
              <w:jc w:val="center"/>
            </w:pPr>
            <w:r w:rsidRPr="00AC6C6F">
              <w:t>Single-arm, MC, OL</w:t>
            </w:r>
          </w:p>
          <w:p w:rsidR="00AF726E" w:rsidRPr="00AC6C6F" w:rsidRDefault="00AF726E" w:rsidP="00302235">
            <w:pPr>
              <w:pStyle w:val="TableText0"/>
              <w:jc w:val="center"/>
            </w:pPr>
            <w:r w:rsidRPr="00AC6C6F">
              <w:t>71.7 weeks</w:t>
            </w:r>
          </w:p>
        </w:tc>
        <w:tc>
          <w:tcPr>
            <w:tcW w:w="608" w:type="pct"/>
            <w:shd w:val="clear" w:color="auto" w:fill="auto"/>
            <w:vAlign w:val="center"/>
          </w:tcPr>
          <w:p w:rsidR="00AF726E" w:rsidRPr="00AC6C6F" w:rsidRDefault="00AF726E" w:rsidP="00302235">
            <w:pPr>
              <w:pStyle w:val="TableText0"/>
              <w:jc w:val="center"/>
            </w:pPr>
            <w:r w:rsidRPr="00AC6C6F">
              <w:t>High</w:t>
            </w:r>
          </w:p>
        </w:tc>
        <w:tc>
          <w:tcPr>
            <w:tcW w:w="1255" w:type="pct"/>
            <w:shd w:val="clear" w:color="auto" w:fill="auto"/>
            <w:vAlign w:val="center"/>
          </w:tcPr>
          <w:p w:rsidR="00AF726E" w:rsidRPr="00AC6C6F" w:rsidRDefault="00AF726E" w:rsidP="00302235">
            <w:pPr>
              <w:pStyle w:val="TableText0"/>
              <w:jc w:val="center"/>
            </w:pPr>
            <w:r w:rsidRPr="00AC6C6F">
              <w:t>MF or SS</w:t>
            </w:r>
          </w:p>
          <w:p w:rsidR="00AF726E" w:rsidRPr="00AC6C6F" w:rsidRDefault="00AF726E" w:rsidP="00302235">
            <w:pPr>
              <w:pStyle w:val="TableText0"/>
              <w:jc w:val="center"/>
            </w:pPr>
            <w:r w:rsidRPr="00AC6C6F">
              <w:t>≥ 1 prior systemic therapy</w:t>
            </w:r>
          </w:p>
        </w:tc>
        <w:tc>
          <w:tcPr>
            <w:tcW w:w="855" w:type="pct"/>
            <w:shd w:val="clear" w:color="auto" w:fill="auto"/>
            <w:vAlign w:val="center"/>
          </w:tcPr>
          <w:p w:rsidR="00AF726E" w:rsidRPr="00AC6C6F" w:rsidRDefault="00AF726E" w:rsidP="00302235">
            <w:pPr>
              <w:pStyle w:val="TableText0"/>
              <w:jc w:val="center"/>
            </w:pPr>
            <w:r w:rsidRPr="00AC6C6F">
              <w:t>ORR, CR, PR, mSWAT, PFS, AEs</w:t>
            </w:r>
          </w:p>
        </w:tc>
        <w:tc>
          <w:tcPr>
            <w:tcW w:w="702" w:type="pct"/>
            <w:shd w:val="clear" w:color="auto" w:fill="auto"/>
            <w:vAlign w:val="center"/>
          </w:tcPr>
          <w:p w:rsidR="00AF726E" w:rsidRPr="00AC6C6F" w:rsidRDefault="00AF726E" w:rsidP="00302235">
            <w:pPr>
              <w:pStyle w:val="TableText0"/>
              <w:jc w:val="center"/>
            </w:pPr>
            <w:r w:rsidRPr="00AC6C6F">
              <w:t>Not used</w:t>
            </w:r>
          </w:p>
        </w:tc>
      </w:tr>
    </w:tbl>
    <w:p w:rsidR="00AF726E" w:rsidRPr="00AC6C6F" w:rsidRDefault="00AF726E" w:rsidP="00AF726E">
      <w:pPr>
        <w:pStyle w:val="TableFigureFooter"/>
        <w:rPr>
          <w:b/>
          <w:bCs/>
          <w:szCs w:val="18"/>
        </w:rPr>
      </w:pPr>
      <w:r w:rsidRPr="00AC6C6F">
        <w:rPr>
          <w:szCs w:val="18"/>
        </w:rPr>
        <w:t>Source</w:t>
      </w:r>
      <w:r w:rsidRPr="00AC6C6F">
        <w:rPr>
          <w:b/>
          <w:bCs/>
          <w:szCs w:val="18"/>
        </w:rPr>
        <w:t xml:space="preserve">: </w:t>
      </w:r>
      <w:r w:rsidRPr="00AC6C6F">
        <w:rPr>
          <w:rStyle w:val="CommentReference"/>
          <w:b w:val="0"/>
          <w:bCs/>
          <w:sz w:val="18"/>
          <w:szCs w:val="18"/>
        </w:rPr>
        <w:t xml:space="preserve">Developed during the evaluation; Table 2-2, 2-7 (pp64,75 of the </w:t>
      </w:r>
      <w:r w:rsidR="00263C8C" w:rsidRPr="00AC6C6F">
        <w:rPr>
          <w:rStyle w:val="CommentReference"/>
          <w:b w:val="0"/>
          <w:bCs/>
          <w:sz w:val="18"/>
          <w:szCs w:val="18"/>
        </w:rPr>
        <w:t>s</w:t>
      </w:r>
      <w:r w:rsidRPr="00AC6C6F">
        <w:rPr>
          <w:rStyle w:val="CommentReference"/>
          <w:b w:val="0"/>
          <w:bCs/>
          <w:sz w:val="18"/>
          <w:szCs w:val="18"/>
        </w:rPr>
        <w:t xml:space="preserve">ubmission); pp95,99 of the </w:t>
      </w:r>
      <w:r w:rsidR="00263C8C" w:rsidRPr="00AC6C6F">
        <w:rPr>
          <w:rStyle w:val="CommentReference"/>
          <w:b w:val="0"/>
          <w:bCs/>
          <w:sz w:val="18"/>
          <w:szCs w:val="18"/>
        </w:rPr>
        <w:t>s</w:t>
      </w:r>
      <w:r w:rsidRPr="00AC6C6F">
        <w:rPr>
          <w:rStyle w:val="CommentReference"/>
          <w:b w:val="0"/>
          <w:bCs/>
          <w:sz w:val="18"/>
          <w:szCs w:val="18"/>
        </w:rPr>
        <w:t xml:space="preserve">ubmission; Table 3 (p10, Brentuximab PSD, July 2018 PBAC meeting); Olsen 2007; Duvic 2005; Duvic 2015; Kim 2015. </w:t>
      </w:r>
    </w:p>
    <w:p w:rsidR="00AF726E" w:rsidRPr="00AC6C6F" w:rsidRDefault="00AF726E" w:rsidP="00AF726E">
      <w:pPr>
        <w:pStyle w:val="TableFigureFooter"/>
        <w:rPr>
          <w:szCs w:val="18"/>
        </w:rPr>
      </w:pPr>
      <w:r w:rsidRPr="00AC6C6F">
        <w:rPr>
          <w:szCs w:val="18"/>
        </w:rPr>
        <w:t xml:space="preserve">Abbreviations: AEs = adverse events; CCR4 =chemokine receptor 4; CR = complete response; CTCL = cutaneous T cell lymphoma; BOR = best overall response; DOR = duration of response; </w:t>
      </w:r>
      <w:r w:rsidRPr="00AC6C6F">
        <w:rPr>
          <w:rFonts w:eastAsia="Calibri"/>
          <w:szCs w:val="18"/>
        </w:rPr>
        <w:t>EFS = event free survival;</w:t>
      </w:r>
      <w:r w:rsidRPr="00AC6C6F">
        <w:rPr>
          <w:szCs w:val="18"/>
        </w:rPr>
        <w:t xml:space="preserve"> HRQoL = health-related quality of life; LyP = </w:t>
      </w:r>
      <w:r w:rsidRPr="00AC6C6F">
        <w:rPr>
          <w:color w:val="000000"/>
          <w:szCs w:val="18"/>
          <w:shd w:val="clear" w:color="auto" w:fill="FFFFFF"/>
        </w:rPr>
        <w:t xml:space="preserve">Lymphomatoid Papulosis; </w:t>
      </w:r>
      <w:r w:rsidRPr="00AC6C6F">
        <w:rPr>
          <w:szCs w:val="18"/>
        </w:rPr>
        <w:t xml:space="preserve">MC = multi-centre; </w:t>
      </w:r>
      <w:r w:rsidRPr="00AC6C6F">
        <w:rPr>
          <w:rFonts w:eastAsia="Calibri"/>
          <w:szCs w:val="18"/>
        </w:rPr>
        <w:t>MF = mycosis fungoides; mSWAT = modified Severity Weighted Assessment Tool; N = total participants in group;</w:t>
      </w:r>
      <w:r w:rsidRPr="00AC6C6F">
        <w:rPr>
          <w:szCs w:val="18"/>
        </w:rPr>
        <w:t xml:space="preserve"> OL = open label; ORR = overall response rate; ORR4 = objective global response lasting at least four months; OS = overall survival; pcALCL = primary cutaneous anaplastic large cell lymphoma; PFS = progression-free survival; PR = partial response; PTCL = peripheral T cell lymphoma; R = randomised; SS = Sezary syndrome; </w:t>
      </w:r>
      <w:r w:rsidR="00B90214" w:rsidRPr="00AC6C6F">
        <w:rPr>
          <w:szCs w:val="18"/>
        </w:rPr>
        <w:t xml:space="preserve">TTF = time to treatment failure; </w:t>
      </w:r>
      <w:r w:rsidRPr="00AC6C6F">
        <w:rPr>
          <w:szCs w:val="18"/>
        </w:rPr>
        <w:t>TTNT = time to next treatment; TTP = time to progression; TTR = time to response</w:t>
      </w:r>
    </w:p>
    <w:p w:rsidR="00AF726E" w:rsidRPr="00AC6C6F" w:rsidRDefault="00AF726E" w:rsidP="00AF726E">
      <w:pPr>
        <w:pStyle w:val="TableFigureFooter"/>
        <w:rPr>
          <w:szCs w:val="18"/>
        </w:rPr>
      </w:pPr>
      <w:r w:rsidRPr="00AC6C6F">
        <w:rPr>
          <w:szCs w:val="18"/>
          <w:vertAlign w:val="superscript"/>
        </w:rPr>
        <w:t>a</w:t>
      </w:r>
      <w:r w:rsidRPr="00AC6C6F">
        <w:rPr>
          <w:szCs w:val="18"/>
        </w:rPr>
        <w:t xml:space="preserve"> TTNT was a post-hoc analysis. </w:t>
      </w:r>
    </w:p>
    <w:p w:rsidR="00AF726E" w:rsidRPr="00AC6C6F" w:rsidRDefault="00AF726E" w:rsidP="00AF726E">
      <w:pPr>
        <w:pStyle w:val="TableFigureFooter"/>
        <w:rPr>
          <w:szCs w:val="18"/>
        </w:rPr>
      </w:pPr>
      <w:r w:rsidRPr="00AC6C6F">
        <w:rPr>
          <w:szCs w:val="18"/>
          <w:vertAlign w:val="superscript"/>
        </w:rPr>
        <w:t>b</w:t>
      </w:r>
      <w:r w:rsidRPr="00AC6C6F">
        <w:rPr>
          <w:szCs w:val="18"/>
        </w:rPr>
        <w:t xml:space="preserve"> 41 patients with histologically confirmed CTCL were enrolled. The study permitted inclusion of CTCL or PTCL however only one patient with PTCL was recruited. This patient was excluded from efficacy analysis to maintain a homogenous study population.</w:t>
      </w:r>
    </w:p>
    <w:p w:rsidR="00AF726E" w:rsidRPr="00AC6C6F" w:rsidRDefault="00AF726E" w:rsidP="00AF726E">
      <w:pPr>
        <w:pStyle w:val="TableFigureFooter"/>
        <w:rPr>
          <w:szCs w:val="18"/>
        </w:rPr>
      </w:pPr>
      <w:r w:rsidRPr="00AC6C6F">
        <w:rPr>
          <w:szCs w:val="18"/>
          <w:vertAlign w:val="superscript"/>
        </w:rPr>
        <w:t>c</w:t>
      </w:r>
      <w:r w:rsidRPr="00AC6C6F">
        <w:rPr>
          <w:szCs w:val="18"/>
        </w:rPr>
        <w:t xml:space="preserve"> The median duration of follow-up was not presented in the study results. </w:t>
      </w:r>
    </w:p>
    <w:p w:rsidR="00AF726E" w:rsidRPr="00AC6C6F" w:rsidRDefault="00AF726E" w:rsidP="00AF726E">
      <w:pPr>
        <w:pStyle w:val="TableFigureFooter"/>
        <w:rPr>
          <w:szCs w:val="18"/>
          <w:vertAlign w:val="superscript"/>
        </w:rPr>
      </w:pPr>
      <w:r w:rsidRPr="00AC6C6F">
        <w:rPr>
          <w:szCs w:val="18"/>
          <w:vertAlign w:val="superscript"/>
        </w:rPr>
        <w:t xml:space="preserve">d </w:t>
      </w:r>
      <w:r w:rsidRPr="00AC6C6F">
        <w:rPr>
          <w:szCs w:val="18"/>
        </w:rPr>
        <w:t>Of the 37 patients 8 patients (21.6%) had CTCL and thus reflected the proposed PBS criteria; 29 (78.4%) of patients had PTCL</w:t>
      </w:r>
    </w:p>
    <w:p w:rsidR="00AF726E" w:rsidRPr="00AC6C6F" w:rsidRDefault="00AF726E" w:rsidP="00AF726E">
      <w:pPr>
        <w:pStyle w:val="TableFigureFooter"/>
        <w:rPr>
          <w:rStyle w:val="CommentReference"/>
          <w:sz w:val="18"/>
          <w:szCs w:val="18"/>
        </w:rPr>
      </w:pPr>
      <w:r w:rsidRPr="00AC6C6F">
        <w:rPr>
          <w:szCs w:val="18"/>
          <w:vertAlign w:val="superscript"/>
        </w:rPr>
        <w:t xml:space="preserve">e </w:t>
      </w:r>
      <w:r w:rsidRPr="00AC6C6F">
        <w:rPr>
          <w:szCs w:val="18"/>
        </w:rPr>
        <w:t xml:space="preserve">This could not be verified from the information provided in the submission but references from </w:t>
      </w:r>
      <w:r w:rsidRPr="00AC6C6F">
        <w:rPr>
          <w:rStyle w:val="CommentReference"/>
          <w:b w:val="0"/>
          <w:bCs/>
          <w:sz w:val="18"/>
          <w:szCs w:val="18"/>
        </w:rPr>
        <w:t>Table 3 (p10, Brentuximab PSD, July 2018 PBAC meeting)</w:t>
      </w:r>
      <w:r w:rsidRPr="00AC6C6F">
        <w:rPr>
          <w:rStyle w:val="CommentReference"/>
          <w:sz w:val="18"/>
          <w:szCs w:val="18"/>
        </w:rPr>
        <w:t xml:space="preserve">  </w:t>
      </w:r>
    </w:p>
    <w:p w:rsidR="00AF726E" w:rsidRPr="00AC6C6F" w:rsidRDefault="00AF726E" w:rsidP="00AF726E">
      <w:pPr>
        <w:pStyle w:val="TableFigureFooter"/>
        <w:rPr>
          <w:szCs w:val="18"/>
        </w:rPr>
      </w:pPr>
      <w:r w:rsidRPr="00AC6C6F">
        <w:rPr>
          <w:szCs w:val="18"/>
          <w:vertAlign w:val="superscript"/>
        </w:rPr>
        <w:t xml:space="preserve">f </w:t>
      </w:r>
      <w:r w:rsidRPr="00AC6C6F">
        <w:rPr>
          <w:szCs w:val="18"/>
        </w:rPr>
        <w:t>At least one prior systemic therapy was required for MF or pcALCL, for LyP more than 10 lesions, scarring or active lesions on the face, hands or feet requiring systemic treatment were required</w:t>
      </w:r>
      <w:r w:rsidR="00AC6C6F">
        <w:rPr>
          <w:szCs w:val="18"/>
        </w:rPr>
        <w:t xml:space="preserve">. </w:t>
      </w:r>
    </w:p>
    <w:p w:rsidR="00AF726E" w:rsidRPr="00AC6C6F" w:rsidRDefault="00AF726E" w:rsidP="00AF726E">
      <w:pPr>
        <w:pStyle w:val="TableFigureFooter"/>
        <w:rPr>
          <w:szCs w:val="18"/>
        </w:rPr>
      </w:pPr>
      <w:r w:rsidRPr="00AC6C6F">
        <w:rPr>
          <w:szCs w:val="18"/>
          <w:vertAlign w:val="superscript"/>
        </w:rPr>
        <w:t xml:space="preserve">g </w:t>
      </w:r>
      <w:r w:rsidRPr="00AC6C6F">
        <w:rPr>
          <w:szCs w:val="18"/>
        </w:rPr>
        <w:t>Risk of bias for the RCTs and the six non-randomised trials were assessed using different systems. Cochrane for MAVORIC and ALCANZA and ROBIN 1 for the non-randomised studies. Due to a lack of available information for the non-randomised trials, several domains of the risk for bias criteria were classified as “Could not be assessed”</w:t>
      </w:r>
      <w:r w:rsidR="00AC6C6F">
        <w:rPr>
          <w:szCs w:val="18"/>
        </w:rPr>
        <w:t xml:space="preserve">. </w:t>
      </w:r>
      <w:r w:rsidRPr="00AC6C6F">
        <w:rPr>
          <w:szCs w:val="18"/>
        </w:rPr>
        <w:t xml:space="preserve"> </w:t>
      </w:r>
    </w:p>
    <w:p w:rsidR="00D20241" w:rsidRPr="00AC6C6F" w:rsidRDefault="00D20241" w:rsidP="00AF726E">
      <w:pPr>
        <w:pStyle w:val="TableFigureFooter"/>
        <w:rPr>
          <w:szCs w:val="18"/>
        </w:rPr>
      </w:pPr>
      <w:r w:rsidRPr="00AC6C6F">
        <w:rPr>
          <w:szCs w:val="18"/>
          <w:vertAlign w:val="superscript"/>
        </w:rPr>
        <w:t xml:space="preserve">h </w:t>
      </w:r>
      <w:r w:rsidRPr="00AC6C6F">
        <w:rPr>
          <w:szCs w:val="18"/>
        </w:rPr>
        <w:t>The risk of bias for MAVORIC is considered to be high based on the open-label nature of the trial; primary efficacy (PFS) as determined by the investigator</w:t>
      </w:r>
      <w:r w:rsidR="000D4CB7" w:rsidRPr="00AC6C6F">
        <w:rPr>
          <w:szCs w:val="18"/>
        </w:rPr>
        <w:t xml:space="preserve"> which included the assessment of </w:t>
      </w:r>
      <w:r w:rsidR="00A34557" w:rsidRPr="00AC6C6F">
        <w:rPr>
          <w:szCs w:val="18"/>
        </w:rPr>
        <w:t xml:space="preserve">skin response </w:t>
      </w:r>
      <w:r w:rsidR="000D4CB7" w:rsidRPr="00AC6C6F">
        <w:rPr>
          <w:szCs w:val="18"/>
        </w:rPr>
        <w:t>which is potentially subjective in nature</w:t>
      </w:r>
      <w:r w:rsidRPr="00AC6C6F">
        <w:rPr>
          <w:szCs w:val="18"/>
        </w:rPr>
        <w:t xml:space="preserve">; and the </w:t>
      </w:r>
      <w:r w:rsidR="000D4CB7" w:rsidRPr="00AC6C6F">
        <w:rPr>
          <w:szCs w:val="18"/>
        </w:rPr>
        <w:t xml:space="preserve">inclusion </w:t>
      </w:r>
      <w:r w:rsidRPr="00AC6C6F">
        <w:rPr>
          <w:szCs w:val="18"/>
        </w:rPr>
        <w:t>of a one-way crosso</w:t>
      </w:r>
      <w:r w:rsidR="000D4CB7" w:rsidRPr="00AC6C6F">
        <w:rPr>
          <w:szCs w:val="18"/>
        </w:rPr>
        <w:t>v</w:t>
      </w:r>
      <w:r w:rsidRPr="00AC6C6F">
        <w:rPr>
          <w:szCs w:val="18"/>
        </w:rPr>
        <w:t xml:space="preserve">er design in </w:t>
      </w:r>
      <w:r w:rsidR="000D4CB7" w:rsidRPr="00AC6C6F">
        <w:rPr>
          <w:szCs w:val="18"/>
        </w:rPr>
        <w:t xml:space="preserve">which </w:t>
      </w:r>
      <w:r w:rsidRPr="00AC6C6F">
        <w:rPr>
          <w:szCs w:val="18"/>
        </w:rPr>
        <w:t xml:space="preserve">patients with either progressive disease or vorinostat intolerance </w:t>
      </w:r>
      <w:r w:rsidR="000D4CB7" w:rsidRPr="00AC6C6F">
        <w:rPr>
          <w:szCs w:val="18"/>
        </w:rPr>
        <w:t xml:space="preserve">were permitted </w:t>
      </w:r>
      <w:r w:rsidRPr="00AC6C6F">
        <w:rPr>
          <w:szCs w:val="18"/>
        </w:rPr>
        <w:t xml:space="preserve">to receive </w:t>
      </w:r>
      <w:r w:rsidR="00CC621A" w:rsidRPr="00AC6C6F">
        <w:rPr>
          <w:szCs w:val="18"/>
        </w:rPr>
        <w:t>mogamulizumab</w:t>
      </w:r>
      <w:r w:rsidRPr="00AC6C6F">
        <w:rPr>
          <w:szCs w:val="18"/>
        </w:rPr>
        <w:t xml:space="preserve">. </w:t>
      </w:r>
    </w:p>
    <w:p w:rsidR="00D20241" w:rsidRPr="00AC6C6F" w:rsidRDefault="00D20241" w:rsidP="00AF726E">
      <w:pPr>
        <w:pStyle w:val="TableFigureFooter"/>
        <w:rPr>
          <w:szCs w:val="18"/>
          <w:vertAlign w:val="superscript"/>
        </w:rPr>
      </w:pPr>
      <w:r w:rsidRPr="00AC6C6F">
        <w:rPr>
          <w:szCs w:val="18"/>
          <w:vertAlign w:val="superscript"/>
        </w:rPr>
        <w:t xml:space="preserve">i </w:t>
      </w:r>
      <w:r w:rsidRPr="00AC6C6F">
        <w:rPr>
          <w:szCs w:val="18"/>
        </w:rPr>
        <w:t>The risk of bias for ALCANZA is considered to be high based on physicians choice of therapy (methotrexate or bexarotene) for the comparator arm; the open-label nature of the trial; and the investigator assessed skin response analysis which formed part of the independent review efficacy analysis</w:t>
      </w:r>
      <w:r w:rsidR="00AC6C6F">
        <w:rPr>
          <w:szCs w:val="18"/>
        </w:rPr>
        <w:t xml:space="preserve">. </w:t>
      </w:r>
      <w:r w:rsidRPr="00AC6C6F">
        <w:rPr>
          <w:szCs w:val="18"/>
          <w:vertAlign w:val="superscript"/>
        </w:rPr>
        <w:t xml:space="preserve"> </w:t>
      </w:r>
    </w:p>
    <w:p w:rsidR="00AF726E" w:rsidRPr="00AC6C6F" w:rsidRDefault="00AF726E" w:rsidP="00AF726E">
      <w:pPr>
        <w:pStyle w:val="3-BodyText"/>
        <w:rPr>
          <w:rFonts w:cstheme="minorHAnsi"/>
          <w:color w:val="000000" w:themeColor="text1"/>
        </w:rPr>
      </w:pPr>
      <w:r w:rsidRPr="00AC6C6F">
        <w:rPr>
          <w:rFonts w:cs="Calibri"/>
          <w:color w:val="000000" w:themeColor="text1"/>
        </w:rPr>
        <w:t>MAVORIC recruited patients with stage IB-IV MF o</w:t>
      </w:r>
      <w:r w:rsidR="00F47F13" w:rsidRPr="00AC6C6F">
        <w:rPr>
          <w:rFonts w:cs="Calibri"/>
          <w:color w:val="000000" w:themeColor="text1"/>
        </w:rPr>
        <w:t>r</w:t>
      </w:r>
      <w:r w:rsidRPr="00AC6C6F">
        <w:rPr>
          <w:rFonts w:cs="Calibri"/>
          <w:color w:val="000000" w:themeColor="text1"/>
        </w:rPr>
        <w:t xml:space="preserve"> SS. </w:t>
      </w:r>
      <w:r w:rsidRPr="00AC6C6F">
        <w:rPr>
          <w:rFonts w:cs="Calibri"/>
          <w:iCs/>
          <w:color w:val="000000" w:themeColor="text1"/>
        </w:rPr>
        <w:t xml:space="preserve">The study population in MAVORIC was narrower than the proposed PBS listing for mogamulizumab given that it was limited to patients with </w:t>
      </w:r>
      <w:r w:rsidR="006030BA" w:rsidRPr="00AC6C6F">
        <w:rPr>
          <w:rFonts w:cs="Calibri"/>
          <w:iCs/>
          <w:color w:val="000000" w:themeColor="text1"/>
        </w:rPr>
        <w:t xml:space="preserve">the </w:t>
      </w:r>
      <w:r w:rsidRPr="00AC6C6F">
        <w:rPr>
          <w:rFonts w:cs="Calibri"/>
          <w:iCs/>
          <w:color w:val="000000" w:themeColor="text1"/>
        </w:rPr>
        <w:t>MF or SS subtype</w:t>
      </w:r>
      <w:r w:rsidR="006030BA" w:rsidRPr="00AC6C6F">
        <w:rPr>
          <w:rFonts w:cs="Calibri"/>
          <w:iCs/>
          <w:color w:val="000000" w:themeColor="text1"/>
        </w:rPr>
        <w:t>s</w:t>
      </w:r>
      <w:r w:rsidRPr="00AC6C6F">
        <w:rPr>
          <w:rFonts w:cs="Calibri"/>
          <w:iCs/>
          <w:color w:val="000000" w:themeColor="text1"/>
        </w:rPr>
        <w:t xml:space="preserve"> </w:t>
      </w:r>
      <w:r w:rsidR="006030BA" w:rsidRPr="00AC6C6F">
        <w:rPr>
          <w:rFonts w:cs="Calibri"/>
          <w:iCs/>
          <w:color w:val="000000" w:themeColor="text1"/>
        </w:rPr>
        <w:t xml:space="preserve">of </w:t>
      </w:r>
      <w:r w:rsidRPr="00AC6C6F">
        <w:rPr>
          <w:rFonts w:cs="Calibri"/>
          <w:iCs/>
          <w:color w:val="000000" w:themeColor="text1"/>
        </w:rPr>
        <w:t>CTCL</w:t>
      </w:r>
      <w:r w:rsidRPr="00AC6C6F">
        <w:rPr>
          <w:iCs/>
          <w:color w:val="000000" w:themeColor="text1"/>
        </w:rPr>
        <w:t>.</w:t>
      </w:r>
    </w:p>
    <w:p w:rsidR="00AF726E" w:rsidRPr="00AC6C6F" w:rsidRDefault="006030BA" w:rsidP="00AF726E">
      <w:pPr>
        <w:pStyle w:val="3-BodyText"/>
        <w:rPr>
          <w:rFonts w:cstheme="minorHAnsi"/>
          <w:color w:val="000000" w:themeColor="text1"/>
        </w:rPr>
      </w:pPr>
      <w:r w:rsidRPr="00AC6C6F">
        <w:rPr>
          <w:rFonts w:cs="Calibri"/>
          <w:iCs/>
          <w:color w:val="000000" w:themeColor="text1"/>
        </w:rPr>
        <w:t>Within MAVORIC t</w:t>
      </w:r>
      <w:r w:rsidR="00AF726E" w:rsidRPr="00AC6C6F">
        <w:rPr>
          <w:rFonts w:cs="Calibri"/>
          <w:iCs/>
          <w:color w:val="000000" w:themeColor="text1"/>
        </w:rPr>
        <w:t xml:space="preserve">here was </w:t>
      </w:r>
      <w:r w:rsidRPr="00AC6C6F">
        <w:rPr>
          <w:rFonts w:cs="Calibri"/>
          <w:iCs/>
          <w:color w:val="000000" w:themeColor="text1"/>
        </w:rPr>
        <w:t xml:space="preserve">an </w:t>
      </w:r>
      <w:r w:rsidR="00AF726E" w:rsidRPr="00AC6C6F">
        <w:rPr>
          <w:rFonts w:cs="Calibri"/>
          <w:iCs/>
          <w:color w:val="000000" w:themeColor="text1"/>
        </w:rPr>
        <w:t>imbalance in the median time since initial diagnosis, which was slightly longer for the mogamulizumab arm (41.0 months; range 1.2 - 362.3 months) compared to the vorinostat arm (35.4 months; range 1.0 – 306.4 months). The median number of prior systemic therapies was three for both arms. 56.5% of patients in the mogamulizumab arm compared to 58.6% of patients in the vorinostat arm had advanced-stage MF or SS (stage ≥ IIB)</w:t>
      </w:r>
      <w:r w:rsidR="00AC6C6F">
        <w:rPr>
          <w:rFonts w:cs="Calibri"/>
          <w:iCs/>
          <w:color w:val="000000" w:themeColor="text1"/>
        </w:rPr>
        <w:t xml:space="preserve">. </w:t>
      </w:r>
      <w:r w:rsidR="005C2013">
        <w:rPr>
          <w:rFonts w:cs="Calibri"/>
          <w:color w:val="000000" w:themeColor="text1"/>
        </w:rPr>
        <w:t xml:space="preserve"> </w:t>
      </w:r>
    </w:p>
    <w:p w:rsidR="00D150DE" w:rsidRPr="00AC6C6F" w:rsidRDefault="00AF726E" w:rsidP="00AF726E">
      <w:pPr>
        <w:pStyle w:val="3-BodyText"/>
        <w:rPr>
          <w:rFonts w:cstheme="minorHAnsi"/>
          <w:color w:val="000000" w:themeColor="text1"/>
        </w:rPr>
      </w:pPr>
      <w:r w:rsidRPr="00AC6C6F">
        <w:rPr>
          <w:rFonts w:cstheme="minorHAnsi"/>
          <w:color w:val="000000" w:themeColor="text1"/>
        </w:rPr>
        <w:t xml:space="preserve">MAVORIC </w:t>
      </w:r>
      <w:r w:rsidRPr="00AC6C6F">
        <w:rPr>
          <w:rStyle w:val="Small"/>
          <w:rFonts w:asciiTheme="minorHAnsi" w:hAnsiTheme="minorHAnsi" w:cstheme="minorHAnsi"/>
          <w:color w:val="000000" w:themeColor="text1"/>
          <w:sz w:val="24"/>
        </w:rPr>
        <w:t xml:space="preserve">allowed patients with either progressive disease (PD) or </w:t>
      </w:r>
      <w:r w:rsidR="00F51253" w:rsidRPr="00AC6C6F">
        <w:rPr>
          <w:rStyle w:val="Small"/>
          <w:rFonts w:asciiTheme="minorHAnsi" w:hAnsiTheme="minorHAnsi" w:cstheme="minorHAnsi"/>
          <w:color w:val="000000" w:themeColor="text1"/>
          <w:sz w:val="24"/>
        </w:rPr>
        <w:t xml:space="preserve">those who were unable to tolerate </w:t>
      </w:r>
      <w:r w:rsidRPr="00AC6C6F">
        <w:rPr>
          <w:rStyle w:val="Small"/>
          <w:rFonts w:asciiTheme="minorHAnsi" w:hAnsiTheme="minorHAnsi" w:cstheme="minorHAnsi"/>
          <w:color w:val="000000" w:themeColor="text1"/>
          <w:sz w:val="24"/>
        </w:rPr>
        <w:t xml:space="preserve">vorinostat </w:t>
      </w:r>
      <w:r w:rsidR="00F51253" w:rsidRPr="00AC6C6F">
        <w:rPr>
          <w:rStyle w:val="Small"/>
          <w:rFonts w:asciiTheme="minorHAnsi" w:hAnsiTheme="minorHAnsi" w:cstheme="minorHAnsi"/>
          <w:color w:val="000000" w:themeColor="text1"/>
          <w:sz w:val="24"/>
        </w:rPr>
        <w:t>to crossover to treatment with mogamulizumab</w:t>
      </w:r>
      <w:r w:rsidR="00A34557" w:rsidRPr="00AC6C6F">
        <w:rPr>
          <w:rStyle w:val="Small"/>
          <w:rFonts w:asciiTheme="minorHAnsi" w:hAnsiTheme="minorHAnsi" w:cstheme="minorHAnsi"/>
          <w:color w:val="000000" w:themeColor="text1"/>
          <w:sz w:val="24"/>
        </w:rPr>
        <w:t>.</w:t>
      </w:r>
      <w:r w:rsidR="00F51253" w:rsidRPr="00AC6C6F">
        <w:rPr>
          <w:rStyle w:val="Small"/>
          <w:rFonts w:asciiTheme="minorHAnsi" w:hAnsiTheme="minorHAnsi" w:cstheme="minorHAnsi"/>
          <w:color w:val="000000" w:themeColor="text1"/>
          <w:sz w:val="24"/>
        </w:rPr>
        <w:t xml:space="preserve"> </w:t>
      </w:r>
      <w:r w:rsidR="00A34557" w:rsidRPr="00AC6C6F">
        <w:rPr>
          <w:rStyle w:val="Small"/>
          <w:rFonts w:asciiTheme="minorHAnsi" w:hAnsiTheme="minorHAnsi" w:cstheme="minorHAnsi"/>
          <w:color w:val="000000" w:themeColor="text1"/>
          <w:sz w:val="24"/>
        </w:rPr>
        <w:t>Crossover was permitted from vorinostat to mogamulizumab</w:t>
      </w:r>
      <w:r w:rsidR="00F51253" w:rsidRPr="00AC6C6F">
        <w:rPr>
          <w:rStyle w:val="Small"/>
          <w:rFonts w:asciiTheme="minorHAnsi" w:hAnsiTheme="minorHAnsi" w:cstheme="minorHAnsi"/>
          <w:color w:val="000000" w:themeColor="text1"/>
          <w:sz w:val="24"/>
        </w:rPr>
        <w:t xml:space="preserve"> to encourage enrolment and minimise drop out in countries, such as Australia, where vorinostat was already available and therefore patients did not need to be enrolled in the trial to receive treatment</w:t>
      </w:r>
      <w:r w:rsidRPr="00AC6C6F">
        <w:rPr>
          <w:rStyle w:val="Small"/>
          <w:rFonts w:asciiTheme="minorHAnsi" w:hAnsiTheme="minorHAnsi" w:cstheme="minorHAnsi"/>
          <w:color w:val="000000" w:themeColor="text1"/>
          <w:sz w:val="24"/>
        </w:rPr>
        <w:t>.</w:t>
      </w:r>
      <w:r w:rsidRPr="00AC6C6F">
        <w:rPr>
          <w:rFonts w:cstheme="minorHAnsi"/>
          <w:color w:val="000000" w:themeColor="text1"/>
        </w:rPr>
        <w:t xml:space="preserve"> </w:t>
      </w:r>
      <w:r w:rsidR="00A34557" w:rsidRPr="00AC6C6F">
        <w:rPr>
          <w:rFonts w:cstheme="minorHAnsi"/>
          <w:iCs/>
          <w:color w:val="000000" w:themeColor="text1"/>
        </w:rPr>
        <w:t>Inclusion of crossover may have influenced</w:t>
      </w:r>
      <w:r w:rsidR="005746B5" w:rsidRPr="00AC6C6F">
        <w:rPr>
          <w:rFonts w:cstheme="minorHAnsi"/>
          <w:iCs/>
          <w:color w:val="000000" w:themeColor="text1"/>
        </w:rPr>
        <w:t xml:space="preserve"> investigator</w:t>
      </w:r>
      <w:r w:rsidR="00443348" w:rsidRPr="00AC6C6F">
        <w:rPr>
          <w:rFonts w:cstheme="minorHAnsi"/>
          <w:iCs/>
          <w:color w:val="000000" w:themeColor="text1"/>
        </w:rPr>
        <w:t xml:space="preserve"> </w:t>
      </w:r>
      <w:r w:rsidR="00A34557" w:rsidRPr="00AC6C6F">
        <w:rPr>
          <w:rFonts w:cstheme="minorHAnsi"/>
          <w:iCs/>
          <w:color w:val="000000" w:themeColor="text1"/>
        </w:rPr>
        <w:t>assessment of disease progression (in particular as it relates to skin response</w:t>
      </w:r>
      <w:r w:rsidR="000A64C8" w:rsidRPr="00AC6C6F">
        <w:rPr>
          <w:rFonts w:cstheme="minorHAnsi"/>
          <w:iCs/>
          <w:color w:val="000000" w:themeColor="text1"/>
        </w:rPr>
        <w:t>, where analysis may be subjective in nature</w:t>
      </w:r>
      <w:r w:rsidR="00A34557" w:rsidRPr="00AC6C6F">
        <w:rPr>
          <w:rFonts w:cstheme="minorHAnsi"/>
          <w:iCs/>
          <w:color w:val="000000" w:themeColor="text1"/>
        </w:rPr>
        <w:t xml:space="preserve">) and patient assessments of tolerance. </w:t>
      </w:r>
      <w:r w:rsidRPr="00AC6C6F">
        <w:rPr>
          <w:rStyle w:val="Small"/>
          <w:rFonts w:asciiTheme="minorHAnsi" w:hAnsiTheme="minorHAnsi" w:cstheme="minorHAnsi"/>
          <w:color w:val="000000" w:themeColor="text1"/>
          <w:sz w:val="24"/>
        </w:rPr>
        <w:t>136 (</w:t>
      </w:r>
      <w:r w:rsidRPr="00AC6C6F">
        <w:rPr>
          <w:rFonts w:cstheme="minorHAnsi"/>
          <w:color w:val="000000" w:themeColor="text1"/>
        </w:rPr>
        <w:t>73.1%) patients in the vorinostat arm crossed over to receive mogamulizumab</w:t>
      </w:r>
      <w:r w:rsidR="00F47F13" w:rsidRPr="00AC6C6F">
        <w:rPr>
          <w:rFonts w:cstheme="minorHAnsi"/>
          <w:color w:val="000000" w:themeColor="text1"/>
        </w:rPr>
        <w:t xml:space="preserve">; </w:t>
      </w:r>
      <w:r w:rsidRPr="00AC6C6F">
        <w:rPr>
          <w:rFonts w:cstheme="minorHAnsi"/>
          <w:color w:val="000000" w:themeColor="text1"/>
        </w:rPr>
        <w:t xml:space="preserve">109 </w:t>
      </w:r>
      <w:r w:rsidR="00F47F13" w:rsidRPr="00AC6C6F">
        <w:rPr>
          <w:rFonts w:cstheme="minorHAnsi"/>
          <w:color w:val="000000" w:themeColor="text1"/>
        </w:rPr>
        <w:t>(</w:t>
      </w:r>
      <w:r w:rsidRPr="00AC6C6F">
        <w:rPr>
          <w:rFonts w:cstheme="minorHAnsi"/>
          <w:color w:val="000000" w:themeColor="text1"/>
        </w:rPr>
        <w:t>58.6%</w:t>
      </w:r>
      <w:r w:rsidR="00F47F13" w:rsidRPr="00AC6C6F">
        <w:rPr>
          <w:rFonts w:cstheme="minorHAnsi"/>
          <w:color w:val="000000" w:themeColor="text1"/>
        </w:rPr>
        <w:t>)</w:t>
      </w:r>
      <w:r w:rsidRPr="00AC6C6F">
        <w:rPr>
          <w:rFonts w:cstheme="minorHAnsi"/>
          <w:color w:val="000000" w:themeColor="text1"/>
        </w:rPr>
        <w:t xml:space="preserve"> after PD and 27 </w:t>
      </w:r>
      <w:r w:rsidR="00F47F13" w:rsidRPr="00AC6C6F">
        <w:rPr>
          <w:rFonts w:cstheme="minorHAnsi"/>
          <w:color w:val="000000" w:themeColor="text1"/>
        </w:rPr>
        <w:t>(</w:t>
      </w:r>
      <w:r w:rsidRPr="00AC6C6F">
        <w:rPr>
          <w:rFonts w:cstheme="minorHAnsi"/>
          <w:color w:val="000000" w:themeColor="text1"/>
        </w:rPr>
        <w:t>14.5%</w:t>
      </w:r>
      <w:r w:rsidR="00F47F13" w:rsidRPr="00AC6C6F">
        <w:rPr>
          <w:rFonts w:cstheme="minorHAnsi"/>
          <w:color w:val="000000" w:themeColor="text1"/>
        </w:rPr>
        <w:t>)</w:t>
      </w:r>
      <w:r w:rsidRPr="00AC6C6F">
        <w:rPr>
          <w:rFonts w:cstheme="minorHAnsi"/>
          <w:color w:val="000000" w:themeColor="text1"/>
        </w:rPr>
        <w:t xml:space="preserve"> due to vorinostat intolerance.</w:t>
      </w:r>
    </w:p>
    <w:p w:rsidR="004F1D75" w:rsidRPr="00AC6C6F" w:rsidRDefault="00D150DE" w:rsidP="00AF726E">
      <w:pPr>
        <w:pStyle w:val="3-BodyText"/>
        <w:rPr>
          <w:rFonts w:cs="Calibri"/>
          <w:iCs/>
          <w:color w:val="000000" w:themeColor="text1"/>
        </w:rPr>
      </w:pPr>
      <w:r w:rsidRPr="00AC6C6F">
        <w:rPr>
          <w:rFonts w:cs="Calibri"/>
          <w:iCs/>
          <w:color w:val="000000" w:themeColor="text1"/>
        </w:rPr>
        <w:t xml:space="preserve">The PSCR </w:t>
      </w:r>
      <w:r w:rsidR="00417D76" w:rsidRPr="00AC6C6F">
        <w:rPr>
          <w:rFonts w:cs="Calibri"/>
          <w:iCs/>
          <w:color w:val="000000" w:themeColor="text1"/>
        </w:rPr>
        <w:t xml:space="preserve">considered the risk of bias in MAVORIC to be moderate rather than high. The PSCR argued this was justified based on the criteria for crossover </w:t>
      </w:r>
      <w:r w:rsidRPr="00AC6C6F">
        <w:rPr>
          <w:rFonts w:cs="Calibri"/>
          <w:iCs/>
          <w:color w:val="000000" w:themeColor="text1"/>
        </w:rPr>
        <w:t xml:space="preserve">eligibility </w:t>
      </w:r>
      <w:r w:rsidR="00417D76" w:rsidRPr="00AC6C6F">
        <w:rPr>
          <w:rFonts w:cs="Calibri"/>
          <w:iCs/>
          <w:color w:val="000000" w:themeColor="text1"/>
        </w:rPr>
        <w:t xml:space="preserve">and the comparison of </w:t>
      </w:r>
      <w:r w:rsidR="004240FD" w:rsidRPr="00AC6C6F">
        <w:rPr>
          <w:rFonts w:cs="Calibri"/>
          <w:iCs/>
          <w:color w:val="000000" w:themeColor="text1"/>
        </w:rPr>
        <w:t xml:space="preserve">the </w:t>
      </w:r>
      <w:r w:rsidR="00417D76" w:rsidRPr="00AC6C6F">
        <w:rPr>
          <w:rFonts w:cs="Calibri"/>
          <w:iCs/>
          <w:color w:val="000000" w:themeColor="text1"/>
        </w:rPr>
        <w:t xml:space="preserve">progression free survival (PFS) </w:t>
      </w:r>
      <w:r w:rsidR="002474F8" w:rsidRPr="00AC6C6F">
        <w:rPr>
          <w:rFonts w:cs="Calibri"/>
          <w:iCs/>
          <w:color w:val="000000" w:themeColor="text1"/>
        </w:rPr>
        <w:t>data for</w:t>
      </w:r>
      <w:r w:rsidR="00417D76" w:rsidRPr="00AC6C6F">
        <w:rPr>
          <w:rFonts w:cs="Calibri"/>
          <w:iCs/>
          <w:color w:val="000000" w:themeColor="text1"/>
        </w:rPr>
        <w:t xml:space="preserve"> th</w:t>
      </w:r>
      <w:r w:rsidR="002F3CD5" w:rsidRPr="00AC6C6F">
        <w:rPr>
          <w:rFonts w:cs="Calibri"/>
          <w:iCs/>
          <w:color w:val="000000" w:themeColor="text1"/>
        </w:rPr>
        <w:t xml:space="preserve">e investigator (the primary endpoint) and independent review </w:t>
      </w:r>
      <w:r w:rsidR="006A58DE" w:rsidRPr="00AC6C6F">
        <w:rPr>
          <w:rFonts w:cs="Calibri"/>
          <w:iCs/>
          <w:color w:val="000000" w:themeColor="text1"/>
        </w:rPr>
        <w:t xml:space="preserve">(IR) </w:t>
      </w:r>
      <w:r w:rsidR="002F3CD5" w:rsidRPr="00AC6C6F">
        <w:rPr>
          <w:rFonts w:cs="Calibri"/>
          <w:iCs/>
          <w:color w:val="000000" w:themeColor="text1"/>
        </w:rPr>
        <w:t>assessment.</w:t>
      </w:r>
      <w:r w:rsidR="00AF726E" w:rsidRPr="00AC6C6F">
        <w:rPr>
          <w:rFonts w:cs="Calibri"/>
          <w:iCs/>
          <w:color w:val="000000" w:themeColor="text1"/>
        </w:rPr>
        <w:t xml:space="preserve"> </w:t>
      </w:r>
      <w:r w:rsidR="004F1D75" w:rsidRPr="00AC6C6F">
        <w:rPr>
          <w:rFonts w:cs="Calibri"/>
          <w:iCs/>
          <w:color w:val="000000" w:themeColor="text1"/>
        </w:rPr>
        <w:t xml:space="preserve">The ESC considered that as the </w:t>
      </w:r>
      <w:r w:rsidR="006A58DE" w:rsidRPr="00AC6C6F">
        <w:rPr>
          <w:rFonts w:cs="Calibri"/>
          <w:iCs/>
          <w:color w:val="000000" w:themeColor="text1"/>
        </w:rPr>
        <w:t>IR</w:t>
      </w:r>
      <w:r w:rsidR="00FF6ECB" w:rsidRPr="00AC6C6F">
        <w:rPr>
          <w:rFonts w:cs="Calibri"/>
          <w:iCs/>
          <w:color w:val="000000" w:themeColor="text1"/>
        </w:rPr>
        <w:t xml:space="preserve"> </w:t>
      </w:r>
      <w:r w:rsidR="004F1D75" w:rsidRPr="00AC6C6F">
        <w:rPr>
          <w:rFonts w:cs="Calibri"/>
          <w:iCs/>
          <w:color w:val="000000" w:themeColor="text1"/>
        </w:rPr>
        <w:t xml:space="preserve">assessment relied on the investigator assessment of </w:t>
      </w:r>
      <w:r w:rsidR="00FF6ECB" w:rsidRPr="00AC6C6F">
        <w:rPr>
          <w:rFonts w:ascii="Calibri" w:hAnsi="Calibri" w:cs="Calibri"/>
          <w:iCs/>
        </w:rPr>
        <w:t xml:space="preserve">modified Severity Weighted Assessment Tool </w:t>
      </w:r>
      <w:r w:rsidR="00FF6ECB" w:rsidRPr="00AC6C6F">
        <w:rPr>
          <w:rFonts w:cs="Calibri"/>
          <w:iCs/>
          <w:color w:val="000000" w:themeColor="text1"/>
        </w:rPr>
        <w:t>(</w:t>
      </w:r>
      <w:r w:rsidR="004F1D75" w:rsidRPr="00AC6C6F">
        <w:rPr>
          <w:rFonts w:cs="Calibri"/>
          <w:iCs/>
          <w:color w:val="000000" w:themeColor="text1"/>
        </w:rPr>
        <w:t>mSWAT</w:t>
      </w:r>
      <w:r w:rsidR="00FF6ECB" w:rsidRPr="00AC6C6F">
        <w:rPr>
          <w:rFonts w:cs="Calibri"/>
          <w:iCs/>
          <w:color w:val="000000" w:themeColor="text1"/>
        </w:rPr>
        <w:t>)</w:t>
      </w:r>
      <w:r w:rsidR="004F1D75" w:rsidRPr="00AC6C6F">
        <w:rPr>
          <w:rFonts w:cs="Calibri"/>
          <w:iCs/>
          <w:color w:val="000000" w:themeColor="text1"/>
        </w:rPr>
        <w:t xml:space="preserve"> which is potentially subjective in nature, </w:t>
      </w:r>
      <w:r w:rsidR="00832FCA" w:rsidRPr="00AC6C6F">
        <w:rPr>
          <w:rFonts w:cs="Calibri"/>
          <w:iCs/>
          <w:color w:val="000000" w:themeColor="text1"/>
        </w:rPr>
        <w:t xml:space="preserve">therefore, </w:t>
      </w:r>
      <w:r w:rsidR="004F1D75" w:rsidRPr="00AC6C6F">
        <w:rPr>
          <w:rFonts w:cs="Calibri"/>
          <w:iCs/>
          <w:color w:val="000000" w:themeColor="text1"/>
        </w:rPr>
        <w:t xml:space="preserve">the risk of bias in MAVORIC was high. The ESC noted the </w:t>
      </w:r>
      <w:r w:rsidR="004F1D75" w:rsidRPr="00AC6C6F">
        <w:rPr>
          <w:color w:val="000000" w:themeColor="text1"/>
        </w:rPr>
        <w:t>PBAC had previously considered that the overall risk of bias in MAVORIC was high (paragraph 6.7, Table 3, Brentuximab PSD, July 2018 PBAC Meeting).</w:t>
      </w:r>
    </w:p>
    <w:p w:rsidR="00AF726E" w:rsidRPr="00AC6C6F" w:rsidRDefault="00DE67D5" w:rsidP="00AF726E">
      <w:pPr>
        <w:pStyle w:val="3-BodyText"/>
        <w:rPr>
          <w:rFonts w:cs="Calibri"/>
          <w:iCs/>
          <w:color w:val="000000" w:themeColor="text1"/>
        </w:rPr>
      </w:pPr>
      <w:r w:rsidRPr="00AC6C6F">
        <w:rPr>
          <w:rFonts w:cs="Calibri"/>
          <w:iCs/>
          <w:color w:val="000000" w:themeColor="text1"/>
        </w:rPr>
        <w:t>In addition, the PSCR argued</w:t>
      </w:r>
      <w:r w:rsidR="00AF726E" w:rsidRPr="00AC6C6F">
        <w:rPr>
          <w:rFonts w:cs="Calibri"/>
          <w:iCs/>
          <w:color w:val="000000" w:themeColor="text1"/>
        </w:rPr>
        <w:t xml:space="preserve"> </w:t>
      </w:r>
      <w:r w:rsidRPr="00AC6C6F">
        <w:rPr>
          <w:rFonts w:cs="Calibri"/>
          <w:iCs/>
          <w:color w:val="000000" w:themeColor="text1"/>
        </w:rPr>
        <w:t>the open label design of MA</w:t>
      </w:r>
      <w:r w:rsidR="00832FCA" w:rsidRPr="00AC6C6F">
        <w:rPr>
          <w:rFonts w:cs="Calibri"/>
          <w:iCs/>
          <w:color w:val="000000" w:themeColor="text1"/>
        </w:rPr>
        <w:t>V</w:t>
      </w:r>
      <w:r w:rsidRPr="00AC6C6F">
        <w:rPr>
          <w:rFonts w:cs="Calibri"/>
          <w:iCs/>
          <w:color w:val="000000" w:themeColor="text1"/>
        </w:rPr>
        <w:t xml:space="preserve">ORIC reflected the different method of administration and predicted side effect profiles of the respective therapies, which would have made blinding very difficult. The ESC acknowledged </w:t>
      </w:r>
      <w:r w:rsidR="004F1D75" w:rsidRPr="00AC6C6F">
        <w:rPr>
          <w:rFonts w:cs="Calibri"/>
          <w:iCs/>
          <w:color w:val="000000" w:themeColor="text1"/>
        </w:rPr>
        <w:t xml:space="preserve">that it would be difficult to achieve blinding when mogamulizumab is administered intravenously and vorinostat is administered orally. </w:t>
      </w:r>
    </w:p>
    <w:p w:rsidR="00AF726E" w:rsidRPr="00AC6C6F" w:rsidRDefault="006030BA" w:rsidP="00F47200">
      <w:pPr>
        <w:pStyle w:val="3-BodyText"/>
        <w:rPr>
          <w:rFonts w:cstheme="minorHAnsi"/>
          <w:color w:val="000000" w:themeColor="text1"/>
        </w:rPr>
      </w:pPr>
      <w:r w:rsidRPr="00AC6C6F">
        <w:t>P</w:t>
      </w:r>
      <w:r w:rsidR="00AF726E" w:rsidRPr="00AC6C6F">
        <w:t xml:space="preserve">atients in ALCANZA had </w:t>
      </w:r>
      <w:r w:rsidRPr="00AC6C6F">
        <w:t xml:space="preserve">the </w:t>
      </w:r>
      <w:r w:rsidR="00AF726E" w:rsidRPr="00AC6C6F">
        <w:t xml:space="preserve">MF or pcALCL subtypes of CTCL with histological confirmation of CD30+ disease. </w:t>
      </w:r>
      <w:r w:rsidR="00AF726E" w:rsidRPr="00AC6C6F">
        <w:rPr>
          <w:iCs/>
          <w:color w:val="000000" w:themeColor="text1"/>
        </w:rPr>
        <w:t xml:space="preserve">Therefore, the study population in ALCANZA was narrower than the proposed PBS listing for mogamulizumab, which is agnostic to CTCL subtype and CD30 expression. </w:t>
      </w:r>
      <w:r w:rsidR="00AF726E" w:rsidRPr="00AC6C6F">
        <w:rPr>
          <w:rFonts w:cs="Calibri"/>
        </w:rPr>
        <w:t xml:space="preserve">Baseline patient demographics were similar between the two arms of ALCANZA. </w:t>
      </w:r>
      <w:r w:rsidR="00AF726E" w:rsidRPr="00AC6C6F">
        <w:rPr>
          <w:rFonts w:cs="Calibri"/>
          <w:iCs/>
        </w:rPr>
        <w:t>T</w:t>
      </w:r>
      <w:r w:rsidR="00AF726E" w:rsidRPr="00AC6C6F">
        <w:rPr>
          <w:rFonts w:cs="Calibri"/>
          <w:iCs/>
          <w:color w:val="000000" w:themeColor="text1"/>
        </w:rPr>
        <w:t>here was an imbalance in the median time since initial diagnosis between the two arms, being longer in the brentuximab arm (42.2 months) compared to physician’s choice of methotrexate or bexarotene (PC:MTX/BEX</w:t>
      </w:r>
      <w:r w:rsidRPr="00AC6C6F">
        <w:rPr>
          <w:rFonts w:cs="Calibri"/>
          <w:iCs/>
          <w:color w:val="000000" w:themeColor="text1"/>
        </w:rPr>
        <w:t xml:space="preserve">; </w:t>
      </w:r>
      <w:r w:rsidR="00AF726E" w:rsidRPr="00AC6C6F">
        <w:rPr>
          <w:rFonts w:cs="Calibri"/>
          <w:iCs/>
          <w:color w:val="000000" w:themeColor="text1"/>
        </w:rPr>
        <w:t xml:space="preserve">37.0 months). The number of prior systemic therapies was two for both arms. </w:t>
      </w:r>
    </w:p>
    <w:p w:rsidR="00AF726E" w:rsidRPr="00AC6C6F" w:rsidRDefault="00AF726E" w:rsidP="00AF726E">
      <w:pPr>
        <w:pStyle w:val="4-SubsectionHeading"/>
      </w:pPr>
      <w:bookmarkStart w:id="11" w:name="_Toc40177092"/>
      <w:r w:rsidRPr="00AC6C6F">
        <w:t>Comparative effectiveness</w:t>
      </w:r>
      <w:bookmarkEnd w:id="11"/>
    </w:p>
    <w:p w:rsidR="00AF726E" w:rsidRPr="00AC6C6F" w:rsidRDefault="005B31FC" w:rsidP="00CD09E9">
      <w:pPr>
        <w:widowControl w:val="0"/>
        <w:spacing w:after="120"/>
        <w:rPr>
          <w:rFonts w:cs="Calibri"/>
          <w:u w:val="single"/>
        </w:rPr>
      </w:pPr>
      <w:r w:rsidRPr="00AC6C6F">
        <w:rPr>
          <w:rFonts w:cs="Calibri"/>
          <w:u w:val="single"/>
        </w:rPr>
        <w:t>Mogamulizumab vs</w:t>
      </w:r>
      <w:r w:rsidR="00EE197C" w:rsidRPr="00AC6C6F">
        <w:rPr>
          <w:rFonts w:cs="Calibri"/>
          <w:u w:val="single"/>
        </w:rPr>
        <w:t xml:space="preserve"> v</w:t>
      </w:r>
      <w:r w:rsidR="00AF726E" w:rsidRPr="00AC6C6F">
        <w:rPr>
          <w:rFonts w:cs="Calibri"/>
          <w:u w:val="single"/>
        </w:rPr>
        <w:t xml:space="preserve">orinostat </w:t>
      </w:r>
    </w:p>
    <w:p w:rsidR="00AF726E" w:rsidRPr="00AC6C6F" w:rsidRDefault="00AF726E" w:rsidP="00AF726E">
      <w:pPr>
        <w:pStyle w:val="3-BodyText"/>
        <w:rPr>
          <w:color w:val="0066FF"/>
        </w:rPr>
      </w:pPr>
      <w:r w:rsidRPr="00AC6C6F">
        <w:rPr>
          <w:rFonts w:cs="Calibri"/>
        </w:rPr>
        <w:t xml:space="preserve">At the time of </w:t>
      </w:r>
      <w:r w:rsidR="002F1E2C" w:rsidRPr="00AC6C6F">
        <w:rPr>
          <w:rFonts w:cs="Calibri"/>
        </w:rPr>
        <w:t xml:space="preserve">the </w:t>
      </w:r>
      <w:r w:rsidRPr="00AC6C6F">
        <w:rPr>
          <w:rFonts w:cs="Calibri"/>
        </w:rPr>
        <w:t xml:space="preserve">primary analysis, the median duration of follow-up for all patients </w:t>
      </w:r>
      <w:r w:rsidR="00681CE0" w:rsidRPr="00AC6C6F">
        <w:rPr>
          <w:rFonts w:cs="Calibri"/>
        </w:rPr>
        <w:t>i</w:t>
      </w:r>
      <w:r w:rsidRPr="00AC6C6F">
        <w:rPr>
          <w:rFonts w:cs="Calibri"/>
        </w:rPr>
        <w:t xml:space="preserve">n MAVORIC was 17.0 months. 27 (14.5%) patients assigned to mogamulizumab and ten (5.4%) patients assigned to vorinostat remained on treatment. Additionally, 31 (22.8%) of the 136 patients originally assigned to vorinostat who crossed over to mogamulizumab remained on treatment. </w:t>
      </w:r>
      <w:r w:rsidR="003277DC" w:rsidRPr="00AC6C6F">
        <w:rPr>
          <w:rFonts w:cs="Calibri"/>
        </w:rPr>
        <w:t xml:space="preserve">The PBAC noted that at </w:t>
      </w:r>
      <w:r w:rsidR="005B31FC" w:rsidRPr="00AC6C6F">
        <w:rPr>
          <w:rFonts w:cs="Calibri"/>
        </w:rPr>
        <w:t xml:space="preserve">the </w:t>
      </w:r>
      <w:r w:rsidR="003277DC" w:rsidRPr="00AC6C6F">
        <w:rPr>
          <w:rFonts w:cs="Calibri"/>
        </w:rPr>
        <w:t xml:space="preserve">data cut-off the median number of cycles </w:t>
      </w:r>
      <w:r w:rsidR="005E6682" w:rsidRPr="00AC6C6F">
        <w:rPr>
          <w:rFonts w:cs="Calibri"/>
        </w:rPr>
        <w:t>initiated</w:t>
      </w:r>
      <w:r w:rsidR="003277DC" w:rsidRPr="00AC6C6F">
        <w:rPr>
          <w:rFonts w:cs="Calibri"/>
        </w:rPr>
        <w:t xml:space="preserve"> during the randomised treatment period was 6.0 in the mogamulizumab group and 3.0 in the vorinostat group. </w:t>
      </w:r>
    </w:p>
    <w:p w:rsidR="00B32BD1" w:rsidRPr="00AC6C6F" w:rsidRDefault="00B32BD1" w:rsidP="00AF726E">
      <w:pPr>
        <w:pStyle w:val="3-BodyText"/>
        <w:rPr>
          <w:color w:val="0066FF"/>
        </w:rPr>
      </w:pPr>
      <w:r w:rsidRPr="00AC6C6F">
        <w:rPr>
          <w:rFonts w:cs="Calibri"/>
          <w:iCs/>
        </w:rPr>
        <w:t xml:space="preserve">A global composite response score (GCRS; Olsen, 2011), based on response (complete and partial) in each compartment (skin, blood, lymph nodes and viscera), was used for the primary endpoint of PFS and secondary endpoint of overall </w:t>
      </w:r>
      <w:r w:rsidR="00CC621A" w:rsidRPr="00AC6C6F">
        <w:rPr>
          <w:rFonts w:cs="Calibri"/>
          <w:iCs/>
        </w:rPr>
        <w:t>response</w:t>
      </w:r>
      <w:r w:rsidRPr="00AC6C6F">
        <w:rPr>
          <w:rFonts w:cs="Calibri"/>
          <w:iCs/>
        </w:rPr>
        <w:t xml:space="preserve"> rate (ORR). Assessment of disease in each compartment was analysed based on: skin response determined </w:t>
      </w:r>
      <w:r w:rsidRPr="00AC6C6F">
        <w:rPr>
          <w:rFonts w:ascii="Calibri" w:hAnsi="Calibri" w:cs="Calibri"/>
          <w:iCs/>
        </w:rPr>
        <w:t>using mSWAT</w:t>
      </w:r>
      <w:r w:rsidRPr="00AC6C6F">
        <w:rPr>
          <w:rFonts w:cs="Calibri"/>
          <w:iCs/>
        </w:rPr>
        <w:t>; blood response determined by flow cytometry; and evaluation of tumour burden in lymph nodes and viscera assessed by computed tomography (CT).</w:t>
      </w:r>
    </w:p>
    <w:p w:rsidR="00AF726E" w:rsidRPr="00AC6C6F" w:rsidRDefault="00AF726E" w:rsidP="00AF726E">
      <w:pPr>
        <w:pStyle w:val="3-BodyText"/>
        <w:rPr>
          <w:color w:val="0066FF"/>
        </w:rPr>
      </w:pPr>
      <w:r w:rsidRPr="00AC6C6F">
        <w:rPr>
          <w:rFonts w:cs="Calibri"/>
        </w:rPr>
        <w:t xml:space="preserve">A summary of the PFS results for MAVORIC </w:t>
      </w:r>
      <w:r w:rsidR="00165767" w:rsidRPr="00AC6C6F">
        <w:rPr>
          <w:rFonts w:cs="Calibri"/>
        </w:rPr>
        <w:t>are</w:t>
      </w:r>
      <w:r w:rsidRPr="00AC6C6F">
        <w:rPr>
          <w:rFonts w:cs="Calibri"/>
        </w:rPr>
        <w:t xml:space="preserve"> presented in Table 4, and the Kaplan-Meier (KM) plot for investigator assessed PFS is shown in Figure 2. </w:t>
      </w:r>
    </w:p>
    <w:p w:rsidR="00AF726E" w:rsidRPr="00AC6C6F" w:rsidRDefault="00AF726E" w:rsidP="00AF726E">
      <w:pPr>
        <w:pStyle w:val="3-BodyText"/>
        <w:rPr>
          <w:color w:val="0066FF"/>
        </w:rPr>
      </w:pPr>
      <w:r w:rsidRPr="00AC6C6F">
        <w:rPr>
          <w:rFonts w:cs="Calibri"/>
        </w:rPr>
        <w:t xml:space="preserve">Median PFS as assessed by the </w:t>
      </w:r>
      <w:r w:rsidR="00263C8C" w:rsidRPr="00AC6C6F">
        <w:rPr>
          <w:rFonts w:cs="Calibri"/>
        </w:rPr>
        <w:t>i</w:t>
      </w:r>
      <w:r w:rsidRPr="00AC6C6F">
        <w:rPr>
          <w:rFonts w:cs="Calibri"/>
        </w:rPr>
        <w:t xml:space="preserve">nvestigator was </w:t>
      </w:r>
      <w:r w:rsidR="00681CE0" w:rsidRPr="00AC6C6F">
        <w:rPr>
          <w:rFonts w:cs="Calibri"/>
        </w:rPr>
        <w:t>longer</w:t>
      </w:r>
      <w:r w:rsidRPr="00AC6C6F">
        <w:rPr>
          <w:rFonts w:cs="Calibri"/>
        </w:rPr>
        <w:t xml:space="preserve"> in the mogamulizumab arm (7.7 months) compared to vorinostat (3.1 months); the hazard ratio (HR) of 0.53 was statistically significant</w:t>
      </w:r>
      <w:r w:rsidR="002F1E2C" w:rsidRPr="00AC6C6F">
        <w:rPr>
          <w:rFonts w:cs="Calibri"/>
        </w:rPr>
        <w:t xml:space="preserve"> (p&lt;0.0001)</w:t>
      </w:r>
      <w:r w:rsidRPr="00AC6C6F">
        <w:rPr>
          <w:rFonts w:cs="Calibri"/>
        </w:rPr>
        <w:t xml:space="preserve">. </w:t>
      </w:r>
      <w:r w:rsidRPr="00AC6C6F">
        <w:rPr>
          <w:rFonts w:cs="Calibri"/>
          <w:iCs/>
        </w:rPr>
        <w:t>The one-way crossover design in MAVORIC could have biased results against vorinostat as eligibility</w:t>
      </w:r>
      <w:r w:rsidR="00165767" w:rsidRPr="00AC6C6F">
        <w:rPr>
          <w:rFonts w:cs="Calibri"/>
          <w:iCs/>
        </w:rPr>
        <w:t xml:space="preserve"> for crossing over</w:t>
      </w:r>
      <w:r w:rsidRPr="00AC6C6F">
        <w:rPr>
          <w:rFonts w:cs="Calibri"/>
          <w:iCs/>
        </w:rPr>
        <w:t xml:space="preserve"> to mogamulizumab was either PD or intolerance to vorinostat.</w:t>
      </w:r>
      <w:r w:rsidRPr="00AC6C6F">
        <w:t xml:space="preserve"> </w:t>
      </w:r>
      <w:r w:rsidRPr="00AC6C6F">
        <w:rPr>
          <w:rFonts w:cs="Calibri"/>
          <w:iCs/>
        </w:rPr>
        <w:t>There were slight discrepancies between investigator and IR assessment of PFS; median PFS for mogamulizumab was one month lower in the IR assessment and was 0.7 months longer for vorinostat.</w:t>
      </w:r>
      <w:r w:rsidR="00BE7352" w:rsidRPr="00AC6C6F">
        <w:rPr>
          <w:rFonts w:cs="Calibri"/>
          <w:iCs/>
        </w:rPr>
        <w:t xml:space="preserve"> </w:t>
      </w:r>
      <w:r w:rsidR="005B31FC" w:rsidRPr="00AC6C6F">
        <w:rPr>
          <w:rFonts w:cs="Calibri"/>
          <w:iCs/>
        </w:rPr>
        <w:t>T</w:t>
      </w:r>
      <w:r w:rsidRPr="00AC6C6F">
        <w:rPr>
          <w:rFonts w:cs="Calibri"/>
          <w:iCs/>
        </w:rPr>
        <w:t xml:space="preserve">he HR for IR assessed PFS was also higher at 0.64 </w:t>
      </w:r>
      <w:r w:rsidR="00F72187" w:rsidRPr="00AC6C6F">
        <w:rPr>
          <w:rFonts w:cs="Calibri"/>
          <w:iCs/>
        </w:rPr>
        <w:t xml:space="preserve">but </w:t>
      </w:r>
      <w:r w:rsidRPr="00AC6C6F">
        <w:rPr>
          <w:rFonts w:cs="Calibri"/>
          <w:iCs/>
        </w:rPr>
        <w:t xml:space="preserve">remained statistically significant (p&lt;0.0007). </w:t>
      </w:r>
      <w:r w:rsidR="00E21511" w:rsidRPr="00AC6C6F">
        <w:rPr>
          <w:rFonts w:cs="Calibri"/>
          <w:iCs/>
        </w:rPr>
        <w:t>Discrepancies</w:t>
      </w:r>
      <w:r w:rsidR="00F72187" w:rsidRPr="00AC6C6F">
        <w:rPr>
          <w:rFonts w:cs="Calibri"/>
          <w:iCs/>
        </w:rPr>
        <w:t xml:space="preserve"> between investigator and IR assessed PFS may arise due to the subjective nature of some of the outcomes</w:t>
      </w:r>
      <w:r w:rsidR="00681CE0" w:rsidRPr="00AC6C6F">
        <w:rPr>
          <w:rFonts w:cs="Calibri"/>
          <w:iCs/>
        </w:rPr>
        <w:t>’</w:t>
      </w:r>
      <w:r w:rsidR="00F72187" w:rsidRPr="00AC6C6F">
        <w:rPr>
          <w:rFonts w:cs="Calibri"/>
          <w:iCs/>
        </w:rPr>
        <w:t xml:space="preserve"> assessment informing PFS including lesion progression based on assessment of photographic evidence and mSWAT analysis</w:t>
      </w:r>
      <w:r w:rsidR="004A02AA" w:rsidRPr="00AC6C6F">
        <w:rPr>
          <w:rFonts w:cs="Calibri"/>
          <w:iCs/>
        </w:rPr>
        <w:t xml:space="preserve">. </w:t>
      </w:r>
      <w:r w:rsidR="00D366BE" w:rsidRPr="00AC6C6F">
        <w:rPr>
          <w:rFonts w:cs="Calibri"/>
          <w:iCs/>
        </w:rPr>
        <w:t>The ESC noted that a statistically significant difference in favour of mogamulizumab was reported for both investigator and IR assessed PFS.</w:t>
      </w:r>
      <w:r w:rsidR="00D366BE" w:rsidRPr="00AC6C6F">
        <w:rPr>
          <w:rFonts w:cs="Calibri"/>
          <w:i/>
          <w:iCs/>
        </w:rPr>
        <w:t xml:space="preserve"> </w:t>
      </w:r>
    </w:p>
    <w:p w:rsidR="00AF726E" w:rsidRPr="00AC6C6F" w:rsidRDefault="00AF726E" w:rsidP="00AF726E">
      <w:pPr>
        <w:keepNext/>
        <w:rPr>
          <w:rStyle w:val="CommentReference"/>
          <w:bCs/>
        </w:rPr>
      </w:pPr>
      <w:r w:rsidRPr="00AC6C6F">
        <w:rPr>
          <w:rStyle w:val="CommentReference"/>
          <w:bCs/>
        </w:rPr>
        <w:t>Table 4: Results of progression free survival in MAVORIC (ITT)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5"/>
        <w:gridCol w:w="993"/>
        <w:gridCol w:w="996"/>
        <w:gridCol w:w="994"/>
        <w:gridCol w:w="998"/>
        <w:gridCol w:w="1137"/>
        <w:gridCol w:w="1179"/>
        <w:gridCol w:w="7"/>
        <w:gridCol w:w="1025"/>
      </w:tblGrid>
      <w:tr w:rsidR="00AF726E" w:rsidRPr="00AC6C6F" w:rsidTr="00302235">
        <w:trPr>
          <w:cantSplit/>
          <w:tblHeader/>
        </w:trPr>
        <w:tc>
          <w:tcPr>
            <w:tcW w:w="939" w:type="pct"/>
            <w:vMerge w:val="restart"/>
            <w:vAlign w:val="center"/>
          </w:tcPr>
          <w:p w:rsidR="00AF726E" w:rsidRPr="00AC6C6F" w:rsidRDefault="00AF726E" w:rsidP="00302235">
            <w:pPr>
              <w:pStyle w:val="In-tableHeading"/>
              <w:rPr>
                <w:lang w:val="en-AU"/>
              </w:rPr>
            </w:pPr>
          </w:p>
        </w:tc>
        <w:tc>
          <w:tcPr>
            <w:tcW w:w="1102" w:type="pct"/>
            <w:gridSpan w:val="2"/>
            <w:vAlign w:val="center"/>
          </w:tcPr>
          <w:p w:rsidR="00AF726E" w:rsidRPr="00AC6C6F" w:rsidRDefault="00AF726E" w:rsidP="00302235">
            <w:pPr>
              <w:pStyle w:val="In-tableHeading"/>
              <w:keepNext w:val="0"/>
              <w:widowControl w:val="0"/>
              <w:jc w:val="center"/>
              <w:rPr>
                <w:lang w:val="en-AU"/>
              </w:rPr>
            </w:pPr>
            <w:r w:rsidRPr="00AC6C6F">
              <w:rPr>
                <w:lang w:val="en-AU"/>
              </w:rPr>
              <w:t>Mogamulizumab</w:t>
            </w:r>
          </w:p>
          <w:p w:rsidR="00AF726E" w:rsidRPr="00AC6C6F" w:rsidRDefault="00AF726E" w:rsidP="00302235">
            <w:pPr>
              <w:pStyle w:val="In-tableHeading"/>
              <w:keepNext w:val="0"/>
              <w:widowControl w:val="0"/>
              <w:jc w:val="center"/>
              <w:rPr>
                <w:lang w:val="en-AU"/>
              </w:rPr>
            </w:pPr>
            <w:r w:rsidRPr="00AC6C6F">
              <w:rPr>
                <w:lang w:val="en-AU"/>
              </w:rPr>
              <w:t>(N = 186)</w:t>
            </w:r>
          </w:p>
        </w:tc>
        <w:tc>
          <w:tcPr>
            <w:tcW w:w="1104" w:type="pct"/>
            <w:gridSpan w:val="2"/>
            <w:vAlign w:val="center"/>
          </w:tcPr>
          <w:p w:rsidR="00AF726E" w:rsidRPr="00AC6C6F" w:rsidRDefault="00AF726E" w:rsidP="00302235">
            <w:pPr>
              <w:pStyle w:val="In-tableHeading"/>
              <w:keepNext w:val="0"/>
              <w:widowControl w:val="0"/>
              <w:jc w:val="center"/>
              <w:rPr>
                <w:lang w:val="en-AU"/>
              </w:rPr>
            </w:pPr>
            <w:r w:rsidRPr="00AC6C6F">
              <w:rPr>
                <w:lang w:val="en-AU"/>
              </w:rPr>
              <w:t>Vorinostat</w:t>
            </w:r>
          </w:p>
          <w:p w:rsidR="00AF726E" w:rsidRPr="00AC6C6F" w:rsidRDefault="00AF726E" w:rsidP="00302235">
            <w:pPr>
              <w:pStyle w:val="In-tableHeading"/>
              <w:keepNext w:val="0"/>
              <w:widowControl w:val="0"/>
              <w:jc w:val="center"/>
              <w:rPr>
                <w:lang w:val="en-AU"/>
              </w:rPr>
            </w:pPr>
            <w:r w:rsidRPr="00AC6C6F">
              <w:rPr>
                <w:lang w:val="en-AU"/>
              </w:rPr>
              <w:t>(N = 186)</w:t>
            </w:r>
          </w:p>
        </w:tc>
        <w:tc>
          <w:tcPr>
            <w:tcW w:w="630" w:type="pct"/>
            <w:vMerge w:val="restart"/>
            <w:vAlign w:val="center"/>
          </w:tcPr>
          <w:p w:rsidR="00AF726E" w:rsidRPr="00AC6C6F" w:rsidRDefault="00AF726E" w:rsidP="00302235">
            <w:pPr>
              <w:pStyle w:val="In-tableHeading"/>
              <w:jc w:val="center"/>
              <w:rPr>
                <w:vertAlign w:val="superscript"/>
                <w:lang w:val="en-AU"/>
              </w:rPr>
            </w:pPr>
            <w:r w:rsidRPr="00AC6C6F">
              <w:rPr>
                <w:lang w:val="en-AU"/>
              </w:rPr>
              <w:t>Difference in median</w:t>
            </w:r>
            <w:r w:rsidR="00A95F5A" w:rsidRPr="00AC6C6F">
              <w:rPr>
                <w:vertAlign w:val="superscript"/>
                <w:lang w:val="en-AU"/>
              </w:rPr>
              <w:t>a</w:t>
            </w:r>
          </w:p>
        </w:tc>
        <w:tc>
          <w:tcPr>
            <w:tcW w:w="653" w:type="pct"/>
            <w:vMerge w:val="restart"/>
            <w:vAlign w:val="center"/>
          </w:tcPr>
          <w:p w:rsidR="00AF726E" w:rsidRPr="00AC6C6F" w:rsidRDefault="00AF726E" w:rsidP="00302235">
            <w:pPr>
              <w:pStyle w:val="In-tableHeading"/>
              <w:jc w:val="center"/>
              <w:rPr>
                <w:lang w:val="en-AU"/>
              </w:rPr>
            </w:pPr>
            <w:r w:rsidRPr="00AC6C6F">
              <w:rPr>
                <w:lang w:val="en-AU"/>
              </w:rPr>
              <w:t xml:space="preserve">Log rank </w:t>
            </w:r>
          </w:p>
          <w:p w:rsidR="00AF726E" w:rsidRPr="00AC6C6F" w:rsidRDefault="00AF726E" w:rsidP="00302235">
            <w:pPr>
              <w:pStyle w:val="In-tableHeading"/>
              <w:jc w:val="center"/>
              <w:rPr>
                <w:lang w:val="en-AU"/>
              </w:rPr>
            </w:pPr>
            <w:r w:rsidRPr="00AC6C6F">
              <w:rPr>
                <w:lang w:val="en-AU"/>
              </w:rPr>
              <w:t>P value</w:t>
            </w:r>
          </w:p>
        </w:tc>
        <w:tc>
          <w:tcPr>
            <w:tcW w:w="572" w:type="pct"/>
            <w:gridSpan w:val="2"/>
            <w:vMerge w:val="restart"/>
            <w:vAlign w:val="center"/>
          </w:tcPr>
          <w:p w:rsidR="00AF726E" w:rsidRPr="00AC6C6F" w:rsidRDefault="00AF726E" w:rsidP="00302235">
            <w:pPr>
              <w:pStyle w:val="In-tableHeading"/>
              <w:jc w:val="center"/>
              <w:rPr>
                <w:lang w:val="en-AU"/>
              </w:rPr>
            </w:pPr>
            <w:r w:rsidRPr="00AC6C6F">
              <w:rPr>
                <w:lang w:val="en-AU"/>
              </w:rPr>
              <w:t xml:space="preserve">HR </w:t>
            </w:r>
          </w:p>
          <w:p w:rsidR="00AF726E" w:rsidRPr="00AC6C6F" w:rsidRDefault="00AF726E" w:rsidP="00302235">
            <w:pPr>
              <w:pStyle w:val="In-tableHeading"/>
              <w:jc w:val="center"/>
              <w:rPr>
                <w:lang w:val="en-AU"/>
              </w:rPr>
            </w:pPr>
            <w:r w:rsidRPr="00AC6C6F">
              <w:rPr>
                <w:lang w:val="en-AU"/>
              </w:rPr>
              <w:t>(95% CI)</w:t>
            </w:r>
          </w:p>
        </w:tc>
      </w:tr>
      <w:tr w:rsidR="00AF726E" w:rsidRPr="00AC6C6F" w:rsidTr="00302235">
        <w:trPr>
          <w:cantSplit/>
          <w:tblHeader/>
        </w:trPr>
        <w:tc>
          <w:tcPr>
            <w:tcW w:w="939" w:type="pct"/>
            <w:vMerge/>
            <w:vAlign w:val="center"/>
          </w:tcPr>
          <w:p w:rsidR="00AF726E" w:rsidRPr="00AC6C6F" w:rsidRDefault="00AF726E" w:rsidP="00302235">
            <w:pPr>
              <w:pStyle w:val="In-tableHeading"/>
              <w:rPr>
                <w:lang w:val="en-AU"/>
              </w:rPr>
            </w:pPr>
          </w:p>
        </w:tc>
        <w:tc>
          <w:tcPr>
            <w:tcW w:w="550" w:type="pct"/>
            <w:vAlign w:val="center"/>
          </w:tcPr>
          <w:p w:rsidR="00AF726E" w:rsidRPr="00AC6C6F" w:rsidRDefault="002F1E2C" w:rsidP="00302235">
            <w:pPr>
              <w:pStyle w:val="In-tableHeading"/>
              <w:keepNext w:val="0"/>
              <w:widowControl w:val="0"/>
              <w:jc w:val="center"/>
              <w:rPr>
                <w:lang w:val="en-AU"/>
              </w:rPr>
            </w:pPr>
            <w:r w:rsidRPr="00AC6C6F">
              <w:rPr>
                <w:lang w:val="en-AU"/>
              </w:rPr>
              <w:t xml:space="preserve">Progressed </w:t>
            </w:r>
            <w:r w:rsidR="00AF726E" w:rsidRPr="00AC6C6F">
              <w:rPr>
                <w:lang w:val="en-AU"/>
              </w:rPr>
              <w:t>(n, %)</w:t>
            </w:r>
          </w:p>
        </w:tc>
        <w:tc>
          <w:tcPr>
            <w:tcW w:w="552" w:type="pct"/>
            <w:vAlign w:val="center"/>
          </w:tcPr>
          <w:p w:rsidR="00AF726E" w:rsidRPr="00AC6C6F" w:rsidRDefault="00AF726E" w:rsidP="00302235">
            <w:pPr>
              <w:pStyle w:val="TableText0"/>
              <w:jc w:val="center"/>
              <w:rPr>
                <w:b/>
                <w:bCs w:val="0"/>
              </w:rPr>
            </w:pPr>
            <w:r w:rsidRPr="00AC6C6F">
              <w:rPr>
                <w:b/>
                <w:bCs w:val="0"/>
              </w:rPr>
              <w:t>Median months</w:t>
            </w:r>
          </w:p>
          <w:p w:rsidR="00AF726E" w:rsidRPr="00AC6C6F" w:rsidRDefault="00AF726E" w:rsidP="00302235">
            <w:pPr>
              <w:pStyle w:val="In-tableHeading"/>
              <w:keepNext w:val="0"/>
              <w:widowControl w:val="0"/>
              <w:jc w:val="center"/>
              <w:rPr>
                <w:lang w:val="en-AU"/>
              </w:rPr>
            </w:pPr>
            <w:r w:rsidRPr="00AC6C6F">
              <w:rPr>
                <w:lang w:val="en-AU"/>
              </w:rPr>
              <w:t>(95% CI)</w:t>
            </w:r>
          </w:p>
        </w:tc>
        <w:tc>
          <w:tcPr>
            <w:tcW w:w="551" w:type="pct"/>
            <w:vAlign w:val="center"/>
          </w:tcPr>
          <w:p w:rsidR="00AF726E" w:rsidRPr="00AC6C6F" w:rsidRDefault="002F1E2C" w:rsidP="00302235">
            <w:pPr>
              <w:pStyle w:val="In-tableHeading"/>
              <w:keepNext w:val="0"/>
              <w:widowControl w:val="0"/>
              <w:jc w:val="center"/>
              <w:rPr>
                <w:lang w:val="en-AU"/>
              </w:rPr>
            </w:pPr>
            <w:r w:rsidRPr="00AC6C6F">
              <w:rPr>
                <w:lang w:val="en-AU"/>
              </w:rPr>
              <w:t xml:space="preserve">Progressed </w:t>
            </w:r>
            <w:r w:rsidR="00AF726E" w:rsidRPr="00AC6C6F">
              <w:rPr>
                <w:lang w:val="en-AU"/>
              </w:rPr>
              <w:t>(n, %)</w:t>
            </w:r>
          </w:p>
        </w:tc>
        <w:tc>
          <w:tcPr>
            <w:tcW w:w="553" w:type="pct"/>
            <w:vAlign w:val="center"/>
          </w:tcPr>
          <w:p w:rsidR="00AF726E" w:rsidRPr="00AC6C6F" w:rsidRDefault="00AF726E" w:rsidP="00302235">
            <w:pPr>
              <w:pStyle w:val="TableText0"/>
              <w:jc w:val="center"/>
              <w:rPr>
                <w:b/>
                <w:bCs w:val="0"/>
              </w:rPr>
            </w:pPr>
            <w:r w:rsidRPr="00AC6C6F">
              <w:rPr>
                <w:b/>
                <w:bCs w:val="0"/>
              </w:rPr>
              <w:t>Median months</w:t>
            </w:r>
          </w:p>
          <w:p w:rsidR="00AF726E" w:rsidRPr="00AC6C6F" w:rsidRDefault="00AF726E" w:rsidP="00302235">
            <w:pPr>
              <w:pStyle w:val="In-tableHeading"/>
              <w:keepNext w:val="0"/>
              <w:widowControl w:val="0"/>
              <w:jc w:val="center"/>
              <w:rPr>
                <w:lang w:val="en-AU"/>
              </w:rPr>
            </w:pPr>
            <w:r w:rsidRPr="00AC6C6F">
              <w:rPr>
                <w:lang w:val="en-AU"/>
              </w:rPr>
              <w:t>(95% CI)</w:t>
            </w:r>
          </w:p>
        </w:tc>
        <w:tc>
          <w:tcPr>
            <w:tcW w:w="630" w:type="pct"/>
            <w:vMerge/>
            <w:vAlign w:val="center"/>
          </w:tcPr>
          <w:p w:rsidR="00AF726E" w:rsidRPr="00AC6C6F" w:rsidRDefault="00AF726E" w:rsidP="00302235">
            <w:pPr>
              <w:pStyle w:val="In-tableHeading"/>
              <w:jc w:val="center"/>
              <w:rPr>
                <w:lang w:val="en-AU"/>
              </w:rPr>
            </w:pPr>
          </w:p>
        </w:tc>
        <w:tc>
          <w:tcPr>
            <w:tcW w:w="653" w:type="pct"/>
            <w:vMerge/>
            <w:vAlign w:val="center"/>
          </w:tcPr>
          <w:p w:rsidR="00AF726E" w:rsidRPr="00AC6C6F" w:rsidRDefault="00AF726E" w:rsidP="00302235">
            <w:pPr>
              <w:pStyle w:val="In-tableHeading"/>
              <w:jc w:val="center"/>
              <w:rPr>
                <w:lang w:val="en-AU"/>
              </w:rPr>
            </w:pPr>
          </w:p>
        </w:tc>
        <w:tc>
          <w:tcPr>
            <w:tcW w:w="572" w:type="pct"/>
            <w:gridSpan w:val="2"/>
            <w:vMerge/>
            <w:vAlign w:val="center"/>
          </w:tcPr>
          <w:p w:rsidR="00AF726E" w:rsidRPr="00AC6C6F" w:rsidRDefault="00AF726E" w:rsidP="00302235">
            <w:pPr>
              <w:pStyle w:val="In-tableHeading"/>
              <w:jc w:val="center"/>
              <w:rPr>
                <w:lang w:val="en-AU"/>
              </w:rPr>
            </w:pPr>
          </w:p>
        </w:tc>
      </w:tr>
      <w:tr w:rsidR="00AF726E" w:rsidRPr="00AC6C6F" w:rsidTr="00302235">
        <w:trPr>
          <w:cantSplit/>
        </w:trPr>
        <w:tc>
          <w:tcPr>
            <w:tcW w:w="939" w:type="pct"/>
            <w:vAlign w:val="center"/>
          </w:tcPr>
          <w:p w:rsidR="00AF726E" w:rsidRPr="00AC6C6F" w:rsidRDefault="00AF726E" w:rsidP="00302235">
            <w:pPr>
              <w:pStyle w:val="In-tableHeading"/>
              <w:keepNext w:val="0"/>
              <w:widowControl w:val="0"/>
              <w:jc w:val="center"/>
              <w:rPr>
                <w:b w:val="0"/>
                <w:bCs/>
                <w:lang w:val="en-AU"/>
              </w:rPr>
            </w:pPr>
            <w:r w:rsidRPr="00AC6C6F">
              <w:rPr>
                <w:b w:val="0"/>
                <w:bCs/>
                <w:lang w:val="en-AU"/>
              </w:rPr>
              <w:t xml:space="preserve">Investigator Assessed </w:t>
            </w:r>
          </w:p>
          <w:p w:rsidR="00AF726E" w:rsidRPr="00AC6C6F" w:rsidRDefault="00AF726E" w:rsidP="00302235">
            <w:pPr>
              <w:pStyle w:val="TableText0"/>
            </w:pPr>
            <w:r w:rsidRPr="00AC6C6F">
              <w:t>(Primary endpoint)</w:t>
            </w:r>
          </w:p>
        </w:tc>
        <w:tc>
          <w:tcPr>
            <w:tcW w:w="550" w:type="pct"/>
            <w:vAlign w:val="center"/>
          </w:tcPr>
          <w:p w:rsidR="00AF726E" w:rsidRPr="00AC6C6F" w:rsidRDefault="00AF726E" w:rsidP="00302235">
            <w:pPr>
              <w:pStyle w:val="TableText0"/>
              <w:jc w:val="center"/>
            </w:pPr>
            <w:r w:rsidRPr="00AC6C6F">
              <w:t>110 (59.1)</w:t>
            </w:r>
          </w:p>
        </w:tc>
        <w:tc>
          <w:tcPr>
            <w:tcW w:w="552" w:type="pct"/>
            <w:vAlign w:val="center"/>
          </w:tcPr>
          <w:p w:rsidR="00AF726E" w:rsidRPr="00AC6C6F" w:rsidRDefault="00AF726E" w:rsidP="00302235">
            <w:pPr>
              <w:pStyle w:val="TableText0"/>
              <w:jc w:val="center"/>
            </w:pPr>
            <w:r w:rsidRPr="00AC6C6F">
              <w:t xml:space="preserve">7.7 </w:t>
            </w:r>
          </w:p>
          <w:p w:rsidR="00AF726E" w:rsidRPr="00AC6C6F" w:rsidRDefault="00AF726E" w:rsidP="00302235">
            <w:pPr>
              <w:pStyle w:val="TableText0"/>
              <w:jc w:val="center"/>
            </w:pPr>
            <w:r w:rsidRPr="00AC6C6F">
              <w:t>(5.7, 10.3)</w:t>
            </w:r>
          </w:p>
        </w:tc>
        <w:tc>
          <w:tcPr>
            <w:tcW w:w="551" w:type="pct"/>
            <w:vAlign w:val="center"/>
          </w:tcPr>
          <w:p w:rsidR="00AF726E" w:rsidRPr="00AC6C6F" w:rsidRDefault="00AF726E" w:rsidP="00302235">
            <w:pPr>
              <w:pStyle w:val="TableText0"/>
              <w:jc w:val="center"/>
            </w:pPr>
            <w:r w:rsidRPr="00AC6C6F">
              <w:t>131 (70.4)</w:t>
            </w:r>
          </w:p>
        </w:tc>
        <w:tc>
          <w:tcPr>
            <w:tcW w:w="553" w:type="pct"/>
            <w:vAlign w:val="center"/>
          </w:tcPr>
          <w:p w:rsidR="00AF726E" w:rsidRPr="00AC6C6F" w:rsidRDefault="00AF726E" w:rsidP="00302235">
            <w:pPr>
              <w:pStyle w:val="TableText0"/>
              <w:jc w:val="center"/>
            </w:pPr>
            <w:r w:rsidRPr="00AC6C6F">
              <w:t xml:space="preserve">3.1 </w:t>
            </w:r>
          </w:p>
          <w:p w:rsidR="00AF726E" w:rsidRPr="00AC6C6F" w:rsidRDefault="00AF726E" w:rsidP="00302235">
            <w:pPr>
              <w:pStyle w:val="TableText0"/>
              <w:jc w:val="center"/>
            </w:pPr>
            <w:r w:rsidRPr="00AC6C6F">
              <w:t>(2.9, 4.1)</w:t>
            </w:r>
          </w:p>
        </w:tc>
        <w:tc>
          <w:tcPr>
            <w:tcW w:w="630" w:type="pct"/>
            <w:vAlign w:val="center"/>
          </w:tcPr>
          <w:p w:rsidR="00AF726E" w:rsidRPr="00AC6C6F" w:rsidRDefault="00AF726E" w:rsidP="00302235">
            <w:pPr>
              <w:pStyle w:val="TableText0"/>
              <w:jc w:val="center"/>
              <w:rPr>
                <w:iCs/>
              </w:rPr>
            </w:pPr>
            <w:r w:rsidRPr="00AC6C6F">
              <w:rPr>
                <w:iCs/>
              </w:rPr>
              <w:t>4.6</w:t>
            </w:r>
          </w:p>
        </w:tc>
        <w:tc>
          <w:tcPr>
            <w:tcW w:w="657" w:type="pct"/>
            <w:gridSpan w:val="2"/>
            <w:vAlign w:val="center"/>
          </w:tcPr>
          <w:p w:rsidR="00AF726E" w:rsidRPr="00AC6C6F" w:rsidRDefault="00AF726E" w:rsidP="00302235">
            <w:pPr>
              <w:pStyle w:val="TableText0"/>
              <w:jc w:val="center"/>
            </w:pPr>
            <w:r w:rsidRPr="00AC6C6F">
              <w:rPr>
                <w:b/>
                <w:bCs w:val="0"/>
              </w:rPr>
              <w:t>&lt;0.0001</w:t>
            </w:r>
          </w:p>
        </w:tc>
        <w:tc>
          <w:tcPr>
            <w:tcW w:w="568" w:type="pct"/>
            <w:vAlign w:val="center"/>
          </w:tcPr>
          <w:p w:rsidR="00AF726E" w:rsidRPr="00AC6C6F" w:rsidRDefault="00AF726E" w:rsidP="00302235">
            <w:pPr>
              <w:pStyle w:val="TableText0"/>
              <w:jc w:val="center"/>
              <w:rPr>
                <w:b/>
                <w:bCs w:val="0"/>
              </w:rPr>
            </w:pPr>
            <w:r w:rsidRPr="00AC6C6F">
              <w:rPr>
                <w:b/>
                <w:bCs w:val="0"/>
              </w:rPr>
              <w:t xml:space="preserve">0.53 </w:t>
            </w:r>
          </w:p>
          <w:p w:rsidR="00AF726E" w:rsidRPr="00AC6C6F" w:rsidRDefault="00AF726E" w:rsidP="00302235">
            <w:pPr>
              <w:pStyle w:val="TableText0"/>
              <w:jc w:val="center"/>
              <w:rPr>
                <w:b/>
                <w:bCs w:val="0"/>
              </w:rPr>
            </w:pPr>
            <w:r w:rsidRPr="00AC6C6F">
              <w:rPr>
                <w:b/>
                <w:bCs w:val="0"/>
              </w:rPr>
              <w:t>(0.41, 0.69)</w:t>
            </w:r>
          </w:p>
        </w:tc>
      </w:tr>
      <w:tr w:rsidR="00AF726E" w:rsidRPr="00AC6C6F" w:rsidTr="00302235">
        <w:trPr>
          <w:cantSplit/>
        </w:trPr>
        <w:tc>
          <w:tcPr>
            <w:tcW w:w="939" w:type="pct"/>
            <w:vAlign w:val="center"/>
          </w:tcPr>
          <w:p w:rsidR="00AF726E" w:rsidRPr="00AC6C6F" w:rsidRDefault="00AF726E" w:rsidP="00302235">
            <w:pPr>
              <w:pStyle w:val="In-tableHeading"/>
              <w:keepNext w:val="0"/>
              <w:widowControl w:val="0"/>
              <w:rPr>
                <w:b w:val="0"/>
                <w:bCs/>
                <w:lang w:val="en-AU"/>
              </w:rPr>
            </w:pPr>
            <w:r w:rsidRPr="00AC6C6F">
              <w:rPr>
                <w:b w:val="0"/>
                <w:bCs/>
                <w:lang w:val="en-AU"/>
              </w:rPr>
              <w:t xml:space="preserve">Independent Review </w:t>
            </w:r>
          </w:p>
          <w:p w:rsidR="00AF726E" w:rsidRPr="00AC6C6F" w:rsidRDefault="00AF726E" w:rsidP="00302235">
            <w:pPr>
              <w:pStyle w:val="TableText0"/>
            </w:pPr>
            <w:r w:rsidRPr="00AC6C6F">
              <w:t>(Secondary endpoint)</w:t>
            </w:r>
          </w:p>
        </w:tc>
        <w:tc>
          <w:tcPr>
            <w:tcW w:w="550" w:type="pct"/>
            <w:vAlign w:val="center"/>
          </w:tcPr>
          <w:p w:rsidR="00AF726E" w:rsidRPr="00AC6C6F" w:rsidRDefault="00AF726E" w:rsidP="00302235">
            <w:pPr>
              <w:pStyle w:val="TableText0"/>
              <w:jc w:val="center"/>
            </w:pPr>
            <w:r w:rsidRPr="00AC6C6F">
              <w:t>110 (59.1)</w:t>
            </w:r>
          </w:p>
        </w:tc>
        <w:tc>
          <w:tcPr>
            <w:tcW w:w="552" w:type="pct"/>
            <w:vAlign w:val="center"/>
          </w:tcPr>
          <w:p w:rsidR="00AF726E" w:rsidRPr="00AC6C6F" w:rsidRDefault="00AF726E" w:rsidP="00302235">
            <w:pPr>
              <w:pStyle w:val="TableText0"/>
              <w:jc w:val="center"/>
            </w:pPr>
            <w:r w:rsidRPr="00AC6C6F">
              <w:t xml:space="preserve">6.7 </w:t>
            </w:r>
          </w:p>
          <w:p w:rsidR="00AF726E" w:rsidRPr="00AC6C6F" w:rsidRDefault="00AF726E" w:rsidP="00302235">
            <w:pPr>
              <w:pStyle w:val="TableText0"/>
              <w:jc w:val="center"/>
            </w:pPr>
            <w:r w:rsidRPr="00AC6C6F">
              <w:t>(5.6, 9.4)</w:t>
            </w:r>
          </w:p>
        </w:tc>
        <w:tc>
          <w:tcPr>
            <w:tcW w:w="551" w:type="pct"/>
            <w:vAlign w:val="center"/>
          </w:tcPr>
          <w:p w:rsidR="00AF726E" w:rsidRPr="00AC6C6F" w:rsidRDefault="00AF726E" w:rsidP="00302235">
            <w:pPr>
              <w:pStyle w:val="TableText0"/>
              <w:jc w:val="center"/>
            </w:pPr>
            <w:r w:rsidRPr="00AC6C6F">
              <w:t>122 (65.6)</w:t>
            </w:r>
          </w:p>
        </w:tc>
        <w:tc>
          <w:tcPr>
            <w:tcW w:w="553" w:type="pct"/>
            <w:vAlign w:val="center"/>
          </w:tcPr>
          <w:p w:rsidR="00AF726E" w:rsidRPr="00AC6C6F" w:rsidRDefault="00AF726E" w:rsidP="00302235">
            <w:pPr>
              <w:pStyle w:val="TableText0"/>
              <w:jc w:val="center"/>
            </w:pPr>
            <w:r w:rsidRPr="00AC6C6F">
              <w:t xml:space="preserve">3.8 </w:t>
            </w:r>
          </w:p>
          <w:p w:rsidR="00AF726E" w:rsidRPr="00AC6C6F" w:rsidRDefault="00AF726E" w:rsidP="00302235">
            <w:pPr>
              <w:pStyle w:val="TableText0"/>
              <w:jc w:val="center"/>
            </w:pPr>
            <w:r w:rsidRPr="00AC6C6F">
              <w:t>(3.0, 4.7)</w:t>
            </w:r>
          </w:p>
        </w:tc>
        <w:tc>
          <w:tcPr>
            <w:tcW w:w="630" w:type="pct"/>
            <w:vAlign w:val="center"/>
          </w:tcPr>
          <w:p w:rsidR="00AF726E" w:rsidRPr="00AC6C6F" w:rsidRDefault="00AF726E" w:rsidP="00302235">
            <w:pPr>
              <w:pStyle w:val="TableText0"/>
              <w:jc w:val="center"/>
              <w:rPr>
                <w:iCs/>
              </w:rPr>
            </w:pPr>
            <w:r w:rsidRPr="00AC6C6F">
              <w:rPr>
                <w:iCs/>
              </w:rPr>
              <w:t>2.9</w:t>
            </w:r>
          </w:p>
        </w:tc>
        <w:tc>
          <w:tcPr>
            <w:tcW w:w="657" w:type="pct"/>
            <w:gridSpan w:val="2"/>
            <w:vAlign w:val="center"/>
          </w:tcPr>
          <w:p w:rsidR="00AF726E" w:rsidRPr="00AC6C6F" w:rsidRDefault="00AF726E" w:rsidP="00302235">
            <w:pPr>
              <w:pStyle w:val="TableText0"/>
              <w:jc w:val="center"/>
            </w:pPr>
            <w:r w:rsidRPr="00AC6C6F">
              <w:rPr>
                <w:b/>
                <w:bCs w:val="0"/>
              </w:rPr>
              <w:t>&lt;0.0007</w:t>
            </w:r>
          </w:p>
        </w:tc>
        <w:tc>
          <w:tcPr>
            <w:tcW w:w="568" w:type="pct"/>
            <w:vAlign w:val="center"/>
          </w:tcPr>
          <w:p w:rsidR="00AF726E" w:rsidRPr="00AC6C6F" w:rsidRDefault="00AF726E" w:rsidP="00302235">
            <w:pPr>
              <w:pStyle w:val="TableText0"/>
              <w:jc w:val="center"/>
              <w:rPr>
                <w:b/>
                <w:bCs w:val="0"/>
              </w:rPr>
            </w:pPr>
            <w:r w:rsidRPr="00AC6C6F">
              <w:rPr>
                <w:b/>
                <w:bCs w:val="0"/>
              </w:rPr>
              <w:t xml:space="preserve">0.64 </w:t>
            </w:r>
          </w:p>
          <w:p w:rsidR="00AF726E" w:rsidRPr="00AC6C6F" w:rsidRDefault="00AF726E" w:rsidP="00302235">
            <w:pPr>
              <w:pStyle w:val="TableText0"/>
              <w:jc w:val="center"/>
              <w:rPr>
                <w:b/>
                <w:bCs w:val="0"/>
              </w:rPr>
            </w:pPr>
            <w:r w:rsidRPr="00AC6C6F">
              <w:rPr>
                <w:b/>
                <w:bCs w:val="0"/>
              </w:rPr>
              <w:t>(0.49, 0.84)</w:t>
            </w:r>
          </w:p>
        </w:tc>
      </w:tr>
    </w:tbl>
    <w:p w:rsidR="00AF726E" w:rsidRPr="00AC6C6F" w:rsidRDefault="00AF726E" w:rsidP="00AF726E">
      <w:pPr>
        <w:rPr>
          <w:rFonts w:ascii="Arial Narrow" w:hAnsi="Arial Narrow"/>
          <w:sz w:val="18"/>
          <w:szCs w:val="18"/>
        </w:rPr>
      </w:pPr>
      <w:r w:rsidRPr="00AC6C6F">
        <w:rPr>
          <w:rFonts w:ascii="Arial Narrow" w:hAnsi="Arial Narrow"/>
          <w:sz w:val="18"/>
          <w:szCs w:val="18"/>
        </w:rPr>
        <w:t xml:space="preserve">Source: Table 2-28 (p109 of the </w:t>
      </w:r>
      <w:r w:rsidR="002C2AF4" w:rsidRPr="00AC6C6F">
        <w:rPr>
          <w:rFonts w:ascii="Arial Narrow" w:hAnsi="Arial Narrow"/>
          <w:sz w:val="18"/>
          <w:szCs w:val="18"/>
        </w:rPr>
        <w:t>s</w:t>
      </w:r>
      <w:r w:rsidRPr="00AC6C6F">
        <w:rPr>
          <w:rFonts w:ascii="Arial Narrow" w:hAnsi="Arial Narrow"/>
          <w:sz w:val="18"/>
          <w:szCs w:val="18"/>
        </w:rPr>
        <w:t>ubmission), Table 11.4.1-3 p130 MAVORIC CSR</w:t>
      </w:r>
      <w:r w:rsidR="00AC6C6F">
        <w:rPr>
          <w:rFonts w:ascii="Arial Narrow" w:hAnsi="Arial Narrow"/>
          <w:sz w:val="18"/>
          <w:szCs w:val="18"/>
        </w:rPr>
        <w:t xml:space="preserve">. </w:t>
      </w:r>
    </w:p>
    <w:p w:rsidR="00AF726E" w:rsidRPr="00AC6C6F" w:rsidRDefault="00AF726E" w:rsidP="00AF726E">
      <w:pPr>
        <w:rPr>
          <w:rFonts w:ascii="Arial Narrow" w:hAnsi="Arial Narrow"/>
          <w:sz w:val="18"/>
          <w:szCs w:val="18"/>
        </w:rPr>
      </w:pPr>
      <w:r w:rsidRPr="00AC6C6F">
        <w:rPr>
          <w:rFonts w:ascii="Arial Narrow" w:hAnsi="Arial Narrow"/>
          <w:sz w:val="18"/>
          <w:szCs w:val="18"/>
        </w:rPr>
        <w:t xml:space="preserve">Abbreviations: CI = confidence interval; HR = hazard ratio; ITT = intent to treat; </w:t>
      </w:r>
      <w:r w:rsidRPr="00AC6C6F">
        <w:rPr>
          <w:rFonts w:ascii="Arial Narrow" w:eastAsia="Calibri" w:hAnsi="Arial Narrow"/>
          <w:sz w:val="18"/>
          <w:szCs w:val="18"/>
        </w:rPr>
        <w:t>n = number of participants with event; N = total participants in group;</w:t>
      </w:r>
      <w:r w:rsidRPr="00AC6C6F">
        <w:rPr>
          <w:rFonts w:ascii="Arial Narrow" w:hAnsi="Arial Narrow"/>
          <w:sz w:val="18"/>
          <w:szCs w:val="18"/>
        </w:rPr>
        <w:t xml:space="preserve"> PFS = progression free survival. </w:t>
      </w:r>
    </w:p>
    <w:p w:rsidR="00AF726E" w:rsidRPr="00AC6C6F" w:rsidRDefault="00AF726E" w:rsidP="00AF726E">
      <w:pPr>
        <w:rPr>
          <w:rFonts w:ascii="Arial Narrow" w:eastAsia="Calibri" w:hAnsi="Arial Narrow"/>
          <w:sz w:val="18"/>
          <w:szCs w:val="18"/>
        </w:rPr>
      </w:pPr>
      <w:r w:rsidRPr="00AC6C6F">
        <w:rPr>
          <w:rFonts w:ascii="Arial Narrow" w:eastAsia="Calibri" w:hAnsi="Arial Narrow"/>
          <w:sz w:val="18"/>
          <w:szCs w:val="18"/>
        </w:rPr>
        <w:t>Bold indicates statistically significant difference.</w:t>
      </w:r>
    </w:p>
    <w:p w:rsidR="00A95F5A" w:rsidRPr="00AC6C6F" w:rsidRDefault="00A95F5A" w:rsidP="00AF726E">
      <w:pPr>
        <w:rPr>
          <w:rFonts w:ascii="Arial Narrow" w:hAnsi="Arial Narrow"/>
          <w:sz w:val="18"/>
          <w:szCs w:val="18"/>
        </w:rPr>
      </w:pPr>
      <w:r w:rsidRPr="00AC6C6F">
        <w:rPr>
          <w:rFonts w:ascii="Arial Narrow" w:eastAsia="Calibri" w:hAnsi="Arial Narrow"/>
          <w:sz w:val="18"/>
          <w:szCs w:val="18"/>
          <w:vertAlign w:val="superscript"/>
        </w:rPr>
        <w:t>a</w:t>
      </w:r>
      <w:r w:rsidRPr="00AC6C6F">
        <w:rPr>
          <w:rFonts w:ascii="Arial Narrow" w:eastAsia="Calibri" w:hAnsi="Arial Narrow"/>
          <w:sz w:val="18"/>
          <w:szCs w:val="18"/>
        </w:rPr>
        <w:t xml:space="preserve"> </w:t>
      </w:r>
      <w:r w:rsidRPr="00AC6C6F">
        <w:rPr>
          <w:rFonts w:ascii="Arial Narrow" w:hAnsi="Arial Narrow"/>
          <w:sz w:val="18"/>
          <w:szCs w:val="18"/>
        </w:rPr>
        <w:t>Calculated during the evaluation</w:t>
      </w:r>
    </w:p>
    <w:p w:rsidR="00AF726E" w:rsidRPr="00AC6C6F" w:rsidRDefault="00AF726E" w:rsidP="00AF726E"/>
    <w:p w:rsidR="00AF726E" w:rsidRPr="00AC6C6F" w:rsidRDefault="00AF726E" w:rsidP="00AF726E">
      <w:pPr>
        <w:pStyle w:val="TableFigureHeading"/>
        <w:widowControl w:val="0"/>
        <w:rPr>
          <w:rStyle w:val="CommentReference"/>
          <w:b/>
          <w:bCs w:val="0"/>
        </w:rPr>
      </w:pPr>
      <w:r w:rsidRPr="00AC6C6F">
        <w:rPr>
          <w:rStyle w:val="CommentReference"/>
          <w:b/>
          <w:bCs w:val="0"/>
        </w:rPr>
        <w:t>Figure 2: Kaplan-Meier Plot for Investigator assessed PFS (ITT)</w:t>
      </w:r>
    </w:p>
    <w:p w:rsidR="00AF726E" w:rsidRPr="00AC6C6F" w:rsidRDefault="00AF726E" w:rsidP="00AF726E">
      <w:pPr>
        <w:widowControl w:val="0"/>
        <w:rPr>
          <w:rFonts w:cs="Calibri"/>
        </w:rPr>
      </w:pPr>
      <w:r w:rsidRPr="00AC6C6F">
        <w:rPr>
          <w:noProof/>
        </w:rPr>
        <w:drawing>
          <wp:inline distT="0" distB="0" distL="0" distR="0" wp14:anchorId="26962590" wp14:editId="692BC4B3">
            <wp:extent cx="5732145" cy="2508180"/>
            <wp:effectExtent l="0" t="0" r="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2508180"/>
                    </a:xfrm>
                    <a:prstGeom prst="rect">
                      <a:avLst/>
                    </a:prstGeom>
                    <a:noFill/>
                  </pic:spPr>
                </pic:pic>
              </a:graphicData>
            </a:graphic>
          </wp:inline>
        </w:drawing>
      </w:r>
    </w:p>
    <w:p w:rsidR="00AF726E" w:rsidRPr="00AC6C6F" w:rsidRDefault="00AF726E" w:rsidP="00AF726E">
      <w:pPr>
        <w:pStyle w:val="TableFigureFooter"/>
        <w:widowControl w:val="0"/>
      </w:pPr>
      <w:r w:rsidRPr="00AC6C6F">
        <w:t xml:space="preserve">Source: Figure 2-12 (p110 of the </w:t>
      </w:r>
      <w:r w:rsidR="002C2AF4" w:rsidRPr="00AC6C6F">
        <w:t>s</w:t>
      </w:r>
      <w:r w:rsidRPr="00AC6C6F">
        <w:t xml:space="preserve">ubmission) </w:t>
      </w:r>
    </w:p>
    <w:p w:rsidR="00AF726E" w:rsidRPr="00AC6C6F" w:rsidRDefault="00AF726E" w:rsidP="00AF726E"/>
    <w:p w:rsidR="00E21511" w:rsidRPr="00AC6C6F" w:rsidRDefault="00214596" w:rsidP="00FD1AF5">
      <w:pPr>
        <w:pStyle w:val="3-BodyText"/>
        <w:rPr>
          <w:color w:val="0066FF"/>
        </w:rPr>
      </w:pPr>
      <w:r w:rsidRPr="00AC6C6F">
        <w:rPr>
          <w:snapToGrid/>
          <w:color w:val="000000" w:themeColor="text1"/>
        </w:rPr>
        <w:t>The ESC noted a</w:t>
      </w:r>
      <w:r w:rsidR="00AF726E" w:rsidRPr="00AC6C6F">
        <w:rPr>
          <w:snapToGrid/>
          <w:color w:val="000000" w:themeColor="text1"/>
        </w:rPr>
        <w:t xml:space="preserve"> high </w:t>
      </w:r>
      <w:r w:rsidR="00AF726E" w:rsidRPr="00AC6C6F">
        <w:rPr>
          <w:rFonts w:cs="Calibri"/>
        </w:rPr>
        <w:t xml:space="preserve">number of patients in both arms were censored from the primary analysis </w:t>
      </w:r>
      <w:r w:rsidR="002F1E2C" w:rsidRPr="00AC6C6F">
        <w:rPr>
          <w:rFonts w:cs="Calibri"/>
        </w:rPr>
        <w:t xml:space="preserve">for PFS </w:t>
      </w:r>
      <w:r w:rsidR="00AF726E" w:rsidRPr="00AC6C6F">
        <w:rPr>
          <w:rFonts w:cs="Calibri"/>
        </w:rPr>
        <w:t xml:space="preserve">(40.9% of mogamulizumab arm and 29.6% of vorinostat arm). The majority of censored observations were due to patients who discontinued randomised treatment without documented PD. </w:t>
      </w:r>
      <w:r w:rsidR="004D0001" w:rsidRPr="00AC6C6F">
        <w:rPr>
          <w:rFonts w:cs="Calibri"/>
        </w:rPr>
        <w:t>Of these patients, t</w:t>
      </w:r>
      <w:r w:rsidR="00DE4DBA" w:rsidRPr="00AC6C6F">
        <w:rPr>
          <w:rFonts w:cs="Calibri"/>
        </w:rPr>
        <w:t xml:space="preserve">he proportion of patients censored due to discontinuation for AE or intolerance was lower for the mogamulizumab </w:t>
      </w:r>
      <w:r w:rsidR="000945DD" w:rsidRPr="00AC6C6F">
        <w:rPr>
          <w:rFonts w:cs="Calibri"/>
        </w:rPr>
        <w:t xml:space="preserve">arm </w:t>
      </w:r>
      <w:r w:rsidR="00DE4DBA" w:rsidRPr="00AC6C6F">
        <w:rPr>
          <w:rFonts w:cs="Calibri"/>
        </w:rPr>
        <w:t xml:space="preserve">than for the vorinostat arm (19.7% vs 47.3%), while the proportion censored due to discontinuation for clinical PD was slightly higher in the mogamulizumab arm (25.0% vs 18.2%). </w:t>
      </w:r>
      <w:r w:rsidR="004D0001" w:rsidRPr="00AC6C6F">
        <w:rPr>
          <w:rFonts w:cs="Calibri"/>
        </w:rPr>
        <w:t xml:space="preserve">Clinical </w:t>
      </w:r>
      <w:r w:rsidR="00CC621A" w:rsidRPr="00AC6C6F">
        <w:rPr>
          <w:rFonts w:cs="Calibri"/>
        </w:rPr>
        <w:t>progression</w:t>
      </w:r>
      <w:r w:rsidR="004D0001" w:rsidRPr="00AC6C6F">
        <w:rPr>
          <w:rFonts w:cs="Calibri"/>
        </w:rPr>
        <w:t xml:space="preserve"> was defined as </w:t>
      </w:r>
      <w:r w:rsidR="00E92492" w:rsidRPr="00AC6C6F">
        <w:rPr>
          <w:rFonts w:cs="Calibri"/>
        </w:rPr>
        <w:t xml:space="preserve">subjects with PD </w:t>
      </w:r>
      <w:r w:rsidR="005B31FC" w:rsidRPr="00AC6C6F">
        <w:rPr>
          <w:rFonts w:cs="Calibri"/>
        </w:rPr>
        <w:t xml:space="preserve">who </w:t>
      </w:r>
      <w:r w:rsidR="00E92492" w:rsidRPr="00AC6C6F">
        <w:rPr>
          <w:rFonts w:cs="Calibri"/>
        </w:rPr>
        <w:t xml:space="preserve">did not meet criteria for PD based on CTCL response criteria. </w:t>
      </w:r>
      <w:r w:rsidR="00AF726E" w:rsidRPr="00AC6C6F">
        <w:rPr>
          <w:rFonts w:cs="Calibri"/>
          <w:iCs/>
        </w:rPr>
        <w:t xml:space="preserve">High rates of censoring </w:t>
      </w:r>
      <w:bookmarkStart w:id="12" w:name="_Hlk38274280"/>
      <w:r w:rsidR="006F6F77" w:rsidRPr="00AC6C6F">
        <w:rPr>
          <w:rFonts w:cs="Calibri"/>
        </w:rPr>
        <w:t>are</w:t>
      </w:r>
      <w:r w:rsidR="00E21511" w:rsidRPr="00AC6C6F">
        <w:rPr>
          <w:rFonts w:cs="Calibri"/>
          <w:iCs/>
        </w:rPr>
        <w:t xml:space="preserve"> likely to affect PFS estimates. However, the magnitude of this effect is </w:t>
      </w:r>
      <w:r w:rsidR="005B31FC" w:rsidRPr="00AC6C6F">
        <w:rPr>
          <w:rFonts w:cs="Calibri"/>
          <w:iCs/>
        </w:rPr>
        <w:t>unknown</w:t>
      </w:r>
      <w:r w:rsidR="00E21511" w:rsidRPr="00AC6C6F">
        <w:rPr>
          <w:rFonts w:cs="Calibri"/>
          <w:iCs/>
        </w:rPr>
        <w:t>.</w:t>
      </w:r>
      <w:bookmarkEnd w:id="12"/>
    </w:p>
    <w:p w:rsidR="00AF726E" w:rsidRPr="00AC6C6F" w:rsidRDefault="00214596" w:rsidP="00FD1AF5">
      <w:pPr>
        <w:pStyle w:val="3-BodyText"/>
        <w:rPr>
          <w:color w:val="0066FF"/>
        </w:rPr>
      </w:pPr>
      <w:r w:rsidRPr="00AC6C6F">
        <w:t>The ESC noted that</w:t>
      </w:r>
      <w:r w:rsidRPr="00AC6C6F">
        <w:rPr>
          <w:i/>
        </w:rPr>
        <w:t xml:space="preserve"> </w:t>
      </w:r>
      <w:r w:rsidRPr="00AC6C6F">
        <w:t>w</w:t>
      </w:r>
      <w:r w:rsidR="00AF726E" w:rsidRPr="00AC6C6F">
        <w:t>ithin the crossover population, the median PFS (calculated from the first dos</w:t>
      </w:r>
      <w:r w:rsidR="00D52295" w:rsidRPr="00AC6C6F">
        <w:t>e</w:t>
      </w:r>
      <w:r w:rsidR="00AF726E" w:rsidRPr="00AC6C6F">
        <w:t xml:space="preserve"> of mogamulizumab) was 8.9 months (95% CI: 5.4, 14.8). </w:t>
      </w:r>
      <w:r w:rsidR="00AF726E" w:rsidRPr="00AC6C6F">
        <w:rPr>
          <w:iCs/>
        </w:rPr>
        <w:t xml:space="preserve">This is </w:t>
      </w:r>
      <w:r w:rsidR="002F1E2C" w:rsidRPr="00AC6C6F">
        <w:rPr>
          <w:iCs/>
        </w:rPr>
        <w:t xml:space="preserve">longer </w:t>
      </w:r>
      <w:r w:rsidR="00AF726E" w:rsidRPr="00AC6C6F">
        <w:rPr>
          <w:iCs/>
        </w:rPr>
        <w:t xml:space="preserve">than </w:t>
      </w:r>
      <w:r w:rsidR="006F6F77" w:rsidRPr="00AC6C6F">
        <w:rPr>
          <w:iCs/>
        </w:rPr>
        <w:t xml:space="preserve">the observed PFS in </w:t>
      </w:r>
      <w:r w:rsidR="00AF726E" w:rsidRPr="00AC6C6F">
        <w:rPr>
          <w:iCs/>
        </w:rPr>
        <w:t>either the mogamulizumab or vorinostat arms (7.7 months; 95%CI 5.7, 10.3 vs 3.1 months; 95%CI 2.9, 4.1).</w:t>
      </w:r>
      <w:r w:rsidR="001458E6" w:rsidRPr="00AC6C6F">
        <w:rPr>
          <w:iCs/>
        </w:rPr>
        <w:t xml:space="preserve"> It is unclear whether this was due to the </w:t>
      </w:r>
      <w:r w:rsidR="00F72187" w:rsidRPr="00AC6C6F">
        <w:rPr>
          <w:iCs/>
        </w:rPr>
        <w:t xml:space="preserve">additive therapeutic effect of the vorinostat-mogamulizumab sequence or to </w:t>
      </w:r>
      <w:r w:rsidR="001458E6" w:rsidRPr="00AC6C6F">
        <w:rPr>
          <w:iCs/>
        </w:rPr>
        <w:t>underlying patient</w:t>
      </w:r>
      <w:r w:rsidR="00F72187" w:rsidRPr="00AC6C6F">
        <w:rPr>
          <w:iCs/>
        </w:rPr>
        <w:t xml:space="preserve">/disease characteristics </w:t>
      </w:r>
      <w:r w:rsidR="001458E6" w:rsidRPr="00AC6C6F">
        <w:rPr>
          <w:iCs/>
        </w:rPr>
        <w:t>(</w:t>
      </w:r>
      <w:r w:rsidR="00F72187" w:rsidRPr="00AC6C6F">
        <w:rPr>
          <w:iCs/>
        </w:rPr>
        <w:t>that may have influenced patient response</w:t>
      </w:r>
      <w:r w:rsidR="001458E6" w:rsidRPr="00AC6C6F">
        <w:rPr>
          <w:iCs/>
        </w:rPr>
        <w:t>)</w:t>
      </w:r>
      <w:r w:rsidR="00F72187" w:rsidRPr="00AC6C6F">
        <w:rPr>
          <w:iCs/>
        </w:rPr>
        <w:t xml:space="preserve">; the submission did not address potential differences observed in outcomes due to treatment sequencing. </w:t>
      </w:r>
    </w:p>
    <w:p w:rsidR="00AF726E" w:rsidRPr="00AC6C6F" w:rsidRDefault="00AF726E" w:rsidP="00AF726E">
      <w:pPr>
        <w:pStyle w:val="3-BodyText"/>
        <w:rPr>
          <w:color w:val="0066FF"/>
        </w:rPr>
      </w:pPr>
      <w:r w:rsidRPr="00AC6C6F">
        <w:rPr>
          <w:rFonts w:cs="Calibri"/>
        </w:rPr>
        <w:t xml:space="preserve">Results for investigator assessed and confirmed ORR based on IR including stratification by CTCL subtypes are presented in Table 5. </w:t>
      </w:r>
      <w:r w:rsidR="00072B6D" w:rsidRPr="00AC6C6F">
        <w:rPr>
          <w:rFonts w:cs="Calibri"/>
        </w:rPr>
        <w:t>The PBAC noted that b</w:t>
      </w:r>
      <w:r w:rsidRPr="00AC6C6F">
        <w:rPr>
          <w:rFonts w:cs="Calibri"/>
        </w:rPr>
        <w:t>oth investigator assessed and IR ORR were statistically significant in favour of mogamulizumab. Subgroup analysis by CTCL subtype showed a numerically greater risk difference for patient</w:t>
      </w:r>
      <w:r w:rsidR="001458E6" w:rsidRPr="00AC6C6F">
        <w:rPr>
          <w:rFonts w:cs="Calibri"/>
        </w:rPr>
        <w:t>s</w:t>
      </w:r>
      <w:r w:rsidRPr="00AC6C6F">
        <w:rPr>
          <w:rFonts w:cs="Calibri"/>
        </w:rPr>
        <w:t xml:space="preserve"> with SS than with MF, but both subtypes presented statistically significantly higher ORR for mogamulizumab. </w:t>
      </w:r>
      <w:r w:rsidR="00072B6D" w:rsidRPr="00AC6C6F">
        <w:rPr>
          <w:rFonts w:cs="Calibri"/>
        </w:rPr>
        <w:t xml:space="preserve">However, </w:t>
      </w:r>
      <w:r w:rsidR="00165767" w:rsidRPr="00AC6C6F">
        <w:rPr>
          <w:rFonts w:cs="Calibri"/>
        </w:rPr>
        <w:t xml:space="preserve">the </w:t>
      </w:r>
      <w:r w:rsidR="00072B6D" w:rsidRPr="00AC6C6F">
        <w:rPr>
          <w:rFonts w:cs="Calibri"/>
        </w:rPr>
        <w:t xml:space="preserve">PBAC </w:t>
      </w:r>
      <w:r w:rsidR="00165767" w:rsidRPr="00AC6C6F">
        <w:rPr>
          <w:rFonts w:cs="Calibri"/>
        </w:rPr>
        <w:t xml:space="preserve">again noted </w:t>
      </w:r>
      <w:r w:rsidR="00072B6D" w:rsidRPr="00AC6C6F">
        <w:rPr>
          <w:rFonts w:cs="Calibri"/>
        </w:rPr>
        <w:t xml:space="preserve"> that the vorinostat ORR in the MAVORIC trial was substantially lower th</w:t>
      </w:r>
      <w:r w:rsidR="0086706B" w:rsidRPr="00AC6C6F">
        <w:rPr>
          <w:rFonts w:cs="Calibri"/>
        </w:rPr>
        <w:t>an those reported</w:t>
      </w:r>
      <w:r w:rsidR="00072B6D" w:rsidRPr="00AC6C6F">
        <w:rPr>
          <w:rFonts w:cs="Calibri"/>
        </w:rPr>
        <w:t xml:space="preserve"> in the </w:t>
      </w:r>
      <w:r w:rsidR="0086706B" w:rsidRPr="00AC6C6F">
        <w:rPr>
          <w:rFonts w:cs="Calibri"/>
        </w:rPr>
        <w:t xml:space="preserve">P001 and P005 studies which </w:t>
      </w:r>
      <w:r w:rsidR="00072B6D" w:rsidRPr="00AC6C6F">
        <w:rPr>
          <w:rFonts w:cs="Calibri"/>
        </w:rPr>
        <w:t>formed the basis of the March 2017 recommendation for vorinostat listing on the PBS (paragraph 6.12, brentuximab PSD</w:t>
      </w:r>
      <w:r w:rsidR="00A11FE8" w:rsidRPr="00AC6C6F">
        <w:rPr>
          <w:rFonts w:cs="Calibri"/>
        </w:rPr>
        <w:t>, July 2018 PBAC Meeting).</w:t>
      </w:r>
      <w:r w:rsidR="00072B6D" w:rsidRPr="00AC6C6F">
        <w:rPr>
          <w:rFonts w:cs="Calibri"/>
        </w:rPr>
        <w:t xml:space="preserve"> </w:t>
      </w:r>
      <w:r w:rsidR="00A11FE8" w:rsidRPr="00AC6C6F">
        <w:rPr>
          <w:rFonts w:cs="Calibri"/>
          <w:snapToGrid/>
        </w:rPr>
        <w:t xml:space="preserve">The PBAC </w:t>
      </w:r>
      <w:r w:rsidR="00911670" w:rsidRPr="00AC6C6F">
        <w:rPr>
          <w:rFonts w:cs="Calibri"/>
          <w:snapToGrid/>
        </w:rPr>
        <w:t>recalled that it had considered</w:t>
      </w:r>
      <w:r w:rsidR="00A11FE8" w:rsidRPr="00AC6C6F">
        <w:rPr>
          <w:rFonts w:cs="Calibri"/>
          <w:snapToGrid/>
        </w:rPr>
        <w:t xml:space="preserve"> the </w:t>
      </w:r>
      <w:r w:rsidR="00911670" w:rsidRPr="00AC6C6F">
        <w:rPr>
          <w:rFonts w:cs="Calibri"/>
          <w:snapToGrid/>
        </w:rPr>
        <w:t xml:space="preserve">differences in ORR were </w:t>
      </w:r>
      <w:r w:rsidR="00A11FE8" w:rsidRPr="00AC6C6F">
        <w:rPr>
          <w:rFonts w:cs="Calibri"/>
          <w:snapToGrid/>
        </w:rPr>
        <w:t>not fully explained by the use of the “more stringent” 2011 ISCL/EORTC guideline definitions of response</w:t>
      </w:r>
      <w:r w:rsidR="0086706B" w:rsidRPr="00AC6C6F">
        <w:rPr>
          <w:rFonts w:cs="Calibri"/>
          <w:snapToGrid/>
        </w:rPr>
        <w:t xml:space="preserve"> </w:t>
      </w:r>
      <w:r w:rsidR="00911670" w:rsidRPr="00AC6C6F">
        <w:rPr>
          <w:rFonts w:cs="Calibri"/>
          <w:snapToGrid/>
        </w:rPr>
        <w:t xml:space="preserve">in the MAVORIC trial </w:t>
      </w:r>
      <w:r w:rsidR="0086706B" w:rsidRPr="00AC6C6F">
        <w:rPr>
          <w:rFonts w:cs="Calibri"/>
          <w:snapToGrid/>
        </w:rPr>
        <w:t xml:space="preserve">and </w:t>
      </w:r>
      <w:r w:rsidR="00911670" w:rsidRPr="00AC6C6F">
        <w:rPr>
          <w:rFonts w:cs="Calibri"/>
          <w:snapToGrid/>
        </w:rPr>
        <w:t xml:space="preserve">the Committee </w:t>
      </w:r>
      <w:r w:rsidR="0086706B" w:rsidRPr="00AC6C6F">
        <w:rPr>
          <w:rFonts w:cs="Calibri"/>
          <w:snapToGrid/>
        </w:rPr>
        <w:t xml:space="preserve">considered that the </w:t>
      </w:r>
      <w:r w:rsidR="00165767" w:rsidRPr="00AC6C6F">
        <w:rPr>
          <w:rFonts w:cs="Calibri"/>
          <w:snapToGrid/>
        </w:rPr>
        <w:t xml:space="preserve">relatively short </w:t>
      </w:r>
      <w:r w:rsidR="0086706B" w:rsidRPr="00AC6C6F">
        <w:rPr>
          <w:rFonts w:cs="Calibri"/>
          <w:snapToGrid/>
        </w:rPr>
        <w:t>duration of vorinostat treatment (see paragraph 6.13) may also be a contributing factor</w:t>
      </w:r>
      <w:r w:rsidR="00A11FE8" w:rsidRPr="00AC6C6F">
        <w:rPr>
          <w:rFonts w:cs="Calibri"/>
          <w:snapToGrid/>
        </w:rPr>
        <w:t xml:space="preserve">. </w:t>
      </w:r>
    </w:p>
    <w:p w:rsidR="00AF726E" w:rsidRPr="00AC6C6F" w:rsidRDefault="00AF726E" w:rsidP="00AF726E">
      <w:pPr>
        <w:keepNext/>
        <w:rPr>
          <w:rStyle w:val="CommentReference"/>
          <w:bCs/>
        </w:rPr>
      </w:pPr>
      <w:r w:rsidRPr="00AC6C6F">
        <w:rPr>
          <w:rStyle w:val="CommentReference"/>
          <w:bCs/>
        </w:rPr>
        <w:t>Table 5: Results of overall response rate in MAVORIC (ITT; MF and SS subgroups)</w:t>
      </w:r>
    </w:p>
    <w:tbl>
      <w:tblPr>
        <w:tblStyle w:val="Summarybox1"/>
        <w:tblW w:w="5000" w:type="pct"/>
        <w:tblLook w:val="04A0" w:firstRow="1" w:lastRow="0" w:firstColumn="1" w:lastColumn="0" w:noHBand="0" w:noVBand="1"/>
        <w:tblCaption w:val="Table 5: Results of overall response rate in MAVORIC (ITT; MF and SS subgroups)"/>
      </w:tblPr>
      <w:tblGrid>
        <w:gridCol w:w="2321"/>
        <w:gridCol w:w="2135"/>
        <w:gridCol w:w="2142"/>
        <w:gridCol w:w="1416"/>
        <w:gridCol w:w="1003"/>
      </w:tblGrid>
      <w:tr w:rsidR="00183B53" w:rsidRPr="00AC6C6F" w:rsidTr="00183B53">
        <w:trPr>
          <w:trHeight w:val="80"/>
          <w:tblHeader/>
        </w:trPr>
        <w:tc>
          <w:tcPr>
            <w:tcW w:w="1287" w:type="pct"/>
            <w:vMerge w:val="restart"/>
            <w:shd w:val="clear" w:color="auto" w:fill="auto"/>
            <w:vAlign w:val="center"/>
          </w:tcPr>
          <w:p w:rsidR="00183B53" w:rsidRPr="00AC6C6F" w:rsidRDefault="00183B53" w:rsidP="00AB3ED8">
            <w:pPr>
              <w:pStyle w:val="Table"/>
              <w:jc w:val="center"/>
              <w:rPr>
                <w:rFonts w:ascii="Arial Narrow" w:hAnsi="Arial Narrow" w:cs="Arial"/>
                <w:b/>
                <w:bCs/>
                <w:szCs w:val="20"/>
              </w:rPr>
            </w:pPr>
            <w:r w:rsidRPr="00AC6C6F">
              <w:rPr>
                <w:rFonts w:ascii="Arial Narrow" w:hAnsi="Arial Narrow" w:cs="Arial"/>
                <w:b/>
                <w:bCs/>
                <w:szCs w:val="20"/>
              </w:rPr>
              <w:t>Analysis group</w:t>
            </w:r>
          </w:p>
        </w:tc>
        <w:tc>
          <w:tcPr>
            <w:tcW w:w="2372" w:type="pct"/>
            <w:gridSpan w:val="2"/>
            <w:shd w:val="clear" w:color="auto" w:fill="auto"/>
            <w:vAlign w:val="center"/>
          </w:tcPr>
          <w:p w:rsidR="00183B53" w:rsidRPr="00AC6C6F" w:rsidRDefault="00183B53" w:rsidP="00AB3ED8">
            <w:pPr>
              <w:pStyle w:val="TableCentre"/>
              <w:rPr>
                <w:rFonts w:ascii="Arial Narrow" w:hAnsi="Arial Narrow" w:cs="Arial"/>
                <w:b/>
                <w:bCs/>
                <w:szCs w:val="20"/>
              </w:rPr>
            </w:pPr>
            <w:r w:rsidRPr="00AC6C6F">
              <w:rPr>
                <w:rFonts w:ascii="Arial Narrow" w:hAnsi="Arial Narrow" w:cs="Arial"/>
                <w:b/>
                <w:bCs/>
                <w:szCs w:val="20"/>
              </w:rPr>
              <w:t>n/N (%)</w:t>
            </w:r>
          </w:p>
        </w:tc>
        <w:tc>
          <w:tcPr>
            <w:tcW w:w="785" w:type="pct"/>
            <w:vMerge w:val="restart"/>
            <w:shd w:val="clear" w:color="auto" w:fill="auto"/>
            <w:vAlign w:val="center"/>
          </w:tcPr>
          <w:p w:rsidR="00183B53" w:rsidRPr="00AC6C6F" w:rsidRDefault="00183B53" w:rsidP="00AB3ED8">
            <w:pPr>
              <w:pStyle w:val="TableCentre"/>
              <w:rPr>
                <w:rFonts w:ascii="Arial Narrow" w:hAnsi="Arial Narrow" w:cs="Arial"/>
                <w:b/>
                <w:bCs/>
                <w:szCs w:val="20"/>
              </w:rPr>
            </w:pPr>
            <w:r w:rsidRPr="00AC6C6F">
              <w:rPr>
                <w:rFonts w:ascii="Arial Narrow" w:hAnsi="Arial Narrow" w:cs="Arial"/>
                <w:b/>
                <w:bCs/>
                <w:szCs w:val="20"/>
              </w:rPr>
              <w:t>Risk difference</w:t>
            </w:r>
          </w:p>
          <w:p w:rsidR="00183B53" w:rsidRPr="00AC6C6F" w:rsidRDefault="00183B53" w:rsidP="00AB3ED8">
            <w:pPr>
              <w:pStyle w:val="TableCentre"/>
              <w:rPr>
                <w:rFonts w:ascii="Arial Narrow" w:hAnsi="Arial Narrow" w:cs="Arial"/>
                <w:b/>
                <w:bCs/>
                <w:szCs w:val="20"/>
              </w:rPr>
            </w:pPr>
            <w:r w:rsidRPr="00AC6C6F">
              <w:rPr>
                <w:rFonts w:ascii="Arial Narrow" w:hAnsi="Arial Narrow" w:cs="Arial"/>
                <w:b/>
                <w:bCs/>
                <w:szCs w:val="20"/>
              </w:rPr>
              <w:t>(95% CI)</w:t>
            </w:r>
          </w:p>
        </w:tc>
        <w:tc>
          <w:tcPr>
            <w:tcW w:w="556" w:type="pct"/>
            <w:vMerge w:val="restart"/>
            <w:shd w:val="clear" w:color="auto" w:fill="auto"/>
            <w:vAlign w:val="center"/>
          </w:tcPr>
          <w:p w:rsidR="00183B53" w:rsidRPr="00AC6C6F" w:rsidRDefault="00183B53" w:rsidP="00AB3ED8">
            <w:pPr>
              <w:pStyle w:val="TableCentre"/>
              <w:rPr>
                <w:rFonts w:ascii="Arial Narrow" w:hAnsi="Arial Narrow" w:cs="Arial"/>
                <w:b/>
                <w:bCs/>
                <w:szCs w:val="20"/>
              </w:rPr>
            </w:pPr>
            <w:r w:rsidRPr="00AC6C6F">
              <w:rPr>
                <w:rFonts w:ascii="Arial Narrow" w:hAnsi="Arial Narrow" w:cs="Arial"/>
                <w:b/>
                <w:bCs/>
                <w:szCs w:val="20"/>
              </w:rPr>
              <w:t>p-value</w:t>
            </w:r>
          </w:p>
        </w:tc>
      </w:tr>
      <w:tr w:rsidR="00183B53" w:rsidRPr="00AC6C6F" w:rsidTr="00183B53">
        <w:trPr>
          <w:tblHeader/>
        </w:trPr>
        <w:tc>
          <w:tcPr>
            <w:tcW w:w="1287" w:type="pct"/>
            <w:vMerge/>
            <w:shd w:val="clear" w:color="auto" w:fill="auto"/>
          </w:tcPr>
          <w:p w:rsidR="00183B53" w:rsidRPr="00AC6C6F" w:rsidRDefault="00183B53" w:rsidP="00AB3ED8">
            <w:pPr>
              <w:pStyle w:val="Table"/>
              <w:rPr>
                <w:rFonts w:ascii="Arial Narrow" w:hAnsi="Arial Narrow" w:cs="Arial"/>
                <w:szCs w:val="20"/>
              </w:rPr>
            </w:pPr>
          </w:p>
        </w:tc>
        <w:tc>
          <w:tcPr>
            <w:tcW w:w="1184" w:type="pct"/>
            <w:shd w:val="clear" w:color="auto" w:fill="auto"/>
          </w:tcPr>
          <w:p w:rsidR="00183B53" w:rsidRPr="00AC6C6F" w:rsidRDefault="00183B53" w:rsidP="00AB3ED8">
            <w:pPr>
              <w:pStyle w:val="TableCentre"/>
              <w:rPr>
                <w:rFonts w:ascii="Arial Narrow" w:hAnsi="Arial Narrow" w:cs="Arial"/>
                <w:b/>
                <w:bCs/>
                <w:szCs w:val="20"/>
              </w:rPr>
            </w:pPr>
            <w:r w:rsidRPr="00AC6C6F">
              <w:rPr>
                <w:rFonts w:ascii="Arial Narrow" w:hAnsi="Arial Narrow"/>
                <w:b/>
                <w:bCs/>
                <w:szCs w:val="20"/>
              </w:rPr>
              <w:t>Mogamulizumab</w:t>
            </w:r>
          </w:p>
        </w:tc>
        <w:tc>
          <w:tcPr>
            <w:tcW w:w="1188" w:type="pct"/>
            <w:shd w:val="clear" w:color="auto" w:fill="auto"/>
          </w:tcPr>
          <w:p w:rsidR="00183B53" w:rsidRPr="00AC6C6F" w:rsidRDefault="00183B53" w:rsidP="00AB3ED8">
            <w:pPr>
              <w:pStyle w:val="TableCentre"/>
              <w:rPr>
                <w:rFonts w:ascii="Arial Narrow" w:hAnsi="Arial Narrow"/>
                <w:b/>
                <w:bCs/>
                <w:szCs w:val="20"/>
              </w:rPr>
            </w:pPr>
            <w:r w:rsidRPr="00AC6C6F">
              <w:rPr>
                <w:rFonts w:ascii="Arial Narrow" w:hAnsi="Arial Narrow"/>
                <w:b/>
                <w:bCs/>
                <w:szCs w:val="20"/>
              </w:rPr>
              <w:t xml:space="preserve">Vorinostat </w:t>
            </w:r>
          </w:p>
        </w:tc>
        <w:tc>
          <w:tcPr>
            <w:tcW w:w="785" w:type="pct"/>
            <w:vMerge/>
          </w:tcPr>
          <w:p w:rsidR="00183B53" w:rsidRPr="00AC6C6F" w:rsidRDefault="00183B53" w:rsidP="00AB3ED8">
            <w:pPr>
              <w:pStyle w:val="TableCentre"/>
              <w:rPr>
                <w:rFonts w:ascii="Arial Narrow" w:hAnsi="Arial Narrow" w:cs="Arial"/>
                <w:szCs w:val="20"/>
              </w:rPr>
            </w:pPr>
          </w:p>
        </w:tc>
        <w:tc>
          <w:tcPr>
            <w:tcW w:w="556" w:type="pct"/>
            <w:vMerge/>
          </w:tcPr>
          <w:p w:rsidR="00183B53" w:rsidRPr="00AC6C6F" w:rsidRDefault="00183B53" w:rsidP="00AB3ED8">
            <w:pPr>
              <w:pStyle w:val="TableCentre"/>
              <w:rPr>
                <w:rFonts w:ascii="Arial Narrow" w:hAnsi="Arial Narrow" w:cs="Arial"/>
                <w:szCs w:val="20"/>
              </w:rPr>
            </w:pPr>
          </w:p>
        </w:tc>
      </w:tr>
      <w:tr w:rsidR="00183B53" w:rsidRPr="00AC6C6F" w:rsidTr="00AB3ED8">
        <w:tc>
          <w:tcPr>
            <w:tcW w:w="5000" w:type="pct"/>
            <w:gridSpan w:val="5"/>
          </w:tcPr>
          <w:p w:rsidR="00183B53" w:rsidRPr="00AC6C6F" w:rsidRDefault="00183B53" w:rsidP="00AB3ED8">
            <w:pPr>
              <w:pStyle w:val="TableCentre"/>
              <w:jc w:val="left"/>
              <w:rPr>
                <w:rFonts w:ascii="Arial Narrow" w:hAnsi="Arial Narrow" w:cs="Arial"/>
                <w:b/>
                <w:bCs/>
                <w:szCs w:val="20"/>
              </w:rPr>
            </w:pPr>
            <w:r w:rsidRPr="00AC6C6F">
              <w:rPr>
                <w:rFonts w:ascii="Arial Narrow" w:hAnsi="Arial Narrow"/>
                <w:b/>
                <w:bCs/>
                <w:szCs w:val="20"/>
              </w:rPr>
              <w:t>All Subjects (ITT)</w:t>
            </w:r>
          </w:p>
        </w:tc>
      </w:tr>
      <w:tr w:rsidR="00183B53" w:rsidRPr="00AC6C6F" w:rsidTr="00183B53">
        <w:tc>
          <w:tcPr>
            <w:tcW w:w="1287" w:type="pct"/>
          </w:tcPr>
          <w:p w:rsidR="00183B53" w:rsidRPr="00AC6C6F" w:rsidRDefault="00183B53" w:rsidP="00AB3ED8">
            <w:pPr>
              <w:pStyle w:val="Table"/>
              <w:rPr>
                <w:rFonts w:ascii="Arial Narrow" w:hAnsi="Arial Narrow" w:cs="Arial"/>
                <w:szCs w:val="20"/>
                <w:vertAlign w:val="superscript"/>
              </w:rPr>
            </w:pPr>
            <w:r w:rsidRPr="00AC6C6F">
              <w:rPr>
                <w:rFonts w:ascii="Arial Narrow" w:hAnsi="Arial Narrow" w:cs="Arial"/>
                <w:szCs w:val="20"/>
              </w:rPr>
              <w:t xml:space="preserve">Investigator assessed ORR </w:t>
            </w:r>
            <w:r w:rsidRPr="00AC6C6F">
              <w:rPr>
                <w:rFonts w:ascii="Arial Narrow" w:hAnsi="Arial Narrow" w:cs="Arial"/>
                <w:szCs w:val="20"/>
                <w:vertAlign w:val="superscript"/>
              </w:rPr>
              <w:t>a</w:t>
            </w:r>
          </w:p>
          <w:p w:rsidR="00183B53" w:rsidRPr="00AC6C6F" w:rsidRDefault="00183B53" w:rsidP="00AB3ED8">
            <w:pPr>
              <w:pStyle w:val="Table"/>
              <w:rPr>
                <w:rFonts w:ascii="Arial Narrow" w:hAnsi="Arial Narrow" w:cs="Arial"/>
                <w:szCs w:val="20"/>
              </w:rPr>
            </w:pPr>
            <w:r w:rsidRPr="00AC6C6F">
              <w:rPr>
                <w:rFonts w:ascii="Arial Narrow" w:hAnsi="Arial Narrow" w:cs="Arial"/>
                <w:szCs w:val="20"/>
              </w:rPr>
              <w:t>(95% CI)</w:t>
            </w:r>
          </w:p>
        </w:tc>
        <w:tc>
          <w:tcPr>
            <w:tcW w:w="1184" w:type="pct"/>
          </w:tcPr>
          <w:p w:rsidR="00183B53" w:rsidRPr="00AC6C6F" w:rsidRDefault="00183B53" w:rsidP="00AB3ED8">
            <w:pPr>
              <w:pStyle w:val="TableCentre"/>
              <w:rPr>
                <w:rFonts w:ascii="Arial Narrow" w:hAnsi="Arial Narrow" w:cs="Arial"/>
                <w:szCs w:val="20"/>
              </w:rPr>
            </w:pPr>
            <w:r w:rsidRPr="00AC6C6F">
              <w:rPr>
                <w:rFonts w:ascii="Arial Narrow" w:hAnsi="Arial Narrow" w:cs="Arial"/>
                <w:szCs w:val="20"/>
              </w:rPr>
              <w:t>52/186 (28.0)</w:t>
            </w:r>
          </w:p>
          <w:p w:rsidR="00183B53" w:rsidRPr="00AC6C6F" w:rsidRDefault="00183B53" w:rsidP="00AB3ED8">
            <w:pPr>
              <w:pStyle w:val="TableCentre"/>
              <w:rPr>
                <w:rFonts w:ascii="Arial Narrow" w:hAnsi="Arial Narrow" w:cs="Arial"/>
                <w:szCs w:val="20"/>
              </w:rPr>
            </w:pPr>
            <w:r w:rsidRPr="00AC6C6F">
              <w:rPr>
                <w:rFonts w:ascii="Arial Narrow" w:hAnsi="Arial Narrow"/>
                <w:szCs w:val="20"/>
              </w:rPr>
              <w:t>(21.6, 35.0)</w:t>
            </w:r>
          </w:p>
        </w:tc>
        <w:tc>
          <w:tcPr>
            <w:tcW w:w="1188" w:type="pct"/>
          </w:tcPr>
          <w:p w:rsidR="00183B53" w:rsidRPr="00AC6C6F" w:rsidRDefault="00183B53" w:rsidP="00AB3ED8">
            <w:pPr>
              <w:pStyle w:val="TableCentre"/>
              <w:rPr>
                <w:rFonts w:ascii="Arial Narrow" w:hAnsi="Arial Narrow"/>
                <w:szCs w:val="20"/>
              </w:rPr>
            </w:pPr>
            <w:r w:rsidRPr="00AC6C6F">
              <w:rPr>
                <w:rFonts w:ascii="Arial Narrow" w:hAnsi="Arial Narrow"/>
                <w:szCs w:val="20"/>
              </w:rPr>
              <w:t>9/186 (4.8)</w:t>
            </w:r>
          </w:p>
          <w:p w:rsidR="00183B53" w:rsidRPr="00AC6C6F" w:rsidRDefault="00183B53" w:rsidP="00AB3ED8">
            <w:pPr>
              <w:pStyle w:val="TableCentre"/>
              <w:rPr>
                <w:rFonts w:ascii="Arial Narrow" w:hAnsi="Arial Narrow" w:cs="Arial"/>
                <w:szCs w:val="20"/>
              </w:rPr>
            </w:pPr>
            <w:r w:rsidRPr="00AC6C6F">
              <w:rPr>
                <w:rFonts w:ascii="Arial Narrow" w:hAnsi="Arial Narrow"/>
                <w:szCs w:val="20"/>
              </w:rPr>
              <w:t>(2.2, 9.0)</w:t>
            </w:r>
          </w:p>
        </w:tc>
        <w:tc>
          <w:tcPr>
            <w:tcW w:w="785" w:type="pct"/>
          </w:tcPr>
          <w:p w:rsidR="00183B53" w:rsidRPr="00AC6C6F" w:rsidRDefault="00183B53" w:rsidP="00AB3ED8">
            <w:pPr>
              <w:pStyle w:val="TableCentre"/>
              <w:rPr>
                <w:rFonts w:ascii="Arial Narrow" w:hAnsi="Arial Narrow"/>
                <w:b/>
                <w:bCs/>
                <w:szCs w:val="20"/>
              </w:rPr>
            </w:pPr>
            <w:r w:rsidRPr="00AC6C6F">
              <w:rPr>
                <w:rFonts w:ascii="Arial Narrow" w:hAnsi="Arial Narrow"/>
                <w:b/>
                <w:bCs/>
                <w:szCs w:val="20"/>
              </w:rPr>
              <w:t xml:space="preserve">23.1 </w:t>
            </w:r>
          </w:p>
          <w:p w:rsidR="00183B53" w:rsidRPr="00AC6C6F" w:rsidRDefault="00183B53" w:rsidP="00AB3ED8">
            <w:pPr>
              <w:pStyle w:val="TableCentre"/>
              <w:rPr>
                <w:rFonts w:ascii="Arial Narrow" w:hAnsi="Arial Narrow"/>
                <w:b/>
                <w:bCs/>
                <w:szCs w:val="20"/>
              </w:rPr>
            </w:pPr>
            <w:r w:rsidRPr="00AC6C6F">
              <w:rPr>
                <w:rFonts w:ascii="Arial Narrow" w:hAnsi="Arial Narrow"/>
                <w:b/>
                <w:bCs/>
                <w:szCs w:val="20"/>
              </w:rPr>
              <w:t>(12.8, 33.1)</w:t>
            </w:r>
          </w:p>
        </w:tc>
        <w:tc>
          <w:tcPr>
            <w:tcW w:w="556" w:type="pct"/>
          </w:tcPr>
          <w:p w:rsidR="00183B53" w:rsidRPr="00AC6C6F" w:rsidRDefault="00183B53" w:rsidP="00AB3ED8">
            <w:pPr>
              <w:pStyle w:val="TableCentre"/>
              <w:rPr>
                <w:rFonts w:ascii="Arial Narrow" w:hAnsi="Arial Narrow" w:cs="Arial"/>
                <w:b/>
                <w:bCs/>
                <w:szCs w:val="20"/>
              </w:rPr>
            </w:pPr>
            <w:r w:rsidRPr="00AC6C6F">
              <w:rPr>
                <w:rFonts w:ascii="Arial Narrow" w:hAnsi="Arial Narrow"/>
                <w:b/>
                <w:bCs/>
                <w:szCs w:val="20"/>
              </w:rPr>
              <w:t>&lt;0.0001</w:t>
            </w:r>
          </w:p>
        </w:tc>
      </w:tr>
      <w:tr w:rsidR="00183B53" w:rsidRPr="00AC6C6F" w:rsidTr="00183B53">
        <w:tc>
          <w:tcPr>
            <w:tcW w:w="1287" w:type="pct"/>
          </w:tcPr>
          <w:p w:rsidR="00183B53" w:rsidRPr="00AC6C6F" w:rsidRDefault="00183B53" w:rsidP="00AB3ED8">
            <w:pPr>
              <w:pStyle w:val="Table"/>
              <w:ind w:left="25" w:firstLine="12"/>
              <w:rPr>
                <w:rFonts w:ascii="Arial Narrow" w:hAnsi="Arial Narrow" w:cs="Arial"/>
                <w:szCs w:val="20"/>
                <w:vertAlign w:val="superscript"/>
              </w:rPr>
            </w:pPr>
            <w:r w:rsidRPr="00AC6C6F">
              <w:rPr>
                <w:rFonts w:ascii="Arial Narrow" w:hAnsi="Arial Narrow"/>
                <w:szCs w:val="20"/>
              </w:rPr>
              <w:t xml:space="preserve">Independent review ORR </w:t>
            </w:r>
            <w:r w:rsidRPr="00AC6C6F">
              <w:rPr>
                <w:rFonts w:ascii="Arial Narrow" w:hAnsi="Arial Narrow" w:cs="Arial"/>
                <w:szCs w:val="20"/>
                <w:vertAlign w:val="superscript"/>
              </w:rPr>
              <w:t>a</w:t>
            </w:r>
          </w:p>
          <w:p w:rsidR="00183B53" w:rsidRPr="00AC6C6F" w:rsidRDefault="00183B53" w:rsidP="00AB3ED8">
            <w:pPr>
              <w:pStyle w:val="Table"/>
              <w:ind w:left="25" w:firstLine="12"/>
              <w:rPr>
                <w:rFonts w:ascii="Arial Narrow" w:hAnsi="Arial Narrow"/>
                <w:szCs w:val="20"/>
              </w:rPr>
            </w:pPr>
            <w:r w:rsidRPr="00AC6C6F">
              <w:rPr>
                <w:rFonts w:ascii="Arial Narrow" w:hAnsi="Arial Narrow" w:cs="Arial"/>
                <w:szCs w:val="20"/>
              </w:rPr>
              <w:t>(95% CI)</w:t>
            </w:r>
          </w:p>
        </w:tc>
        <w:tc>
          <w:tcPr>
            <w:tcW w:w="1184" w:type="pct"/>
          </w:tcPr>
          <w:p w:rsidR="00183B53" w:rsidRPr="00AC6C6F" w:rsidRDefault="00183B53" w:rsidP="00AB3ED8">
            <w:pPr>
              <w:pStyle w:val="TableCentre"/>
              <w:rPr>
                <w:rFonts w:ascii="Arial Narrow" w:hAnsi="Arial Narrow"/>
                <w:szCs w:val="20"/>
              </w:rPr>
            </w:pPr>
            <w:r w:rsidRPr="00AC6C6F">
              <w:rPr>
                <w:rFonts w:ascii="Arial Narrow" w:hAnsi="Arial Narrow"/>
                <w:szCs w:val="20"/>
              </w:rPr>
              <w:t>43/186 (23.1)</w:t>
            </w:r>
          </w:p>
          <w:p w:rsidR="00183B53" w:rsidRPr="00AC6C6F" w:rsidRDefault="00183B53" w:rsidP="00AB3ED8">
            <w:pPr>
              <w:pStyle w:val="TableCentre"/>
              <w:rPr>
                <w:rFonts w:ascii="Arial Narrow" w:hAnsi="Arial Narrow" w:cs="Arial"/>
                <w:szCs w:val="20"/>
              </w:rPr>
            </w:pPr>
            <w:r w:rsidRPr="00AC6C6F">
              <w:rPr>
                <w:rFonts w:ascii="Arial Narrow" w:hAnsi="Arial Narrow"/>
                <w:szCs w:val="20"/>
              </w:rPr>
              <w:t>(17.3, 29.8)</w:t>
            </w:r>
          </w:p>
        </w:tc>
        <w:tc>
          <w:tcPr>
            <w:tcW w:w="1188" w:type="pct"/>
          </w:tcPr>
          <w:p w:rsidR="00183B53" w:rsidRPr="00AC6C6F" w:rsidRDefault="00183B53" w:rsidP="00AB3ED8">
            <w:pPr>
              <w:pStyle w:val="TableCentre"/>
              <w:rPr>
                <w:rFonts w:ascii="Arial Narrow" w:hAnsi="Arial Narrow"/>
                <w:szCs w:val="20"/>
              </w:rPr>
            </w:pPr>
            <w:r w:rsidRPr="00AC6C6F">
              <w:rPr>
                <w:rFonts w:ascii="Arial Narrow" w:hAnsi="Arial Narrow"/>
                <w:szCs w:val="20"/>
              </w:rPr>
              <w:t>7/186 (3.8)</w:t>
            </w:r>
          </w:p>
          <w:p w:rsidR="00183B53" w:rsidRPr="00AC6C6F" w:rsidRDefault="00183B53" w:rsidP="00AB3ED8">
            <w:pPr>
              <w:pStyle w:val="TableCentre"/>
              <w:rPr>
                <w:rFonts w:ascii="Arial Narrow" w:hAnsi="Arial Narrow" w:cs="Arial"/>
                <w:szCs w:val="20"/>
              </w:rPr>
            </w:pPr>
            <w:r w:rsidRPr="00AC6C6F">
              <w:rPr>
                <w:rFonts w:ascii="Arial Narrow" w:hAnsi="Arial Narrow"/>
                <w:szCs w:val="20"/>
              </w:rPr>
              <w:t>(1.5, 7.6)</w:t>
            </w:r>
          </w:p>
        </w:tc>
        <w:tc>
          <w:tcPr>
            <w:tcW w:w="785" w:type="pct"/>
          </w:tcPr>
          <w:p w:rsidR="00183B53" w:rsidRPr="00AC6C6F" w:rsidRDefault="00183B53" w:rsidP="00AB3ED8">
            <w:pPr>
              <w:pStyle w:val="TableCentre"/>
              <w:rPr>
                <w:rFonts w:ascii="Arial Narrow" w:hAnsi="Arial Narrow"/>
                <w:b/>
                <w:bCs/>
                <w:szCs w:val="20"/>
              </w:rPr>
            </w:pPr>
            <w:r w:rsidRPr="00AC6C6F">
              <w:rPr>
                <w:rFonts w:ascii="Arial Narrow" w:hAnsi="Arial Narrow"/>
                <w:b/>
                <w:bCs/>
                <w:szCs w:val="20"/>
              </w:rPr>
              <w:t>19.4</w:t>
            </w:r>
          </w:p>
          <w:p w:rsidR="00183B53" w:rsidRPr="00AC6C6F" w:rsidRDefault="00183B53" w:rsidP="00AB3ED8">
            <w:pPr>
              <w:pStyle w:val="TableCentre"/>
              <w:rPr>
                <w:rFonts w:ascii="Arial Narrow" w:hAnsi="Arial Narrow"/>
                <w:b/>
                <w:bCs/>
                <w:szCs w:val="20"/>
              </w:rPr>
            </w:pPr>
            <w:r w:rsidRPr="00AC6C6F">
              <w:rPr>
                <w:rFonts w:ascii="Arial Narrow" w:hAnsi="Arial Narrow"/>
                <w:b/>
                <w:bCs/>
                <w:szCs w:val="20"/>
              </w:rPr>
              <w:t>(9.0, 29.4)</w:t>
            </w:r>
          </w:p>
        </w:tc>
        <w:tc>
          <w:tcPr>
            <w:tcW w:w="556" w:type="pct"/>
          </w:tcPr>
          <w:p w:rsidR="00183B53" w:rsidRPr="00AC6C6F" w:rsidRDefault="00183B53" w:rsidP="00AB3ED8">
            <w:pPr>
              <w:pStyle w:val="TableCentre"/>
              <w:rPr>
                <w:rFonts w:ascii="Arial Narrow" w:hAnsi="Arial Narrow" w:cs="Arial"/>
                <w:b/>
                <w:bCs/>
                <w:szCs w:val="20"/>
              </w:rPr>
            </w:pPr>
            <w:r w:rsidRPr="00AC6C6F">
              <w:rPr>
                <w:rFonts w:ascii="Arial Narrow" w:hAnsi="Arial Narrow"/>
                <w:b/>
                <w:bCs/>
                <w:szCs w:val="20"/>
              </w:rPr>
              <w:t>&lt;0.0001</w:t>
            </w:r>
          </w:p>
        </w:tc>
      </w:tr>
      <w:tr w:rsidR="00183B53" w:rsidRPr="00AC6C6F" w:rsidTr="00AB3ED8">
        <w:tc>
          <w:tcPr>
            <w:tcW w:w="5000" w:type="pct"/>
            <w:gridSpan w:val="5"/>
          </w:tcPr>
          <w:p w:rsidR="00183B53" w:rsidRPr="00AC6C6F" w:rsidRDefault="00183B53" w:rsidP="00AB3ED8">
            <w:pPr>
              <w:pStyle w:val="TableCentre"/>
              <w:jc w:val="left"/>
              <w:rPr>
                <w:rFonts w:ascii="Arial Narrow" w:hAnsi="Arial Narrow" w:cs="Arial"/>
                <w:b/>
                <w:bCs/>
                <w:szCs w:val="20"/>
              </w:rPr>
            </w:pPr>
            <w:r w:rsidRPr="00AC6C6F">
              <w:rPr>
                <w:rFonts w:ascii="Arial Narrow" w:hAnsi="Arial Narrow"/>
                <w:b/>
                <w:bCs/>
                <w:szCs w:val="20"/>
              </w:rPr>
              <w:t>MF subtype</w:t>
            </w:r>
          </w:p>
        </w:tc>
      </w:tr>
      <w:tr w:rsidR="00183B53" w:rsidRPr="00AC6C6F" w:rsidTr="00183B53">
        <w:tc>
          <w:tcPr>
            <w:tcW w:w="1287" w:type="pct"/>
          </w:tcPr>
          <w:p w:rsidR="00183B53" w:rsidRPr="00AC6C6F" w:rsidRDefault="00183B53" w:rsidP="00AB3ED8">
            <w:pPr>
              <w:pStyle w:val="Table"/>
              <w:rPr>
                <w:rFonts w:ascii="Arial Narrow" w:hAnsi="Arial Narrow" w:cs="Arial"/>
                <w:szCs w:val="20"/>
                <w:vertAlign w:val="superscript"/>
              </w:rPr>
            </w:pPr>
            <w:r w:rsidRPr="00AC6C6F">
              <w:rPr>
                <w:rFonts w:ascii="Arial Narrow" w:hAnsi="Arial Narrow"/>
                <w:szCs w:val="20"/>
              </w:rPr>
              <w:t xml:space="preserve">Investigator assessed ORR </w:t>
            </w:r>
            <w:r w:rsidRPr="00AC6C6F">
              <w:rPr>
                <w:rFonts w:ascii="Arial Narrow" w:hAnsi="Arial Narrow" w:cs="Arial"/>
                <w:szCs w:val="20"/>
                <w:vertAlign w:val="superscript"/>
              </w:rPr>
              <w:t>a</w:t>
            </w:r>
          </w:p>
          <w:p w:rsidR="00183B53" w:rsidRPr="00AC6C6F" w:rsidRDefault="00183B53" w:rsidP="00AB3ED8">
            <w:pPr>
              <w:pStyle w:val="Table"/>
              <w:rPr>
                <w:rFonts w:ascii="Arial Narrow" w:hAnsi="Arial Narrow" w:cs="Arial"/>
                <w:szCs w:val="20"/>
              </w:rPr>
            </w:pPr>
            <w:r w:rsidRPr="00AC6C6F">
              <w:rPr>
                <w:rFonts w:ascii="Arial Narrow" w:hAnsi="Arial Narrow" w:cs="Arial"/>
                <w:szCs w:val="20"/>
              </w:rPr>
              <w:t>(95% CI)</w:t>
            </w:r>
          </w:p>
        </w:tc>
        <w:tc>
          <w:tcPr>
            <w:tcW w:w="1184" w:type="pct"/>
          </w:tcPr>
          <w:p w:rsidR="00183B53" w:rsidRPr="00AC6C6F" w:rsidRDefault="00183B53" w:rsidP="00AB3ED8">
            <w:pPr>
              <w:pStyle w:val="TableCentre"/>
              <w:rPr>
                <w:rFonts w:ascii="Arial Narrow" w:hAnsi="Arial Narrow"/>
                <w:szCs w:val="20"/>
              </w:rPr>
            </w:pPr>
            <w:r w:rsidRPr="00AC6C6F">
              <w:rPr>
                <w:rFonts w:ascii="Arial Narrow" w:hAnsi="Arial Narrow"/>
                <w:szCs w:val="20"/>
              </w:rPr>
              <w:t>22/105 (21.0)</w:t>
            </w:r>
          </w:p>
          <w:p w:rsidR="00183B53" w:rsidRPr="00AC6C6F" w:rsidRDefault="00183B53" w:rsidP="00AB3ED8">
            <w:pPr>
              <w:pStyle w:val="TableCentre"/>
              <w:rPr>
                <w:rFonts w:ascii="Arial Narrow" w:hAnsi="Arial Narrow" w:cs="Arial"/>
                <w:szCs w:val="20"/>
              </w:rPr>
            </w:pPr>
            <w:r w:rsidRPr="00AC6C6F">
              <w:rPr>
                <w:rFonts w:ascii="Arial Narrow" w:hAnsi="Arial Narrow"/>
                <w:szCs w:val="20"/>
              </w:rPr>
              <w:t>(13.6, 30.0)</w:t>
            </w:r>
          </w:p>
        </w:tc>
        <w:tc>
          <w:tcPr>
            <w:tcW w:w="1188" w:type="pct"/>
          </w:tcPr>
          <w:p w:rsidR="00183B53" w:rsidRPr="00AC6C6F" w:rsidRDefault="00183B53" w:rsidP="00AB3ED8">
            <w:pPr>
              <w:pStyle w:val="TableCentre"/>
              <w:rPr>
                <w:rFonts w:ascii="Arial Narrow" w:hAnsi="Arial Narrow"/>
                <w:szCs w:val="20"/>
              </w:rPr>
            </w:pPr>
            <w:r w:rsidRPr="00AC6C6F">
              <w:rPr>
                <w:rFonts w:ascii="Arial Narrow" w:hAnsi="Arial Narrow"/>
                <w:szCs w:val="20"/>
              </w:rPr>
              <w:t>7/99 (7.1)</w:t>
            </w:r>
          </w:p>
          <w:p w:rsidR="00183B53" w:rsidRPr="00AC6C6F" w:rsidRDefault="00183B53" w:rsidP="00AB3ED8">
            <w:pPr>
              <w:pStyle w:val="TableCentre"/>
              <w:rPr>
                <w:rFonts w:ascii="Arial Narrow" w:hAnsi="Arial Narrow" w:cs="Arial"/>
                <w:szCs w:val="20"/>
              </w:rPr>
            </w:pPr>
            <w:r w:rsidRPr="00AC6C6F">
              <w:rPr>
                <w:rFonts w:ascii="Arial Narrow" w:hAnsi="Arial Narrow"/>
                <w:szCs w:val="20"/>
              </w:rPr>
              <w:t>(2.9, 14.0)</w:t>
            </w:r>
          </w:p>
        </w:tc>
        <w:tc>
          <w:tcPr>
            <w:tcW w:w="785" w:type="pct"/>
          </w:tcPr>
          <w:p w:rsidR="00183B53" w:rsidRPr="00AC6C6F" w:rsidRDefault="00183B53" w:rsidP="00AB3ED8">
            <w:pPr>
              <w:pStyle w:val="TableCentre"/>
              <w:rPr>
                <w:rFonts w:ascii="Arial Narrow" w:hAnsi="Arial Narrow"/>
                <w:b/>
                <w:bCs/>
                <w:szCs w:val="20"/>
              </w:rPr>
            </w:pPr>
            <w:r w:rsidRPr="00AC6C6F">
              <w:rPr>
                <w:rFonts w:ascii="Arial Narrow" w:hAnsi="Arial Narrow"/>
                <w:b/>
                <w:bCs/>
                <w:szCs w:val="20"/>
              </w:rPr>
              <w:t>13.9</w:t>
            </w:r>
          </w:p>
          <w:p w:rsidR="00183B53" w:rsidRPr="00AC6C6F" w:rsidRDefault="00183B53" w:rsidP="00AB3ED8">
            <w:pPr>
              <w:pStyle w:val="TableCentre"/>
              <w:rPr>
                <w:rFonts w:ascii="Arial Narrow" w:hAnsi="Arial Narrow"/>
                <w:b/>
                <w:bCs/>
                <w:szCs w:val="20"/>
              </w:rPr>
            </w:pPr>
            <w:r w:rsidRPr="00AC6C6F">
              <w:rPr>
                <w:rFonts w:ascii="Arial Narrow" w:hAnsi="Arial Narrow"/>
                <w:b/>
                <w:bCs/>
                <w:szCs w:val="20"/>
              </w:rPr>
              <w:t>(0.1, 27.4)</w:t>
            </w:r>
          </w:p>
        </w:tc>
        <w:tc>
          <w:tcPr>
            <w:tcW w:w="556" w:type="pct"/>
          </w:tcPr>
          <w:p w:rsidR="00183B53" w:rsidRPr="00AC6C6F" w:rsidRDefault="00183B53" w:rsidP="00AB3ED8">
            <w:pPr>
              <w:pStyle w:val="TableCentre"/>
              <w:rPr>
                <w:rFonts w:ascii="Arial Narrow" w:hAnsi="Arial Narrow" w:cs="Arial"/>
                <w:b/>
                <w:bCs/>
                <w:szCs w:val="20"/>
              </w:rPr>
            </w:pPr>
            <w:r w:rsidRPr="00AC6C6F">
              <w:rPr>
                <w:rFonts w:ascii="Arial Narrow" w:hAnsi="Arial Narrow"/>
                <w:b/>
                <w:bCs/>
                <w:szCs w:val="20"/>
              </w:rPr>
              <w:t>0.0042</w:t>
            </w:r>
          </w:p>
        </w:tc>
      </w:tr>
      <w:tr w:rsidR="00183B53" w:rsidRPr="00AC6C6F" w:rsidTr="00AB3ED8">
        <w:tc>
          <w:tcPr>
            <w:tcW w:w="5000" w:type="pct"/>
            <w:gridSpan w:val="5"/>
          </w:tcPr>
          <w:p w:rsidR="00183B53" w:rsidRPr="00AC6C6F" w:rsidRDefault="00183B53" w:rsidP="00AB3ED8">
            <w:pPr>
              <w:pStyle w:val="TableCentre"/>
              <w:jc w:val="left"/>
              <w:rPr>
                <w:rFonts w:ascii="Arial Narrow" w:hAnsi="Arial Narrow" w:cs="Arial"/>
                <w:b/>
                <w:bCs/>
                <w:szCs w:val="20"/>
              </w:rPr>
            </w:pPr>
            <w:r w:rsidRPr="00AC6C6F">
              <w:rPr>
                <w:rFonts w:ascii="Arial Narrow" w:hAnsi="Arial Narrow"/>
                <w:b/>
                <w:bCs/>
                <w:szCs w:val="20"/>
              </w:rPr>
              <w:t>SS subtype</w:t>
            </w:r>
          </w:p>
        </w:tc>
      </w:tr>
      <w:tr w:rsidR="00183B53" w:rsidRPr="00AC6C6F" w:rsidTr="00183B53">
        <w:tc>
          <w:tcPr>
            <w:tcW w:w="1287" w:type="pct"/>
          </w:tcPr>
          <w:p w:rsidR="00183B53" w:rsidRPr="00AC6C6F" w:rsidRDefault="00183B53" w:rsidP="00AB3ED8">
            <w:pPr>
              <w:pStyle w:val="Table"/>
              <w:rPr>
                <w:rFonts w:ascii="Arial Narrow" w:hAnsi="Arial Narrow" w:cs="Arial"/>
                <w:szCs w:val="20"/>
                <w:vertAlign w:val="superscript"/>
              </w:rPr>
            </w:pPr>
            <w:r w:rsidRPr="00AC6C6F">
              <w:rPr>
                <w:rFonts w:ascii="Arial Narrow" w:hAnsi="Arial Narrow"/>
                <w:szCs w:val="20"/>
              </w:rPr>
              <w:t xml:space="preserve">Investigator assessed ORR </w:t>
            </w:r>
            <w:r w:rsidRPr="00AC6C6F">
              <w:rPr>
                <w:rFonts w:ascii="Arial Narrow" w:hAnsi="Arial Narrow" w:cs="Arial"/>
                <w:szCs w:val="20"/>
                <w:vertAlign w:val="superscript"/>
              </w:rPr>
              <w:t>a</w:t>
            </w:r>
          </w:p>
          <w:p w:rsidR="00183B53" w:rsidRPr="00AC6C6F" w:rsidRDefault="00183B53" w:rsidP="00AB3ED8">
            <w:pPr>
              <w:pStyle w:val="Table"/>
              <w:rPr>
                <w:rFonts w:ascii="Arial Narrow" w:hAnsi="Arial Narrow" w:cs="Arial"/>
                <w:szCs w:val="20"/>
              </w:rPr>
            </w:pPr>
            <w:r w:rsidRPr="00AC6C6F">
              <w:rPr>
                <w:rFonts w:ascii="Arial Narrow" w:hAnsi="Arial Narrow" w:cs="Arial"/>
                <w:szCs w:val="20"/>
              </w:rPr>
              <w:t>(95% CI)</w:t>
            </w:r>
          </w:p>
        </w:tc>
        <w:tc>
          <w:tcPr>
            <w:tcW w:w="1184" w:type="pct"/>
          </w:tcPr>
          <w:p w:rsidR="00183B53" w:rsidRPr="00AC6C6F" w:rsidRDefault="00183B53" w:rsidP="00AB3ED8">
            <w:pPr>
              <w:pStyle w:val="TableCentre"/>
              <w:rPr>
                <w:rFonts w:ascii="Arial Narrow" w:hAnsi="Arial Narrow"/>
                <w:szCs w:val="20"/>
              </w:rPr>
            </w:pPr>
            <w:r w:rsidRPr="00AC6C6F">
              <w:rPr>
                <w:rFonts w:ascii="Arial Narrow" w:hAnsi="Arial Narrow"/>
                <w:szCs w:val="20"/>
              </w:rPr>
              <w:t>30/81 (37.0)</w:t>
            </w:r>
          </w:p>
          <w:p w:rsidR="00183B53" w:rsidRPr="00AC6C6F" w:rsidRDefault="00183B53" w:rsidP="00AB3ED8">
            <w:pPr>
              <w:pStyle w:val="TableCentre"/>
              <w:rPr>
                <w:rFonts w:ascii="Arial Narrow" w:hAnsi="Arial Narrow" w:cs="Arial"/>
                <w:szCs w:val="20"/>
              </w:rPr>
            </w:pPr>
            <w:r w:rsidRPr="00AC6C6F">
              <w:rPr>
                <w:rFonts w:ascii="Arial Narrow" w:hAnsi="Arial Narrow"/>
                <w:szCs w:val="20"/>
              </w:rPr>
              <w:t>(26.6, 48.5)</w:t>
            </w:r>
          </w:p>
        </w:tc>
        <w:tc>
          <w:tcPr>
            <w:tcW w:w="1188" w:type="pct"/>
          </w:tcPr>
          <w:p w:rsidR="00183B53" w:rsidRPr="00AC6C6F" w:rsidRDefault="00183B53" w:rsidP="00AB3ED8">
            <w:pPr>
              <w:pStyle w:val="TableCentre"/>
              <w:rPr>
                <w:rFonts w:ascii="Arial Narrow" w:hAnsi="Arial Narrow"/>
                <w:szCs w:val="20"/>
              </w:rPr>
            </w:pPr>
            <w:r w:rsidRPr="00AC6C6F">
              <w:rPr>
                <w:rFonts w:ascii="Arial Narrow" w:hAnsi="Arial Narrow"/>
                <w:szCs w:val="20"/>
              </w:rPr>
              <w:t>2/87 (2.3)</w:t>
            </w:r>
          </w:p>
          <w:p w:rsidR="00183B53" w:rsidRPr="00AC6C6F" w:rsidRDefault="00183B53" w:rsidP="00AB3ED8">
            <w:pPr>
              <w:pStyle w:val="TableCentre"/>
              <w:rPr>
                <w:rFonts w:ascii="Arial Narrow" w:hAnsi="Arial Narrow" w:cs="Arial"/>
                <w:szCs w:val="20"/>
              </w:rPr>
            </w:pPr>
            <w:r w:rsidRPr="00AC6C6F">
              <w:rPr>
                <w:rFonts w:ascii="Arial Narrow" w:hAnsi="Arial Narrow"/>
                <w:szCs w:val="20"/>
              </w:rPr>
              <w:t>(0.3, 8.1)</w:t>
            </w:r>
          </w:p>
        </w:tc>
        <w:tc>
          <w:tcPr>
            <w:tcW w:w="785" w:type="pct"/>
          </w:tcPr>
          <w:p w:rsidR="00183B53" w:rsidRPr="00AC6C6F" w:rsidRDefault="00183B53" w:rsidP="00AB3ED8">
            <w:pPr>
              <w:pStyle w:val="TableCentre"/>
              <w:rPr>
                <w:rFonts w:ascii="Arial Narrow" w:hAnsi="Arial Narrow"/>
                <w:b/>
                <w:bCs/>
                <w:szCs w:val="20"/>
              </w:rPr>
            </w:pPr>
            <w:r w:rsidRPr="00AC6C6F">
              <w:rPr>
                <w:rFonts w:ascii="Arial Narrow" w:hAnsi="Arial Narrow"/>
                <w:b/>
                <w:bCs/>
                <w:szCs w:val="20"/>
              </w:rPr>
              <w:t>34.7</w:t>
            </w:r>
          </w:p>
          <w:p w:rsidR="00183B53" w:rsidRPr="00AC6C6F" w:rsidRDefault="00183B53" w:rsidP="00AB3ED8">
            <w:pPr>
              <w:pStyle w:val="TableCentre"/>
              <w:rPr>
                <w:rFonts w:ascii="Arial Narrow" w:hAnsi="Arial Narrow"/>
                <w:b/>
                <w:bCs/>
                <w:szCs w:val="20"/>
              </w:rPr>
            </w:pPr>
            <w:r w:rsidRPr="00AC6C6F">
              <w:rPr>
                <w:rFonts w:ascii="Arial Narrow" w:hAnsi="Arial Narrow"/>
                <w:b/>
                <w:bCs/>
                <w:szCs w:val="20"/>
              </w:rPr>
              <w:t>(19.9, 48.4)</w:t>
            </w:r>
          </w:p>
        </w:tc>
        <w:tc>
          <w:tcPr>
            <w:tcW w:w="556" w:type="pct"/>
          </w:tcPr>
          <w:p w:rsidR="00183B53" w:rsidRPr="00AC6C6F" w:rsidRDefault="00183B53" w:rsidP="00AB3ED8">
            <w:pPr>
              <w:pStyle w:val="TableCentre"/>
              <w:rPr>
                <w:rFonts w:ascii="Arial Narrow" w:hAnsi="Arial Narrow" w:cs="Arial"/>
                <w:b/>
                <w:bCs/>
                <w:szCs w:val="20"/>
              </w:rPr>
            </w:pPr>
            <w:r w:rsidRPr="00AC6C6F">
              <w:rPr>
                <w:rFonts w:ascii="Arial Narrow" w:hAnsi="Arial Narrow"/>
                <w:b/>
                <w:bCs/>
                <w:szCs w:val="20"/>
              </w:rPr>
              <w:t>&lt;0.0001</w:t>
            </w:r>
          </w:p>
        </w:tc>
      </w:tr>
    </w:tbl>
    <w:p w:rsidR="00183B53" w:rsidRPr="00AC6C6F" w:rsidRDefault="00183B53" w:rsidP="00183B53">
      <w:pPr>
        <w:rPr>
          <w:rFonts w:ascii="Arial Narrow" w:hAnsi="Arial Narrow"/>
          <w:sz w:val="18"/>
          <w:szCs w:val="18"/>
        </w:rPr>
      </w:pPr>
      <w:r w:rsidRPr="00AC6C6F">
        <w:rPr>
          <w:rFonts w:ascii="Arial Narrow" w:hAnsi="Arial Narrow"/>
          <w:sz w:val="18"/>
          <w:szCs w:val="18"/>
        </w:rPr>
        <w:t>Source: Table 2-32 (p114 of the submission), Table 11.4.2-2 p138 MAVORIC CSR</w:t>
      </w:r>
      <w:r w:rsidR="00AC6C6F">
        <w:rPr>
          <w:rFonts w:ascii="Arial Narrow" w:hAnsi="Arial Narrow"/>
          <w:sz w:val="18"/>
          <w:szCs w:val="18"/>
        </w:rPr>
        <w:t xml:space="preserve">. </w:t>
      </w:r>
    </w:p>
    <w:p w:rsidR="00183B53" w:rsidRPr="00AC6C6F" w:rsidRDefault="00183B53" w:rsidP="00183B53">
      <w:pPr>
        <w:rPr>
          <w:rFonts w:ascii="Arial Narrow" w:hAnsi="Arial Narrow"/>
          <w:sz w:val="18"/>
          <w:szCs w:val="18"/>
        </w:rPr>
      </w:pPr>
      <w:r w:rsidRPr="00AC6C6F">
        <w:rPr>
          <w:rFonts w:ascii="Arial Narrow" w:hAnsi="Arial Narrow"/>
          <w:sz w:val="18"/>
          <w:szCs w:val="18"/>
        </w:rPr>
        <w:t xml:space="preserve">Abbreviations: CI = confidence interval; CR = complete response; ITT = intent to treat; </w:t>
      </w:r>
      <w:r w:rsidRPr="00AC6C6F">
        <w:rPr>
          <w:rFonts w:ascii="Arial Narrow" w:eastAsia="Calibri" w:hAnsi="Arial Narrow"/>
          <w:sz w:val="18"/>
          <w:szCs w:val="18"/>
        </w:rPr>
        <w:t>n = number of participants with event; MF = mycosis fungoides; N = total participants in group;</w:t>
      </w:r>
      <w:r w:rsidRPr="00AC6C6F">
        <w:rPr>
          <w:rFonts w:ascii="Arial Narrow" w:hAnsi="Arial Narrow"/>
          <w:sz w:val="18"/>
          <w:szCs w:val="18"/>
        </w:rPr>
        <w:t xml:space="preserve"> NR = not reported; ORR= overall response rate; PR = partial response</w:t>
      </w:r>
    </w:p>
    <w:p w:rsidR="00183B53" w:rsidRPr="00AC6C6F" w:rsidRDefault="00183B53" w:rsidP="00183B53">
      <w:pPr>
        <w:rPr>
          <w:rFonts w:ascii="Arial Narrow" w:eastAsia="Calibri" w:hAnsi="Arial Narrow"/>
          <w:sz w:val="18"/>
          <w:szCs w:val="18"/>
        </w:rPr>
      </w:pPr>
      <w:r w:rsidRPr="00AC6C6F">
        <w:rPr>
          <w:rFonts w:ascii="Arial Narrow" w:eastAsia="Calibri" w:hAnsi="Arial Narrow"/>
          <w:sz w:val="18"/>
          <w:szCs w:val="18"/>
        </w:rPr>
        <w:t>Bold indicates statistically significant difference.</w:t>
      </w:r>
    </w:p>
    <w:p w:rsidR="00183B53" w:rsidRPr="00AC6C6F" w:rsidRDefault="00183B53" w:rsidP="00183B53">
      <w:pPr>
        <w:rPr>
          <w:rFonts w:ascii="Arial Narrow" w:eastAsia="Calibri" w:hAnsi="Arial Narrow"/>
          <w:sz w:val="18"/>
          <w:szCs w:val="18"/>
        </w:rPr>
      </w:pPr>
      <w:r w:rsidRPr="00AC6C6F">
        <w:rPr>
          <w:rFonts w:ascii="Arial Narrow" w:hAnsi="Arial Narrow"/>
          <w:sz w:val="18"/>
          <w:szCs w:val="18"/>
          <w:vertAlign w:val="superscript"/>
        </w:rPr>
        <w:t xml:space="preserve">a </w:t>
      </w:r>
      <w:r w:rsidRPr="00AC6C6F">
        <w:rPr>
          <w:rFonts w:ascii="Arial Narrow" w:hAnsi="Arial Narrow"/>
          <w:sz w:val="18"/>
          <w:szCs w:val="18"/>
        </w:rPr>
        <w:t xml:space="preserve">ORR includes patients with confirmed CR + PR </w:t>
      </w:r>
    </w:p>
    <w:p w:rsidR="00AF726E" w:rsidRPr="00AC6C6F" w:rsidRDefault="00AF726E" w:rsidP="00AF726E">
      <w:pPr>
        <w:rPr>
          <w:rFonts w:ascii="Arial Narrow" w:hAnsi="Arial Narrow"/>
          <w:sz w:val="18"/>
          <w:szCs w:val="18"/>
        </w:rPr>
      </w:pPr>
    </w:p>
    <w:p w:rsidR="00AF726E" w:rsidRPr="00AC6C6F" w:rsidRDefault="00AF726E" w:rsidP="00AF726E">
      <w:pPr>
        <w:pStyle w:val="3-BodyText"/>
        <w:rPr>
          <w:color w:val="0066FF"/>
        </w:rPr>
      </w:pPr>
      <w:r w:rsidRPr="00AC6C6F">
        <w:rPr>
          <w:color w:val="000000" w:themeColor="text1"/>
        </w:rPr>
        <w:t xml:space="preserve">Best </w:t>
      </w:r>
      <w:r w:rsidRPr="00AC6C6F">
        <w:rPr>
          <w:rFonts w:cs="Calibri"/>
        </w:rPr>
        <w:t xml:space="preserve">overall global response was higher in the mogamulizumab arm compared to vorinostat (35% vs 6%) and </w:t>
      </w:r>
      <w:r w:rsidR="003830F0" w:rsidRPr="00AC6C6F">
        <w:rPr>
          <w:rFonts w:cs="Calibri"/>
        </w:rPr>
        <w:t>double</w:t>
      </w:r>
      <w:r w:rsidRPr="00AC6C6F">
        <w:rPr>
          <w:rFonts w:cs="Calibri"/>
        </w:rPr>
        <w:t xml:space="preserve"> the </w:t>
      </w:r>
      <w:r w:rsidR="003830F0" w:rsidRPr="00AC6C6F">
        <w:rPr>
          <w:rFonts w:cs="Calibri"/>
        </w:rPr>
        <w:t xml:space="preserve">proportion of </w:t>
      </w:r>
      <w:r w:rsidRPr="00AC6C6F">
        <w:rPr>
          <w:rFonts w:cs="Calibri"/>
        </w:rPr>
        <w:t xml:space="preserve">patients in the mogamulizumab arm </w:t>
      </w:r>
      <w:r w:rsidR="003830F0" w:rsidRPr="00AC6C6F">
        <w:rPr>
          <w:rFonts w:cs="Calibri"/>
        </w:rPr>
        <w:t xml:space="preserve">compared with the vorinostat arm </w:t>
      </w:r>
      <w:r w:rsidRPr="00AC6C6F">
        <w:rPr>
          <w:rFonts w:cs="Calibri"/>
        </w:rPr>
        <w:t xml:space="preserve">had at least a 50% improvement in skin response (44% mogamulizumab vs 22% vorinostat; p8 Kim et al, </w:t>
      </w:r>
      <w:r w:rsidRPr="00AC6C6F">
        <w:rPr>
          <w:rFonts w:cs="Calibri"/>
          <w:color w:val="000000" w:themeColor="text1"/>
        </w:rPr>
        <w:t xml:space="preserve">2018). </w:t>
      </w:r>
      <w:r w:rsidRPr="00AC6C6F">
        <w:t xml:space="preserve">Of the 136 crossover patients, investigator assessed response to mogamulizumab was observed in 41 (30.1%; 95%CI 22.6, 38.6) patients, which was </w:t>
      </w:r>
      <w:r w:rsidR="00CC621A" w:rsidRPr="00AC6C6F">
        <w:t>similar</w:t>
      </w:r>
      <w:r w:rsidR="00B32BD1" w:rsidRPr="00AC6C6F">
        <w:t xml:space="preserve"> to</w:t>
      </w:r>
      <w:r w:rsidRPr="00AC6C6F">
        <w:t xml:space="preserve"> </w:t>
      </w:r>
      <w:r w:rsidR="000945DD" w:rsidRPr="00AC6C6F">
        <w:t xml:space="preserve">that in </w:t>
      </w:r>
      <w:r w:rsidRPr="00AC6C6F">
        <w:t xml:space="preserve">the randomised mogamulizumab arm of the trial (28%; 95%CI 21.6, 35.0). </w:t>
      </w:r>
    </w:p>
    <w:p w:rsidR="00AF726E" w:rsidRPr="00AC6C6F" w:rsidRDefault="00AF726E" w:rsidP="00AF726E">
      <w:pPr>
        <w:pStyle w:val="3-BodyText"/>
        <w:rPr>
          <w:color w:val="0066FF"/>
        </w:rPr>
      </w:pPr>
      <w:r w:rsidRPr="00AC6C6F">
        <w:rPr>
          <w:rFonts w:cs="Calibri"/>
        </w:rPr>
        <w:t xml:space="preserve">The median time to response (TTR) was shorter in the mogamulizumab arm </w:t>
      </w:r>
      <w:r w:rsidR="00116229" w:rsidRPr="00AC6C6F">
        <w:rPr>
          <w:rFonts w:cs="Calibri"/>
        </w:rPr>
        <w:t xml:space="preserve">at </w:t>
      </w:r>
      <w:r w:rsidRPr="00AC6C6F">
        <w:rPr>
          <w:rFonts w:cs="Calibri"/>
        </w:rPr>
        <w:t>3.3 months</w:t>
      </w:r>
      <w:r w:rsidR="00116229" w:rsidRPr="00AC6C6F">
        <w:rPr>
          <w:rFonts w:cs="Calibri"/>
        </w:rPr>
        <w:t xml:space="preserve"> (</w:t>
      </w:r>
      <w:r w:rsidRPr="00AC6C6F">
        <w:rPr>
          <w:rFonts w:cs="Calibri"/>
        </w:rPr>
        <w:t xml:space="preserve">IQR 2.0 – 6.4), compared to vorinostat </w:t>
      </w:r>
      <w:r w:rsidR="00116229" w:rsidRPr="00AC6C6F">
        <w:rPr>
          <w:rFonts w:cs="Calibri"/>
        </w:rPr>
        <w:t xml:space="preserve">at </w:t>
      </w:r>
      <w:r w:rsidRPr="00AC6C6F">
        <w:rPr>
          <w:rFonts w:cs="Calibri"/>
        </w:rPr>
        <w:t>5.1 months</w:t>
      </w:r>
      <w:r w:rsidR="00116229" w:rsidRPr="00AC6C6F">
        <w:rPr>
          <w:rFonts w:cs="Calibri"/>
        </w:rPr>
        <w:t xml:space="preserve"> (</w:t>
      </w:r>
      <w:r w:rsidRPr="00AC6C6F">
        <w:rPr>
          <w:rFonts w:cs="Calibri"/>
        </w:rPr>
        <w:t xml:space="preserve">IQR 2.9 – 8.5; p8 Kim, 2018). </w:t>
      </w:r>
      <w:r w:rsidRPr="00AC6C6F">
        <w:rPr>
          <w:rFonts w:cstheme="minorHAnsi"/>
        </w:rPr>
        <w:t>The median investigator assessed duration of response (DOR) for confirmed responders (as per TTR) was 14.1 months (95% CI</w:t>
      </w:r>
      <w:r w:rsidR="00542EDD" w:rsidRPr="00AC6C6F">
        <w:rPr>
          <w:rFonts w:cstheme="minorHAnsi"/>
        </w:rPr>
        <w:t>:</w:t>
      </w:r>
      <w:r w:rsidRPr="00AC6C6F">
        <w:rPr>
          <w:rFonts w:cstheme="minorHAnsi"/>
        </w:rPr>
        <w:t xml:space="preserve"> 9.43, 19.17) for mogamulizumab and 9.1 months (95%CI 4.7, not estimable) for vorinostat</w:t>
      </w:r>
      <w:r w:rsidRPr="00AC6C6F">
        <w:rPr>
          <w:color w:val="0066FF"/>
        </w:rPr>
        <w:t xml:space="preserve">. </w:t>
      </w:r>
      <w:r w:rsidRPr="00AC6C6F">
        <w:rPr>
          <w:rFonts w:cs="Calibri"/>
          <w:iCs/>
        </w:rPr>
        <w:t xml:space="preserve">However, </w:t>
      </w:r>
      <w:r w:rsidR="0095275C" w:rsidRPr="00AC6C6F">
        <w:rPr>
          <w:rFonts w:cs="Calibri"/>
          <w:iCs/>
        </w:rPr>
        <w:t xml:space="preserve">this </w:t>
      </w:r>
      <w:r w:rsidRPr="00AC6C6F">
        <w:rPr>
          <w:rFonts w:cs="Calibri"/>
          <w:iCs/>
        </w:rPr>
        <w:t>comparison is confounded by the low number of responders for vorinostat (n=9; and 5 of these patients were censored for DOR).</w:t>
      </w:r>
      <w:r w:rsidRPr="00AC6C6F">
        <w:rPr>
          <w:rFonts w:cs="Calibri"/>
          <w:i/>
          <w:iCs/>
        </w:rPr>
        <w:t xml:space="preserve"> </w:t>
      </w:r>
    </w:p>
    <w:p w:rsidR="00AF726E" w:rsidRPr="00AC6C6F" w:rsidRDefault="00AF726E" w:rsidP="00AF726E">
      <w:pPr>
        <w:pStyle w:val="3-BodyText"/>
        <w:rPr>
          <w:color w:val="0066FF"/>
        </w:rPr>
      </w:pPr>
      <w:r w:rsidRPr="00AC6C6F">
        <w:rPr>
          <w:rFonts w:cstheme="minorHAnsi"/>
        </w:rPr>
        <w:t xml:space="preserve">Health related quality of life (HRQoL) was measured using </w:t>
      </w:r>
      <w:r w:rsidR="0095275C" w:rsidRPr="00AC6C6F">
        <w:rPr>
          <w:rFonts w:cstheme="minorHAnsi"/>
        </w:rPr>
        <w:t xml:space="preserve">the </w:t>
      </w:r>
      <w:r w:rsidRPr="00AC6C6F">
        <w:rPr>
          <w:rFonts w:cstheme="minorHAnsi"/>
        </w:rPr>
        <w:t xml:space="preserve">Skindex-29, FACT-G and EQ-5D-3L; and evaluation of pruritus was assessed using </w:t>
      </w:r>
      <w:r w:rsidR="0095275C" w:rsidRPr="00AC6C6F">
        <w:rPr>
          <w:rFonts w:cstheme="minorHAnsi"/>
        </w:rPr>
        <w:t xml:space="preserve">the </w:t>
      </w:r>
      <w:r w:rsidRPr="00AC6C6F">
        <w:rPr>
          <w:rFonts w:cstheme="minorHAnsi"/>
        </w:rPr>
        <w:t xml:space="preserve">ItchyQoL and the Pruritus Likert Scale. Mogamulizumab treated patients had a greater improvement in their </w:t>
      </w:r>
      <w:r w:rsidR="0095275C" w:rsidRPr="00AC6C6F">
        <w:rPr>
          <w:rFonts w:cstheme="minorHAnsi"/>
        </w:rPr>
        <w:t>patient reported outcome (</w:t>
      </w:r>
      <w:r w:rsidRPr="00AC6C6F">
        <w:rPr>
          <w:rFonts w:cstheme="minorHAnsi"/>
        </w:rPr>
        <w:t>PRO</w:t>
      </w:r>
      <w:r w:rsidR="0095275C" w:rsidRPr="00AC6C6F">
        <w:rPr>
          <w:rFonts w:cstheme="minorHAnsi"/>
        </w:rPr>
        <w:t>)</w:t>
      </w:r>
      <w:r w:rsidRPr="00AC6C6F">
        <w:rPr>
          <w:rFonts w:cstheme="minorHAnsi"/>
        </w:rPr>
        <w:t xml:space="preserve"> at the 6-month assessment than those in the vorinostat arm, which was statistically significant. </w:t>
      </w:r>
      <w:r w:rsidR="001F7F4B" w:rsidRPr="00AC6C6F">
        <w:rPr>
          <w:rFonts w:cstheme="minorHAnsi"/>
        </w:rPr>
        <w:t xml:space="preserve">The PBAC considered that missing data, including missing data by design, may limit the conclusions that can be drawn regarding HRQoL. </w:t>
      </w:r>
    </w:p>
    <w:p w:rsidR="0095275C" w:rsidRPr="00AC6C6F" w:rsidRDefault="00AF726E" w:rsidP="00AF726E">
      <w:pPr>
        <w:pStyle w:val="3-BodyText"/>
        <w:rPr>
          <w:color w:val="000000" w:themeColor="text1"/>
        </w:rPr>
      </w:pPr>
      <w:r w:rsidRPr="00AC6C6F">
        <w:rPr>
          <w:snapToGrid/>
          <w:color w:val="000000" w:themeColor="text1"/>
        </w:rPr>
        <w:t>Exploratory outcomes for MAVORIC included time to treatment failure</w:t>
      </w:r>
      <w:r w:rsidR="0095275C" w:rsidRPr="00AC6C6F">
        <w:rPr>
          <w:snapToGrid/>
          <w:color w:val="000000" w:themeColor="text1"/>
        </w:rPr>
        <w:t xml:space="preserve"> (TTF)</w:t>
      </w:r>
      <w:r w:rsidRPr="00AC6C6F">
        <w:rPr>
          <w:snapToGrid/>
          <w:color w:val="000000" w:themeColor="text1"/>
        </w:rPr>
        <w:t>, and overall survival</w:t>
      </w:r>
      <w:r w:rsidR="0095275C" w:rsidRPr="00AC6C6F">
        <w:rPr>
          <w:snapToGrid/>
          <w:color w:val="000000" w:themeColor="text1"/>
        </w:rPr>
        <w:t xml:space="preserve"> (OS)</w:t>
      </w:r>
      <w:r w:rsidRPr="00AC6C6F">
        <w:rPr>
          <w:snapToGrid/>
          <w:color w:val="000000" w:themeColor="text1"/>
        </w:rPr>
        <w:t xml:space="preserve">. </w:t>
      </w:r>
      <w:r w:rsidRPr="00AC6C6F">
        <w:rPr>
          <w:rFonts w:cs="Calibri"/>
          <w:color w:val="000000" w:themeColor="text1"/>
        </w:rPr>
        <w:t>The number of patients with treatment failure was higher in the vorinostat arm compared to the mogamulizumab arm (176 patients; 94.6% vs 157 patients; 84.4%). The median TTF was longer in the mogamulizumab arm compared to vorinostat (5.8 vs 2.9 months; HR 0.58; 95% CI</w:t>
      </w:r>
      <w:r w:rsidR="00542EDD" w:rsidRPr="00AC6C6F">
        <w:rPr>
          <w:rFonts w:cs="Calibri"/>
          <w:color w:val="000000" w:themeColor="text1"/>
        </w:rPr>
        <w:t>:</w:t>
      </w:r>
      <w:r w:rsidRPr="00AC6C6F">
        <w:rPr>
          <w:rFonts w:cs="Calibri"/>
          <w:color w:val="000000" w:themeColor="text1"/>
        </w:rPr>
        <w:t xml:space="preserve"> 0.47, 0.72, p &lt;0.0001; p151, MAVORIC CSR</w:t>
      </w:r>
      <w:r w:rsidRPr="00AC6C6F">
        <w:rPr>
          <w:snapToGrid/>
          <w:color w:val="000000" w:themeColor="text1"/>
        </w:rPr>
        <w:t xml:space="preserve">). </w:t>
      </w:r>
    </w:p>
    <w:p w:rsidR="00AF726E" w:rsidRPr="00AC6C6F" w:rsidRDefault="00AF726E" w:rsidP="00AF726E">
      <w:pPr>
        <w:pStyle w:val="3-BodyText"/>
        <w:rPr>
          <w:color w:val="000000" w:themeColor="text1"/>
        </w:rPr>
      </w:pPr>
      <w:r w:rsidRPr="00AC6C6F">
        <w:rPr>
          <w:snapToGrid/>
          <w:color w:val="000000" w:themeColor="text1"/>
        </w:rPr>
        <w:t xml:space="preserve">At </w:t>
      </w:r>
      <w:r w:rsidR="0095275C" w:rsidRPr="00AC6C6F">
        <w:rPr>
          <w:snapToGrid/>
          <w:color w:val="000000" w:themeColor="text1"/>
        </w:rPr>
        <w:t xml:space="preserve">the </w:t>
      </w:r>
      <w:r w:rsidRPr="00AC6C6F">
        <w:rPr>
          <w:snapToGrid/>
          <w:color w:val="000000" w:themeColor="text1"/>
        </w:rPr>
        <w:t xml:space="preserve">primary analysis </w:t>
      </w:r>
      <w:r w:rsidR="0095275C" w:rsidRPr="00AC6C6F">
        <w:rPr>
          <w:rFonts w:cs="Calibri"/>
          <w:bCs/>
        </w:rPr>
        <w:t>(31</w:t>
      </w:r>
      <w:r w:rsidR="0095275C" w:rsidRPr="00AC6C6F">
        <w:rPr>
          <w:rFonts w:cs="Calibri"/>
          <w:bCs/>
          <w:vertAlign w:val="superscript"/>
        </w:rPr>
        <w:t>st</w:t>
      </w:r>
      <w:r w:rsidR="0095275C" w:rsidRPr="00AC6C6F">
        <w:rPr>
          <w:rFonts w:cs="Calibri"/>
          <w:bCs/>
        </w:rPr>
        <w:t xml:space="preserve"> December, 2016), </w:t>
      </w:r>
      <w:r w:rsidRPr="00AC6C6F">
        <w:rPr>
          <w:snapToGrid/>
          <w:color w:val="000000" w:themeColor="text1"/>
        </w:rPr>
        <w:t>m</w:t>
      </w:r>
      <w:r w:rsidRPr="00AC6C6F">
        <w:rPr>
          <w:rFonts w:cs="Calibri"/>
          <w:color w:val="000000" w:themeColor="text1"/>
        </w:rPr>
        <w:t xml:space="preserve">edian OS was not reached in the mogamulizumab arm compared to 43.9 months (95%CI 43.6, NR) for vorinostat (HR 0.93; 95%CI 0.61, 1.43; p = 0.94). </w:t>
      </w:r>
      <w:r w:rsidRPr="00AC6C6F">
        <w:rPr>
          <w:snapToGrid/>
          <w:color w:val="000000" w:themeColor="text1"/>
        </w:rPr>
        <w:t xml:space="preserve">An updated analysis of OS </w:t>
      </w:r>
      <w:r w:rsidR="0095275C" w:rsidRPr="00AC6C6F">
        <w:rPr>
          <w:snapToGrid/>
          <w:color w:val="000000" w:themeColor="text1"/>
        </w:rPr>
        <w:t>(</w:t>
      </w:r>
      <w:r w:rsidRPr="00AC6C6F">
        <w:rPr>
          <w:rFonts w:cs="Calibri"/>
          <w:bCs/>
        </w:rPr>
        <w:t>2</w:t>
      </w:r>
      <w:r w:rsidRPr="00AC6C6F">
        <w:rPr>
          <w:rFonts w:cs="Calibri"/>
          <w:bCs/>
          <w:vertAlign w:val="superscript"/>
        </w:rPr>
        <w:t>nd</w:t>
      </w:r>
      <w:r w:rsidRPr="00AC6C6F">
        <w:rPr>
          <w:rFonts w:cs="Calibri"/>
          <w:bCs/>
        </w:rPr>
        <w:t xml:space="preserve"> March 2019</w:t>
      </w:r>
      <w:r w:rsidR="0095275C" w:rsidRPr="00AC6C6F">
        <w:rPr>
          <w:rFonts w:cs="Calibri"/>
          <w:bCs/>
        </w:rPr>
        <w:t xml:space="preserve">) </w:t>
      </w:r>
      <w:r w:rsidRPr="00AC6C6F">
        <w:rPr>
          <w:rFonts w:cs="Calibri"/>
          <w:bCs/>
        </w:rPr>
        <w:t xml:space="preserve">was </w:t>
      </w:r>
      <w:r w:rsidR="0095275C" w:rsidRPr="00AC6C6F">
        <w:rPr>
          <w:rFonts w:cs="Calibri"/>
          <w:bCs/>
        </w:rPr>
        <w:t xml:space="preserve">also </w:t>
      </w:r>
      <w:r w:rsidRPr="00AC6C6F">
        <w:rPr>
          <w:rFonts w:cs="Calibri"/>
          <w:bCs/>
        </w:rPr>
        <w:t>presented</w:t>
      </w:r>
      <w:r w:rsidR="0095275C" w:rsidRPr="00AC6C6F">
        <w:rPr>
          <w:rFonts w:cs="Calibri"/>
          <w:bCs/>
        </w:rPr>
        <w:t xml:space="preserve"> </w:t>
      </w:r>
      <w:r w:rsidR="003830F0" w:rsidRPr="00AC6C6F">
        <w:rPr>
          <w:rFonts w:cs="Calibri"/>
          <w:bCs/>
        </w:rPr>
        <w:t xml:space="preserve">in the submission </w:t>
      </w:r>
      <w:r w:rsidR="0095275C" w:rsidRPr="00AC6C6F">
        <w:rPr>
          <w:rFonts w:cs="Calibri"/>
          <w:bCs/>
        </w:rPr>
        <w:t xml:space="preserve">and did not show any separation in the OS curves (see </w:t>
      </w:r>
      <w:r w:rsidR="0095275C" w:rsidRPr="00AC6C6F">
        <w:rPr>
          <w:rFonts w:cs="Calibri"/>
        </w:rPr>
        <w:t>Figure 3)</w:t>
      </w:r>
      <w:r w:rsidRPr="00AC6C6F">
        <w:rPr>
          <w:rFonts w:cs="Calibri"/>
          <w:bCs/>
        </w:rPr>
        <w:t xml:space="preserve">. </w:t>
      </w:r>
      <w:r w:rsidRPr="00AC6C6F">
        <w:rPr>
          <w:iCs/>
        </w:rPr>
        <w:t>The updated KM analysis was consistent with the OS results from the primary analysis</w:t>
      </w:r>
      <w:r w:rsidR="006A58DE" w:rsidRPr="00AC6C6F">
        <w:rPr>
          <w:iCs/>
        </w:rPr>
        <w:t>.</w:t>
      </w:r>
    </w:p>
    <w:p w:rsidR="00AF726E" w:rsidRPr="00AC6C6F" w:rsidRDefault="00AF726E" w:rsidP="0095275C">
      <w:pPr>
        <w:keepNext/>
        <w:keepLines/>
        <w:rPr>
          <w:rStyle w:val="CommentReference"/>
          <w:bCs/>
        </w:rPr>
      </w:pPr>
      <w:r w:rsidRPr="00AC6C6F">
        <w:rPr>
          <w:rStyle w:val="CommentReference"/>
          <w:bCs/>
        </w:rPr>
        <w:t>Figure 3 Kaplan-Meier</w:t>
      </w:r>
      <w:r w:rsidRPr="00AC6C6F">
        <w:rPr>
          <w:rStyle w:val="CommentReference"/>
        </w:rPr>
        <w:t xml:space="preserve"> </w:t>
      </w:r>
      <w:r w:rsidRPr="00AC6C6F">
        <w:rPr>
          <w:rStyle w:val="CommentReference"/>
          <w:bCs/>
        </w:rPr>
        <w:t>analysis of OS (ITT</w:t>
      </w:r>
      <w:r w:rsidR="00190B37" w:rsidRPr="00AC6C6F">
        <w:rPr>
          <w:rStyle w:val="CommentReference"/>
          <w:bCs/>
        </w:rPr>
        <w:t>; 2</w:t>
      </w:r>
      <w:r w:rsidR="00190B37" w:rsidRPr="00AC6C6F">
        <w:rPr>
          <w:rStyle w:val="CommentReference"/>
          <w:bCs/>
          <w:vertAlign w:val="superscript"/>
        </w:rPr>
        <w:t>nd</w:t>
      </w:r>
      <w:r w:rsidR="00190B37" w:rsidRPr="00AC6C6F">
        <w:rPr>
          <w:rStyle w:val="CommentReference"/>
          <w:bCs/>
        </w:rPr>
        <w:t xml:space="preserve"> March 2019 analysis</w:t>
      </w:r>
      <w:r w:rsidRPr="00AC6C6F">
        <w:rPr>
          <w:rStyle w:val="CommentReference"/>
          <w:bCs/>
        </w:rPr>
        <w:t xml:space="preserve">) </w:t>
      </w:r>
    </w:p>
    <w:p w:rsidR="00AF726E" w:rsidRPr="00AC6C6F" w:rsidRDefault="00AF726E" w:rsidP="00AF726E">
      <w:r w:rsidRPr="00AC6C6F">
        <w:rPr>
          <w:noProof/>
        </w:rPr>
        <w:drawing>
          <wp:inline distT="0" distB="0" distL="0" distR="0" wp14:anchorId="4F25FA7E" wp14:editId="1F2C223C">
            <wp:extent cx="4324662" cy="2928499"/>
            <wp:effectExtent l="0" t="0" r="0" b="5715"/>
            <wp:docPr id="17" name="Picture 1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84469" cy="2968998"/>
                    </a:xfrm>
                    <a:prstGeom prst="rect">
                      <a:avLst/>
                    </a:prstGeom>
                  </pic:spPr>
                </pic:pic>
              </a:graphicData>
            </a:graphic>
          </wp:inline>
        </w:drawing>
      </w:r>
    </w:p>
    <w:p w:rsidR="00AF726E" w:rsidRPr="00AC6C6F" w:rsidRDefault="00AF726E" w:rsidP="00AF726E">
      <w:pPr>
        <w:rPr>
          <w:rFonts w:ascii="Arial Narrow" w:hAnsi="Arial Narrow"/>
          <w:sz w:val="18"/>
          <w:szCs w:val="18"/>
        </w:rPr>
      </w:pPr>
      <w:r w:rsidRPr="00AC6C6F">
        <w:rPr>
          <w:rFonts w:ascii="Arial Narrow" w:hAnsi="Arial Narrow"/>
          <w:sz w:val="18"/>
          <w:szCs w:val="18"/>
        </w:rPr>
        <w:t xml:space="preserve">Source: Figure 2-32 (p147 of the </w:t>
      </w:r>
      <w:r w:rsidR="002C2AF4" w:rsidRPr="00AC6C6F">
        <w:rPr>
          <w:rFonts w:ascii="Arial Narrow" w:hAnsi="Arial Narrow"/>
          <w:sz w:val="18"/>
          <w:szCs w:val="18"/>
        </w:rPr>
        <w:t>s</w:t>
      </w:r>
      <w:r w:rsidRPr="00AC6C6F">
        <w:rPr>
          <w:rFonts w:ascii="Arial Narrow" w:hAnsi="Arial Narrow"/>
          <w:sz w:val="18"/>
          <w:szCs w:val="18"/>
        </w:rPr>
        <w:t xml:space="preserve">ubmission). </w:t>
      </w:r>
    </w:p>
    <w:p w:rsidR="00AF726E" w:rsidRPr="00AC6C6F" w:rsidRDefault="00AF726E" w:rsidP="00AF726E">
      <w:pPr>
        <w:rPr>
          <w:rFonts w:ascii="Arial Narrow" w:hAnsi="Arial Narrow"/>
          <w:sz w:val="18"/>
          <w:szCs w:val="18"/>
        </w:rPr>
      </w:pPr>
    </w:p>
    <w:p w:rsidR="00493B25" w:rsidRPr="00AC6C6F" w:rsidRDefault="0095275C" w:rsidP="00493B25">
      <w:pPr>
        <w:pStyle w:val="3-BodyText"/>
        <w:rPr>
          <w:rFonts w:cs="Calibri"/>
          <w:color w:val="000000" w:themeColor="text1"/>
        </w:rPr>
      </w:pPr>
      <w:r w:rsidRPr="00AC6C6F">
        <w:rPr>
          <w:rFonts w:cs="Calibri"/>
          <w:color w:val="000000" w:themeColor="text1"/>
        </w:rPr>
        <w:t>The submission noted that the OS comparison in MAVORIC was confounded by treatment switching in the vorinostat arm (73.1% of patients switched).</w:t>
      </w:r>
      <w:r w:rsidR="00493B25" w:rsidRPr="00AC6C6F">
        <w:rPr>
          <w:rFonts w:cs="Calibri"/>
          <w:color w:val="000000" w:themeColor="text1"/>
        </w:rPr>
        <w:t xml:space="preserve"> The ESC noted that baseline characteristics of patients between the switchers and non-switchers appeared balanced for most categories with the exception of race where there were more </w:t>
      </w:r>
      <w:r w:rsidR="00266E9B" w:rsidRPr="00AC6C6F">
        <w:rPr>
          <w:rFonts w:cs="Calibri"/>
          <w:color w:val="000000" w:themeColor="text1"/>
        </w:rPr>
        <w:t>Caucasian</w:t>
      </w:r>
      <w:r w:rsidR="00493B25" w:rsidRPr="00AC6C6F">
        <w:rPr>
          <w:rFonts w:cs="Calibri"/>
          <w:color w:val="000000" w:themeColor="text1"/>
        </w:rPr>
        <w:t xml:space="preserve"> patients in the switching group (76.3% vs 62.7%) and CTCL subtype where there were more MF patients in the non-switching group (64.7% vs 48.9%). The ESC noted that reporting of the baseline characteristics of patients was incomplete as it did not include all of the baseline characteristics.</w:t>
      </w:r>
      <w:r w:rsidR="00493B25" w:rsidRPr="00AC6C6F">
        <w:rPr>
          <w:rFonts w:cs="Calibri"/>
          <w:color w:val="000000" w:themeColor="text1"/>
          <w:vertAlign w:val="superscript"/>
        </w:rPr>
        <w:footnoteReference w:id="4"/>
      </w:r>
      <w:r w:rsidR="00493B25" w:rsidRPr="00AC6C6F">
        <w:rPr>
          <w:rFonts w:cs="Calibri"/>
          <w:color w:val="000000" w:themeColor="text1"/>
        </w:rPr>
        <w:t xml:space="preserve"> In addition, the ESC noted that although the proposed PBS restriction includes patients receiving SCT these patient were excluded (8.1% in the mogamulizumab and 7.3% in the vorinostat groups respectively) from the treatment switching analysis. </w:t>
      </w:r>
      <w:r w:rsidR="00F84717" w:rsidRPr="00AC6C6F">
        <w:rPr>
          <w:rFonts w:cs="Calibri"/>
          <w:color w:val="000000" w:themeColor="text1"/>
        </w:rPr>
        <w:t>The pre-PBAC response argued that the exclusion of patients receiving SCT from the treatment switching analysis was conservative as SCT is a potentially curative intervention and there was differential uptake across treatment arms in MAVORIC</w:t>
      </w:r>
      <w:r w:rsidR="002214C5" w:rsidRPr="00AC6C6F">
        <w:rPr>
          <w:rFonts w:cs="Calibri"/>
          <w:color w:val="000000" w:themeColor="text1"/>
        </w:rPr>
        <w:t xml:space="preserve"> which may not be reflected in the real world setting</w:t>
      </w:r>
      <w:r w:rsidR="00F84717" w:rsidRPr="00AC6C6F">
        <w:rPr>
          <w:rFonts w:cs="Calibri"/>
          <w:color w:val="000000" w:themeColor="text1"/>
        </w:rPr>
        <w:t xml:space="preserve">. </w:t>
      </w:r>
      <w:r w:rsidR="00194CC9" w:rsidRPr="00AC6C6F">
        <w:rPr>
          <w:rFonts w:cs="Calibri"/>
          <w:color w:val="000000" w:themeColor="text1"/>
        </w:rPr>
        <w:t xml:space="preserve">The PBAC </w:t>
      </w:r>
      <w:r w:rsidR="00194CC9" w:rsidRPr="00AC6C6F">
        <w:rPr>
          <w:iCs/>
        </w:rPr>
        <w:t xml:space="preserve">considered that as the requested listing population included patients receiving SCT it follows that they should be included in the treatment switching analysis. </w:t>
      </w:r>
    </w:p>
    <w:p w:rsidR="006A0BAA" w:rsidRPr="00AC6C6F" w:rsidRDefault="0095275C" w:rsidP="00706F69">
      <w:pPr>
        <w:pStyle w:val="3-BodyText"/>
        <w:rPr>
          <w:rFonts w:cs="Calibri"/>
          <w:color w:val="000000" w:themeColor="text1"/>
        </w:rPr>
      </w:pPr>
      <w:r w:rsidRPr="00AC6C6F">
        <w:rPr>
          <w:snapToGrid/>
        </w:rPr>
        <w:t>The submission presented</w:t>
      </w:r>
      <w:r w:rsidR="001437F1" w:rsidRPr="00AC6C6F">
        <w:rPr>
          <w:snapToGrid/>
        </w:rPr>
        <w:t xml:space="preserve"> four approaches to adjust for the impact of treatment switching on the comparison of survival, namely</w:t>
      </w:r>
      <w:r w:rsidRPr="00AC6C6F">
        <w:rPr>
          <w:snapToGrid/>
        </w:rPr>
        <w:t xml:space="preserve"> censoring switching, </w:t>
      </w:r>
      <w:r w:rsidRPr="00AC6C6F">
        <w:t>the rank-preserving structural failure time (RPSFT) model, the inverse probability of censoring weighting (IPCW)</w:t>
      </w:r>
      <w:r w:rsidRPr="00AC6C6F">
        <w:rPr>
          <w:snapToGrid/>
        </w:rPr>
        <w:t>, and the two‐stage method (TSEM).</w:t>
      </w:r>
      <w:r w:rsidRPr="00AC6C6F">
        <w:rPr>
          <w:i/>
          <w:iCs/>
          <w:snapToGrid/>
        </w:rPr>
        <w:t xml:space="preserve"> </w:t>
      </w:r>
      <w:r w:rsidR="00F6528D" w:rsidRPr="00AC6C6F">
        <w:rPr>
          <w:iCs/>
          <w:snapToGrid/>
        </w:rPr>
        <w:t>The ESC considered it was reasonable to apply an adjustment for treatment switching. However, the submission did not adequately justify the approaches it took to adjust for treatment switching, particularly in terms of model selection and the patient characteristics used to inform those models.</w:t>
      </w:r>
      <w:r w:rsidR="00F6528D" w:rsidRPr="00AC6C6F">
        <w:rPr>
          <w:snapToGrid/>
        </w:rPr>
        <w:t xml:space="preserve"> </w:t>
      </w:r>
      <w:r w:rsidR="00F6528D" w:rsidRPr="00AC6C6F">
        <w:rPr>
          <w:iCs/>
          <w:snapToGrid/>
        </w:rPr>
        <w:t>In additio</w:t>
      </w:r>
      <w:r w:rsidR="004A37B7" w:rsidRPr="00AC6C6F">
        <w:rPr>
          <w:iCs/>
          <w:snapToGrid/>
        </w:rPr>
        <w:t>n, t</w:t>
      </w:r>
      <w:r w:rsidR="001437F1" w:rsidRPr="00AC6C6F">
        <w:rPr>
          <w:iCs/>
          <w:snapToGrid/>
        </w:rPr>
        <w:t xml:space="preserve">he ESC noted that each of the </w:t>
      </w:r>
      <w:r w:rsidR="006A0BAA" w:rsidRPr="00AC6C6F">
        <w:rPr>
          <w:iCs/>
          <w:snapToGrid/>
        </w:rPr>
        <w:t>methods are prone to error if key assumptions are not met.</w:t>
      </w:r>
      <w:r w:rsidR="006A0BAA" w:rsidRPr="00AC6C6F">
        <w:rPr>
          <w:rStyle w:val="FootnoteReference"/>
          <w:iCs/>
          <w:snapToGrid/>
        </w:rPr>
        <w:footnoteReference w:id="5"/>
      </w:r>
      <w:r w:rsidR="006A0BAA" w:rsidRPr="00AC6C6F">
        <w:rPr>
          <w:iCs/>
          <w:snapToGrid/>
        </w:rPr>
        <w:t xml:space="preserve"> </w:t>
      </w:r>
    </w:p>
    <w:p w:rsidR="006A0BAA" w:rsidRPr="00AC6C6F" w:rsidRDefault="00BA6E8E" w:rsidP="006A0BAA">
      <w:pPr>
        <w:pStyle w:val="3-BodyText"/>
        <w:rPr>
          <w:snapToGrid/>
        </w:rPr>
      </w:pPr>
      <w:r w:rsidRPr="00AC6C6F">
        <w:rPr>
          <w:snapToGrid/>
        </w:rPr>
        <w:t xml:space="preserve">A key assumption for the RPSFT method is </w:t>
      </w:r>
      <w:r w:rsidR="00106F5F" w:rsidRPr="00AC6C6F">
        <w:rPr>
          <w:snapToGrid/>
        </w:rPr>
        <w:t xml:space="preserve">a </w:t>
      </w:r>
      <w:r w:rsidRPr="00AC6C6F">
        <w:rPr>
          <w:snapToGrid/>
        </w:rPr>
        <w:t xml:space="preserve">common treatment effect for patients randomised to mogamulizumab and for patients who </w:t>
      </w:r>
      <w:r w:rsidR="00106F5F" w:rsidRPr="00AC6C6F">
        <w:rPr>
          <w:snapToGrid/>
        </w:rPr>
        <w:t xml:space="preserve">later </w:t>
      </w:r>
      <w:r w:rsidRPr="00AC6C6F">
        <w:rPr>
          <w:snapToGrid/>
        </w:rPr>
        <w:t>switch to mogamulizumab. The ESC noted it is unknown if this holds although the PFS data (see paragraph 6.1</w:t>
      </w:r>
      <w:r w:rsidR="00BF35FB" w:rsidRPr="00AC6C6F">
        <w:rPr>
          <w:snapToGrid/>
        </w:rPr>
        <w:t>8</w:t>
      </w:r>
      <w:r w:rsidRPr="00AC6C6F">
        <w:rPr>
          <w:snapToGrid/>
        </w:rPr>
        <w:t xml:space="preserve">) suggest it may not. </w:t>
      </w:r>
    </w:p>
    <w:p w:rsidR="00014174" w:rsidRPr="00AC6C6F" w:rsidRDefault="006A0BAA" w:rsidP="00A56878">
      <w:pPr>
        <w:pStyle w:val="3-BodyText"/>
        <w:rPr>
          <w:i/>
          <w:snapToGrid/>
        </w:rPr>
      </w:pPr>
      <w:r w:rsidRPr="00AC6C6F">
        <w:t xml:space="preserve">The ESC noted </w:t>
      </w:r>
      <w:r w:rsidR="00155238" w:rsidRPr="00AC6C6F">
        <w:t xml:space="preserve">that </w:t>
      </w:r>
      <w:r w:rsidRPr="00AC6C6F">
        <w:t xml:space="preserve">both IPCW and TSEM </w:t>
      </w:r>
      <w:r w:rsidR="00155238" w:rsidRPr="00AC6C6F">
        <w:t>approaches assume that</w:t>
      </w:r>
      <w:r w:rsidRPr="00AC6C6F">
        <w:t xml:space="preserve"> </w:t>
      </w:r>
      <w:r w:rsidR="00F1097F" w:rsidRPr="00AC6C6F">
        <w:t xml:space="preserve">the data for patient </w:t>
      </w:r>
      <w:r w:rsidR="006F4578" w:rsidRPr="00AC6C6F">
        <w:t>characteristics</w:t>
      </w:r>
      <w:r w:rsidR="00F1097F" w:rsidRPr="00AC6C6F">
        <w:t xml:space="preserve"> that are</w:t>
      </w:r>
      <w:r w:rsidRPr="00AC6C6F">
        <w:t xml:space="preserve"> prognostic factors for </w:t>
      </w:r>
      <w:r w:rsidR="00F1097F" w:rsidRPr="00AC6C6F">
        <w:t xml:space="preserve">mortality and that influence the probability of switching </w:t>
      </w:r>
      <w:r w:rsidR="00A93F2F" w:rsidRPr="00AC6C6F">
        <w:t>are</w:t>
      </w:r>
      <w:r w:rsidRPr="00AC6C6F">
        <w:t xml:space="preserve"> available</w:t>
      </w:r>
      <w:r w:rsidR="00F1097F" w:rsidRPr="00AC6C6F">
        <w:t>, and are included in the model to predict the probability of switching</w:t>
      </w:r>
      <w:r w:rsidRPr="00AC6C6F">
        <w:t>.</w:t>
      </w:r>
      <w:r w:rsidR="00155238" w:rsidRPr="00AC6C6F">
        <w:rPr>
          <w:rStyle w:val="FootnoteReference"/>
        </w:rPr>
        <w:footnoteReference w:id="6"/>
      </w:r>
      <w:r w:rsidRPr="00AC6C6F">
        <w:t xml:space="preserve"> </w:t>
      </w:r>
      <w:r w:rsidR="00155238" w:rsidRPr="00AC6C6F">
        <w:t>The ESC noted the submission modelled switching as a function of baseline characteristics including progression status, ECOG, histology (MF/SS), disease stage, age, adverse events, and region</w:t>
      </w:r>
      <w:r w:rsidR="00706F69" w:rsidRPr="00AC6C6F">
        <w:t xml:space="preserve"> for IPCW</w:t>
      </w:r>
      <w:r w:rsidR="00155238" w:rsidRPr="00AC6C6F">
        <w:t>.</w:t>
      </w:r>
      <w:r w:rsidR="001112AF" w:rsidRPr="00AC6C6F">
        <w:t xml:space="preserve"> </w:t>
      </w:r>
      <w:r w:rsidR="00706F69" w:rsidRPr="00AC6C6F">
        <w:t xml:space="preserve">The same patient characteristics were used for TSEM to analyse the counterfactual for OS after progression. </w:t>
      </w:r>
      <w:r w:rsidR="001112AF" w:rsidRPr="00AC6C6F">
        <w:rPr>
          <w:iCs/>
        </w:rPr>
        <w:t>The submission reported that progression status, ECOG status, age and time</w:t>
      </w:r>
      <w:r w:rsidR="001112AF" w:rsidRPr="00AC6C6F">
        <w:rPr>
          <w:rStyle w:val="FootnoteReference"/>
          <w:iCs/>
        </w:rPr>
        <w:footnoteReference w:id="7"/>
      </w:r>
      <w:r w:rsidR="001112AF" w:rsidRPr="00AC6C6F">
        <w:rPr>
          <w:iCs/>
        </w:rPr>
        <w:t xml:space="preserve"> are predictive of switching</w:t>
      </w:r>
      <w:r w:rsidR="00AC6C6F">
        <w:rPr>
          <w:iCs/>
        </w:rPr>
        <w:t xml:space="preserve">. </w:t>
      </w:r>
      <w:r w:rsidR="001112AF" w:rsidRPr="00AC6C6F">
        <w:t xml:space="preserve">However, the ESC considered </w:t>
      </w:r>
      <w:r w:rsidR="001112AF" w:rsidRPr="00AC6C6F">
        <w:rPr>
          <w:iCs/>
        </w:rPr>
        <w:t>i</w:t>
      </w:r>
      <w:r w:rsidR="00155238" w:rsidRPr="00AC6C6F">
        <w:rPr>
          <w:iCs/>
        </w:rPr>
        <w:t>t was unclea</w:t>
      </w:r>
      <w:r w:rsidR="001112AF" w:rsidRPr="00AC6C6F">
        <w:rPr>
          <w:iCs/>
        </w:rPr>
        <w:t>r why the</w:t>
      </w:r>
      <w:r w:rsidR="001112AF" w:rsidRPr="00AC6C6F">
        <w:rPr>
          <w:i/>
          <w:iCs/>
        </w:rPr>
        <w:t xml:space="preserve"> </w:t>
      </w:r>
      <w:r w:rsidR="001112AF" w:rsidRPr="00AC6C6F">
        <w:rPr>
          <w:iCs/>
        </w:rPr>
        <w:t>submission chose the remaining</w:t>
      </w:r>
      <w:r w:rsidR="00155238" w:rsidRPr="00AC6C6F">
        <w:rPr>
          <w:iCs/>
        </w:rPr>
        <w:t xml:space="preserve"> variables and excluded other baseline characteristics</w:t>
      </w:r>
      <w:r w:rsidR="00155238" w:rsidRPr="00AC6C6F">
        <w:rPr>
          <w:rStyle w:val="FootnoteReference"/>
          <w:iCs/>
        </w:rPr>
        <w:footnoteReference w:id="8"/>
      </w:r>
      <w:r w:rsidR="00155238" w:rsidRPr="00AC6C6F">
        <w:rPr>
          <w:iCs/>
        </w:rPr>
        <w:t xml:space="preserve"> from the analysis</w:t>
      </w:r>
      <w:r w:rsidR="000C0BD6" w:rsidRPr="00AC6C6F">
        <w:rPr>
          <w:iCs/>
        </w:rPr>
        <w:t>.</w:t>
      </w:r>
    </w:p>
    <w:p w:rsidR="0095275C" w:rsidRPr="00AC6C6F" w:rsidRDefault="0095275C" w:rsidP="0095275C">
      <w:pPr>
        <w:pStyle w:val="3-BodyText"/>
        <w:rPr>
          <w:snapToGrid/>
        </w:rPr>
      </w:pPr>
      <w:r w:rsidRPr="00AC6C6F">
        <w:rPr>
          <w:iCs/>
        </w:rPr>
        <w:t xml:space="preserve">The results of the adjustment for treatment switching are presented in Figure </w:t>
      </w:r>
      <w:r w:rsidR="003162B6" w:rsidRPr="00AC6C6F">
        <w:rPr>
          <w:iCs/>
        </w:rPr>
        <w:t>4</w:t>
      </w:r>
      <w:r w:rsidRPr="00AC6C6F">
        <w:rPr>
          <w:iCs/>
        </w:rPr>
        <w:t xml:space="preserve"> (RPSFT), Figure </w:t>
      </w:r>
      <w:r w:rsidR="003162B6" w:rsidRPr="00AC6C6F">
        <w:rPr>
          <w:iCs/>
        </w:rPr>
        <w:t>5</w:t>
      </w:r>
      <w:r w:rsidRPr="00AC6C6F">
        <w:rPr>
          <w:iCs/>
        </w:rPr>
        <w:t xml:space="preserve"> (IPCW, and TSEM) and </w:t>
      </w:r>
      <w:r w:rsidR="003162B6" w:rsidRPr="00AC6C6F">
        <w:rPr>
          <w:iCs/>
        </w:rPr>
        <w:t>Table 6</w:t>
      </w:r>
      <w:r w:rsidRPr="00AC6C6F">
        <w:rPr>
          <w:iCs/>
        </w:rPr>
        <w:t xml:space="preserve">. </w:t>
      </w:r>
      <w:r w:rsidR="003830F0" w:rsidRPr="00AC6C6F">
        <w:rPr>
          <w:iCs/>
        </w:rPr>
        <w:t xml:space="preserve">The submission presented a figure as the results for RPSFT but not an HR for the updated analysis. However, it is possible the HR for RPSFT would be above 1.00 given that the OS curve for vorinostat is above that for mogamulizumab (Figure </w:t>
      </w:r>
      <w:r w:rsidR="00414E3F" w:rsidRPr="00AC6C6F">
        <w:rPr>
          <w:iCs/>
        </w:rPr>
        <w:t>4</w:t>
      </w:r>
      <w:r w:rsidR="00D52295" w:rsidRPr="00AC6C6F">
        <w:rPr>
          <w:iCs/>
        </w:rPr>
        <w:t>)</w:t>
      </w:r>
      <w:r w:rsidR="003830F0" w:rsidRPr="00AC6C6F">
        <w:rPr>
          <w:iCs/>
        </w:rPr>
        <w:t xml:space="preserve">. </w:t>
      </w:r>
      <w:r w:rsidR="00A56878" w:rsidRPr="00AC6C6F">
        <w:rPr>
          <w:iCs/>
        </w:rPr>
        <w:t>The ESC considered that</w:t>
      </w:r>
      <w:r w:rsidR="00A56878" w:rsidRPr="00AC6C6F">
        <w:rPr>
          <w:i/>
          <w:iCs/>
        </w:rPr>
        <w:t xml:space="preserve"> </w:t>
      </w:r>
      <w:r w:rsidR="00A56878" w:rsidRPr="00AC6C6F">
        <w:rPr>
          <w:iCs/>
        </w:rPr>
        <w:t>t</w:t>
      </w:r>
      <w:r w:rsidR="003830F0" w:rsidRPr="00AC6C6F">
        <w:rPr>
          <w:iCs/>
        </w:rPr>
        <w:t>his contradicts</w:t>
      </w:r>
      <w:r w:rsidR="009E5359" w:rsidRPr="00AC6C6F">
        <w:rPr>
          <w:iCs/>
        </w:rPr>
        <w:t xml:space="preserve"> </w:t>
      </w:r>
      <w:r w:rsidR="003830F0" w:rsidRPr="00AC6C6F">
        <w:rPr>
          <w:iCs/>
        </w:rPr>
        <w:t xml:space="preserve">the </w:t>
      </w:r>
      <w:r w:rsidR="009E5359" w:rsidRPr="00AC6C6F">
        <w:rPr>
          <w:iCs/>
        </w:rPr>
        <w:t xml:space="preserve">RPSFT </w:t>
      </w:r>
      <w:r w:rsidR="003830F0" w:rsidRPr="00AC6C6F">
        <w:rPr>
          <w:iCs/>
        </w:rPr>
        <w:t xml:space="preserve">results from the December 2016 analysis </w:t>
      </w:r>
      <w:r w:rsidR="009E5359" w:rsidRPr="00AC6C6F">
        <w:rPr>
          <w:iCs/>
        </w:rPr>
        <w:t xml:space="preserve">(Table 6) </w:t>
      </w:r>
      <w:r w:rsidR="003830F0" w:rsidRPr="00AC6C6F">
        <w:rPr>
          <w:iCs/>
        </w:rPr>
        <w:t>where the HR was 0.74 (95% CI: 0.48, 1.14) and seems somewhat implausible given the intention of a crossover adjustment</w:t>
      </w:r>
      <w:r w:rsidR="00C66B7E" w:rsidRPr="00AC6C6F">
        <w:rPr>
          <w:i/>
        </w:rPr>
        <w:t>.</w:t>
      </w:r>
      <w:r w:rsidR="001A7477" w:rsidRPr="00AC6C6F">
        <w:rPr>
          <w:i/>
        </w:rPr>
        <w:t xml:space="preserve"> </w:t>
      </w:r>
      <w:r w:rsidR="003825FC" w:rsidRPr="00AC6C6F">
        <w:t>The ESC considered that additional data from the sponsor on the HR for the 2</w:t>
      </w:r>
      <w:r w:rsidR="003825FC" w:rsidRPr="00AC6C6F">
        <w:rPr>
          <w:vertAlign w:val="superscript"/>
        </w:rPr>
        <w:t>nd</w:t>
      </w:r>
      <w:r w:rsidR="003825FC" w:rsidRPr="00AC6C6F">
        <w:t xml:space="preserve"> March 2019 data cut-off for RPSFT adjusted OS would be informative.</w:t>
      </w:r>
      <w:r w:rsidR="003825FC" w:rsidRPr="00AC6C6F">
        <w:rPr>
          <w:i/>
        </w:rPr>
        <w:t xml:space="preserve"> </w:t>
      </w:r>
      <w:r w:rsidR="002214C5" w:rsidRPr="00AC6C6F">
        <w:t xml:space="preserve">The pre-PBAC response reported that the HR for the preliminary RPSFT analysis in the overall ITT population was 1.26 (95% CI: 0.359, 4.423). </w:t>
      </w:r>
    </w:p>
    <w:p w:rsidR="0095275C" w:rsidRPr="00AC6C6F" w:rsidRDefault="0095275C" w:rsidP="0095275C">
      <w:pPr>
        <w:keepNext/>
        <w:jc w:val="left"/>
        <w:rPr>
          <w:rFonts w:ascii="Arial Narrow" w:hAnsi="Arial Narrow"/>
          <w:b/>
          <w:bCs/>
          <w:sz w:val="20"/>
          <w:szCs w:val="20"/>
        </w:rPr>
      </w:pPr>
      <w:r w:rsidRPr="00AC6C6F">
        <w:rPr>
          <w:rFonts w:ascii="Arial Narrow" w:hAnsi="Arial Narrow"/>
          <w:b/>
          <w:bCs/>
          <w:sz w:val="20"/>
          <w:szCs w:val="20"/>
        </w:rPr>
        <w:t xml:space="preserve">Figure </w:t>
      </w:r>
      <w:r w:rsidR="003162B6" w:rsidRPr="00AC6C6F">
        <w:rPr>
          <w:rFonts w:ascii="Arial Narrow" w:hAnsi="Arial Narrow"/>
          <w:b/>
          <w:bCs/>
          <w:sz w:val="20"/>
          <w:szCs w:val="20"/>
        </w:rPr>
        <w:t>4</w:t>
      </w:r>
      <w:r w:rsidRPr="00AC6C6F">
        <w:rPr>
          <w:rFonts w:ascii="Arial Narrow" w:hAnsi="Arial Narrow"/>
          <w:b/>
          <w:bCs/>
          <w:sz w:val="20"/>
          <w:szCs w:val="20"/>
        </w:rPr>
        <w:t>: RPSFT adjusted Kaplan-Meier of overall survival</w:t>
      </w:r>
      <w:r w:rsidR="002E7F6B" w:rsidRPr="00AC6C6F">
        <w:rPr>
          <w:rFonts w:ascii="Arial Narrow" w:hAnsi="Arial Narrow"/>
          <w:b/>
          <w:bCs/>
          <w:sz w:val="20"/>
          <w:szCs w:val="20"/>
        </w:rPr>
        <w:t xml:space="preserve"> (</w:t>
      </w:r>
      <w:r w:rsidR="002E2DD8" w:rsidRPr="00AC6C6F">
        <w:rPr>
          <w:rFonts w:ascii="Arial Narrow" w:hAnsi="Arial Narrow"/>
          <w:b/>
          <w:bCs/>
          <w:sz w:val="20"/>
          <w:szCs w:val="20"/>
        </w:rPr>
        <w:t>2</w:t>
      </w:r>
      <w:r w:rsidR="002E2DD8" w:rsidRPr="00AC6C6F">
        <w:rPr>
          <w:rFonts w:ascii="Arial Narrow" w:hAnsi="Arial Narrow"/>
          <w:b/>
          <w:bCs/>
          <w:sz w:val="20"/>
          <w:szCs w:val="20"/>
          <w:vertAlign w:val="superscript"/>
        </w:rPr>
        <w:t>nd</w:t>
      </w:r>
      <w:r w:rsidR="002E2DD8" w:rsidRPr="00AC6C6F">
        <w:rPr>
          <w:rFonts w:ascii="Arial Narrow" w:hAnsi="Arial Narrow"/>
          <w:b/>
          <w:bCs/>
          <w:sz w:val="20"/>
          <w:szCs w:val="20"/>
        </w:rPr>
        <w:t xml:space="preserve"> </w:t>
      </w:r>
      <w:r w:rsidR="002E7F6B" w:rsidRPr="00AC6C6F">
        <w:rPr>
          <w:rFonts w:ascii="Arial Narrow" w:hAnsi="Arial Narrow"/>
          <w:b/>
          <w:bCs/>
          <w:sz w:val="20"/>
          <w:szCs w:val="20"/>
        </w:rPr>
        <w:t>March 2019 data cut-off)</w:t>
      </w:r>
    </w:p>
    <w:p w:rsidR="0095275C" w:rsidRPr="00AC6C6F" w:rsidRDefault="0095275C" w:rsidP="0095275C">
      <w:pPr>
        <w:jc w:val="center"/>
      </w:pPr>
      <w:r w:rsidRPr="00AC6C6F">
        <w:rPr>
          <w:noProof/>
        </w:rPr>
        <w:drawing>
          <wp:inline distT="0" distB="0" distL="0" distR="0" wp14:anchorId="7F14AACB" wp14:editId="56E93537">
            <wp:extent cx="4698203" cy="2480271"/>
            <wp:effectExtent l="0" t="0" r="7620" b="0"/>
            <wp:docPr id="6" name="Picture 6" title="Figure 4: RPSFT adjusted Kaplan-Meier of overall survival (2nd March 2019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38855" cy="2501732"/>
                    </a:xfrm>
                    <a:prstGeom prst="rect">
                      <a:avLst/>
                    </a:prstGeom>
                  </pic:spPr>
                </pic:pic>
              </a:graphicData>
            </a:graphic>
          </wp:inline>
        </w:drawing>
      </w:r>
    </w:p>
    <w:p w:rsidR="0095275C" w:rsidRPr="00AC6C6F" w:rsidRDefault="0095275C" w:rsidP="0095275C">
      <w:pPr>
        <w:jc w:val="left"/>
        <w:rPr>
          <w:rFonts w:ascii="Arial Narrow" w:hAnsi="Arial Narrow"/>
          <w:sz w:val="18"/>
          <w:szCs w:val="18"/>
        </w:rPr>
      </w:pPr>
      <w:r w:rsidRPr="00AC6C6F">
        <w:rPr>
          <w:rFonts w:ascii="Arial Narrow" w:hAnsi="Arial Narrow"/>
          <w:sz w:val="18"/>
          <w:szCs w:val="18"/>
        </w:rPr>
        <w:t>Source: Figure 2.35 p148 of the submission</w:t>
      </w:r>
    </w:p>
    <w:p w:rsidR="0095275C" w:rsidRPr="00AC6C6F" w:rsidRDefault="0095275C" w:rsidP="003830F0">
      <w:pPr>
        <w:jc w:val="left"/>
        <w:rPr>
          <w:rFonts w:ascii="Arial Narrow" w:hAnsi="Arial Narrow"/>
          <w:sz w:val="18"/>
        </w:rPr>
      </w:pPr>
      <w:r w:rsidRPr="00AC6C6F">
        <w:rPr>
          <w:rFonts w:ascii="Arial Narrow" w:hAnsi="Arial Narrow"/>
          <w:sz w:val="18"/>
        </w:rPr>
        <w:t>Abbreviations: RPSFT = rank-preserving structural failure time</w:t>
      </w:r>
    </w:p>
    <w:p w:rsidR="003830F0" w:rsidRPr="00AC6C6F" w:rsidRDefault="003830F0" w:rsidP="003830F0">
      <w:pPr>
        <w:jc w:val="left"/>
        <w:rPr>
          <w:rFonts w:ascii="Arial Narrow" w:hAnsi="Arial Narrow"/>
          <w:sz w:val="18"/>
        </w:rPr>
      </w:pPr>
    </w:p>
    <w:p w:rsidR="0095275C" w:rsidRPr="00AC6C6F" w:rsidRDefault="0095275C" w:rsidP="00E21511">
      <w:pPr>
        <w:keepNext/>
        <w:jc w:val="left"/>
        <w:rPr>
          <w:rFonts w:ascii="Arial Narrow" w:hAnsi="Arial Narrow"/>
          <w:b/>
          <w:bCs/>
          <w:sz w:val="20"/>
          <w:szCs w:val="20"/>
        </w:rPr>
      </w:pPr>
      <w:r w:rsidRPr="00AC6C6F">
        <w:rPr>
          <w:rFonts w:ascii="Arial Narrow" w:hAnsi="Arial Narrow"/>
          <w:b/>
          <w:bCs/>
          <w:sz w:val="20"/>
          <w:szCs w:val="20"/>
        </w:rPr>
        <w:t xml:space="preserve">Figure </w:t>
      </w:r>
      <w:r w:rsidR="003162B6" w:rsidRPr="00AC6C6F">
        <w:rPr>
          <w:rFonts w:ascii="Arial Narrow" w:hAnsi="Arial Narrow"/>
          <w:b/>
          <w:bCs/>
          <w:sz w:val="20"/>
          <w:szCs w:val="20"/>
        </w:rPr>
        <w:t>5</w:t>
      </w:r>
      <w:r w:rsidRPr="00AC6C6F">
        <w:rPr>
          <w:rFonts w:ascii="Arial Narrow" w:hAnsi="Arial Narrow"/>
          <w:b/>
          <w:bCs/>
          <w:sz w:val="20"/>
          <w:szCs w:val="20"/>
        </w:rPr>
        <w:t xml:space="preserve">: IPCW, and TSEM adjusted Kaplan-Meier of overall survival and ITT </w:t>
      </w:r>
      <w:r w:rsidR="002E7F6B" w:rsidRPr="00AC6C6F">
        <w:rPr>
          <w:rFonts w:ascii="Arial Narrow" w:hAnsi="Arial Narrow"/>
          <w:b/>
          <w:bCs/>
          <w:sz w:val="20"/>
          <w:szCs w:val="20"/>
        </w:rPr>
        <w:t>(</w:t>
      </w:r>
      <w:r w:rsidR="002E2DD8" w:rsidRPr="00AC6C6F">
        <w:rPr>
          <w:rFonts w:ascii="Arial Narrow" w:hAnsi="Arial Narrow"/>
          <w:b/>
          <w:bCs/>
          <w:sz w:val="20"/>
          <w:szCs w:val="20"/>
        </w:rPr>
        <w:t>2</w:t>
      </w:r>
      <w:r w:rsidR="002E2DD8" w:rsidRPr="00AC6C6F">
        <w:rPr>
          <w:rFonts w:ascii="Arial Narrow" w:hAnsi="Arial Narrow"/>
          <w:b/>
          <w:bCs/>
          <w:sz w:val="20"/>
          <w:szCs w:val="20"/>
          <w:vertAlign w:val="superscript"/>
        </w:rPr>
        <w:t>nd</w:t>
      </w:r>
      <w:r w:rsidR="002E2DD8" w:rsidRPr="00AC6C6F">
        <w:rPr>
          <w:rFonts w:ascii="Arial Narrow" w:hAnsi="Arial Narrow"/>
          <w:b/>
          <w:bCs/>
          <w:sz w:val="20"/>
          <w:szCs w:val="20"/>
        </w:rPr>
        <w:t xml:space="preserve"> </w:t>
      </w:r>
      <w:r w:rsidR="002E7F6B" w:rsidRPr="00AC6C6F">
        <w:rPr>
          <w:rFonts w:ascii="Arial Narrow" w:hAnsi="Arial Narrow"/>
          <w:b/>
          <w:bCs/>
          <w:sz w:val="20"/>
          <w:szCs w:val="20"/>
        </w:rPr>
        <w:t>March 2019 data cut-off)</w:t>
      </w:r>
    </w:p>
    <w:p w:rsidR="0095275C" w:rsidRPr="00AC6C6F" w:rsidRDefault="0095275C" w:rsidP="0095275C">
      <w:pPr>
        <w:jc w:val="center"/>
      </w:pPr>
      <w:r w:rsidRPr="00AC6C6F">
        <w:rPr>
          <w:noProof/>
        </w:rPr>
        <w:drawing>
          <wp:inline distT="0" distB="0" distL="0" distR="0" wp14:anchorId="4BAB6867" wp14:editId="09D12711">
            <wp:extent cx="4613682" cy="3011902"/>
            <wp:effectExtent l="0" t="0" r="0" b="0"/>
            <wp:docPr id="32" name="Picture 32" title="Figure 5: IPCW, and TSEM adjusted Kaplan-Meier of overall survival and ITT (2nd March 2019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6099" cy="3020008"/>
                    </a:xfrm>
                    <a:prstGeom prst="rect">
                      <a:avLst/>
                    </a:prstGeom>
                    <a:noFill/>
                    <a:ln>
                      <a:noFill/>
                    </a:ln>
                  </pic:spPr>
                </pic:pic>
              </a:graphicData>
            </a:graphic>
          </wp:inline>
        </w:drawing>
      </w:r>
    </w:p>
    <w:p w:rsidR="0095275C" w:rsidRPr="00AC6C6F" w:rsidRDefault="0095275C" w:rsidP="0095275C">
      <w:pPr>
        <w:jc w:val="left"/>
        <w:rPr>
          <w:rFonts w:ascii="Arial Narrow" w:hAnsi="Arial Narrow"/>
          <w:sz w:val="18"/>
          <w:szCs w:val="18"/>
        </w:rPr>
      </w:pPr>
      <w:r w:rsidRPr="00AC6C6F">
        <w:rPr>
          <w:rFonts w:ascii="Arial Narrow" w:hAnsi="Arial Narrow"/>
          <w:sz w:val="18"/>
          <w:szCs w:val="18"/>
        </w:rPr>
        <w:t>Source: developed during the evaluation based on worksheet Section 3 Workbook of the submission.</w:t>
      </w:r>
    </w:p>
    <w:p w:rsidR="0095275C" w:rsidRPr="00AC6C6F" w:rsidRDefault="0095275C" w:rsidP="0095275C">
      <w:pPr>
        <w:pStyle w:val="CaptionFootnote"/>
        <w:rPr>
          <w:rFonts w:ascii="Arial Narrow" w:hAnsi="Arial Narrow"/>
          <w:sz w:val="18"/>
        </w:rPr>
      </w:pPr>
      <w:r w:rsidRPr="00AC6C6F">
        <w:rPr>
          <w:rFonts w:ascii="Arial Narrow" w:hAnsi="Arial Narrow"/>
          <w:sz w:val="18"/>
        </w:rPr>
        <w:t>Abbreviations: ITT = intention-to-treat; IPCW = inverse probability of censoring weighted; RPSFT = rank-preserving structural failure time</w:t>
      </w:r>
    </w:p>
    <w:p w:rsidR="0095275C" w:rsidRPr="00AC6C6F" w:rsidRDefault="0095275C" w:rsidP="0095275C">
      <w:pPr>
        <w:pStyle w:val="3-BodyText"/>
        <w:numPr>
          <w:ilvl w:val="0"/>
          <w:numId w:val="0"/>
        </w:numPr>
        <w:ind w:left="720"/>
        <w:rPr>
          <w:snapToGrid/>
        </w:rPr>
      </w:pPr>
    </w:p>
    <w:p w:rsidR="0095275C" w:rsidRPr="00AC6C6F" w:rsidRDefault="0095275C" w:rsidP="004E72D4">
      <w:pPr>
        <w:pStyle w:val="Caption"/>
        <w:keepNext/>
        <w:keepLines/>
        <w:spacing w:after="0"/>
        <w:rPr>
          <w:rFonts w:ascii="Arial Narrow" w:hAnsi="Arial Narrow"/>
          <w:color w:val="auto"/>
          <w:sz w:val="20"/>
          <w:szCs w:val="20"/>
        </w:rPr>
      </w:pPr>
      <w:r w:rsidRPr="00AC6C6F">
        <w:rPr>
          <w:rFonts w:ascii="Arial Narrow" w:hAnsi="Arial Narrow"/>
          <w:color w:val="auto"/>
          <w:sz w:val="20"/>
          <w:szCs w:val="20"/>
        </w:rPr>
        <w:t xml:space="preserve">Table </w:t>
      </w:r>
      <w:r w:rsidR="003162B6" w:rsidRPr="00AC6C6F">
        <w:rPr>
          <w:rFonts w:ascii="Arial Narrow" w:hAnsi="Arial Narrow"/>
          <w:color w:val="auto"/>
          <w:sz w:val="20"/>
          <w:szCs w:val="20"/>
        </w:rPr>
        <w:t>6</w:t>
      </w:r>
      <w:r w:rsidRPr="00AC6C6F">
        <w:rPr>
          <w:rFonts w:ascii="Arial Narrow" w:hAnsi="Arial Narrow"/>
          <w:color w:val="auto"/>
          <w:sz w:val="20"/>
          <w:szCs w:val="20"/>
        </w:rPr>
        <w:t>: Results from the adjustment for treatment switching</w:t>
      </w:r>
    </w:p>
    <w:tbl>
      <w:tblPr>
        <w:tblStyle w:val="Summarybox1"/>
        <w:tblW w:w="5000" w:type="pct"/>
        <w:tblLook w:val="04A0" w:firstRow="1" w:lastRow="0" w:firstColumn="1" w:lastColumn="0" w:noHBand="0" w:noVBand="1"/>
        <w:tblCaption w:val="Table 6: Results from the adjustment for treatment switching"/>
      </w:tblPr>
      <w:tblGrid>
        <w:gridCol w:w="5933"/>
        <w:gridCol w:w="1414"/>
        <w:gridCol w:w="1670"/>
      </w:tblGrid>
      <w:tr w:rsidR="0095275C" w:rsidRPr="00AC6C6F" w:rsidTr="003162B6">
        <w:trPr>
          <w:tblHeader/>
        </w:trPr>
        <w:tc>
          <w:tcPr>
            <w:tcW w:w="3290" w:type="pct"/>
          </w:tcPr>
          <w:p w:rsidR="0095275C" w:rsidRPr="00AC6C6F" w:rsidRDefault="0095275C" w:rsidP="004E72D4">
            <w:pPr>
              <w:pStyle w:val="Table"/>
              <w:keepNext/>
              <w:keepLines/>
              <w:rPr>
                <w:rFonts w:ascii="Arial Narrow" w:hAnsi="Arial Narrow"/>
                <w:b/>
                <w:bCs/>
                <w:szCs w:val="20"/>
              </w:rPr>
            </w:pPr>
            <w:r w:rsidRPr="00AC6C6F">
              <w:rPr>
                <w:rFonts w:ascii="Arial Narrow" w:hAnsi="Arial Narrow"/>
                <w:b/>
                <w:bCs/>
                <w:szCs w:val="20"/>
              </w:rPr>
              <w:t>Analysis</w:t>
            </w:r>
          </w:p>
        </w:tc>
        <w:tc>
          <w:tcPr>
            <w:tcW w:w="784" w:type="pct"/>
          </w:tcPr>
          <w:p w:rsidR="0095275C" w:rsidRPr="00AC6C6F" w:rsidRDefault="0095275C" w:rsidP="004E72D4">
            <w:pPr>
              <w:pStyle w:val="TableCentre"/>
              <w:keepNext/>
              <w:keepLines/>
              <w:rPr>
                <w:rFonts w:ascii="Arial Narrow" w:hAnsi="Arial Narrow"/>
                <w:b/>
                <w:bCs/>
                <w:szCs w:val="20"/>
              </w:rPr>
            </w:pPr>
            <w:r w:rsidRPr="00AC6C6F">
              <w:rPr>
                <w:rFonts w:ascii="Arial Narrow" w:hAnsi="Arial Narrow"/>
                <w:b/>
                <w:bCs/>
                <w:szCs w:val="20"/>
              </w:rPr>
              <w:t>HR</w:t>
            </w:r>
          </w:p>
        </w:tc>
        <w:tc>
          <w:tcPr>
            <w:tcW w:w="926" w:type="pct"/>
          </w:tcPr>
          <w:p w:rsidR="0095275C" w:rsidRPr="00AC6C6F" w:rsidRDefault="0095275C" w:rsidP="004E72D4">
            <w:pPr>
              <w:pStyle w:val="TableCentre"/>
              <w:keepNext/>
              <w:keepLines/>
              <w:rPr>
                <w:rFonts w:ascii="Arial Narrow" w:hAnsi="Arial Narrow"/>
                <w:b/>
                <w:bCs/>
                <w:szCs w:val="20"/>
              </w:rPr>
            </w:pPr>
            <w:r w:rsidRPr="00AC6C6F">
              <w:rPr>
                <w:rFonts w:ascii="Arial Narrow" w:hAnsi="Arial Narrow"/>
                <w:b/>
                <w:bCs/>
                <w:szCs w:val="20"/>
              </w:rPr>
              <w:t>95% CI</w:t>
            </w:r>
          </w:p>
        </w:tc>
      </w:tr>
      <w:tr w:rsidR="0095275C" w:rsidRPr="00AC6C6F" w:rsidTr="00526184">
        <w:tc>
          <w:tcPr>
            <w:tcW w:w="5000" w:type="pct"/>
            <w:gridSpan w:val="3"/>
          </w:tcPr>
          <w:p w:rsidR="0095275C" w:rsidRPr="00AC6C6F" w:rsidRDefault="0095275C" w:rsidP="004E72D4">
            <w:pPr>
              <w:pStyle w:val="TableCentre"/>
              <w:keepNext/>
              <w:keepLines/>
              <w:jc w:val="left"/>
              <w:rPr>
                <w:rFonts w:ascii="Arial Narrow" w:hAnsi="Arial Narrow"/>
                <w:bCs/>
                <w:szCs w:val="20"/>
              </w:rPr>
            </w:pPr>
            <w:r w:rsidRPr="00AC6C6F">
              <w:rPr>
                <w:rFonts w:ascii="Arial Narrow" w:hAnsi="Arial Narrow"/>
                <w:szCs w:val="20"/>
              </w:rPr>
              <w:t>March 2019 data cut-off</w:t>
            </w:r>
          </w:p>
        </w:tc>
      </w:tr>
      <w:tr w:rsidR="0095275C" w:rsidRPr="00AC6C6F" w:rsidTr="00526184">
        <w:tc>
          <w:tcPr>
            <w:tcW w:w="3290" w:type="pct"/>
          </w:tcPr>
          <w:p w:rsidR="0095275C" w:rsidRPr="00AC6C6F" w:rsidRDefault="0095275C" w:rsidP="004E72D4">
            <w:pPr>
              <w:pStyle w:val="Table"/>
              <w:keepNext/>
              <w:keepLines/>
              <w:rPr>
                <w:rFonts w:ascii="Arial Narrow" w:hAnsi="Arial Narrow"/>
                <w:szCs w:val="20"/>
              </w:rPr>
            </w:pPr>
            <w:r w:rsidRPr="00AC6C6F">
              <w:rPr>
                <w:rFonts w:ascii="Arial Narrow" w:hAnsi="Arial Narrow"/>
                <w:szCs w:val="20"/>
              </w:rPr>
              <w:t xml:space="preserve">   IPCW</w:t>
            </w:r>
          </w:p>
        </w:tc>
        <w:tc>
          <w:tcPr>
            <w:tcW w:w="784" w:type="pct"/>
          </w:tcPr>
          <w:p w:rsidR="0095275C" w:rsidRPr="00AC6C6F" w:rsidRDefault="0095275C" w:rsidP="004E72D4">
            <w:pPr>
              <w:pStyle w:val="TableCentre"/>
              <w:keepNext/>
              <w:keepLines/>
              <w:rPr>
                <w:rFonts w:ascii="Arial Narrow" w:hAnsi="Arial Narrow"/>
                <w:bCs/>
                <w:szCs w:val="20"/>
              </w:rPr>
            </w:pPr>
            <w:r w:rsidRPr="00AC6C6F">
              <w:rPr>
                <w:rFonts w:ascii="Arial Narrow" w:hAnsi="Arial Narrow"/>
                <w:bCs/>
                <w:szCs w:val="20"/>
              </w:rPr>
              <w:t>0.57</w:t>
            </w:r>
          </w:p>
        </w:tc>
        <w:tc>
          <w:tcPr>
            <w:tcW w:w="926" w:type="pct"/>
          </w:tcPr>
          <w:p w:rsidR="0095275C" w:rsidRPr="00AC6C6F" w:rsidRDefault="0095275C" w:rsidP="004E72D4">
            <w:pPr>
              <w:pStyle w:val="TableCentre"/>
              <w:keepNext/>
              <w:keepLines/>
              <w:rPr>
                <w:rFonts w:ascii="Arial Narrow" w:hAnsi="Arial Narrow"/>
                <w:bCs/>
                <w:szCs w:val="20"/>
              </w:rPr>
            </w:pPr>
            <w:r w:rsidRPr="00AC6C6F">
              <w:rPr>
                <w:rFonts w:ascii="Arial Narrow" w:hAnsi="Arial Narrow"/>
                <w:bCs/>
                <w:szCs w:val="20"/>
              </w:rPr>
              <w:t>(0.26, 1.25)</w:t>
            </w:r>
          </w:p>
        </w:tc>
      </w:tr>
      <w:tr w:rsidR="0095275C" w:rsidRPr="00AC6C6F" w:rsidTr="00526184">
        <w:tc>
          <w:tcPr>
            <w:tcW w:w="3290" w:type="pct"/>
          </w:tcPr>
          <w:p w:rsidR="0095275C" w:rsidRPr="00AC6C6F" w:rsidRDefault="0095275C" w:rsidP="004E72D4">
            <w:pPr>
              <w:pStyle w:val="Table"/>
              <w:keepNext/>
              <w:keepLines/>
              <w:rPr>
                <w:rFonts w:ascii="Arial Narrow" w:hAnsi="Arial Narrow"/>
                <w:szCs w:val="20"/>
              </w:rPr>
            </w:pPr>
            <w:r w:rsidRPr="00AC6C6F">
              <w:rPr>
                <w:rFonts w:ascii="Arial Narrow" w:hAnsi="Arial Narrow"/>
                <w:szCs w:val="20"/>
              </w:rPr>
              <w:t xml:space="preserve">   TSEM</w:t>
            </w:r>
          </w:p>
        </w:tc>
        <w:tc>
          <w:tcPr>
            <w:tcW w:w="784" w:type="pct"/>
          </w:tcPr>
          <w:p w:rsidR="0095275C" w:rsidRPr="00AC6C6F" w:rsidRDefault="0095275C" w:rsidP="004E72D4">
            <w:pPr>
              <w:pStyle w:val="TableCentre"/>
              <w:keepNext/>
              <w:keepLines/>
              <w:rPr>
                <w:rFonts w:ascii="Arial Narrow" w:hAnsi="Arial Narrow"/>
                <w:bCs/>
                <w:szCs w:val="20"/>
              </w:rPr>
            </w:pPr>
            <w:r w:rsidRPr="00AC6C6F">
              <w:rPr>
                <w:rFonts w:ascii="Arial Narrow" w:hAnsi="Arial Narrow"/>
                <w:bCs/>
                <w:szCs w:val="20"/>
              </w:rPr>
              <w:t>0.75</w:t>
            </w:r>
          </w:p>
        </w:tc>
        <w:tc>
          <w:tcPr>
            <w:tcW w:w="926" w:type="pct"/>
          </w:tcPr>
          <w:p w:rsidR="0095275C" w:rsidRPr="00AC6C6F" w:rsidRDefault="0095275C" w:rsidP="004E72D4">
            <w:pPr>
              <w:pStyle w:val="TableCentre"/>
              <w:keepNext/>
              <w:keepLines/>
              <w:rPr>
                <w:rFonts w:ascii="Arial Narrow" w:hAnsi="Arial Narrow"/>
                <w:bCs/>
                <w:szCs w:val="20"/>
              </w:rPr>
            </w:pPr>
            <w:r w:rsidRPr="00AC6C6F">
              <w:rPr>
                <w:rFonts w:ascii="Arial Narrow" w:hAnsi="Arial Narrow"/>
                <w:bCs/>
                <w:szCs w:val="20"/>
              </w:rPr>
              <w:t>(0.53, 1.07)</w:t>
            </w:r>
          </w:p>
        </w:tc>
      </w:tr>
      <w:tr w:rsidR="0095275C" w:rsidRPr="00AC6C6F" w:rsidTr="00526184">
        <w:tc>
          <w:tcPr>
            <w:tcW w:w="3290" w:type="pct"/>
          </w:tcPr>
          <w:p w:rsidR="0095275C" w:rsidRPr="00AC6C6F" w:rsidRDefault="0095275C" w:rsidP="004E72D4">
            <w:pPr>
              <w:pStyle w:val="Table"/>
              <w:keepNext/>
              <w:keepLines/>
              <w:rPr>
                <w:rFonts w:ascii="Arial Narrow" w:hAnsi="Arial Narrow"/>
                <w:szCs w:val="20"/>
                <w:vertAlign w:val="superscript"/>
              </w:rPr>
            </w:pPr>
            <w:r w:rsidRPr="00AC6C6F">
              <w:rPr>
                <w:rFonts w:ascii="Arial Narrow" w:hAnsi="Arial Narrow"/>
                <w:szCs w:val="20"/>
              </w:rPr>
              <w:t xml:space="preserve">   RPSFT</w:t>
            </w:r>
            <w:r w:rsidRPr="00AC6C6F">
              <w:rPr>
                <w:rFonts w:ascii="Arial Narrow" w:hAnsi="Arial Narrow"/>
                <w:szCs w:val="20"/>
                <w:vertAlign w:val="superscript"/>
              </w:rPr>
              <w:t>a</w:t>
            </w:r>
          </w:p>
        </w:tc>
        <w:tc>
          <w:tcPr>
            <w:tcW w:w="784" w:type="pct"/>
          </w:tcPr>
          <w:p w:rsidR="0095275C" w:rsidRPr="00AC6C6F" w:rsidRDefault="0095275C" w:rsidP="004E72D4">
            <w:pPr>
              <w:pStyle w:val="TableCentre"/>
              <w:keepNext/>
              <w:keepLines/>
              <w:rPr>
                <w:rFonts w:ascii="Arial Narrow" w:hAnsi="Arial Narrow"/>
                <w:bCs/>
                <w:szCs w:val="20"/>
              </w:rPr>
            </w:pPr>
            <w:r w:rsidRPr="00AC6C6F">
              <w:rPr>
                <w:rFonts w:ascii="Arial Narrow" w:hAnsi="Arial Narrow"/>
                <w:bCs/>
                <w:szCs w:val="20"/>
              </w:rPr>
              <w:t>NR</w:t>
            </w:r>
          </w:p>
        </w:tc>
        <w:tc>
          <w:tcPr>
            <w:tcW w:w="926" w:type="pct"/>
          </w:tcPr>
          <w:p w:rsidR="0095275C" w:rsidRPr="00AC6C6F" w:rsidRDefault="0095275C" w:rsidP="004E72D4">
            <w:pPr>
              <w:pStyle w:val="TableCentre"/>
              <w:keepNext/>
              <w:keepLines/>
              <w:rPr>
                <w:rFonts w:ascii="Arial Narrow" w:hAnsi="Arial Narrow"/>
                <w:bCs/>
                <w:szCs w:val="20"/>
              </w:rPr>
            </w:pPr>
            <w:r w:rsidRPr="00AC6C6F">
              <w:rPr>
                <w:rFonts w:ascii="Arial Narrow" w:hAnsi="Arial Narrow"/>
                <w:bCs/>
                <w:szCs w:val="20"/>
              </w:rPr>
              <w:t>NR</w:t>
            </w:r>
          </w:p>
        </w:tc>
      </w:tr>
      <w:tr w:rsidR="0095275C" w:rsidRPr="00AC6C6F" w:rsidTr="00526184">
        <w:tc>
          <w:tcPr>
            <w:tcW w:w="3290" w:type="pct"/>
          </w:tcPr>
          <w:p w:rsidR="0095275C" w:rsidRPr="00AC6C6F" w:rsidRDefault="0095275C" w:rsidP="004E72D4">
            <w:pPr>
              <w:pStyle w:val="Table"/>
              <w:keepNext/>
              <w:keepLines/>
              <w:rPr>
                <w:rFonts w:ascii="Arial Narrow" w:hAnsi="Arial Narrow"/>
                <w:szCs w:val="20"/>
              </w:rPr>
            </w:pPr>
            <w:r w:rsidRPr="00AC6C6F">
              <w:rPr>
                <w:rFonts w:ascii="Arial Narrow" w:hAnsi="Arial Narrow"/>
                <w:szCs w:val="20"/>
              </w:rPr>
              <w:t xml:space="preserve">   As randomised </w:t>
            </w:r>
          </w:p>
        </w:tc>
        <w:tc>
          <w:tcPr>
            <w:tcW w:w="784" w:type="pct"/>
          </w:tcPr>
          <w:p w:rsidR="0095275C" w:rsidRPr="00AC6C6F" w:rsidRDefault="0095275C" w:rsidP="004E72D4">
            <w:pPr>
              <w:pStyle w:val="TableCentre"/>
              <w:keepNext/>
              <w:keepLines/>
              <w:rPr>
                <w:rFonts w:ascii="Arial Narrow" w:hAnsi="Arial Narrow"/>
                <w:bCs/>
                <w:szCs w:val="20"/>
              </w:rPr>
            </w:pPr>
            <w:r w:rsidRPr="00AC6C6F">
              <w:rPr>
                <w:rFonts w:ascii="Arial Narrow" w:hAnsi="Arial Narrow"/>
                <w:bCs/>
                <w:szCs w:val="20"/>
              </w:rPr>
              <w:t xml:space="preserve">1.13 </w:t>
            </w:r>
          </w:p>
        </w:tc>
        <w:tc>
          <w:tcPr>
            <w:tcW w:w="926" w:type="pct"/>
          </w:tcPr>
          <w:p w:rsidR="0095275C" w:rsidRPr="00AC6C6F" w:rsidRDefault="0095275C" w:rsidP="004E72D4">
            <w:pPr>
              <w:pStyle w:val="TableCentre"/>
              <w:keepNext/>
              <w:keepLines/>
              <w:rPr>
                <w:rFonts w:ascii="Arial Narrow" w:hAnsi="Arial Narrow"/>
                <w:bCs/>
                <w:szCs w:val="20"/>
              </w:rPr>
            </w:pPr>
            <w:r w:rsidRPr="00AC6C6F">
              <w:rPr>
                <w:rFonts w:ascii="Arial Narrow" w:hAnsi="Arial Narrow"/>
                <w:bCs/>
                <w:szCs w:val="20"/>
              </w:rPr>
              <w:t>(0.80, 1.60)</w:t>
            </w:r>
          </w:p>
        </w:tc>
      </w:tr>
      <w:tr w:rsidR="0095275C" w:rsidRPr="00AC6C6F" w:rsidTr="00526184">
        <w:tc>
          <w:tcPr>
            <w:tcW w:w="5000" w:type="pct"/>
            <w:gridSpan w:val="3"/>
          </w:tcPr>
          <w:p w:rsidR="0095275C" w:rsidRPr="00AC6C6F" w:rsidRDefault="0095275C" w:rsidP="004E72D4">
            <w:pPr>
              <w:pStyle w:val="TableCentre"/>
              <w:keepNext/>
              <w:keepLines/>
              <w:jc w:val="left"/>
              <w:rPr>
                <w:rFonts w:ascii="Arial Narrow" w:hAnsi="Arial Narrow"/>
                <w:bCs/>
                <w:szCs w:val="20"/>
              </w:rPr>
            </w:pPr>
            <w:r w:rsidRPr="00AC6C6F">
              <w:rPr>
                <w:rFonts w:ascii="Arial Narrow" w:hAnsi="Arial Narrow"/>
                <w:szCs w:val="20"/>
              </w:rPr>
              <w:t>December 2016 data cut-off</w:t>
            </w:r>
          </w:p>
        </w:tc>
      </w:tr>
      <w:tr w:rsidR="0095275C" w:rsidRPr="00AC6C6F" w:rsidTr="00526184">
        <w:tc>
          <w:tcPr>
            <w:tcW w:w="3290" w:type="pct"/>
          </w:tcPr>
          <w:p w:rsidR="0095275C" w:rsidRPr="00AC6C6F" w:rsidRDefault="0095275C" w:rsidP="004E72D4">
            <w:pPr>
              <w:pStyle w:val="Table"/>
              <w:keepNext/>
              <w:keepLines/>
              <w:rPr>
                <w:rFonts w:ascii="Arial Narrow" w:hAnsi="Arial Narrow"/>
                <w:szCs w:val="20"/>
                <w:vertAlign w:val="superscript"/>
              </w:rPr>
            </w:pPr>
            <w:r w:rsidRPr="00AC6C6F">
              <w:rPr>
                <w:rFonts w:ascii="Arial Narrow" w:hAnsi="Arial Narrow"/>
                <w:szCs w:val="20"/>
              </w:rPr>
              <w:t xml:space="preserve">   Censoring at crossover</w:t>
            </w:r>
          </w:p>
        </w:tc>
        <w:tc>
          <w:tcPr>
            <w:tcW w:w="784" w:type="pct"/>
          </w:tcPr>
          <w:p w:rsidR="0095275C" w:rsidRPr="00AC6C6F" w:rsidRDefault="0095275C" w:rsidP="004E72D4">
            <w:pPr>
              <w:pStyle w:val="TableCentre"/>
              <w:keepNext/>
              <w:keepLines/>
              <w:rPr>
                <w:rFonts w:ascii="Arial Narrow" w:hAnsi="Arial Narrow"/>
                <w:bCs/>
                <w:szCs w:val="20"/>
              </w:rPr>
            </w:pPr>
            <w:r w:rsidRPr="00AC6C6F">
              <w:rPr>
                <w:rFonts w:ascii="Arial Narrow" w:hAnsi="Arial Narrow"/>
                <w:bCs/>
                <w:szCs w:val="20"/>
              </w:rPr>
              <w:t>0.71</w:t>
            </w:r>
          </w:p>
        </w:tc>
        <w:tc>
          <w:tcPr>
            <w:tcW w:w="926" w:type="pct"/>
          </w:tcPr>
          <w:p w:rsidR="0095275C" w:rsidRPr="00AC6C6F" w:rsidRDefault="0095275C" w:rsidP="004E72D4">
            <w:pPr>
              <w:pStyle w:val="TableCentre"/>
              <w:keepNext/>
              <w:keepLines/>
              <w:rPr>
                <w:rFonts w:ascii="Arial Narrow" w:hAnsi="Arial Narrow"/>
                <w:bCs/>
                <w:szCs w:val="20"/>
              </w:rPr>
            </w:pPr>
            <w:r w:rsidRPr="00AC6C6F">
              <w:rPr>
                <w:rFonts w:ascii="Arial Narrow" w:hAnsi="Arial Narrow"/>
                <w:bCs/>
                <w:szCs w:val="20"/>
              </w:rPr>
              <w:t>(0.41, 1.24)</w:t>
            </w:r>
          </w:p>
        </w:tc>
      </w:tr>
      <w:tr w:rsidR="0095275C" w:rsidRPr="00AC6C6F" w:rsidTr="00526184">
        <w:tc>
          <w:tcPr>
            <w:tcW w:w="3290" w:type="pct"/>
          </w:tcPr>
          <w:p w:rsidR="0095275C" w:rsidRPr="00AC6C6F" w:rsidRDefault="0095275C" w:rsidP="004E72D4">
            <w:pPr>
              <w:pStyle w:val="Table"/>
              <w:keepNext/>
              <w:keepLines/>
              <w:rPr>
                <w:rFonts w:ascii="Arial Narrow" w:hAnsi="Arial Narrow"/>
                <w:szCs w:val="20"/>
                <w:vertAlign w:val="superscript"/>
              </w:rPr>
            </w:pPr>
            <w:r w:rsidRPr="00AC6C6F">
              <w:rPr>
                <w:rFonts w:ascii="Arial Narrow" w:hAnsi="Arial Narrow"/>
                <w:szCs w:val="20"/>
              </w:rPr>
              <w:t xml:space="preserve">   RPSFT </w:t>
            </w:r>
          </w:p>
        </w:tc>
        <w:tc>
          <w:tcPr>
            <w:tcW w:w="784" w:type="pct"/>
          </w:tcPr>
          <w:p w:rsidR="0095275C" w:rsidRPr="00AC6C6F" w:rsidRDefault="0095275C" w:rsidP="004E72D4">
            <w:pPr>
              <w:pStyle w:val="TableCentre"/>
              <w:keepNext/>
              <w:keepLines/>
              <w:rPr>
                <w:rFonts w:ascii="Arial Narrow" w:hAnsi="Arial Narrow"/>
                <w:bCs/>
                <w:szCs w:val="20"/>
              </w:rPr>
            </w:pPr>
            <w:r w:rsidRPr="00AC6C6F">
              <w:rPr>
                <w:rFonts w:ascii="Arial Narrow" w:hAnsi="Arial Narrow"/>
                <w:bCs/>
                <w:szCs w:val="20"/>
              </w:rPr>
              <w:t>0.74</w:t>
            </w:r>
          </w:p>
        </w:tc>
        <w:tc>
          <w:tcPr>
            <w:tcW w:w="926" w:type="pct"/>
          </w:tcPr>
          <w:p w:rsidR="0095275C" w:rsidRPr="00AC6C6F" w:rsidRDefault="0095275C" w:rsidP="004E72D4">
            <w:pPr>
              <w:pStyle w:val="TableCentre"/>
              <w:keepNext/>
              <w:keepLines/>
              <w:rPr>
                <w:rFonts w:ascii="Arial Narrow" w:hAnsi="Arial Narrow"/>
                <w:bCs/>
                <w:szCs w:val="20"/>
              </w:rPr>
            </w:pPr>
            <w:r w:rsidRPr="00AC6C6F">
              <w:rPr>
                <w:rFonts w:ascii="Arial Narrow" w:hAnsi="Arial Narrow"/>
                <w:bCs/>
                <w:szCs w:val="20"/>
              </w:rPr>
              <w:t>(0.48, 1.14)</w:t>
            </w:r>
          </w:p>
        </w:tc>
      </w:tr>
    </w:tbl>
    <w:p w:rsidR="0095275C" w:rsidRPr="00AC6C6F" w:rsidRDefault="0095275C" w:rsidP="004E72D4">
      <w:pPr>
        <w:pStyle w:val="CaptionFootnote"/>
        <w:keepNext/>
        <w:keepLines/>
        <w:rPr>
          <w:rFonts w:ascii="Arial Narrow" w:hAnsi="Arial Narrow"/>
          <w:sz w:val="18"/>
        </w:rPr>
      </w:pPr>
      <w:r w:rsidRPr="00AC6C6F">
        <w:rPr>
          <w:rFonts w:ascii="Arial Narrow" w:hAnsi="Arial Narrow"/>
          <w:sz w:val="18"/>
        </w:rPr>
        <w:t>Source: Table 2-70, p147; Table 2-40, p.119; Table 2-71, p149; Table 2-72, p151 of the submission.</w:t>
      </w:r>
    </w:p>
    <w:p w:rsidR="0095275C" w:rsidRPr="00AC6C6F" w:rsidRDefault="0095275C" w:rsidP="004E72D4">
      <w:pPr>
        <w:pStyle w:val="CaptionFootnote"/>
        <w:keepNext/>
        <w:keepLines/>
        <w:rPr>
          <w:rFonts w:ascii="Arial Narrow" w:hAnsi="Arial Narrow"/>
          <w:sz w:val="18"/>
        </w:rPr>
      </w:pPr>
      <w:r w:rsidRPr="00AC6C6F">
        <w:rPr>
          <w:rFonts w:ascii="Arial Narrow" w:hAnsi="Arial Narrow"/>
          <w:sz w:val="18"/>
        </w:rPr>
        <w:t>Abbreviations: CI = confidence interval; HR = hazard ratio; IPCW = inverse probability of censoring weighted; RPSFT = rank-preserving structural failure time; TSEM = two-stage methods</w:t>
      </w:r>
    </w:p>
    <w:p w:rsidR="0095275C" w:rsidRPr="00AC6C6F" w:rsidRDefault="0095275C" w:rsidP="004E72D4">
      <w:pPr>
        <w:pStyle w:val="CaptionFootnote"/>
        <w:keepNext/>
        <w:keepLines/>
        <w:rPr>
          <w:rFonts w:ascii="Arial Narrow" w:hAnsi="Arial Narrow"/>
          <w:sz w:val="18"/>
        </w:rPr>
      </w:pPr>
      <w:r w:rsidRPr="00AC6C6F">
        <w:rPr>
          <w:rFonts w:ascii="Arial Narrow" w:hAnsi="Arial Narrow"/>
          <w:sz w:val="18"/>
        </w:rPr>
        <w:t xml:space="preserve">Note: </w:t>
      </w:r>
      <w:r w:rsidRPr="00AC6C6F">
        <w:rPr>
          <w:rFonts w:ascii="Arial Narrow" w:hAnsi="Arial Narrow"/>
          <w:sz w:val="18"/>
          <w:vertAlign w:val="superscript"/>
        </w:rPr>
        <w:t>a</w:t>
      </w:r>
      <w:r w:rsidRPr="00AC6C6F">
        <w:rPr>
          <w:rFonts w:ascii="Arial Narrow" w:hAnsi="Arial Narrow"/>
          <w:sz w:val="18"/>
        </w:rPr>
        <w:t xml:space="preserve"> No HR was reported in the 2</w:t>
      </w:r>
      <w:r w:rsidRPr="00AC6C6F">
        <w:rPr>
          <w:rFonts w:ascii="Arial Narrow" w:hAnsi="Arial Narrow"/>
          <w:sz w:val="18"/>
          <w:vertAlign w:val="superscript"/>
        </w:rPr>
        <w:t>nd</w:t>
      </w:r>
      <w:r w:rsidRPr="00AC6C6F">
        <w:rPr>
          <w:rFonts w:ascii="Arial Narrow" w:hAnsi="Arial Narrow"/>
          <w:sz w:val="18"/>
        </w:rPr>
        <w:t xml:space="preserve"> March 2019 data cut-off while the results were presented in the KM curve (Figure 6).</w:t>
      </w:r>
    </w:p>
    <w:p w:rsidR="00D52295" w:rsidRPr="00AC6C6F" w:rsidRDefault="00D52295" w:rsidP="0095275C">
      <w:pPr>
        <w:pStyle w:val="CaptionFootnote"/>
        <w:rPr>
          <w:rFonts w:ascii="Arial Narrow" w:hAnsi="Arial Narrow"/>
          <w:sz w:val="18"/>
        </w:rPr>
      </w:pPr>
    </w:p>
    <w:p w:rsidR="00A01480" w:rsidRPr="00AC6C6F" w:rsidRDefault="003162B6" w:rsidP="000D20D1">
      <w:pPr>
        <w:pStyle w:val="3-BodyText"/>
        <w:rPr>
          <w:snapToGrid/>
        </w:rPr>
      </w:pPr>
      <w:r w:rsidRPr="00AC6C6F">
        <w:t xml:space="preserve">While the point estimates for the HR for </w:t>
      </w:r>
      <w:r w:rsidR="003830F0" w:rsidRPr="00AC6C6F">
        <w:t xml:space="preserve">crossover adjusted </w:t>
      </w:r>
      <w:r w:rsidRPr="00AC6C6F">
        <w:t>OS varied across the adjustment methods, n</w:t>
      </w:r>
      <w:r w:rsidR="0095275C" w:rsidRPr="00AC6C6F">
        <w:t xml:space="preserve">one </w:t>
      </w:r>
      <w:r w:rsidRPr="00AC6C6F">
        <w:t>were</w:t>
      </w:r>
      <w:r w:rsidR="0095275C" w:rsidRPr="00AC6C6F">
        <w:t xml:space="preserve"> statistically significantly different from one</w:t>
      </w:r>
      <w:r w:rsidR="00D76786" w:rsidRPr="00AC6C6F">
        <w:t xml:space="preserve"> </w:t>
      </w:r>
      <w:r w:rsidRPr="00AC6C6F">
        <w:t xml:space="preserve">but </w:t>
      </w:r>
      <w:r w:rsidR="0095275C" w:rsidRPr="00AC6C6F">
        <w:t>were numerically in favour of a survival advantage for mogamulizumab</w:t>
      </w:r>
      <w:r w:rsidRPr="00AC6C6F">
        <w:t>.</w:t>
      </w:r>
      <w:r w:rsidR="0095275C" w:rsidRPr="00AC6C6F">
        <w:t xml:space="preserve"> </w:t>
      </w:r>
    </w:p>
    <w:p w:rsidR="004A27F5" w:rsidRPr="00AC6C6F" w:rsidRDefault="003162B6" w:rsidP="008862BF">
      <w:pPr>
        <w:pStyle w:val="3-BodyText"/>
        <w:rPr>
          <w:iCs/>
          <w:snapToGrid/>
        </w:rPr>
      </w:pPr>
      <w:r w:rsidRPr="00AC6C6F">
        <w:rPr>
          <w:iCs/>
          <w:snapToGrid/>
        </w:rPr>
        <w:t>T</w:t>
      </w:r>
      <w:r w:rsidR="0095275C" w:rsidRPr="00AC6C6F">
        <w:rPr>
          <w:iCs/>
          <w:snapToGrid/>
        </w:rPr>
        <w:t>he largest difference was in the shape of the OS curve derived from the IPCW method</w:t>
      </w:r>
      <w:r w:rsidR="009E0437" w:rsidRPr="00AC6C6F">
        <w:rPr>
          <w:iCs/>
          <w:snapToGrid/>
        </w:rPr>
        <w:t xml:space="preserve"> </w:t>
      </w:r>
      <w:r w:rsidR="0095275C" w:rsidRPr="00AC6C6F">
        <w:rPr>
          <w:iCs/>
          <w:snapToGrid/>
        </w:rPr>
        <w:t>which produced the OS outcome</w:t>
      </w:r>
      <w:r w:rsidR="00C050A4" w:rsidRPr="00AC6C6F">
        <w:rPr>
          <w:iCs/>
          <w:snapToGrid/>
        </w:rPr>
        <w:t xml:space="preserve"> most favourable</w:t>
      </w:r>
      <w:r w:rsidR="0095275C" w:rsidRPr="00AC6C6F">
        <w:rPr>
          <w:iCs/>
          <w:snapToGrid/>
        </w:rPr>
        <w:t xml:space="preserve"> for mogamulizumab; HR=0.57, 95% CI: 0.26. 1.25. Application of the IPCW resulted in a substantial drop in the OS for vorinostat after around 5 months which might not be clinically plausible (Figure </w:t>
      </w:r>
      <w:r w:rsidR="00454D9C" w:rsidRPr="00AC6C6F">
        <w:rPr>
          <w:iCs/>
          <w:snapToGrid/>
        </w:rPr>
        <w:t>5</w:t>
      </w:r>
      <w:r w:rsidR="0095275C" w:rsidRPr="00AC6C6F">
        <w:rPr>
          <w:iCs/>
          <w:snapToGrid/>
        </w:rPr>
        <w:t xml:space="preserve">). </w:t>
      </w:r>
      <w:r w:rsidR="004A27F5" w:rsidRPr="00AC6C6F">
        <w:rPr>
          <w:iCs/>
          <w:snapToGrid/>
        </w:rPr>
        <w:t xml:space="preserve">The PSCR argued that the substantial drop in OS for vorinostat after around 5 months was </w:t>
      </w:r>
      <w:r w:rsidR="006A58DE" w:rsidRPr="00AC6C6F">
        <w:rPr>
          <w:iCs/>
          <w:snapToGrid/>
        </w:rPr>
        <w:t xml:space="preserve">a </w:t>
      </w:r>
      <w:r w:rsidR="004A27F5" w:rsidRPr="00AC6C6F">
        <w:rPr>
          <w:iCs/>
          <w:snapToGrid/>
        </w:rPr>
        <w:t>statistical artefact of the MAVORIC trial protocol, which allowed patients to crossover only after receiving two full cycles of treatment and an additional minimum 2 weeks waiting period. The PSCR stated that in routine clinical practice, the c</w:t>
      </w:r>
      <w:r w:rsidR="006A58DE" w:rsidRPr="00AC6C6F">
        <w:rPr>
          <w:iCs/>
          <w:snapToGrid/>
        </w:rPr>
        <w:t>urve would be smoother</w:t>
      </w:r>
      <w:r w:rsidR="004A27F5" w:rsidRPr="00AC6C6F">
        <w:rPr>
          <w:iCs/>
          <w:snapToGrid/>
        </w:rPr>
        <w:t>, and argued the economic model provides functionality to select one of several parametric survival distributions from baseline to reflect this if required.</w:t>
      </w:r>
      <w:r w:rsidR="004A27F5" w:rsidRPr="00AC6C6F">
        <w:rPr>
          <w:rStyle w:val="Font"/>
        </w:rPr>
        <w:t xml:space="preserve"> </w:t>
      </w:r>
      <w:r w:rsidR="004A27F5" w:rsidRPr="00AC6C6F">
        <w:rPr>
          <w:iCs/>
          <w:snapToGrid/>
        </w:rPr>
        <w:t>The ESC considered the drop in OS for vorinostat evident with IPCW was not clinically plausible</w:t>
      </w:r>
      <w:r w:rsidR="00AC6C6F">
        <w:rPr>
          <w:iCs/>
          <w:snapToGrid/>
        </w:rPr>
        <w:t xml:space="preserve">. </w:t>
      </w:r>
    </w:p>
    <w:p w:rsidR="008862BF" w:rsidRPr="00AC6C6F" w:rsidRDefault="004A27F5" w:rsidP="008862BF">
      <w:pPr>
        <w:pStyle w:val="3-BodyText"/>
        <w:rPr>
          <w:iCs/>
          <w:snapToGrid/>
        </w:rPr>
      </w:pPr>
      <w:r w:rsidRPr="00AC6C6F">
        <w:rPr>
          <w:iCs/>
        </w:rPr>
        <w:t xml:space="preserve">The ESC noted there were only 16 non-switchers who were eligible for switching and they appeared to have more severe disease than the overall MAVORIC cohort (0% of the eligible non-switchers had ECOG = 0 vs approximately 57.0% of participants overall in the trial). </w:t>
      </w:r>
      <w:r w:rsidR="00F6528D" w:rsidRPr="00AC6C6F">
        <w:rPr>
          <w:iCs/>
        </w:rPr>
        <w:t xml:space="preserve">As such the ESC considered </w:t>
      </w:r>
      <w:r w:rsidR="00F6528D" w:rsidRPr="00AC6C6F">
        <w:rPr>
          <w:iCs/>
          <w:snapToGrid/>
        </w:rPr>
        <w:t>t</w:t>
      </w:r>
      <w:r w:rsidR="000D20D1" w:rsidRPr="00AC6C6F">
        <w:rPr>
          <w:iCs/>
          <w:snapToGrid/>
        </w:rPr>
        <w:t xml:space="preserve">he IPCW relied on a small group of patients who seemed to have worse health status than the overall study patients (IPCW places more weight on the OS of non-switchers who are eligible for switching). </w:t>
      </w:r>
      <w:r w:rsidR="00F6528D" w:rsidRPr="00AC6C6F">
        <w:rPr>
          <w:iCs/>
          <w:snapToGrid/>
        </w:rPr>
        <w:t>The ESC considered that in cases where there are very few control group patients who do not switch treatments the IPCW method becomes prone to error, because there is a higher likelihood that these remaining patients may not be representativ</w:t>
      </w:r>
      <w:r w:rsidR="006A58DE" w:rsidRPr="00AC6C6F">
        <w:rPr>
          <w:iCs/>
          <w:snapToGrid/>
        </w:rPr>
        <w:t>e of the wider trial population.</w:t>
      </w:r>
      <w:r w:rsidR="00F6528D" w:rsidRPr="00AC6C6F">
        <w:rPr>
          <w:rStyle w:val="FootnoteReference"/>
          <w:iCs/>
          <w:snapToGrid/>
        </w:rPr>
        <w:t xml:space="preserve"> </w:t>
      </w:r>
      <w:r w:rsidR="00F6528D" w:rsidRPr="00AC6C6F">
        <w:rPr>
          <w:rStyle w:val="FootnoteReference"/>
          <w:iCs/>
          <w:snapToGrid/>
        </w:rPr>
        <w:footnoteReference w:id="9"/>
      </w:r>
      <w:r w:rsidR="00F6528D" w:rsidRPr="00AC6C6F">
        <w:rPr>
          <w:iCs/>
          <w:snapToGrid/>
        </w:rPr>
        <w:t xml:space="preserve"> The ESC considered that u</w:t>
      </w:r>
      <w:r w:rsidR="0095275C" w:rsidRPr="00AC6C6F">
        <w:rPr>
          <w:iCs/>
          <w:snapToGrid/>
        </w:rPr>
        <w:t>se of the IPCW</w:t>
      </w:r>
      <w:r w:rsidR="003830F0" w:rsidRPr="00AC6C6F">
        <w:rPr>
          <w:iCs/>
          <w:snapToGrid/>
        </w:rPr>
        <w:t xml:space="preserve"> as the preferred adjustment method in the submission</w:t>
      </w:r>
      <w:r w:rsidR="0095275C" w:rsidRPr="00AC6C6F">
        <w:rPr>
          <w:iCs/>
          <w:snapToGrid/>
        </w:rPr>
        <w:t>, relative to the other methods, was not justified by the submission and favour</w:t>
      </w:r>
      <w:r w:rsidR="009E0437" w:rsidRPr="00AC6C6F">
        <w:rPr>
          <w:iCs/>
          <w:snapToGrid/>
        </w:rPr>
        <w:t>ed</w:t>
      </w:r>
      <w:r w:rsidR="0095275C" w:rsidRPr="00AC6C6F">
        <w:rPr>
          <w:iCs/>
          <w:snapToGrid/>
        </w:rPr>
        <w:t xml:space="preserve"> mogamulizumab.</w:t>
      </w:r>
      <w:r w:rsidR="00A56878" w:rsidRPr="00AC6C6F">
        <w:rPr>
          <w:iCs/>
          <w:snapToGrid/>
        </w:rPr>
        <w:t xml:space="preserve"> </w:t>
      </w:r>
    </w:p>
    <w:p w:rsidR="0095275C" w:rsidRPr="00AC6C6F" w:rsidRDefault="005E6FA1" w:rsidP="00174E13">
      <w:pPr>
        <w:pStyle w:val="3-BodyText"/>
        <w:rPr>
          <w:iCs/>
          <w:snapToGrid/>
        </w:rPr>
      </w:pPr>
      <w:r w:rsidRPr="00AC6C6F">
        <w:rPr>
          <w:iCs/>
          <w:snapToGrid/>
        </w:rPr>
        <w:t xml:space="preserve">The ESC </w:t>
      </w:r>
      <w:r w:rsidR="00EF65E9" w:rsidRPr="00AC6C6F">
        <w:rPr>
          <w:iCs/>
          <w:snapToGrid/>
        </w:rPr>
        <w:t>acknowledged that</w:t>
      </w:r>
      <w:r w:rsidRPr="00AC6C6F">
        <w:rPr>
          <w:iCs/>
          <w:snapToGrid/>
        </w:rPr>
        <w:t xml:space="preserve"> TSEM was also prone to error if there are very few control group patients who do not switch</w:t>
      </w:r>
      <w:r w:rsidR="00EF65E9" w:rsidRPr="00AC6C6F">
        <w:rPr>
          <w:iCs/>
          <w:snapToGrid/>
        </w:rPr>
        <w:t>, however the Committee considered</w:t>
      </w:r>
      <w:r w:rsidR="00CD7896" w:rsidRPr="00AC6C6F">
        <w:rPr>
          <w:iCs/>
          <w:snapToGrid/>
        </w:rPr>
        <w:t xml:space="preserve"> TSEM</w:t>
      </w:r>
      <w:r w:rsidRPr="00AC6C6F">
        <w:rPr>
          <w:iCs/>
          <w:snapToGrid/>
        </w:rPr>
        <w:t xml:space="preserve"> was </w:t>
      </w:r>
      <w:r w:rsidR="00B30361" w:rsidRPr="00AC6C6F">
        <w:rPr>
          <w:iCs/>
          <w:snapToGrid/>
        </w:rPr>
        <w:t>less sensitive to this issue</w:t>
      </w:r>
      <w:r w:rsidR="00EF65E9" w:rsidRPr="00AC6C6F">
        <w:rPr>
          <w:iCs/>
          <w:snapToGrid/>
        </w:rPr>
        <w:t xml:space="preserve"> than IPCW</w:t>
      </w:r>
      <w:r w:rsidRPr="00AC6C6F">
        <w:rPr>
          <w:iCs/>
          <w:snapToGrid/>
        </w:rPr>
        <w:t>.</w:t>
      </w:r>
      <w:r w:rsidRPr="00AC6C6F">
        <w:rPr>
          <w:iCs/>
          <w:snapToGrid/>
          <w:vertAlign w:val="superscript"/>
        </w:rPr>
        <w:footnoteReference w:id="10"/>
      </w:r>
      <w:r w:rsidRPr="00AC6C6F">
        <w:rPr>
          <w:iCs/>
          <w:snapToGrid/>
        </w:rPr>
        <w:t xml:space="preserve"> </w:t>
      </w:r>
      <w:r w:rsidR="00E10D29" w:rsidRPr="00AC6C6F">
        <w:rPr>
          <w:iCs/>
          <w:snapToGrid/>
        </w:rPr>
        <w:t>The ESC noted that TSEM is reliant on switching occurring after a specific disease-related time-point, so that a secondary baseline can be defined. The ES</w:t>
      </w:r>
      <w:r w:rsidR="00AB1D18" w:rsidRPr="00AC6C6F">
        <w:rPr>
          <w:iCs/>
          <w:snapToGrid/>
        </w:rPr>
        <w:t xml:space="preserve">C was </w:t>
      </w:r>
      <w:r w:rsidR="00266E9B" w:rsidRPr="00AC6C6F">
        <w:rPr>
          <w:iCs/>
          <w:snapToGrid/>
        </w:rPr>
        <w:t>satisfied</w:t>
      </w:r>
      <w:r w:rsidR="00E10D29" w:rsidRPr="00AC6C6F">
        <w:rPr>
          <w:iCs/>
          <w:snapToGrid/>
        </w:rPr>
        <w:t xml:space="preserve"> that for the majority of patients</w:t>
      </w:r>
      <w:r w:rsidR="005D5218" w:rsidRPr="00AC6C6F">
        <w:rPr>
          <w:iCs/>
          <w:snapToGrid/>
        </w:rPr>
        <w:t xml:space="preserve"> </w:t>
      </w:r>
      <w:r w:rsidR="00E10D29" w:rsidRPr="00AC6C6F">
        <w:rPr>
          <w:iCs/>
          <w:snapToGrid/>
        </w:rPr>
        <w:t>(80.1%</w:t>
      </w:r>
      <w:r w:rsidR="005D5218" w:rsidRPr="00AC6C6F">
        <w:rPr>
          <w:iCs/>
          <w:snapToGrid/>
        </w:rPr>
        <w:t>, 109/136</w:t>
      </w:r>
      <w:r w:rsidR="00E10D29" w:rsidRPr="00AC6C6F">
        <w:rPr>
          <w:iCs/>
          <w:snapToGrid/>
        </w:rPr>
        <w:t xml:space="preserve">) progressive disease </w:t>
      </w:r>
      <w:r w:rsidR="00CD7896" w:rsidRPr="00AC6C6F">
        <w:rPr>
          <w:iCs/>
          <w:snapToGrid/>
        </w:rPr>
        <w:t xml:space="preserve">was the specific disease-related time-point as it </w:t>
      </w:r>
      <w:r w:rsidR="005D5218" w:rsidRPr="00AC6C6F">
        <w:rPr>
          <w:iCs/>
          <w:snapToGrid/>
        </w:rPr>
        <w:t>was</w:t>
      </w:r>
      <w:r w:rsidR="00E10D29" w:rsidRPr="00AC6C6F">
        <w:rPr>
          <w:iCs/>
          <w:snapToGrid/>
        </w:rPr>
        <w:t xml:space="preserve"> the reason for switching.</w:t>
      </w:r>
      <w:r w:rsidR="005D5218" w:rsidRPr="00AC6C6F">
        <w:rPr>
          <w:iCs/>
          <w:snapToGrid/>
        </w:rPr>
        <w:t xml:space="preserve"> </w:t>
      </w:r>
      <w:r w:rsidR="00174E13" w:rsidRPr="00AC6C6F">
        <w:rPr>
          <w:iCs/>
          <w:snapToGrid/>
        </w:rPr>
        <w:t>T</w:t>
      </w:r>
      <w:r w:rsidR="003E5114" w:rsidRPr="00AC6C6F">
        <w:rPr>
          <w:iCs/>
          <w:snapToGrid/>
        </w:rPr>
        <w:t>he ESC also noted that if there is a significant time-lag between the secondary baseline and the treatment switch TSEM can become prone to bias.</w:t>
      </w:r>
      <w:r w:rsidR="003E5114" w:rsidRPr="00AC6C6F">
        <w:rPr>
          <w:iCs/>
          <w:snapToGrid/>
          <w:vertAlign w:val="superscript"/>
        </w:rPr>
        <w:footnoteReference w:id="11"/>
      </w:r>
      <w:r w:rsidR="007E697F" w:rsidRPr="00AC6C6F">
        <w:rPr>
          <w:iCs/>
          <w:snapToGrid/>
        </w:rPr>
        <w:t xml:space="preserve"> </w:t>
      </w:r>
      <w:r w:rsidR="00771B2F" w:rsidRPr="00AC6C6F">
        <w:rPr>
          <w:iCs/>
          <w:snapToGrid/>
        </w:rPr>
        <w:t xml:space="preserve">Overall, the ESC considered the TSEM crossover approach would likely provide the most reliable method to </w:t>
      </w:r>
      <w:r w:rsidR="00266E9B" w:rsidRPr="00AC6C6F">
        <w:rPr>
          <w:iCs/>
          <w:snapToGrid/>
        </w:rPr>
        <w:t>adjust</w:t>
      </w:r>
      <w:r w:rsidR="00771B2F" w:rsidRPr="00AC6C6F">
        <w:rPr>
          <w:iCs/>
          <w:snapToGrid/>
        </w:rPr>
        <w:t xml:space="preserve"> for treatment switching for the OS outcome in MAVORIC. </w:t>
      </w:r>
      <w:r w:rsidR="007E697F" w:rsidRPr="00AC6C6F">
        <w:rPr>
          <w:iCs/>
          <w:snapToGrid/>
        </w:rPr>
        <w:t>However, t</w:t>
      </w:r>
      <w:r w:rsidR="00CD7896" w:rsidRPr="00AC6C6F">
        <w:rPr>
          <w:iCs/>
          <w:snapToGrid/>
        </w:rPr>
        <w:t xml:space="preserve">he </w:t>
      </w:r>
      <w:r w:rsidR="003E5114" w:rsidRPr="00AC6C6F">
        <w:rPr>
          <w:iCs/>
          <w:snapToGrid/>
        </w:rPr>
        <w:t xml:space="preserve">ESC </w:t>
      </w:r>
      <w:r w:rsidR="00771B2F" w:rsidRPr="00AC6C6F">
        <w:rPr>
          <w:iCs/>
          <w:snapToGrid/>
        </w:rPr>
        <w:t xml:space="preserve">considered additional </w:t>
      </w:r>
      <w:r w:rsidR="003E5114" w:rsidRPr="00AC6C6F">
        <w:rPr>
          <w:iCs/>
          <w:snapToGrid/>
        </w:rPr>
        <w:t>data</w:t>
      </w:r>
      <w:r w:rsidR="00AB1D18" w:rsidRPr="00AC6C6F">
        <w:rPr>
          <w:iCs/>
          <w:snapToGrid/>
        </w:rPr>
        <w:t xml:space="preserve"> </w:t>
      </w:r>
      <w:r w:rsidR="00771B2F" w:rsidRPr="00AC6C6F">
        <w:rPr>
          <w:iCs/>
          <w:snapToGrid/>
        </w:rPr>
        <w:t xml:space="preserve">from the sponsor </w:t>
      </w:r>
      <w:r w:rsidR="00AB1D18" w:rsidRPr="00AC6C6F">
        <w:rPr>
          <w:iCs/>
          <w:snapToGrid/>
        </w:rPr>
        <w:t>on the time between disease progression and commencing mogamulizumab</w:t>
      </w:r>
      <w:r w:rsidR="003E5114" w:rsidRPr="00AC6C6F">
        <w:rPr>
          <w:iCs/>
          <w:snapToGrid/>
        </w:rPr>
        <w:t xml:space="preserve"> </w:t>
      </w:r>
      <w:r w:rsidR="00AB1D18" w:rsidRPr="00AC6C6F">
        <w:rPr>
          <w:iCs/>
          <w:snapToGrid/>
        </w:rPr>
        <w:t xml:space="preserve">for subjects randomised to vorinostat who crossed </w:t>
      </w:r>
      <w:r w:rsidR="006A58DE" w:rsidRPr="00AC6C6F">
        <w:rPr>
          <w:iCs/>
          <w:snapToGrid/>
        </w:rPr>
        <w:t xml:space="preserve">over </w:t>
      </w:r>
      <w:r w:rsidR="00771B2F" w:rsidRPr="00AC6C6F">
        <w:rPr>
          <w:iCs/>
          <w:snapToGrid/>
        </w:rPr>
        <w:t>would be informative</w:t>
      </w:r>
      <w:r w:rsidR="00AB1D18" w:rsidRPr="00AC6C6F">
        <w:rPr>
          <w:iCs/>
          <w:snapToGrid/>
        </w:rPr>
        <w:t xml:space="preserve">. </w:t>
      </w:r>
      <w:r w:rsidR="00194CC9" w:rsidRPr="00AC6C6F">
        <w:rPr>
          <w:iCs/>
          <w:snapToGrid/>
        </w:rPr>
        <w:t>T</w:t>
      </w:r>
      <w:r w:rsidR="00E81C4A" w:rsidRPr="00AC6C6F">
        <w:rPr>
          <w:iCs/>
          <w:snapToGrid/>
        </w:rPr>
        <w:t xml:space="preserve">he pre-PBAC response stated that the time between vorinostat discontinuation and switch to mogamulizumab was very short (&lt;5 days in 95% of switching patients and &lt;10 days in all but one subject). However, the pre-PBAC response argued that the selection of analytical response would be more reasonably based on the plausibility of results than validation of individual underpinning assumptions and reiterated its claim that IPCW was the most reliable method to adjust for treatment switching. </w:t>
      </w:r>
    </w:p>
    <w:p w:rsidR="0095275C" w:rsidRPr="00AC6C6F" w:rsidRDefault="0095275C" w:rsidP="0095275C">
      <w:pPr>
        <w:pStyle w:val="3-BodyText"/>
        <w:rPr>
          <w:color w:val="000000" w:themeColor="text1"/>
        </w:rPr>
      </w:pPr>
      <w:r w:rsidRPr="00AC6C6F">
        <w:rPr>
          <w:color w:val="000000" w:themeColor="text1"/>
        </w:rPr>
        <w:t xml:space="preserve">A post-hoc analysis of time to next treatment (TTNT) was </w:t>
      </w:r>
      <w:r w:rsidR="009E0437" w:rsidRPr="00AC6C6F">
        <w:rPr>
          <w:color w:val="000000" w:themeColor="text1"/>
        </w:rPr>
        <w:t xml:space="preserve">also </w:t>
      </w:r>
      <w:r w:rsidRPr="00AC6C6F">
        <w:rPr>
          <w:color w:val="000000" w:themeColor="text1"/>
        </w:rPr>
        <w:t xml:space="preserve">conducted. The median TTNT was longer in the mogamulizumab arm (11.0 months; 95%CI 8.8, 12.6) than the vorinostat arm (3.5 months; 95%CI 3.1, 4.3). </w:t>
      </w:r>
      <w:r w:rsidRPr="00AC6C6F">
        <w:rPr>
          <w:rFonts w:ascii="Calibri" w:hAnsi="Calibri" w:cs="Calibri"/>
          <w:iCs/>
        </w:rPr>
        <w:t xml:space="preserve">A possible explanation is the one-way crossover design, where patients who progressed on vorinostat could commence mogamulizumab within 2 weeks of vorinostat. This would potentially bias </w:t>
      </w:r>
      <w:r w:rsidR="003830F0" w:rsidRPr="00AC6C6F">
        <w:rPr>
          <w:rFonts w:ascii="Calibri" w:hAnsi="Calibri" w:cs="Calibri"/>
          <w:iCs/>
        </w:rPr>
        <w:t xml:space="preserve">the </w:t>
      </w:r>
      <w:r w:rsidRPr="00AC6C6F">
        <w:rPr>
          <w:rFonts w:ascii="Calibri" w:hAnsi="Calibri" w:cs="Calibri"/>
          <w:iCs/>
        </w:rPr>
        <w:t xml:space="preserve">results against vorinostat </w:t>
      </w:r>
      <w:r w:rsidR="008A3598" w:rsidRPr="00AC6C6F">
        <w:rPr>
          <w:rFonts w:ascii="Calibri" w:hAnsi="Calibri" w:cs="Calibri"/>
          <w:iCs/>
        </w:rPr>
        <w:t xml:space="preserve">as patients may cease </w:t>
      </w:r>
      <w:r w:rsidRPr="00AC6C6F">
        <w:rPr>
          <w:rFonts w:ascii="Calibri" w:hAnsi="Calibri" w:cs="Calibri"/>
          <w:iCs/>
        </w:rPr>
        <w:t xml:space="preserve">vorinostat sooner than might otherwise occur in order to qualify for mogamulizumab therapy. </w:t>
      </w:r>
    </w:p>
    <w:p w:rsidR="0095275C" w:rsidRPr="00AC6C6F" w:rsidRDefault="0095275C" w:rsidP="0095275C">
      <w:pPr>
        <w:pStyle w:val="3-BodyText"/>
        <w:rPr>
          <w:color w:val="000000" w:themeColor="text1"/>
        </w:rPr>
      </w:pPr>
      <w:r w:rsidRPr="00AC6C6F">
        <w:rPr>
          <w:rFonts w:cs="Calibri"/>
        </w:rPr>
        <w:t xml:space="preserve">The KM plot for TTNT is shown in Figure </w:t>
      </w:r>
      <w:r w:rsidR="009E0437" w:rsidRPr="00AC6C6F">
        <w:rPr>
          <w:rFonts w:cs="Calibri"/>
        </w:rPr>
        <w:t>6</w:t>
      </w:r>
      <w:r w:rsidRPr="00AC6C6F">
        <w:rPr>
          <w:rFonts w:cs="Calibri"/>
        </w:rPr>
        <w:t>.</w:t>
      </w:r>
    </w:p>
    <w:p w:rsidR="0095275C" w:rsidRPr="00AC6C6F" w:rsidRDefault="0095275C" w:rsidP="0095275C">
      <w:pPr>
        <w:keepNext/>
        <w:rPr>
          <w:rStyle w:val="CommentReference"/>
          <w:bCs/>
        </w:rPr>
      </w:pPr>
      <w:r w:rsidRPr="00AC6C6F">
        <w:rPr>
          <w:rStyle w:val="CommentReference"/>
          <w:bCs/>
        </w:rPr>
        <w:t xml:space="preserve">Figure </w:t>
      </w:r>
      <w:r w:rsidR="009E0437" w:rsidRPr="00AC6C6F">
        <w:rPr>
          <w:rStyle w:val="CommentReference"/>
          <w:bCs/>
        </w:rPr>
        <w:t>6</w:t>
      </w:r>
      <w:r w:rsidRPr="00AC6C6F">
        <w:rPr>
          <w:rStyle w:val="CommentReference"/>
          <w:bCs/>
        </w:rPr>
        <w:t>: Kaplan-Meier</w:t>
      </w:r>
      <w:r w:rsidRPr="00AC6C6F">
        <w:rPr>
          <w:rStyle w:val="CommentReference"/>
        </w:rPr>
        <w:t xml:space="preserve"> </w:t>
      </w:r>
      <w:r w:rsidRPr="00AC6C6F">
        <w:rPr>
          <w:rStyle w:val="CommentReference"/>
          <w:bCs/>
        </w:rPr>
        <w:t>Curve for TTNT (ITT)</w:t>
      </w:r>
    </w:p>
    <w:p w:rsidR="0095275C" w:rsidRPr="00AC6C6F" w:rsidRDefault="0095275C" w:rsidP="0095275C">
      <w:r w:rsidRPr="00AC6C6F">
        <w:rPr>
          <w:noProof/>
        </w:rPr>
        <w:drawing>
          <wp:inline distT="0" distB="0" distL="0" distR="0" wp14:anchorId="1384114B" wp14:editId="4C982DD5">
            <wp:extent cx="5732145" cy="2982048"/>
            <wp:effectExtent l="0" t="0" r="1905" b="8890"/>
            <wp:docPr id="37" name="Picture 37" title="Figure 6: Kaplan-Meier Curve for TTNT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2145" cy="2982048"/>
                    </a:xfrm>
                    <a:prstGeom prst="rect">
                      <a:avLst/>
                    </a:prstGeom>
                    <a:noFill/>
                    <a:ln>
                      <a:noFill/>
                    </a:ln>
                  </pic:spPr>
                </pic:pic>
              </a:graphicData>
            </a:graphic>
          </wp:inline>
        </w:drawing>
      </w:r>
    </w:p>
    <w:p w:rsidR="0095275C" w:rsidRPr="00AC6C6F" w:rsidRDefault="0095275C" w:rsidP="00AF726E">
      <w:pPr>
        <w:rPr>
          <w:rFonts w:ascii="Arial Narrow" w:hAnsi="Arial Narrow"/>
          <w:sz w:val="18"/>
          <w:szCs w:val="18"/>
        </w:rPr>
      </w:pPr>
      <w:r w:rsidRPr="00AC6C6F">
        <w:rPr>
          <w:rFonts w:ascii="Arial Narrow" w:hAnsi="Arial Narrow"/>
          <w:sz w:val="18"/>
          <w:szCs w:val="18"/>
        </w:rPr>
        <w:t xml:space="preserve">Source: Figure 2-19 (p122 of the </w:t>
      </w:r>
      <w:r w:rsidR="002C2AF4" w:rsidRPr="00AC6C6F">
        <w:rPr>
          <w:rFonts w:ascii="Arial Narrow" w:hAnsi="Arial Narrow"/>
          <w:sz w:val="18"/>
          <w:szCs w:val="18"/>
        </w:rPr>
        <w:t>s</w:t>
      </w:r>
      <w:r w:rsidRPr="00AC6C6F">
        <w:rPr>
          <w:rFonts w:ascii="Arial Narrow" w:hAnsi="Arial Narrow"/>
          <w:sz w:val="18"/>
          <w:szCs w:val="18"/>
        </w:rPr>
        <w:t>ubmission)</w:t>
      </w:r>
    </w:p>
    <w:p w:rsidR="0095275C" w:rsidRPr="00AC6C6F" w:rsidRDefault="0095275C" w:rsidP="00AF726E">
      <w:pPr>
        <w:rPr>
          <w:rFonts w:ascii="Arial Narrow" w:hAnsi="Arial Narrow"/>
          <w:sz w:val="18"/>
          <w:szCs w:val="18"/>
        </w:rPr>
      </w:pPr>
    </w:p>
    <w:p w:rsidR="00AF726E" w:rsidRPr="00AC6C6F" w:rsidRDefault="007E2362" w:rsidP="00CD09E9">
      <w:pPr>
        <w:widowControl w:val="0"/>
        <w:spacing w:after="120"/>
      </w:pPr>
      <w:r w:rsidRPr="00AC6C6F">
        <w:rPr>
          <w:rFonts w:cs="Calibri"/>
          <w:u w:val="single"/>
        </w:rPr>
        <w:t xml:space="preserve">Mogamulizumab vs </w:t>
      </w:r>
      <w:r w:rsidR="00EE197C" w:rsidRPr="00AC6C6F">
        <w:rPr>
          <w:rFonts w:cs="Calibri"/>
          <w:u w:val="single"/>
        </w:rPr>
        <w:t>b</w:t>
      </w:r>
      <w:r w:rsidR="00AF726E" w:rsidRPr="00AC6C6F">
        <w:rPr>
          <w:rFonts w:cs="Calibri"/>
          <w:u w:val="single"/>
        </w:rPr>
        <w:t>rentuximab</w:t>
      </w:r>
    </w:p>
    <w:p w:rsidR="00AF726E" w:rsidRPr="00AC6C6F" w:rsidRDefault="00AF726E" w:rsidP="00AF726E">
      <w:pPr>
        <w:pStyle w:val="3-BodyText"/>
        <w:rPr>
          <w:color w:val="0066FF"/>
        </w:rPr>
      </w:pPr>
      <w:r w:rsidRPr="00AC6C6F">
        <w:rPr>
          <w:rFonts w:cs="Calibri"/>
          <w:color w:val="000000" w:themeColor="text1"/>
        </w:rPr>
        <w:t xml:space="preserve">At the time of data cut-off </w:t>
      </w:r>
      <w:r w:rsidR="000945DD" w:rsidRPr="00AC6C6F">
        <w:rPr>
          <w:rFonts w:cs="Calibri"/>
          <w:color w:val="000000" w:themeColor="text1"/>
        </w:rPr>
        <w:t>for</w:t>
      </w:r>
      <w:r w:rsidR="00131BA2" w:rsidRPr="00AC6C6F">
        <w:rPr>
          <w:rFonts w:cs="Calibri"/>
          <w:color w:val="000000" w:themeColor="text1"/>
        </w:rPr>
        <w:t xml:space="preserve"> ALCANZA </w:t>
      </w:r>
      <w:r w:rsidRPr="00AC6C6F">
        <w:rPr>
          <w:rFonts w:cs="Calibri"/>
          <w:color w:val="000000" w:themeColor="text1"/>
        </w:rPr>
        <w:t xml:space="preserve">the median follow-up was 22.9 months (95%CI 18.5, 26.1). </w:t>
      </w:r>
      <w:r w:rsidRPr="00AC6C6F">
        <w:rPr>
          <w:rFonts w:cs="Calibri"/>
        </w:rPr>
        <w:t xml:space="preserve">Results of ORR4 in both the ITT and disease subgroups are presented in Table </w:t>
      </w:r>
      <w:r w:rsidR="009E0437" w:rsidRPr="00AC6C6F">
        <w:rPr>
          <w:rFonts w:cs="Calibri"/>
        </w:rPr>
        <w:t>7</w:t>
      </w:r>
      <w:r w:rsidRPr="00AC6C6F">
        <w:rPr>
          <w:rFonts w:cs="Calibri"/>
        </w:rPr>
        <w:t xml:space="preserve">. </w:t>
      </w:r>
    </w:p>
    <w:p w:rsidR="00AF726E" w:rsidRPr="00AC6C6F" w:rsidRDefault="00AF726E" w:rsidP="00AF726E">
      <w:pPr>
        <w:rPr>
          <w:rStyle w:val="CommentReference"/>
          <w:bCs/>
        </w:rPr>
      </w:pPr>
      <w:r w:rsidRPr="00AC6C6F">
        <w:rPr>
          <w:rStyle w:val="CommentReference"/>
          <w:bCs/>
        </w:rPr>
        <w:t xml:space="preserve">Table </w:t>
      </w:r>
      <w:r w:rsidR="009E0437" w:rsidRPr="00AC6C6F">
        <w:rPr>
          <w:rStyle w:val="CommentReference"/>
          <w:bCs/>
        </w:rPr>
        <w:t xml:space="preserve">7: </w:t>
      </w:r>
      <w:r w:rsidRPr="00AC6C6F">
        <w:rPr>
          <w:rStyle w:val="CommentReference"/>
          <w:bCs/>
        </w:rPr>
        <w:t xml:space="preserve">Results of </w:t>
      </w:r>
      <w:r w:rsidR="009E0437" w:rsidRPr="00AC6C6F">
        <w:rPr>
          <w:rStyle w:val="CommentReference"/>
          <w:bCs/>
        </w:rPr>
        <w:t xml:space="preserve">independent review facility </w:t>
      </w:r>
      <w:r w:rsidRPr="00AC6C6F">
        <w:rPr>
          <w:rStyle w:val="CommentReference"/>
          <w:bCs/>
        </w:rPr>
        <w:t>assessed ORR4 in ALCANZA (ITT; MF and pcALCL subgroups)</w:t>
      </w:r>
    </w:p>
    <w:tbl>
      <w:tblPr>
        <w:tblStyle w:val="Summarybox1"/>
        <w:tblW w:w="5000" w:type="pct"/>
        <w:tblLook w:val="04A0" w:firstRow="1" w:lastRow="0" w:firstColumn="1" w:lastColumn="0" w:noHBand="0" w:noVBand="1"/>
        <w:tblCaption w:val="Table 7: Results of independent review facility assessed ORR4 in ALCANZA (ITT; MF and pcALCL subgroups)"/>
      </w:tblPr>
      <w:tblGrid>
        <w:gridCol w:w="1804"/>
        <w:gridCol w:w="1804"/>
        <w:gridCol w:w="1803"/>
        <w:gridCol w:w="1803"/>
        <w:gridCol w:w="1803"/>
      </w:tblGrid>
      <w:tr w:rsidR="00AF726E" w:rsidRPr="00AC6C6F" w:rsidTr="00302235">
        <w:trPr>
          <w:trHeight w:val="80"/>
          <w:tblHeader/>
        </w:trPr>
        <w:tc>
          <w:tcPr>
            <w:tcW w:w="1000" w:type="pct"/>
            <w:vMerge w:val="restart"/>
            <w:shd w:val="clear" w:color="auto" w:fill="auto"/>
            <w:vAlign w:val="center"/>
          </w:tcPr>
          <w:p w:rsidR="00AF726E" w:rsidRPr="00AC6C6F" w:rsidRDefault="00AF726E" w:rsidP="00302235">
            <w:pPr>
              <w:pStyle w:val="Table"/>
              <w:jc w:val="center"/>
              <w:rPr>
                <w:rFonts w:ascii="Arial Narrow" w:hAnsi="Arial Narrow" w:cs="Arial"/>
                <w:b/>
                <w:bCs/>
                <w:szCs w:val="20"/>
              </w:rPr>
            </w:pPr>
            <w:r w:rsidRPr="00AC6C6F">
              <w:rPr>
                <w:rFonts w:ascii="Arial Narrow" w:hAnsi="Arial Narrow" w:cs="Arial"/>
                <w:b/>
                <w:bCs/>
                <w:szCs w:val="20"/>
              </w:rPr>
              <w:t>Analysis group</w:t>
            </w:r>
          </w:p>
        </w:tc>
        <w:tc>
          <w:tcPr>
            <w:tcW w:w="2000" w:type="pct"/>
            <w:gridSpan w:val="2"/>
            <w:shd w:val="clear" w:color="auto" w:fill="auto"/>
            <w:vAlign w:val="center"/>
          </w:tcPr>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n/N (%)</w:t>
            </w:r>
          </w:p>
        </w:tc>
        <w:tc>
          <w:tcPr>
            <w:tcW w:w="1000" w:type="pct"/>
            <w:vMerge w:val="restart"/>
            <w:shd w:val="clear" w:color="auto" w:fill="auto"/>
            <w:vAlign w:val="center"/>
          </w:tcPr>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Risk difference</w:t>
            </w:r>
          </w:p>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(95% CI)</w:t>
            </w:r>
          </w:p>
        </w:tc>
        <w:tc>
          <w:tcPr>
            <w:tcW w:w="1000" w:type="pct"/>
            <w:vMerge w:val="restart"/>
            <w:shd w:val="clear" w:color="auto" w:fill="auto"/>
            <w:vAlign w:val="center"/>
          </w:tcPr>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p-value</w:t>
            </w:r>
          </w:p>
        </w:tc>
      </w:tr>
      <w:tr w:rsidR="00AF726E" w:rsidRPr="00AC6C6F" w:rsidTr="00302235">
        <w:trPr>
          <w:tblHeader/>
        </w:trPr>
        <w:tc>
          <w:tcPr>
            <w:tcW w:w="1000" w:type="pct"/>
            <w:vMerge/>
            <w:shd w:val="clear" w:color="auto" w:fill="auto"/>
          </w:tcPr>
          <w:p w:rsidR="00AF726E" w:rsidRPr="00AC6C6F" w:rsidRDefault="00AF726E" w:rsidP="00302235">
            <w:pPr>
              <w:pStyle w:val="Table"/>
              <w:rPr>
                <w:rFonts w:ascii="Arial Narrow" w:hAnsi="Arial Narrow" w:cs="Arial"/>
                <w:szCs w:val="20"/>
              </w:rPr>
            </w:pPr>
          </w:p>
        </w:tc>
        <w:tc>
          <w:tcPr>
            <w:tcW w:w="1000" w:type="pct"/>
            <w:shd w:val="clear" w:color="auto" w:fill="auto"/>
          </w:tcPr>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 xml:space="preserve">Brentuximab </w:t>
            </w:r>
          </w:p>
        </w:tc>
        <w:tc>
          <w:tcPr>
            <w:tcW w:w="1000" w:type="pct"/>
            <w:shd w:val="clear" w:color="auto" w:fill="auto"/>
          </w:tcPr>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PC:MTX/BEX</w:t>
            </w:r>
          </w:p>
        </w:tc>
        <w:tc>
          <w:tcPr>
            <w:tcW w:w="1000" w:type="pct"/>
            <w:vMerge/>
          </w:tcPr>
          <w:p w:rsidR="00AF726E" w:rsidRPr="00AC6C6F" w:rsidRDefault="00AF726E" w:rsidP="00302235">
            <w:pPr>
              <w:pStyle w:val="TableCentre"/>
              <w:rPr>
                <w:rFonts w:ascii="Arial Narrow" w:hAnsi="Arial Narrow" w:cs="Arial"/>
                <w:szCs w:val="20"/>
              </w:rPr>
            </w:pPr>
          </w:p>
        </w:tc>
        <w:tc>
          <w:tcPr>
            <w:tcW w:w="1000" w:type="pct"/>
            <w:vMerge/>
          </w:tcPr>
          <w:p w:rsidR="00AF726E" w:rsidRPr="00AC6C6F" w:rsidRDefault="00AF726E" w:rsidP="00302235">
            <w:pPr>
              <w:pStyle w:val="TableCentre"/>
              <w:rPr>
                <w:rFonts w:ascii="Arial Narrow" w:hAnsi="Arial Narrow" w:cs="Arial"/>
                <w:szCs w:val="20"/>
              </w:rPr>
            </w:pPr>
          </w:p>
        </w:tc>
      </w:tr>
      <w:tr w:rsidR="00AF726E" w:rsidRPr="00AC6C6F" w:rsidTr="00302235">
        <w:tc>
          <w:tcPr>
            <w:tcW w:w="1000" w:type="pct"/>
          </w:tcPr>
          <w:p w:rsidR="00AF726E" w:rsidRPr="00AC6C6F" w:rsidRDefault="00AF726E" w:rsidP="00302235">
            <w:pPr>
              <w:pStyle w:val="Table"/>
              <w:rPr>
                <w:rFonts w:ascii="Arial Narrow" w:hAnsi="Arial Narrow" w:cs="Arial"/>
                <w:szCs w:val="20"/>
              </w:rPr>
            </w:pPr>
            <w:r w:rsidRPr="00AC6C6F">
              <w:rPr>
                <w:rFonts w:ascii="Arial Narrow" w:hAnsi="Arial Narrow" w:cs="Arial"/>
                <w:szCs w:val="20"/>
              </w:rPr>
              <w:t>ITT</w:t>
            </w:r>
          </w:p>
          <w:p w:rsidR="00AF726E" w:rsidRPr="00AC6C6F" w:rsidRDefault="00AF726E" w:rsidP="00302235">
            <w:pPr>
              <w:pStyle w:val="Table"/>
              <w:rPr>
                <w:rFonts w:ascii="Arial Narrow" w:hAnsi="Arial Narrow" w:cs="Arial"/>
                <w:szCs w:val="20"/>
              </w:rPr>
            </w:pPr>
            <w:r w:rsidRPr="00AC6C6F">
              <w:rPr>
                <w:rFonts w:ascii="Arial Narrow" w:hAnsi="Arial Narrow" w:cs="Arial"/>
                <w:szCs w:val="20"/>
              </w:rPr>
              <w:t>(95% CI)</w:t>
            </w:r>
          </w:p>
        </w:tc>
        <w:tc>
          <w:tcPr>
            <w:tcW w:w="1000" w:type="pct"/>
          </w:tcPr>
          <w:p w:rsidR="00AF726E" w:rsidRPr="00AC6C6F" w:rsidRDefault="00AF726E" w:rsidP="00302235">
            <w:pPr>
              <w:pStyle w:val="TableCentre"/>
              <w:rPr>
                <w:rFonts w:ascii="Arial Narrow" w:hAnsi="Arial Narrow" w:cs="Arial"/>
                <w:szCs w:val="20"/>
              </w:rPr>
            </w:pPr>
            <w:r w:rsidRPr="00AC6C6F">
              <w:rPr>
                <w:rFonts w:ascii="Arial Narrow" w:hAnsi="Arial Narrow" w:cs="Arial"/>
                <w:szCs w:val="20"/>
              </w:rPr>
              <w:t>36/64 (56.3)</w:t>
            </w:r>
          </w:p>
          <w:p w:rsidR="00AF726E" w:rsidRPr="00AC6C6F" w:rsidRDefault="00AF726E" w:rsidP="00302235">
            <w:pPr>
              <w:pStyle w:val="TableCentre"/>
              <w:rPr>
                <w:rFonts w:ascii="Arial Narrow" w:hAnsi="Arial Narrow" w:cs="Arial"/>
                <w:szCs w:val="20"/>
              </w:rPr>
            </w:pPr>
            <w:r w:rsidRPr="00AC6C6F">
              <w:rPr>
                <w:rFonts w:ascii="Arial Narrow" w:hAnsi="Arial Narrow" w:cs="Arial"/>
                <w:szCs w:val="20"/>
              </w:rPr>
              <w:t>(44.1, 68.4)</w:t>
            </w:r>
          </w:p>
        </w:tc>
        <w:tc>
          <w:tcPr>
            <w:tcW w:w="1000" w:type="pct"/>
          </w:tcPr>
          <w:p w:rsidR="00AF726E" w:rsidRPr="00AC6C6F" w:rsidRDefault="00AF726E" w:rsidP="00302235">
            <w:pPr>
              <w:pStyle w:val="TableCentre"/>
              <w:rPr>
                <w:rFonts w:ascii="Arial Narrow" w:hAnsi="Arial Narrow" w:cs="Arial"/>
                <w:szCs w:val="20"/>
              </w:rPr>
            </w:pPr>
            <w:r w:rsidRPr="00AC6C6F">
              <w:rPr>
                <w:rFonts w:ascii="Arial Narrow" w:hAnsi="Arial Narrow" w:cs="Arial"/>
                <w:szCs w:val="20"/>
              </w:rPr>
              <w:t>8/64 (12.5)</w:t>
            </w:r>
          </w:p>
          <w:p w:rsidR="00AF726E" w:rsidRPr="00AC6C6F" w:rsidRDefault="00AF726E" w:rsidP="00302235">
            <w:pPr>
              <w:pStyle w:val="TableCentre"/>
              <w:rPr>
                <w:rFonts w:ascii="Arial Narrow" w:hAnsi="Arial Narrow" w:cs="Arial"/>
                <w:szCs w:val="20"/>
              </w:rPr>
            </w:pPr>
            <w:r w:rsidRPr="00AC6C6F">
              <w:rPr>
                <w:rFonts w:ascii="Arial Narrow" w:hAnsi="Arial Narrow" w:cs="Arial"/>
                <w:szCs w:val="20"/>
              </w:rPr>
              <w:t>(4.4, 20.6)</w:t>
            </w:r>
          </w:p>
        </w:tc>
        <w:tc>
          <w:tcPr>
            <w:tcW w:w="1000" w:type="pct"/>
          </w:tcPr>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43.8</w:t>
            </w:r>
          </w:p>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(29.1, 58.4)</w:t>
            </w:r>
          </w:p>
        </w:tc>
        <w:tc>
          <w:tcPr>
            <w:tcW w:w="1000" w:type="pct"/>
          </w:tcPr>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&lt;0.001</w:t>
            </w:r>
          </w:p>
        </w:tc>
      </w:tr>
      <w:tr w:rsidR="00AF726E" w:rsidRPr="00AC6C6F" w:rsidTr="000945DD">
        <w:tc>
          <w:tcPr>
            <w:tcW w:w="1000" w:type="pct"/>
            <w:tcBorders>
              <w:bottom w:val="single" w:sz="4" w:space="0" w:color="auto"/>
            </w:tcBorders>
          </w:tcPr>
          <w:p w:rsidR="00AF726E" w:rsidRPr="00AC6C6F" w:rsidRDefault="00AF726E" w:rsidP="00302235">
            <w:pPr>
              <w:pStyle w:val="Table"/>
              <w:rPr>
                <w:rFonts w:ascii="Arial Narrow" w:hAnsi="Arial Narrow" w:cs="Arial"/>
                <w:szCs w:val="20"/>
              </w:rPr>
            </w:pPr>
            <w:r w:rsidRPr="00AC6C6F">
              <w:rPr>
                <w:rFonts w:ascii="Arial Narrow" w:hAnsi="Arial Narrow" w:cs="Arial"/>
                <w:szCs w:val="20"/>
              </w:rPr>
              <w:t>MF subgroup</w:t>
            </w:r>
          </w:p>
          <w:p w:rsidR="00AF726E" w:rsidRPr="00AC6C6F" w:rsidRDefault="00AF726E" w:rsidP="00302235">
            <w:pPr>
              <w:pStyle w:val="Table"/>
              <w:rPr>
                <w:rFonts w:ascii="Arial Narrow" w:hAnsi="Arial Narrow" w:cs="Arial"/>
                <w:szCs w:val="20"/>
              </w:rPr>
            </w:pPr>
            <w:r w:rsidRPr="00AC6C6F">
              <w:rPr>
                <w:rFonts w:ascii="Arial Narrow" w:hAnsi="Arial Narrow" w:cs="Arial"/>
                <w:szCs w:val="20"/>
              </w:rPr>
              <w:t>(95% CI)</w:t>
            </w:r>
          </w:p>
        </w:tc>
        <w:tc>
          <w:tcPr>
            <w:tcW w:w="1000" w:type="pct"/>
            <w:tcBorders>
              <w:bottom w:val="single" w:sz="4" w:space="0" w:color="auto"/>
            </w:tcBorders>
          </w:tcPr>
          <w:p w:rsidR="00AF726E" w:rsidRPr="00AC6C6F" w:rsidRDefault="00AF726E" w:rsidP="00302235">
            <w:pPr>
              <w:pStyle w:val="TableCentre"/>
              <w:rPr>
                <w:rFonts w:ascii="Arial Narrow" w:hAnsi="Arial Narrow" w:cs="Arial"/>
                <w:szCs w:val="20"/>
              </w:rPr>
            </w:pPr>
            <w:r w:rsidRPr="00AC6C6F">
              <w:rPr>
                <w:rFonts w:ascii="Arial Narrow" w:hAnsi="Arial Narrow" w:cs="Arial"/>
                <w:szCs w:val="20"/>
              </w:rPr>
              <w:t>24/48 (50.0)</w:t>
            </w:r>
          </w:p>
          <w:p w:rsidR="00AF726E" w:rsidRPr="00AC6C6F" w:rsidRDefault="00AF726E" w:rsidP="00302235">
            <w:pPr>
              <w:pStyle w:val="TableCentre"/>
              <w:rPr>
                <w:rFonts w:ascii="Arial Narrow" w:hAnsi="Arial Narrow" w:cs="Arial"/>
                <w:szCs w:val="20"/>
              </w:rPr>
            </w:pPr>
            <w:r w:rsidRPr="00AC6C6F">
              <w:rPr>
                <w:rFonts w:ascii="Arial Narrow" w:hAnsi="Arial Narrow" w:cs="Arial"/>
                <w:szCs w:val="20"/>
              </w:rPr>
              <w:t>(35.9, 64.1)</w:t>
            </w:r>
          </w:p>
        </w:tc>
        <w:tc>
          <w:tcPr>
            <w:tcW w:w="1000" w:type="pct"/>
            <w:tcBorders>
              <w:bottom w:val="single" w:sz="4" w:space="0" w:color="auto"/>
            </w:tcBorders>
          </w:tcPr>
          <w:p w:rsidR="00AF726E" w:rsidRPr="00AC6C6F" w:rsidRDefault="00AF726E" w:rsidP="00302235">
            <w:pPr>
              <w:pStyle w:val="TableCentre"/>
              <w:rPr>
                <w:rFonts w:ascii="Arial Narrow" w:hAnsi="Arial Narrow" w:cs="Arial"/>
                <w:szCs w:val="20"/>
              </w:rPr>
            </w:pPr>
            <w:r w:rsidRPr="00AC6C6F">
              <w:rPr>
                <w:rFonts w:ascii="Arial Narrow" w:hAnsi="Arial Narrow" w:cs="Arial"/>
                <w:szCs w:val="20"/>
              </w:rPr>
              <w:t>5/49 (10.2)</w:t>
            </w:r>
          </w:p>
          <w:p w:rsidR="00AF726E" w:rsidRPr="00AC6C6F" w:rsidRDefault="00AF726E" w:rsidP="00302235">
            <w:pPr>
              <w:pStyle w:val="TableCentre"/>
              <w:rPr>
                <w:rFonts w:ascii="Arial Narrow" w:hAnsi="Arial Narrow" w:cs="Arial"/>
                <w:szCs w:val="20"/>
              </w:rPr>
            </w:pPr>
            <w:r w:rsidRPr="00AC6C6F">
              <w:rPr>
                <w:rFonts w:ascii="Arial Narrow" w:hAnsi="Arial Narrow" w:cs="Arial"/>
                <w:szCs w:val="20"/>
              </w:rPr>
              <w:t>(3.4, 22.2)</w:t>
            </w:r>
          </w:p>
        </w:tc>
        <w:tc>
          <w:tcPr>
            <w:tcW w:w="1000" w:type="pct"/>
            <w:tcBorders>
              <w:bottom w:val="single" w:sz="4" w:space="0" w:color="auto"/>
            </w:tcBorders>
          </w:tcPr>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39.8</w:t>
            </w:r>
          </w:p>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(19.9, 56.2)</w:t>
            </w:r>
          </w:p>
        </w:tc>
        <w:tc>
          <w:tcPr>
            <w:tcW w:w="1000" w:type="pct"/>
            <w:tcBorders>
              <w:bottom w:val="single" w:sz="4" w:space="0" w:color="auto"/>
            </w:tcBorders>
          </w:tcPr>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&lt;0.001</w:t>
            </w:r>
          </w:p>
        </w:tc>
      </w:tr>
      <w:tr w:rsidR="00AF726E" w:rsidRPr="00AC6C6F" w:rsidTr="000945DD">
        <w:tc>
          <w:tcPr>
            <w:tcW w:w="1000" w:type="pct"/>
            <w:tcBorders>
              <w:top w:val="single" w:sz="4" w:space="0" w:color="auto"/>
              <w:left w:val="single" w:sz="4" w:space="0" w:color="auto"/>
              <w:bottom w:val="single" w:sz="4" w:space="0" w:color="auto"/>
              <w:right w:val="single" w:sz="4" w:space="0" w:color="auto"/>
            </w:tcBorders>
          </w:tcPr>
          <w:p w:rsidR="00AF726E" w:rsidRPr="00AC6C6F" w:rsidRDefault="00AF726E" w:rsidP="00302235">
            <w:pPr>
              <w:pStyle w:val="Table"/>
              <w:rPr>
                <w:rFonts w:ascii="Arial Narrow" w:hAnsi="Arial Narrow" w:cs="Arial"/>
                <w:szCs w:val="20"/>
              </w:rPr>
            </w:pPr>
            <w:r w:rsidRPr="00AC6C6F">
              <w:rPr>
                <w:rFonts w:ascii="Arial Narrow" w:hAnsi="Arial Narrow" w:cs="Arial"/>
                <w:szCs w:val="20"/>
              </w:rPr>
              <w:t>pcALCL subgroup</w:t>
            </w:r>
          </w:p>
          <w:p w:rsidR="00AF726E" w:rsidRPr="00AC6C6F" w:rsidRDefault="00AF726E" w:rsidP="00302235">
            <w:pPr>
              <w:pStyle w:val="Table"/>
              <w:rPr>
                <w:rFonts w:ascii="Arial Narrow" w:hAnsi="Arial Narrow" w:cs="Arial"/>
                <w:szCs w:val="20"/>
              </w:rPr>
            </w:pPr>
            <w:r w:rsidRPr="00AC6C6F">
              <w:rPr>
                <w:rFonts w:ascii="Arial Narrow" w:hAnsi="Arial Narrow" w:cs="Arial"/>
                <w:szCs w:val="20"/>
              </w:rPr>
              <w:t>(95% CI)</w:t>
            </w:r>
          </w:p>
        </w:tc>
        <w:tc>
          <w:tcPr>
            <w:tcW w:w="1000" w:type="pct"/>
            <w:tcBorders>
              <w:top w:val="single" w:sz="4" w:space="0" w:color="auto"/>
              <w:left w:val="single" w:sz="4" w:space="0" w:color="auto"/>
              <w:bottom w:val="single" w:sz="4" w:space="0" w:color="auto"/>
              <w:right w:val="single" w:sz="4" w:space="0" w:color="auto"/>
            </w:tcBorders>
          </w:tcPr>
          <w:p w:rsidR="00AF726E" w:rsidRPr="00AC6C6F" w:rsidRDefault="00AF726E" w:rsidP="00302235">
            <w:pPr>
              <w:pStyle w:val="TableCentre"/>
              <w:rPr>
                <w:rFonts w:ascii="Arial Narrow" w:hAnsi="Arial Narrow" w:cs="Arial"/>
                <w:szCs w:val="20"/>
              </w:rPr>
            </w:pPr>
            <w:r w:rsidRPr="00AC6C6F">
              <w:rPr>
                <w:rFonts w:ascii="Arial Narrow" w:hAnsi="Arial Narrow" w:cs="Arial"/>
                <w:szCs w:val="20"/>
              </w:rPr>
              <w:t>12/16 (75.0)</w:t>
            </w:r>
          </w:p>
          <w:p w:rsidR="00AF726E" w:rsidRPr="00AC6C6F" w:rsidRDefault="00AF726E" w:rsidP="00302235">
            <w:pPr>
              <w:pStyle w:val="TableCentre"/>
              <w:rPr>
                <w:rFonts w:ascii="Arial Narrow" w:hAnsi="Arial Narrow" w:cs="Arial"/>
                <w:szCs w:val="20"/>
              </w:rPr>
            </w:pPr>
            <w:r w:rsidRPr="00AC6C6F">
              <w:rPr>
                <w:rFonts w:ascii="Arial Narrow" w:hAnsi="Arial Narrow" w:cs="Arial"/>
                <w:szCs w:val="20"/>
              </w:rPr>
              <w:t>(47.6, 92.7)</w:t>
            </w:r>
          </w:p>
        </w:tc>
        <w:tc>
          <w:tcPr>
            <w:tcW w:w="1000" w:type="pct"/>
            <w:tcBorders>
              <w:top w:val="single" w:sz="4" w:space="0" w:color="auto"/>
              <w:left w:val="single" w:sz="4" w:space="0" w:color="auto"/>
              <w:bottom w:val="single" w:sz="4" w:space="0" w:color="auto"/>
              <w:right w:val="single" w:sz="4" w:space="0" w:color="auto"/>
            </w:tcBorders>
          </w:tcPr>
          <w:p w:rsidR="00AF726E" w:rsidRPr="00AC6C6F" w:rsidRDefault="00AF726E" w:rsidP="00302235">
            <w:pPr>
              <w:pStyle w:val="TableCentre"/>
              <w:rPr>
                <w:rFonts w:ascii="Arial Narrow" w:hAnsi="Arial Narrow" w:cs="Arial"/>
                <w:szCs w:val="20"/>
              </w:rPr>
            </w:pPr>
            <w:r w:rsidRPr="00AC6C6F">
              <w:rPr>
                <w:rFonts w:ascii="Arial Narrow" w:hAnsi="Arial Narrow" w:cs="Arial"/>
                <w:szCs w:val="20"/>
              </w:rPr>
              <w:t>3/15 (20.0)</w:t>
            </w:r>
          </w:p>
          <w:p w:rsidR="00AF726E" w:rsidRPr="00AC6C6F" w:rsidRDefault="00AF726E" w:rsidP="00302235">
            <w:pPr>
              <w:pStyle w:val="TableCentre"/>
              <w:rPr>
                <w:rFonts w:ascii="Arial Narrow" w:hAnsi="Arial Narrow" w:cs="Arial"/>
                <w:szCs w:val="20"/>
              </w:rPr>
            </w:pPr>
            <w:r w:rsidRPr="00AC6C6F">
              <w:rPr>
                <w:rFonts w:ascii="Arial Narrow" w:hAnsi="Arial Narrow" w:cs="Arial"/>
                <w:szCs w:val="20"/>
              </w:rPr>
              <w:t>(4.3, 48.1)</w:t>
            </w:r>
          </w:p>
        </w:tc>
        <w:tc>
          <w:tcPr>
            <w:tcW w:w="1000" w:type="pct"/>
            <w:tcBorders>
              <w:top w:val="single" w:sz="4" w:space="0" w:color="auto"/>
              <w:left w:val="single" w:sz="4" w:space="0" w:color="auto"/>
              <w:bottom w:val="single" w:sz="4" w:space="0" w:color="auto"/>
              <w:right w:val="single" w:sz="4" w:space="0" w:color="auto"/>
            </w:tcBorders>
          </w:tcPr>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55.0</w:t>
            </w:r>
          </w:p>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(19.7, 80.4)</w:t>
            </w:r>
          </w:p>
        </w:tc>
        <w:tc>
          <w:tcPr>
            <w:tcW w:w="1000" w:type="pct"/>
            <w:tcBorders>
              <w:top w:val="single" w:sz="4" w:space="0" w:color="auto"/>
              <w:left w:val="single" w:sz="4" w:space="0" w:color="auto"/>
              <w:bottom w:val="single" w:sz="4" w:space="0" w:color="auto"/>
              <w:right w:val="single" w:sz="4" w:space="0" w:color="auto"/>
            </w:tcBorders>
          </w:tcPr>
          <w:p w:rsidR="00AF726E" w:rsidRPr="00AC6C6F" w:rsidRDefault="00AF726E" w:rsidP="00302235">
            <w:pPr>
              <w:pStyle w:val="TableCentre"/>
              <w:rPr>
                <w:rFonts w:ascii="Arial Narrow" w:hAnsi="Arial Narrow" w:cs="Arial"/>
                <w:b/>
                <w:bCs/>
                <w:szCs w:val="20"/>
              </w:rPr>
            </w:pPr>
            <w:r w:rsidRPr="00AC6C6F">
              <w:rPr>
                <w:rFonts w:ascii="Arial Narrow" w:hAnsi="Arial Narrow" w:cs="Arial"/>
                <w:b/>
                <w:bCs/>
                <w:szCs w:val="20"/>
              </w:rPr>
              <w:t>0.003</w:t>
            </w:r>
          </w:p>
        </w:tc>
      </w:tr>
    </w:tbl>
    <w:p w:rsidR="00AF726E" w:rsidRPr="00AC6C6F" w:rsidRDefault="00AF726E" w:rsidP="00AF726E">
      <w:pPr>
        <w:rPr>
          <w:rFonts w:ascii="Arial Narrow" w:hAnsi="Arial Narrow"/>
          <w:sz w:val="18"/>
          <w:szCs w:val="18"/>
        </w:rPr>
      </w:pPr>
      <w:r w:rsidRPr="00AC6C6F">
        <w:rPr>
          <w:rFonts w:ascii="Arial Narrow" w:hAnsi="Arial Narrow"/>
          <w:sz w:val="18"/>
          <w:szCs w:val="18"/>
        </w:rPr>
        <w:t xml:space="preserve">Source: Table 2-58 (p136 of the </w:t>
      </w:r>
      <w:r w:rsidR="002C2AF4" w:rsidRPr="00AC6C6F">
        <w:rPr>
          <w:rFonts w:ascii="Arial Narrow" w:hAnsi="Arial Narrow"/>
          <w:sz w:val="18"/>
          <w:szCs w:val="18"/>
        </w:rPr>
        <w:t>s</w:t>
      </w:r>
      <w:r w:rsidRPr="00AC6C6F">
        <w:rPr>
          <w:rFonts w:ascii="Arial Narrow" w:hAnsi="Arial Narrow"/>
          <w:sz w:val="18"/>
          <w:szCs w:val="18"/>
        </w:rPr>
        <w:t>ubmission)</w:t>
      </w:r>
    </w:p>
    <w:p w:rsidR="00AF726E" w:rsidRPr="00AC6C6F" w:rsidRDefault="00AF726E" w:rsidP="00AF726E">
      <w:pPr>
        <w:rPr>
          <w:rFonts w:ascii="Arial Narrow" w:eastAsia="Calibri" w:hAnsi="Arial Narrow"/>
          <w:sz w:val="18"/>
          <w:szCs w:val="18"/>
        </w:rPr>
      </w:pPr>
      <w:r w:rsidRPr="00AC6C6F">
        <w:rPr>
          <w:rFonts w:ascii="Arial Narrow" w:hAnsi="Arial Narrow"/>
          <w:sz w:val="18"/>
          <w:szCs w:val="18"/>
        </w:rPr>
        <w:t>Abbreviations: CI = confidence interval; ITT= intent to treat; MF = mycosis fungoides; n =</w:t>
      </w:r>
      <w:r w:rsidRPr="00AC6C6F">
        <w:rPr>
          <w:rFonts w:ascii="Arial Narrow" w:eastAsia="Calibri" w:hAnsi="Arial Narrow"/>
          <w:sz w:val="18"/>
          <w:szCs w:val="18"/>
        </w:rPr>
        <w:t xml:space="preserve"> number of participants with event;</w:t>
      </w:r>
      <w:r w:rsidRPr="00AC6C6F">
        <w:rPr>
          <w:rFonts w:ascii="Arial Narrow" w:hAnsi="Arial Narrow"/>
          <w:sz w:val="18"/>
          <w:szCs w:val="18"/>
        </w:rPr>
        <w:t xml:space="preserve"> </w:t>
      </w:r>
      <w:r w:rsidRPr="00AC6C6F">
        <w:rPr>
          <w:rFonts w:ascii="Arial Narrow" w:eastAsia="Calibri" w:hAnsi="Arial Narrow"/>
          <w:sz w:val="18"/>
          <w:szCs w:val="18"/>
        </w:rPr>
        <w:t xml:space="preserve">N = total participants in group; pcALCL = primary cutaneous large cell lymphoma; PC:MTX/BEX = physician’s choice of methotrexate or bexarotene. </w:t>
      </w:r>
    </w:p>
    <w:p w:rsidR="00AF726E" w:rsidRPr="00AC6C6F" w:rsidRDefault="00AF726E" w:rsidP="00AF726E">
      <w:pPr>
        <w:rPr>
          <w:rFonts w:ascii="Arial Narrow" w:eastAsia="Calibri" w:hAnsi="Arial Narrow"/>
          <w:sz w:val="18"/>
          <w:szCs w:val="18"/>
        </w:rPr>
      </w:pPr>
      <w:r w:rsidRPr="00AC6C6F">
        <w:rPr>
          <w:rFonts w:ascii="Arial Narrow" w:eastAsia="Calibri" w:hAnsi="Arial Narrow"/>
          <w:sz w:val="18"/>
          <w:szCs w:val="18"/>
        </w:rPr>
        <w:t>Bold indicates statistically significant difference.</w:t>
      </w:r>
    </w:p>
    <w:p w:rsidR="00AF726E" w:rsidRPr="00AC6C6F" w:rsidRDefault="00AF726E" w:rsidP="00AF726E">
      <w:pPr>
        <w:rPr>
          <w:rFonts w:ascii="Arial Narrow" w:hAnsi="Arial Narrow"/>
          <w:sz w:val="18"/>
          <w:szCs w:val="18"/>
        </w:rPr>
      </w:pPr>
    </w:p>
    <w:p w:rsidR="00AF726E" w:rsidRPr="00AC6C6F" w:rsidRDefault="00AF726E" w:rsidP="00AF726E">
      <w:pPr>
        <w:pStyle w:val="3-BodyText"/>
        <w:rPr>
          <w:color w:val="0066FF"/>
        </w:rPr>
      </w:pPr>
      <w:r w:rsidRPr="00AC6C6F">
        <w:rPr>
          <w:rFonts w:cs="Calibri"/>
        </w:rPr>
        <w:t>Independent review facility (IRF) assessed ORR4 results favoured the brentuximab arm of the trial in both the ITT population (56.3% vs 12.5%) and in the CTCL subgroups (MF 50.0% vs 10.2%; pcALCL 75.0% vs 20.0%).</w:t>
      </w:r>
      <w:r w:rsidRPr="00AC6C6F">
        <w:rPr>
          <w:rFonts w:cs="Calibri"/>
          <w:i/>
          <w:iCs/>
        </w:rPr>
        <w:t xml:space="preserve"> </w:t>
      </w:r>
      <w:r w:rsidRPr="00AC6C6F">
        <w:rPr>
          <w:rFonts w:cs="Calibri"/>
          <w:iCs/>
        </w:rPr>
        <w:t xml:space="preserve">The </w:t>
      </w:r>
      <w:r w:rsidR="00B30361" w:rsidRPr="00AC6C6F">
        <w:rPr>
          <w:rFonts w:cs="Calibri"/>
          <w:iCs/>
        </w:rPr>
        <w:t>PSCR</w:t>
      </w:r>
      <w:r w:rsidRPr="00AC6C6F">
        <w:rPr>
          <w:rFonts w:cs="Calibri"/>
          <w:iCs/>
        </w:rPr>
        <w:t xml:space="preserve"> for brentuximab, highlighted that in ALCANZA</w:t>
      </w:r>
      <w:r w:rsidR="009E0437" w:rsidRPr="00AC6C6F">
        <w:rPr>
          <w:rFonts w:cs="Calibri"/>
          <w:iCs/>
        </w:rPr>
        <w:t xml:space="preserve"> the</w:t>
      </w:r>
      <w:r w:rsidRPr="00AC6C6F">
        <w:rPr>
          <w:rFonts w:cs="Calibri"/>
          <w:iCs/>
        </w:rPr>
        <w:t xml:space="preserve"> response to brentuximab was seen across a range of baseline CD30 </w:t>
      </w:r>
      <w:r w:rsidRPr="00AC6C6F">
        <w:rPr>
          <w:rFonts w:ascii="Calibri" w:hAnsi="Calibri" w:cs="Calibri"/>
          <w:iCs/>
        </w:rPr>
        <w:t>expressions from 3% to 100% and there was no correlation between CD30 expression and ORR4 (paragraph 2.3, brentuximab PSD, July 2018 PBAC Meeting).</w:t>
      </w:r>
      <w:r w:rsidRPr="00AC6C6F">
        <w:rPr>
          <w:rFonts w:ascii="Calibri" w:hAnsi="Calibri" w:cs="Calibri"/>
        </w:rPr>
        <w:t xml:space="preserve"> The ORR4 results were consistent with the supportive analysis of the proportion of patients achieving an ORR (of any duration), which was also longer in the brentuximab group compared to PC:MTX/BEX (43 patients; 67% vs 13 patients; 20%; p &lt;0.0001). The proportion of patients achieving </w:t>
      </w:r>
      <w:r w:rsidR="009E0437" w:rsidRPr="00AC6C6F">
        <w:rPr>
          <w:rFonts w:ascii="Calibri" w:hAnsi="Calibri" w:cs="Calibri"/>
        </w:rPr>
        <w:t xml:space="preserve">a </w:t>
      </w:r>
      <w:r w:rsidRPr="00AC6C6F">
        <w:rPr>
          <w:rFonts w:ascii="Calibri" w:hAnsi="Calibri" w:cs="Calibri"/>
        </w:rPr>
        <w:t>CR was also higher with brentuximab (10 patients; 16%) than with PC:MTX/BEX (1 patient; 2%; p = 0.0046</w:t>
      </w:r>
      <w:r w:rsidR="009E0437" w:rsidRPr="00AC6C6F">
        <w:rPr>
          <w:rFonts w:ascii="Calibri" w:hAnsi="Calibri" w:cs="Calibri"/>
        </w:rPr>
        <w:t>).</w:t>
      </w:r>
    </w:p>
    <w:p w:rsidR="00AF726E" w:rsidRPr="00AC6C6F" w:rsidRDefault="00AF726E" w:rsidP="00AF726E">
      <w:pPr>
        <w:pStyle w:val="3-BodyText"/>
        <w:rPr>
          <w:color w:val="0066FF"/>
        </w:rPr>
      </w:pPr>
      <w:r w:rsidRPr="00AC6C6F">
        <w:rPr>
          <w:rFonts w:cs="Calibri"/>
          <w:bCs/>
        </w:rPr>
        <w:t xml:space="preserve">The median IRF assessed PFS for brentuximab (16.7 months) was significantly longer than PC:MTX/BEX (3.5 months). </w:t>
      </w:r>
      <w:r w:rsidR="00B03421" w:rsidRPr="00AC6C6F">
        <w:rPr>
          <w:rFonts w:cs="Calibri"/>
          <w:bCs/>
          <w:iCs/>
        </w:rPr>
        <w:t xml:space="preserve">A </w:t>
      </w:r>
      <w:r w:rsidRPr="00AC6C6F">
        <w:rPr>
          <w:rFonts w:cs="Calibri"/>
          <w:bCs/>
          <w:iCs/>
        </w:rPr>
        <w:t xml:space="preserve">consistent </w:t>
      </w:r>
      <w:r w:rsidR="00B03421" w:rsidRPr="00AC6C6F">
        <w:rPr>
          <w:rFonts w:cs="Calibri"/>
          <w:bCs/>
          <w:iCs/>
        </w:rPr>
        <w:t xml:space="preserve">difference in </w:t>
      </w:r>
      <w:r w:rsidRPr="00AC6C6F">
        <w:rPr>
          <w:rFonts w:cs="Calibri"/>
          <w:bCs/>
          <w:iCs/>
        </w:rPr>
        <w:t>PFS was</w:t>
      </w:r>
      <w:r w:rsidR="00B03421" w:rsidRPr="00AC6C6F">
        <w:rPr>
          <w:rFonts w:cs="Calibri"/>
          <w:bCs/>
          <w:iCs/>
        </w:rPr>
        <w:t xml:space="preserve"> noted</w:t>
      </w:r>
      <w:r w:rsidRPr="00AC6C6F">
        <w:rPr>
          <w:rFonts w:cs="Calibri"/>
          <w:bCs/>
          <w:iCs/>
        </w:rPr>
        <w:t xml:space="preserve"> </w:t>
      </w:r>
      <w:r w:rsidR="00B03421" w:rsidRPr="00AC6C6F">
        <w:rPr>
          <w:rFonts w:cs="Calibri"/>
          <w:bCs/>
          <w:iCs/>
        </w:rPr>
        <w:t xml:space="preserve">when </w:t>
      </w:r>
      <w:r w:rsidRPr="00AC6C6F">
        <w:rPr>
          <w:rFonts w:cs="Calibri"/>
          <w:bCs/>
          <w:iCs/>
        </w:rPr>
        <w:t>stratified for MF and pcALCL subtypes.</w:t>
      </w:r>
      <w:r w:rsidRPr="00AC6C6F">
        <w:rPr>
          <w:rFonts w:cs="Calibri"/>
          <w:bCs/>
        </w:rPr>
        <w:t xml:space="preserve"> </w:t>
      </w:r>
      <w:r w:rsidRPr="00AC6C6F">
        <w:rPr>
          <w:rFonts w:cs="Calibri"/>
        </w:rPr>
        <w:t xml:space="preserve">A summary of the PFS results for ALCANZA is presented in Table </w:t>
      </w:r>
      <w:r w:rsidR="00B03421" w:rsidRPr="00AC6C6F">
        <w:rPr>
          <w:rFonts w:cs="Calibri"/>
        </w:rPr>
        <w:t>8</w:t>
      </w:r>
      <w:r w:rsidRPr="00AC6C6F">
        <w:rPr>
          <w:rFonts w:cs="Calibri"/>
        </w:rPr>
        <w:t xml:space="preserve">. </w:t>
      </w:r>
    </w:p>
    <w:p w:rsidR="00AF726E" w:rsidRPr="00AC6C6F" w:rsidRDefault="00AF726E" w:rsidP="00AF726E">
      <w:pPr>
        <w:pStyle w:val="TableFigureHeading"/>
        <w:keepNext w:val="0"/>
        <w:widowControl w:val="0"/>
        <w:rPr>
          <w:rStyle w:val="CommentReference"/>
          <w:b/>
          <w:bCs w:val="0"/>
        </w:rPr>
      </w:pPr>
      <w:r w:rsidRPr="00AC6C6F">
        <w:rPr>
          <w:rStyle w:val="CommentReference"/>
          <w:b/>
          <w:bCs w:val="0"/>
        </w:rPr>
        <w:t xml:space="preserve">Table </w:t>
      </w:r>
      <w:r w:rsidR="009E0437" w:rsidRPr="00AC6C6F">
        <w:rPr>
          <w:rStyle w:val="CommentReference"/>
          <w:b/>
          <w:bCs w:val="0"/>
        </w:rPr>
        <w:t xml:space="preserve">8: </w:t>
      </w:r>
      <w:r w:rsidRPr="00AC6C6F">
        <w:rPr>
          <w:rStyle w:val="CommentReference"/>
          <w:b/>
          <w:bCs w:val="0"/>
        </w:rPr>
        <w:t>Results of PFS in ALCANZA (ITT; MF and SS subgroups)</w:t>
      </w:r>
    </w:p>
    <w:tbl>
      <w:tblPr>
        <w:tblStyle w:val="TableGrid"/>
        <w:tblW w:w="9209" w:type="dxa"/>
        <w:tblLook w:val="04A0" w:firstRow="1" w:lastRow="0" w:firstColumn="1" w:lastColumn="0" w:noHBand="0" w:noVBand="1"/>
        <w:tblCaption w:val="Table 8: Results of PFS in ALCANZA (ITT; MF and SS subgroups)"/>
      </w:tblPr>
      <w:tblGrid>
        <w:gridCol w:w="1202"/>
        <w:gridCol w:w="815"/>
        <w:gridCol w:w="1065"/>
        <w:gridCol w:w="955"/>
        <w:gridCol w:w="964"/>
        <w:gridCol w:w="1090"/>
        <w:gridCol w:w="1275"/>
        <w:gridCol w:w="1843"/>
      </w:tblGrid>
      <w:tr w:rsidR="00AF726E" w:rsidRPr="00AC6C6F" w:rsidTr="005C2013">
        <w:trPr>
          <w:tblHeader/>
        </w:trPr>
        <w:tc>
          <w:tcPr>
            <w:tcW w:w="1202" w:type="dxa"/>
            <w:vMerge w:val="restart"/>
            <w:shd w:val="clear" w:color="auto" w:fill="auto"/>
            <w:vAlign w:val="center"/>
          </w:tcPr>
          <w:p w:rsidR="00AF726E" w:rsidRPr="00AC6C6F" w:rsidRDefault="00AF726E" w:rsidP="00302235">
            <w:pPr>
              <w:pStyle w:val="Table"/>
              <w:jc w:val="center"/>
              <w:rPr>
                <w:rFonts w:ascii="Arial Narrow" w:hAnsi="Arial Narrow"/>
                <w:b/>
                <w:bCs/>
                <w:szCs w:val="20"/>
              </w:rPr>
            </w:pPr>
            <w:r w:rsidRPr="00AC6C6F">
              <w:rPr>
                <w:rFonts w:ascii="Arial Narrow" w:hAnsi="Arial Narrow"/>
                <w:b/>
                <w:bCs/>
                <w:szCs w:val="20"/>
              </w:rPr>
              <w:t>Analysis group</w:t>
            </w:r>
          </w:p>
        </w:tc>
        <w:tc>
          <w:tcPr>
            <w:tcW w:w="1880" w:type="dxa"/>
            <w:gridSpan w:val="2"/>
            <w:shd w:val="clear" w:color="auto" w:fill="auto"/>
            <w:vAlign w:val="center"/>
          </w:tcPr>
          <w:p w:rsidR="00AF726E" w:rsidRPr="00AC6C6F" w:rsidRDefault="00AF726E" w:rsidP="00302235">
            <w:pPr>
              <w:pStyle w:val="TableCentre"/>
              <w:rPr>
                <w:rFonts w:ascii="Arial Narrow" w:hAnsi="Arial Narrow"/>
                <w:b/>
                <w:bCs/>
                <w:szCs w:val="20"/>
              </w:rPr>
            </w:pPr>
            <w:r w:rsidRPr="00AC6C6F">
              <w:rPr>
                <w:rFonts w:ascii="Arial Narrow" w:hAnsi="Arial Narrow"/>
                <w:b/>
                <w:bCs/>
                <w:szCs w:val="20"/>
              </w:rPr>
              <w:t>Brentuximab</w:t>
            </w:r>
          </w:p>
        </w:tc>
        <w:tc>
          <w:tcPr>
            <w:tcW w:w="1919" w:type="dxa"/>
            <w:gridSpan w:val="2"/>
            <w:shd w:val="clear" w:color="auto" w:fill="auto"/>
            <w:vAlign w:val="center"/>
          </w:tcPr>
          <w:p w:rsidR="00AF726E" w:rsidRPr="00AC6C6F" w:rsidRDefault="00AF726E" w:rsidP="00302235">
            <w:pPr>
              <w:pStyle w:val="TableCentre"/>
              <w:rPr>
                <w:rFonts w:ascii="Arial Narrow" w:hAnsi="Arial Narrow"/>
                <w:b/>
                <w:bCs/>
                <w:szCs w:val="20"/>
              </w:rPr>
            </w:pPr>
            <w:r w:rsidRPr="00AC6C6F">
              <w:rPr>
                <w:rFonts w:ascii="Arial Narrow" w:hAnsi="Arial Narrow" w:cs="Arial"/>
                <w:b/>
                <w:bCs/>
                <w:szCs w:val="20"/>
              </w:rPr>
              <w:t>PC:MTX/BEX</w:t>
            </w:r>
          </w:p>
        </w:tc>
        <w:tc>
          <w:tcPr>
            <w:tcW w:w="1090" w:type="dxa"/>
            <w:vMerge w:val="restart"/>
            <w:vAlign w:val="center"/>
          </w:tcPr>
          <w:p w:rsidR="00AF726E" w:rsidRPr="00AC6C6F" w:rsidRDefault="00AF726E" w:rsidP="00302235">
            <w:pPr>
              <w:pStyle w:val="TableCentre"/>
              <w:rPr>
                <w:rFonts w:ascii="Arial Narrow" w:hAnsi="Arial Narrow"/>
                <w:b/>
                <w:bCs/>
                <w:szCs w:val="20"/>
              </w:rPr>
            </w:pPr>
            <w:r w:rsidRPr="00AC6C6F">
              <w:rPr>
                <w:rFonts w:ascii="Arial Narrow" w:hAnsi="Arial Narrow"/>
                <w:b/>
                <w:bCs/>
                <w:szCs w:val="20"/>
              </w:rPr>
              <w:t>Difference in median</w:t>
            </w:r>
          </w:p>
        </w:tc>
        <w:tc>
          <w:tcPr>
            <w:tcW w:w="1275" w:type="dxa"/>
            <w:vMerge w:val="restart"/>
            <w:shd w:val="clear" w:color="auto" w:fill="auto"/>
            <w:vAlign w:val="center"/>
          </w:tcPr>
          <w:p w:rsidR="00AF726E" w:rsidRPr="00AC6C6F" w:rsidRDefault="00AF726E" w:rsidP="00302235">
            <w:pPr>
              <w:pStyle w:val="TableCentre"/>
              <w:rPr>
                <w:rFonts w:ascii="Arial Narrow" w:hAnsi="Arial Narrow"/>
                <w:b/>
                <w:bCs/>
                <w:szCs w:val="20"/>
              </w:rPr>
            </w:pPr>
            <w:r w:rsidRPr="00AC6C6F">
              <w:rPr>
                <w:rFonts w:ascii="Arial Narrow" w:hAnsi="Arial Narrow"/>
                <w:b/>
                <w:bCs/>
                <w:szCs w:val="20"/>
              </w:rPr>
              <w:t>P-value</w:t>
            </w:r>
          </w:p>
        </w:tc>
        <w:tc>
          <w:tcPr>
            <w:tcW w:w="1843" w:type="dxa"/>
            <w:vMerge w:val="restart"/>
            <w:vAlign w:val="center"/>
          </w:tcPr>
          <w:p w:rsidR="00AF726E" w:rsidRPr="00AC6C6F" w:rsidRDefault="00AF726E" w:rsidP="00302235">
            <w:pPr>
              <w:pStyle w:val="In-tableHeading"/>
              <w:jc w:val="center"/>
              <w:rPr>
                <w:bCs/>
                <w:lang w:val="en-AU"/>
              </w:rPr>
            </w:pPr>
            <w:r w:rsidRPr="00AC6C6F">
              <w:rPr>
                <w:bCs/>
                <w:lang w:val="en-AU"/>
              </w:rPr>
              <w:t>HR</w:t>
            </w:r>
          </w:p>
          <w:p w:rsidR="00AF726E" w:rsidRPr="00AC6C6F" w:rsidRDefault="00AF726E" w:rsidP="00302235">
            <w:pPr>
              <w:pStyle w:val="TableCentre"/>
              <w:rPr>
                <w:rFonts w:ascii="Arial Narrow" w:hAnsi="Arial Narrow"/>
                <w:b/>
                <w:bCs/>
                <w:szCs w:val="20"/>
              </w:rPr>
            </w:pPr>
            <w:r w:rsidRPr="00AC6C6F">
              <w:rPr>
                <w:rFonts w:ascii="Arial Narrow" w:hAnsi="Arial Narrow"/>
                <w:b/>
                <w:bCs/>
                <w:szCs w:val="20"/>
              </w:rPr>
              <w:t>(95% CI)</w:t>
            </w:r>
          </w:p>
        </w:tc>
      </w:tr>
      <w:tr w:rsidR="00AF726E" w:rsidRPr="00AC6C6F" w:rsidTr="005C2013">
        <w:trPr>
          <w:tblHeader/>
        </w:trPr>
        <w:tc>
          <w:tcPr>
            <w:tcW w:w="1202" w:type="dxa"/>
            <w:vMerge/>
            <w:shd w:val="clear" w:color="auto" w:fill="auto"/>
          </w:tcPr>
          <w:p w:rsidR="00AF726E" w:rsidRPr="00AC6C6F" w:rsidRDefault="00AF726E" w:rsidP="00302235">
            <w:pPr>
              <w:pStyle w:val="Table"/>
              <w:rPr>
                <w:rFonts w:ascii="Arial Narrow" w:hAnsi="Arial Narrow"/>
                <w:szCs w:val="20"/>
              </w:rPr>
            </w:pPr>
          </w:p>
        </w:tc>
        <w:tc>
          <w:tcPr>
            <w:tcW w:w="815" w:type="dxa"/>
            <w:shd w:val="clear" w:color="auto" w:fill="auto"/>
          </w:tcPr>
          <w:p w:rsidR="00AF726E" w:rsidRPr="00AC6C6F" w:rsidRDefault="00AF726E" w:rsidP="00302235">
            <w:pPr>
              <w:pStyle w:val="TableCentre"/>
              <w:rPr>
                <w:rFonts w:ascii="Arial Narrow" w:hAnsi="Arial Narrow"/>
                <w:b/>
                <w:bCs/>
                <w:szCs w:val="20"/>
              </w:rPr>
            </w:pPr>
            <w:r w:rsidRPr="00AC6C6F">
              <w:rPr>
                <w:rFonts w:ascii="Arial Narrow" w:hAnsi="Arial Narrow"/>
                <w:b/>
                <w:bCs/>
                <w:szCs w:val="20"/>
              </w:rPr>
              <w:t xml:space="preserve">PFS </w:t>
            </w:r>
          </w:p>
          <w:p w:rsidR="00AF726E" w:rsidRPr="00AC6C6F" w:rsidRDefault="00AF726E" w:rsidP="00302235">
            <w:pPr>
              <w:pStyle w:val="TableCentre"/>
              <w:rPr>
                <w:rFonts w:ascii="Arial Narrow" w:hAnsi="Arial Narrow"/>
                <w:b/>
                <w:bCs/>
                <w:szCs w:val="20"/>
              </w:rPr>
            </w:pPr>
            <w:r w:rsidRPr="00AC6C6F">
              <w:rPr>
                <w:rFonts w:ascii="Arial Narrow" w:hAnsi="Arial Narrow"/>
                <w:b/>
                <w:bCs/>
                <w:szCs w:val="20"/>
              </w:rPr>
              <w:t>(n, %)</w:t>
            </w:r>
          </w:p>
        </w:tc>
        <w:tc>
          <w:tcPr>
            <w:tcW w:w="1065" w:type="dxa"/>
            <w:shd w:val="clear" w:color="auto" w:fill="auto"/>
          </w:tcPr>
          <w:p w:rsidR="00AF726E" w:rsidRPr="00AC6C6F" w:rsidRDefault="00AF726E" w:rsidP="00302235">
            <w:pPr>
              <w:pStyle w:val="TableCentre"/>
              <w:rPr>
                <w:rFonts w:ascii="Arial Narrow" w:hAnsi="Arial Narrow"/>
                <w:b/>
                <w:bCs/>
                <w:szCs w:val="20"/>
              </w:rPr>
            </w:pPr>
            <w:r w:rsidRPr="00AC6C6F">
              <w:rPr>
                <w:rFonts w:ascii="Arial Narrow" w:hAnsi="Arial Narrow"/>
                <w:b/>
                <w:bCs/>
                <w:szCs w:val="20"/>
              </w:rPr>
              <w:t>Median</w:t>
            </w:r>
          </w:p>
          <w:p w:rsidR="00AF726E" w:rsidRPr="00AC6C6F" w:rsidRDefault="00AF726E" w:rsidP="00302235">
            <w:pPr>
              <w:pStyle w:val="TableCentre"/>
              <w:rPr>
                <w:rFonts w:ascii="Arial Narrow" w:hAnsi="Arial Narrow"/>
                <w:b/>
                <w:bCs/>
                <w:szCs w:val="20"/>
              </w:rPr>
            </w:pPr>
            <w:r w:rsidRPr="00AC6C6F">
              <w:rPr>
                <w:rFonts w:ascii="Arial Narrow" w:hAnsi="Arial Narrow"/>
                <w:b/>
                <w:bCs/>
                <w:szCs w:val="20"/>
              </w:rPr>
              <w:t>(months)</w:t>
            </w:r>
          </w:p>
        </w:tc>
        <w:tc>
          <w:tcPr>
            <w:tcW w:w="955" w:type="dxa"/>
            <w:shd w:val="clear" w:color="auto" w:fill="auto"/>
          </w:tcPr>
          <w:p w:rsidR="00AF726E" w:rsidRPr="00AC6C6F" w:rsidRDefault="00AF726E" w:rsidP="00302235">
            <w:pPr>
              <w:pStyle w:val="TableCentre"/>
              <w:rPr>
                <w:rFonts w:ascii="Arial Narrow" w:hAnsi="Arial Narrow"/>
                <w:b/>
                <w:bCs/>
                <w:szCs w:val="20"/>
              </w:rPr>
            </w:pPr>
            <w:r w:rsidRPr="00AC6C6F">
              <w:rPr>
                <w:rFonts w:ascii="Arial Narrow" w:hAnsi="Arial Narrow"/>
                <w:b/>
                <w:bCs/>
                <w:szCs w:val="20"/>
              </w:rPr>
              <w:t xml:space="preserve">PFS </w:t>
            </w:r>
          </w:p>
          <w:p w:rsidR="00AF726E" w:rsidRPr="00AC6C6F" w:rsidRDefault="00AF726E" w:rsidP="00302235">
            <w:pPr>
              <w:pStyle w:val="TableCentre"/>
              <w:rPr>
                <w:rFonts w:ascii="Arial Narrow" w:hAnsi="Arial Narrow"/>
                <w:b/>
                <w:bCs/>
                <w:szCs w:val="20"/>
              </w:rPr>
            </w:pPr>
            <w:r w:rsidRPr="00AC6C6F">
              <w:rPr>
                <w:rFonts w:ascii="Arial Narrow" w:hAnsi="Arial Narrow"/>
                <w:b/>
                <w:bCs/>
                <w:szCs w:val="20"/>
              </w:rPr>
              <w:t>(n, %)</w:t>
            </w:r>
          </w:p>
        </w:tc>
        <w:tc>
          <w:tcPr>
            <w:tcW w:w="964" w:type="dxa"/>
            <w:shd w:val="clear" w:color="auto" w:fill="auto"/>
          </w:tcPr>
          <w:p w:rsidR="00AF726E" w:rsidRPr="00AC6C6F" w:rsidRDefault="00AF726E" w:rsidP="00302235">
            <w:pPr>
              <w:pStyle w:val="TableCentre"/>
              <w:rPr>
                <w:rFonts w:ascii="Arial Narrow" w:hAnsi="Arial Narrow"/>
                <w:b/>
                <w:bCs/>
                <w:szCs w:val="20"/>
              </w:rPr>
            </w:pPr>
            <w:r w:rsidRPr="00AC6C6F">
              <w:rPr>
                <w:rFonts w:ascii="Arial Narrow" w:hAnsi="Arial Narrow"/>
                <w:b/>
                <w:bCs/>
                <w:szCs w:val="20"/>
              </w:rPr>
              <w:t>Median (months)</w:t>
            </w:r>
          </w:p>
        </w:tc>
        <w:tc>
          <w:tcPr>
            <w:tcW w:w="1090" w:type="dxa"/>
            <w:vMerge/>
          </w:tcPr>
          <w:p w:rsidR="00AF726E" w:rsidRPr="00AC6C6F" w:rsidRDefault="00AF726E" w:rsidP="00302235">
            <w:pPr>
              <w:pStyle w:val="TableCentre"/>
              <w:rPr>
                <w:rFonts w:ascii="Arial Narrow" w:hAnsi="Arial Narrow"/>
                <w:szCs w:val="20"/>
              </w:rPr>
            </w:pPr>
          </w:p>
        </w:tc>
        <w:tc>
          <w:tcPr>
            <w:tcW w:w="1275" w:type="dxa"/>
            <w:vMerge/>
            <w:shd w:val="clear" w:color="auto" w:fill="auto"/>
          </w:tcPr>
          <w:p w:rsidR="00AF726E" w:rsidRPr="00AC6C6F" w:rsidRDefault="00AF726E" w:rsidP="00302235">
            <w:pPr>
              <w:pStyle w:val="TableCentre"/>
              <w:rPr>
                <w:rFonts w:ascii="Arial Narrow" w:hAnsi="Arial Narrow"/>
                <w:szCs w:val="20"/>
              </w:rPr>
            </w:pPr>
          </w:p>
        </w:tc>
        <w:tc>
          <w:tcPr>
            <w:tcW w:w="1843" w:type="dxa"/>
            <w:vMerge/>
          </w:tcPr>
          <w:p w:rsidR="00AF726E" w:rsidRPr="00AC6C6F" w:rsidRDefault="00AF726E" w:rsidP="00302235">
            <w:pPr>
              <w:pStyle w:val="TableCentre"/>
              <w:rPr>
                <w:rFonts w:ascii="Arial Narrow" w:hAnsi="Arial Narrow"/>
                <w:szCs w:val="20"/>
              </w:rPr>
            </w:pPr>
          </w:p>
        </w:tc>
      </w:tr>
      <w:tr w:rsidR="00AF726E" w:rsidRPr="00AC6C6F" w:rsidTr="00302235">
        <w:tc>
          <w:tcPr>
            <w:tcW w:w="1202" w:type="dxa"/>
            <w:shd w:val="clear" w:color="auto" w:fill="auto"/>
          </w:tcPr>
          <w:p w:rsidR="00AF726E" w:rsidRPr="00AC6C6F" w:rsidRDefault="00AF726E" w:rsidP="00302235">
            <w:pPr>
              <w:pStyle w:val="Table"/>
              <w:rPr>
                <w:rFonts w:ascii="Arial Narrow" w:hAnsi="Arial Narrow"/>
                <w:szCs w:val="20"/>
              </w:rPr>
            </w:pPr>
            <w:r w:rsidRPr="00AC6C6F">
              <w:rPr>
                <w:rFonts w:ascii="Arial Narrow" w:hAnsi="Arial Narrow"/>
                <w:szCs w:val="20"/>
              </w:rPr>
              <w:t>ITT</w:t>
            </w:r>
          </w:p>
          <w:p w:rsidR="00AF726E" w:rsidRPr="00AC6C6F" w:rsidRDefault="00AF726E" w:rsidP="00302235">
            <w:pPr>
              <w:pStyle w:val="Table"/>
              <w:rPr>
                <w:rFonts w:ascii="Arial Narrow" w:hAnsi="Arial Narrow"/>
                <w:szCs w:val="20"/>
              </w:rPr>
            </w:pPr>
            <w:r w:rsidRPr="00AC6C6F">
              <w:rPr>
                <w:rFonts w:ascii="Arial Narrow" w:hAnsi="Arial Narrow"/>
                <w:szCs w:val="20"/>
              </w:rPr>
              <w:t>(95% CI)</w:t>
            </w:r>
          </w:p>
        </w:tc>
        <w:tc>
          <w:tcPr>
            <w:tcW w:w="815"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36/64</w:t>
            </w:r>
          </w:p>
        </w:tc>
        <w:tc>
          <w:tcPr>
            <w:tcW w:w="1065"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16.7</w:t>
            </w:r>
          </w:p>
          <w:p w:rsidR="00AF726E" w:rsidRPr="00AC6C6F" w:rsidRDefault="00AF726E" w:rsidP="00302235">
            <w:pPr>
              <w:pStyle w:val="TableCentre"/>
              <w:rPr>
                <w:rFonts w:ascii="Arial Narrow" w:hAnsi="Arial Narrow"/>
                <w:szCs w:val="20"/>
              </w:rPr>
            </w:pPr>
            <w:r w:rsidRPr="00AC6C6F">
              <w:rPr>
                <w:rFonts w:ascii="Arial Narrow" w:hAnsi="Arial Narrow"/>
                <w:szCs w:val="20"/>
              </w:rPr>
              <w:t>(14.9, 22.8)</w:t>
            </w:r>
          </w:p>
        </w:tc>
        <w:tc>
          <w:tcPr>
            <w:tcW w:w="955"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50/64</w:t>
            </w:r>
          </w:p>
        </w:tc>
        <w:tc>
          <w:tcPr>
            <w:tcW w:w="964"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3.5</w:t>
            </w:r>
          </w:p>
          <w:p w:rsidR="00AF726E" w:rsidRPr="00AC6C6F" w:rsidRDefault="00AF726E" w:rsidP="00302235">
            <w:pPr>
              <w:pStyle w:val="TableCentre"/>
              <w:rPr>
                <w:rFonts w:ascii="Arial Narrow" w:hAnsi="Arial Narrow"/>
                <w:szCs w:val="20"/>
              </w:rPr>
            </w:pPr>
            <w:r w:rsidRPr="00AC6C6F">
              <w:rPr>
                <w:rFonts w:ascii="Arial Narrow" w:hAnsi="Arial Narrow"/>
                <w:szCs w:val="20"/>
              </w:rPr>
              <w:t>(2.4, 4.6)</w:t>
            </w:r>
          </w:p>
        </w:tc>
        <w:tc>
          <w:tcPr>
            <w:tcW w:w="1090" w:type="dxa"/>
          </w:tcPr>
          <w:p w:rsidR="00AF726E" w:rsidRPr="00AC6C6F" w:rsidRDefault="00AF726E" w:rsidP="00302235">
            <w:pPr>
              <w:pStyle w:val="TableCentre"/>
              <w:rPr>
                <w:rFonts w:ascii="Arial Narrow" w:hAnsi="Arial Narrow"/>
                <w:szCs w:val="20"/>
              </w:rPr>
            </w:pPr>
            <w:r w:rsidRPr="00AC6C6F">
              <w:rPr>
                <w:rFonts w:ascii="Arial Narrow" w:hAnsi="Arial Narrow"/>
                <w:szCs w:val="20"/>
              </w:rPr>
              <w:t>13.2</w:t>
            </w:r>
          </w:p>
        </w:tc>
        <w:tc>
          <w:tcPr>
            <w:tcW w:w="1275" w:type="dxa"/>
            <w:shd w:val="clear" w:color="auto" w:fill="auto"/>
          </w:tcPr>
          <w:p w:rsidR="00AF726E" w:rsidRPr="00AC6C6F" w:rsidRDefault="00AF726E" w:rsidP="00302235">
            <w:pPr>
              <w:pStyle w:val="TableCentre"/>
              <w:rPr>
                <w:rFonts w:ascii="Arial Narrow" w:hAnsi="Arial Narrow"/>
                <w:b/>
                <w:bCs/>
                <w:szCs w:val="20"/>
              </w:rPr>
            </w:pPr>
            <w:r w:rsidRPr="00AC6C6F">
              <w:rPr>
                <w:rFonts w:ascii="Arial Narrow" w:hAnsi="Arial Narrow"/>
                <w:b/>
                <w:bCs/>
                <w:szCs w:val="20"/>
              </w:rPr>
              <w:t>&lt; 0.001</w:t>
            </w:r>
          </w:p>
        </w:tc>
        <w:tc>
          <w:tcPr>
            <w:tcW w:w="1843" w:type="dxa"/>
          </w:tcPr>
          <w:p w:rsidR="00AF726E" w:rsidRPr="00AC6C6F" w:rsidRDefault="00AF726E" w:rsidP="00302235">
            <w:pPr>
              <w:pStyle w:val="TableCentre"/>
              <w:rPr>
                <w:rFonts w:ascii="Arial Narrow" w:hAnsi="Arial Narrow"/>
                <w:b/>
                <w:bCs/>
                <w:szCs w:val="20"/>
              </w:rPr>
            </w:pPr>
            <w:r w:rsidRPr="00AC6C6F">
              <w:rPr>
                <w:rFonts w:ascii="Arial Narrow" w:hAnsi="Arial Narrow"/>
                <w:b/>
                <w:bCs/>
                <w:szCs w:val="20"/>
              </w:rPr>
              <w:t>0.27</w:t>
            </w:r>
          </w:p>
          <w:p w:rsidR="00AF726E" w:rsidRPr="00AC6C6F" w:rsidRDefault="00AF726E" w:rsidP="00302235">
            <w:pPr>
              <w:pStyle w:val="TableCentre"/>
              <w:rPr>
                <w:rFonts w:ascii="Arial Narrow" w:hAnsi="Arial Narrow"/>
                <w:b/>
                <w:bCs/>
                <w:szCs w:val="20"/>
              </w:rPr>
            </w:pPr>
            <w:r w:rsidRPr="00AC6C6F">
              <w:rPr>
                <w:rFonts w:ascii="Arial Narrow" w:hAnsi="Arial Narrow"/>
                <w:b/>
                <w:bCs/>
                <w:szCs w:val="20"/>
              </w:rPr>
              <w:t>(0.17, 0.43)</w:t>
            </w:r>
          </w:p>
        </w:tc>
      </w:tr>
      <w:tr w:rsidR="00AF726E" w:rsidRPr="00AC6C6F" w:rsidTr="00302235">
        <w:tc>
          <w:tcPr>
            <w:tcW w:w="1202" w:type="dxa"/>
            <w:shd w:val="clear" w:color="auto" w:fill="auto"/>
          </w:tcPr>
          <w:p w:rsidR="00AF726E" w:rsidRPr="00AC6C6F" w:rsidRDefault="00AF726E" w:rsidP="00302235">
            <w:pPr>
              <w:pStyle w:val="Table"/>
              <w:rPr>
                <w:rFonts w:ascii="Arial Narrow" w:hAnsi="Arial Narrow"/>
                <w:szCs w:val="20"/>
              </w:rPr>
            </w:pPr>
            <w:r w:rsidRPr="00AC6C6F">
              <w:rPr>
                <w:rFonts w:ascii="Arial Narrow" w:hAnsi="Arial Narrow"/>
                <w:szCs w:val="20"/>
              </w:rPr>
              <w:t>MF</w:t>
            </w:r>
          </w:p>
          <w:p w:rsidR="00AF726E" w:rsidRPr="00AC6C6F" w:rsidRDefault="00AF726E" w:rsidP="00302235">
            <w:pPr>
              <w:pStyle w:val="Table"/>
              <w:rPr>
                <w:rFonts w:ascii="Arial Narrow" w:hAnsi="Arial Narrow"/>
                <w:szCs w:val="20"/>
              </w:rPr>
            </w:pPr>
            <w:r w:rsidRPr="00AC6C6F">
              <w:rPr>
                <w:rFonts w:ascii="Arial Narrow" w:hAnsi="Arial Narrow"/>
                <w:szCs w:val="20"/>
              </w:rPr>
              <w:t>(95% CI)</w:t>
            </w:r>
          </w:p>
        </w:tc>
        <w:tc>
          <w:tcPr>
            <w:tcW w:w="815"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 xml:space="preserve">30/48 </w:t>
            </w:r>
          </w:p>
        </w:tc>
        <w:tc>
          <w:tcPr>
            <w:tcW w:w="1065"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15.9</w:t>
            </w:r>
          </w:p>
        </w:tc>
        <w:tc>
          <w:tcPr>
            <w:tcW w:w="955"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41/49</w:t>
            </w:r>
          </w:p>
        </w:tc>
        <w:tc>
          <w:tcPr>
            <w:tcW w:w="964"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3.5</w:t>
            </w:r>
          </w:p>
        </w:tc>
        <w:tc>
          <w:tcPr>
            <w:tcW w:w="1090" w:type="dxa"/>
          </w:tcPr>
          <w:p w:rsidR="00AF726E" w:rsidRPr="00AC6C6F" w:rsidRDefault="00AF726E" w:rsidP="00302235">
            <w:pPr>
              <w:pStyle w:val="TableCentre"/>
              <w:rPr>
                <w:rFonts w:ascii="Arial Narrow" w:hAnsi="Arial Narrow"/>
                <w:szCs w:val="20"/>
              </w:rPr>
            </w:pPr>
            <w:r w:rsidRPr="00AC6C6F">
              <w:rPr>
                <w:rFonts w:ascii="Arial Narrow" w:hAnsi="Arial Narrow"/>
                <w:szCs w:val="20"/>
              </w:rPr>
              <w:t>12.4</w:t>
            </w:r>
          </w:p>
        </w:tc>
        <w:tc>
          <w:tcPr>
            <w:tcW w:w="1275" w:type="dxa"/>
            <w:shd w:val="clear" w:color="auto" w:fill="auto"/>
            <w:vAlign w:val="center"/>
          </w:tcPr>
          <w:p w:rsidR="00AF726E" w:rsidRPr="00AC6C6F" w:rsidRDefault="00AF726E" w:rsidP="00302235">
            <w:pPr>
              <w:pStyle w:val="TableCentre"/>
              <w:rPr>
                <w:rFonts w:ascii="Arial Narrow" w:hAnsi="Arial Narrow"/>
                <w:szCs w:val="20"/>
              </w:rPr>
            </w:pPr>
            <w:r w:rsidRPr="00AC6C6F">
              <w:rPr>
                <w:rFonts w:ascii="Arial Narrow" w:hAnsi="Arial Narrow"/>
                <w:szCs w:val="20"/>
              </w:rPr>
              <w:t>NR</w:t>
            </w:r>
          </w:p>
        </w:tc>
        <w:tc>
          <w:tcPr>
            <w:tcW w:w="1843" w:type="dxa"/>
          </w:tcPr>
          <w:p w:rsidR="00AF726E" w:rsidRPr="00AC6C6F" w:rsidRDefault="00AF726E" w:rsidP="00302235">
            <w:pPr>
              <w:pStyle w:val="TableCentre"/>
              <w:rPr>
                <w:rFonts w:ascii="Arial Narrow" w:hAnsi="Arial Narrow"/>
                <w:szCs w:val="20"/>
              </w:rPr>
            </w:pPr>
            <w:r w:rsidRPr="00AC6C6F">
              <w:rPr>
                <w:rFonts w:ascii="Arial Narrow" w:hAnsi="Arial Narrow"/>
                <w:szCs w:val="20"/>
              </w:rPr>
              <w:t>0.27</w:t>
            </w:r>
          </w:p>
          <w:p w:rsidR="00AF726E" w:rsidRPr="00AC6C6F" w:rsidRDefault="00AF726E" w:rsidP="00302235">
            <w:pPr>
              <w:pStyle w:val="TableCentre"/>
              <w:rPr>
                <w:rFonts w:ascii="Arial Narrow" w:hAnsi="Arial Narrow"/>
                <w:szCs w:val="20"/>
              </w:rPr>
            </w:pPr>
            <w:r w:rsidRPr="00AC6C6F">
              <w:rPr>
                <w:rFonts w:ascii="Arial Narrow" w:hAnsi="Arial Narrow"/>
                <w:szCs w:val="20"/>
              </w:rPr>
              <w:t>(0.164, 0.455)</w:t>
            </w:r>
          </w:p>
        </w:tc>
      </w:tr>
      <w:tr w:rsidR="00AF726E" w:rsidRPr="00AC6C6F" w:rsidTr="00302235">
        <w:tc>
          <w:tcPr>
            <w:tcW w:w="1202" w:type="dxa"/>
            <w:shd w:val="clear" w:color="auto" w:fill="auto"/>
          </w:tcPr>
          <w:p w:rsidR="00AF726E" w:rsidRPr="00AC6C6F" w:rsidRDefault="00AF726E" w:rsidP="00302235">
            <w:pPr>
              <w:pStyle w:val="Table"/>
              <w:rPr>
                <w:rFonts w:ascii="Arial Narrow" w:hAnsi="Arial Narrow"/>
                <w:szCs w:val="20"/>
              </w:rPr>
            </w:pPr>
            <w:r w:rsidRPr="00AC6C6F">
              <w:rPr>
                <w:rFonts w:ascii="Arial Narrow" w:hAnsi="Arial Narrow"/>
                <w:szCs w:val="20"/>
              </w:rPr>
              <w:t>pcALCL</w:t>
            </w:r>
          </w:p>
          <w:p w:rsidR="00AF726E" w:rsidRPr="00AC6C6F" w:rsidRDefault="00AF726E" w:rsidP="00302235">
            <w:pPr>
              <w:pStyle w:val="Table"/>
              <w:rPr>
                <w:rFonts w:ascii="Arial Narrow" w:hAnsi="Arial Narrow"/>
                <w:szCs w:val="20"/>
              </w:rPr>
            </w:pPr>
            <w:r w:rsidRPr="00AC6C6F">
              <w:rPr>
                <w:rFonts w:ascii="Arial Narrow" w:hAnsi="Arial Narrow"/>
                <w:szCs w:val="20"/>
              </w:rPr>
              <w:t>(95% CI)</w:t>
            </w:r>
          </w:p>
        </w:tc>
        <w:tc>
          <w:tcPr>
            <w:tcW w:w="815"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6/16</w:t>
            </w:r>
          </w:p>
        </w:tc>
        <w:tc>
          <w:tcPr>
            <w:tcW w:w="1065"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27.5</w:t>
            </w:r>
          </w:p>
        </w:tc>
        <w:tc>
          <w:tcPr>
            <w:tcW w:w="955"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9/15</w:t>
            </w:r>
          </w:p>
        </w:tc>
        <w:tc>
          <w:tcPr>
            <w:tcW w:w="964"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5.3</w:t>
            </w:r>
          </w:p>
        </w:tc>
        <w:tc>
          <w:tcPr>
            <w:tcW w:w="1090" w:type="dxa"/>
          </w:tcPr>
          <w:p w:rsidR="00AF726E" w:rsidRPr="00AC6C6F" w:rsidRDefault="00AF726E" w:rsidP="00302235">
            <w:pPr>
              <w:pStyle w:val="TableCentre"/>
              <w:rPr>
                <w:rFonts w:ascii="Arial Narrow" w:hAnsi="Arial Narrow"/>
                <w:szCs w:val="20"/>
              </w:rPr>
            </w:pPr>
            <w:r w:rsidRPr="00AC6C6F">
              <w:rPr>
                <w:rFonts w:ascii="Arial Narrow" w:hAnsi="Arial Narrow"/>
                <w:szCs w:val="20"/>
              </w:rPr>
              <w:t>22.2</w:t>
            </w:r>
          </w:p>
        </w:tc>
        <w:tc>
          <w:tcPr>
            <w:tcW w:w="1275" w:type="dxa"/>
            <w:shd w:val="clear" w:color="auto" w:fill="auto"/>
            <w:vAlign w:val="center"/>
          </w:tcPr>
          <w:p w:rsidR="00AF726E" w:rsidRPr="00AC6C6F" w:rsidRDefault="00AF726E" w:rsidP="00302235">
            <w:pPr>
              <w:pStyle w:val="TableCentre"/>
              <w:rPr>
                <w:rFonts w:ascii="Arial Narrow" w:hAnsi="Arial Narrow"/>
                <w:szCs w:val="20"/>
              </w:rPr>
            </w:pPr>
            <w:r w:rsidRPr="00AC6C6F">
              <w:rPr>
                <w:rFonts w:ascii="Arial Narrow" w:hAnsi="Arial Narrow"/>
                <w:szCs w:val="20"/>
              </w:rPr>
              <w:t>NR</w:t>
            </w:r>
          </w:p>
        </w:tc>
        <w:tc>
          <w:tcPr>
            <w:tcW w:w="1843" w:type="dxa"/>
          </w:tcPr>
          <w:p w:rsidR="00AF726E" w:rsidRPr="00AC6C6F" w:rsidRDefault="00AF726E" w:rsidP="00302235">
            <w:pPr>
              <w:pStyle w:val="TableCentre"/>
              <w:rPr>
                <w:rFonts w:ascii="Arial Narrow" w:hAnsi="Arial Narrow"/>
                <w:szCs w:val="20"/>
              </w:rPr>
            </w:pPr>
            <w:r w:rsidRPr="00AC6C6F">
              <w:rPr>
                <w:rFonts w:ascii="Arial Narrow" w:hAnsi="Arial Narrow"/>
                <w:szCs w:val="20"/>
              </w:rPr>
              <w:t>0.25</w:t>
            </w:r>
          </w:p>
          <w:p w:rsidR="00AF726E" w:rsidRPr="00AC6C6F" w:rsidRDefault="00AF726E" w:rsidP="00302235">
            <w:pPr>
              <w:pStyle w:val="TableCentre"/>
              <w:rPr>
                <w:rFonts w:ascii="Arial Narrow" w:hAnsi="Arial Narrow"/>
                <w:szCs w:val="20"/>
              </w:rPr>
            </w:pPr>
            <w:r w:rsidRPr="00AC6C6F">
              <w:rPr>
                <w:rFonts w:ascii="Arial Narrow" w:hAnsi="Arial Narrow"/>
                <w:szCs w:val="20"/>
              </w:rPr>
              <w:t>(0.081, 0.790)</w:t>
            </w:r>
          </w:p>
        </w:tc>
      </w:tr>
    </w:tbl>
    <w:p w:rsidR="00AF726E" w:rsidRPr="00AC6C6F" w:rsidRDefault="00AF726E" w:rsidP="00AF726E">
      <w:pPr>
        <w:pStyle w:val="TableFigureFooter"/>
        <w:widowControl w:val="0"/>
      </w:pPr>
      <w:r w:rsidRPr="00AC6C6F">
        <w:t xml:space="preserve">Source: Table 2-61 (p137 of the </w:t>
      </w:r>
      <w:r w:rsidR="002C2AF4" w:rsidRPr="00AC6C6F">
        <w:t>s</w:t>
      </w:r>
      <w:r w:rsidRPr="00AC6C6F">
        <w:t xml:space="preserve">ubmission); Table 7, Brentuximab, PSD, July 2018 PBAC Meeting. </w:t>
      </w:r>
    </w:p>
    <w:p w:rsidR="00AF726E" w:rsidRPr="00AC6C6F" w:rsidRDefault="00AF726E" w:rsidP="00AF726E">
      <w:pPr>
        <w:pStyle w:val="TableFigureFooter"/>
        <w:widowControl w:val="0"/>
        <w:rPr>
          <w:rFonts w:eastAsia="Calibri"/>
        </w:rPr>
      </w:pPr>
      <w:r w:rsidRPr="00AC6C6F">
        <w:t>Abbreviations: CI = confidence interval; HR = hazard ratio; ITT= intent to treat; MF = mycosis fungoides; n =</w:t>
      </w:r>
      <w:r w:rsidRPr="00AC6C6F">
        <w:rPr>
          <w:rFonts w:eastAsia="Calibri"/>
        </w:rPr>
        <w:t xml:space="preserve"> number of participants with event;</w:t>
      </w:r>
      <w:r w:rsidRPr="00AC6C6F">
        <w:t xml:space="preserve"> </w:t>
      </w:r>
      <w:r w:rsidRPr="00AC6C6F">
        <w:rPr>
          <w:rFonts w:eastAsia="Calibri"/>
        </w:rPr>
        <w:t xml:space="preserve">N = total participants in group; NR = not reported; pcALCL = primary cutaneous large cell lymphoma; PC:MTX/BEX = physician’s choice of methotrexate or bexarotene. </w:t>
      </w:r>
    </w:p>
    <w:p w:rsidR="00AF726E" w:rsidRPr="00AC6C6F" w:rsidRDefault="009E0437" w:rsidP="00EE197C">
      <w:pPr>
        <w:pStyle w:val="TableFigureFooter"/>
        <w:widowControl w:val="0"/>
        <w:rPr>
          <w:rFonts w:eastAsia="Calibri"/>
        </w:rPr>
      </w:pPr>
      <w:r w:rsidRPr="00AC6C6F">
        <w:rPr>
          <w:rFonts w:eastAsia="Calibri"/>
        </w:rPr>
        <w:t>Bold indicates st</w:t>
      </w:r>
      <w:r w:rsidR="00EE197C" w:rsidRPr="00AC6C6F">
        <w:rPr>
          <w:rFonts w:eastAsia="Calibri"/>
        </w:rPr>
        <w:t>atistically significant result.</w:t>
      </w:r>
    </w:p>
    <w:p w:rsidR="00AF726E" w:rsidRPr="00AC6C6F" w:rsidRDefault="00AF726E" w:rsidP="00EE197C">
      <w:pPr>
        <w:pStyle w:val="3-BodyText"/>
        <w:rPr>
          <w:color w:val="0066FF"/>
        </w:rPr>
      </w:pPr>
      <w:r w:rsidRPr="00AC6C6F">
        <w:rPr>
          <w:rFonts w:cs="Calibri"/>
          <w:iCs/>
          <w:color w:val="000000" w:themeColor="text1"/>
        </w:rPr>
        <w:t xml:space="preserve">A </w:t>
      </w:r>
      <w:r w:rsidRPr="00AC6C6F">
        <w:rPr>
          <w:color w:val="000000" w:themeColor="text1"/>
        </w:rPr>
        <w:t xml:space="preserve">naïve indirect comparison between MAVORIC and ALCANZA formed the basis of the clinical claim with the secondary comparator brentuximab. </w:t>
      </w:r>
      <w:r w:rsidRPr="00AC6C6F">
        <w:rPr>
          <w:rFonts w:cstheme="minorHAnsi"/>
          <w:iCs/>
        </w:rPr>
        <w:t xml:space="preserve">However, the clinical comparison of MAVORIC and ALCANZA was unreliable because </w:t>
      </w:r>
      <w:r w:rsidR="00E71704" w:rsidRPr="00AC6C6F">
        <w:rPr>
          <w:rFonts w:cstheme="minorHAnsi"/>
          <w:iCs/>
        </w:rPr>
        <w:t xml:space="preserve">of differences in </w:t>
      </w:r>
      <w:r w:rsidRPr="00AC6C6F">
        <w:rPr>
          <w:rFonts w:cstheme="minorHAnsi"/>
          <w:iCs/>
        </w:rPr>
        <w:t xml:space="preserve">the disease characteristics of the patients and the efficacy outcomes </w:t>
      </w:r>
      <w:r w:rsidR="00E71704" w:rsidRPr="00AC6C6F">
        <w:rPr>
          <w:rFonts w:cstheme="minorHAnsi"/>
          <w:iCs/>
        </w:rPr>
        <w:t xml:space="preserve">for </w:t>
      </w:r>
      <w:r w:rsidRPr="00AC6C6F">
        <w:rPr>
          <w:rFonts w:cstheme="minorHAnsi"/>
          <w:iCs/>
        </w:rPr>
        <w:t>the two trials.</w:t>
      </w:r>
      <w:r w:rsidR="00437293" w:rsidRPr="00AC6C6F">
        <w:rPr>
          <w:rFonts w:cs="Calibri"/>
          <w:iCs/>
          <w:color w:val="000000" w:themeColor="text1"/>
        </w:rPr>
        <w:t xml:space="preserve"> </w:t>
      </w:r>
      <w:r w:rsidR="000945DD" w:rsidRPr="00AC6C6F">
        <w:rPr>
          <w:rFonts w:cs="Calibri"/>
          <w:iCs/>
          <w:color w:val="000000" w:themeColor="text1"/>
        </w:rPr>
        <w:t xml:space="preserve">The </w:t>
      </w:r>
      <w:r w:rsidR="00437293" w:rsidRPr="00AC6C6F">
        <w:rPr>
          <w:rFonts w:cs="Calibri"/>
          <w:iCs/>
          <w:color w:val="000000" w:themeColor="text1"/>
        </w:rPr>
        <w:t xml:space="preserve">PBAC previously considered that the difference in CTCL subtype and CD30 </w:t>
      </w:r>
      <w:r w:rsidR="00451B09" w:rsidRPr="00AC6C6F">
        <w:rPr>
          <w:rFonts w:cs="Calibri"/>
          <w:iCs/>
          <w:color w:val="000000" w:themeColor="text1"/>
        </w:rPr>
        <w:t xml:space="preserve">status </w:t>
      </w:r>
      <w:r w:rsidR="00437293" w:rsidRPr="00AC6C6F">
        <w:rPr>
          <w:rFonts w:cs="Calibri"/>
          <w:iCs/>
          <w:color w:val="000000" w:themeColor="text1"/>
        </w:rPr>
        <w:t xml:space="preserve">between the </w:t>
      </w:r>
      <w:r w:rsidR="00451B09" w:rsidRPr="00AC6C6F">
        <w:rPr>
          <w:rFonts w:cs="Calibri"/>
          <w:iCs/>
          <w:color w:val="000000" w:themeColor="text1"/>
        </w:rPr>
        <w:t xml:space="preserve">patients in the </w:t>
      </w:r>
      <w:r w:rsidR="00437293" w:rsidRPr="00AC6C6F">
        <w:rPr>
          <w:rFonts w:cs="Calibri"/>
          <w:iCs/>
          <w:color w:val="000000" w:themeColor="text1"/>
        </w:rPr>
        <w:t>two trials meant that the comparison was flawed and difficult to interpret (</w:t>
      </w:r>
      <w:r w:rsidR="00437293" w:rsidRPr="00AC6C6F">
        <w:rPr>
          <w:rFonts w:cs="Calibri"/>
          <w:bCs/>
        </w:rPr>
        <w:t xml:space="preserve">paragraph 7.7, brentuximab vedotin, PSD, July 2018 PBAC meeting). </w:t>
      </w:r>
      <w:r w:rsidRPr="00AC6C6F">
        <w:rPr>
          <w:bCs/>
          <w:iCs/>
        </w:rPr>
        <w:t>The</w:t>
      </w:r>
      <w:r w:rsidR="009E0437" w:rsidRPr="00AC6C6F">
        <w:rPr>
          <w:bCs/>
          <w:iCs/>
        </w:rPr>
        <w:t xml:space="preserve"> </w:t>
      </w:r>
      <w:r w:rsidRPr="00AC6C6F">
        <w:rPr>
          <w:bCs/>
          <w:iCs/>
        </w:rPr>
        <w:t xml:space="preserve">results of the naïve comparison </w:t>
      </w:r>
      <w:r w:rsidR="009E0437" w:rsidRPr="00AC6C6F">
        <w:rPr>
          <w:bCs/>
          <w:iCs/>
        </w:rPr>
        <w:t xml:space="preserve">(see Table 9) </w:t>
      </w:r>
      <w:r w:rsidRPr="00AC6C6F">
        <w:rPr>
          <w:bCs/>
          <w:iCs/>
        </w:rPr>
        <w:t>were presented in the submission for compl</w:t>
      </w:r>
      <w:r w:rsidR="00EE197C" w:rsidRPr="00AC6C6F">
        <w:rPr>
          <w:bCs/>
          <w:iCs/>
        </w:rPr>
        <w:t>eteness, and the submission</w:t>
      </w:r>
      <w:r w:rsidRPr="00AC6C6F">
        <w:rPr>
          <w:bCs/>
          <w:iCs/>
        </w:rPr>
        <w:t xml:space="preserve"> </w:t>
      </w:r>
      <w:r w:rsidR="00E71704" w:rsidRPr="00AC6C6F">
        <w:rPr>
          <w:bCs/>
          <w:iCs/>
        </w:rPr>
        <w:t xml:space="preserve">acknowledged </w:t>
      </w:r>
      <w:r w:rsidRPr="00AC6C6F">
        <w:rPr>
          <w:bCs/>
          <w:iCs/>
        </w:rPr>
        <w:t xml:space="preserve">that few if any </w:t>
      </w:r>
      <w:r w:rsidRPr="00AC6C6F">
        <w:t xml:space="preserve">inferences </w:t>
      </w:r>
      <w:r w:rsidR="00FD1AF5" w:rsidRPr="00AC6C6F">
        <w:t>could</w:t>
      </w:r>
      <w:r w:rsidRPr="00AC6C6F">
        <w:t xml:space="preserve"> be drawn from them. </w:t>
      </w:r>
    </w:p>
    <w:p w:rsidR="00AF726E" w:rsidRPr="00AC6C6F" w:rsidRDefault="00AF726E" w:rsidP="0081589E">
      <w:pPr>
        <w:keepNext/>
        <w:rPr>
          <w:i/>
          <w:iCs/>
          <w:color w:val="000000" w:themeColor="text1"/>
        </w:rPr>
      </w:pPr>
      <w:r w:rsidRPr="00AC6C6F">
        <w:rPr>
          <w:rStyle w:val="CommentReference"/>
          <w:bCs/>
        </w:rPr>
        <w:t xml:space="preserve">Table </w:t>
      </w:r>
      <w:r w:rsidR="009E0437" w:rsidRPr="00AC6C6F">
        <w:rPr>
          <w:rStyle w:val="CommentReference"/>
          <w:bCs/>
        </w:rPr>
        <w:t xml:space="preserve">9: </w:t>
      </w:r>
      <w:r w:rsidRPr="00AC6C6F">
        <w:rPr>
          <w:rStyle w:val="CommentReference"/>
          <w:bCs/>
        </w:rPr>
        <w:t xml:space="preserve">Naïve comparison of MAVORIC and ALCANZA outcomes </w:t>
      </w:r>
    </w:p>
    <w:tbl>
      <w:tblPr>
        <w:tblStyle w:val="TableGrid"/>
        <w:tblW w:w="0" w:type="auto"/>
        <w:tblLook w:val="04A0" w:firstRow="1" w:lastRow="0" w:firstColumn="1" w:lastColumn="0" w:noHBand="0" w:noVBand="1"/>
        <w:tblCaption w:val="Table 9: Naïve comparison of MAVORIC and ALCANZA outcomes "/>
      </w:tblPr>
      <w:tblGrid>
        <w:gridCol w:w="2447"/>
        <w:gridCol w:w="1778"/>
        <w:gridCol w:w="1690"/>
        <w:gridCol w:w="1495"/>
        <w:gridCol w:w="1607"/>
      </w:tblGrid>
      <w:tr w:rsidR="00AF726E" w:rsidRPr="00AC6C6F" w:rsidTr="009E0437">
        <w:trPr>
          <w:tblHeader/>
        </w:trPr>
        <w:tc>
          <w:tcPr>
            <w:tcW w:w="2447" w:type="dxa"/>
            <w:vMerge w:val="restart"/>
            <w:shd w:val="clear" w:color="auto" w:fill="auto"/>
            <w:vAlign w:val="center"/>
          </w:tcPr>
          <w:p w:rsidR="00AF726E" w:rsidRPr="00AC6C6F" w:rsidRDefault="00AF726E" w:rsidP="0081589E">
            <w:pPr>
              <w:pStyle w:val="Table"/>
              <w:keepNext/>
              <w:jc w:val="center"/>
              <w:rPr>
                <w:rFonts w:ascii="Arial Narrow" w:hAnsi="Arial Narrow"/>
                <w:b/>
                <w:bCs/>
                <w:szCs w:val="20"/>
              </w:rPr>
            </w:pPr>
            <w:r w:rsidRPr="00AC6C6F">
              <w:rPr>
                <w:rFonts w:ascii="Arial Narrow" w:hAnsi="Arial Narrow"/>
                <w:b/>
                <w:bCs/>
                <w:szCs w:val="20"/>
              </w:rPr>
              <w:t xml:space="preserve">Outcome </w:t>
            </w:r>
          </w:p>
        </w:tc>
        <w:tc>
          <w:tcPr>
            <w:tcW w:w="3468" w:type="dxa"/>
            <w:gridSpan w:val="2"/>
            <w:shd w:val="clear" w:color="auto" w:fill="auto"/>
            <w:vAlign w:val="center"/>
          </w:tcPr>
          <w:p w:rsidR="00AF726E" w:rsidRPr="00AC6C6F" w:rsidRDefault="00AF726E" w:rsidP="0081589E">
            <w:pPr>
              <w:pStyle w:val="TableCentre"/>
              <w:keepNext/>
              <w:rPr>
                <w:rFonts w:ascii="Arial Narrow" w:hAnsi="Arial Narrow"/>
                <w:b/>
                <w:bCs/>
                <w:szCs w:val="20"/>
              </w:rPr>
            </w:pPr>
            <w:r w:rsidRPr="00AC6C6F">
              <w:rPr>
                <w:rFonts w:ascii="Arial Narrow" w:hAnsi="Arial Narrow"/>
                <w:b/>
                <w:bCs/>
                <w:szCs w:val="20"/>
              </w:rPr>
              <w:t>MAVORIC</w:t>
            </w:r>
          </w:p>
        </w:tc>
        <w:tc>
          <w:tcPr>
            <w:tcW w:w="3102" w:type="dxa"/>
            <w:gridSpan w:val="2"/>
            <w:shd w:val="clear" w:color="auto" w:fill="auto"/>
            <w:vAlign w:val="center"/>
          </w:tcPr>
          <w:p w:rsidR="00AF726E" w:rsidRPr="00AC6C6F" w:rsidRDefault="00AF726E" w:rsidP="0081589E">
            <w:pPr>
              <w:pStyle w:val="TableCentre"/>
              <w:keepNext/>
              <w:rPr>
                <w:rFonts w:ascii="Arial Narrow" w:hAnsi="Arial Narrow"/>
                <w:b/>
                <w:bCs/>
                <w:szCs w:val="20"/>
              </w:rPr>
            </w:pPr>
            <w:r w:rsidRPr="00AC6C6F">
              <w:rPr>
                <w:rFonts w:ascii="Arial Narrow" w:hAnsi="Arial Narrow"/>
                <w:b/>
                <w:bCs/>
                <w:szCs w:val="20"/>
              </w:rPr>
              <w:t>ALCANZA</w:t>
            </w:r>
          </w:p>
        </w:tc>
      </w:tr>
      <w:tr w:rsidR="00AF726E" w:rsidRPr="00AC6C6F" w:rsidTr="009E0437">
        <w:trPr>
          <w:tblHeader/>
        </w:trPr>
        <w:tc>
          <w:tcPr>
            <w:tcW w:w="2447" w:type="dxa"/>
            <w:vMerge/>
            <w:shd w:val="clear" w:color="auto" w:fill="auto"/>
            <w:vAlign w:val="center"/>
          </w:tcPr>
          <w:p w:rsidR="00AF726E" w:rsidRPr="00AC6C6F" w:rsidRDefault="00AF726E" w:rsidP="0081589E">
            <w:pPr>
              <w:pStyle w:val="Table"/>
              <w:keepNext/>
              <w:jc w:val="center"/>
              <w:rPr>
                <w:rFonts w:ascii="Arial Narrow" w:hAnsi="Arial Narrow"/>
                <w:b/>
                <w:bCs/>
                <w:szCs w:val="20"/>
              </w:rPr>
            </w:pPr>
          </w:p>
        </w:tc>
        <w:tc>
          <w:tcPr>
            <w:tcW w:w="1778" w:type="dxa"/>
            <w:shd w:val="clear" w:color="auto" w:fill="auto"/>
            <w:vAlign w:val="center"/>
          </w:tcPr>
          <w:p w:rsidR="00AF726E" w:rsidRPr="00AC6C6F" w:rsidRDefault="00AF726E" w:rsidP="0081589E">
            <w:pPr>
              <w:pStyle w:val="TableCentre"/>
              <w:keepNext/>
              <w:rPr>
                <w:rFonts w:ascii="Arial Narrow" w:hAnsi="Arial Narrow"/>
                <w:b/>
                <w:bCs/>
                <w:szCs w:val="20"/>
              </w:rPr>
            </w:pPr>
            <w:r w:rsidRPr="00AC6C6F">
              <w:rPr>
                <w:rFonts w:ascii="Arial Narrow" w:hAnsi="Arial Narrow"/>
                <w:b/>
                <w:bCs/>
                <w:szCs w:val="20"/>
              </w:rPr>
              <w:t>Mogamulizumab</w:t>
            </w:r>
          </w:p>
        </w:tc>
        <w:tc>
          <w:tcPr>
            <w:tcW w:w="1690" w:type="dxa"/>
            <w:shd w:val="clear" w:color="auto" w:fill="auto"/>
            <w:vAlign w:val="center"/>
          </w:tcPr>
          <w:p w:rsidR="00AF726E" w:rsidRPr="00AC6C6F" w:rsidRDefault="00AF726E" w:rsidP="0081589E">
            <w:pPr>
              <w:pStyle w:val="TableCentre"/>
              <w:keepNext/>
              <w:rPr>
                <w:rFonts w:ascii="Arial Narrow" w:hAnsi="Arial Narrow"/>
                <w:b/>
                <w:bCs/>
                <w:szCs w:val="20"/>
              </w:rPr>
            </w:pPr>
            <w:r w:rsidRPr="00AC6C6F">
              <w:rPr>
                <w:rFonts w:ascii="Arial Narrow" w:hAnsi="Arial Narrow"/>
                <w:b/>
                <w:bCs/>
                <w:szCs w:val="20"/>
              </w:rPr>
              <w:t>Vorinostat</w:t>
            </w:r>
          </w:p>
        </w:tc>
        <w:tc>
          <w:tcPr>
            <w:tcW w:w="1495" w:type="dxa"/>
            <w:shd w:val="clear" w:color="auto" w:fill="auto"/>
            <w:vAlign w:val="center"/>
          </w:tcPr>
          <w:p w:rsidR="00AF726E" w:rsidRPr="00AC6C6F" w:rsidRDefault="00AF726E" w:rsidP="0081589E">
            <w:pPr>
              <w:pStyle w:val="TableCentre"/>
              <w:keepNext/>
              <w:rPr>
                <w:rFonts w:ascii="Arial Narrow" w:hAnsi="Arial Narrow"/>
                <w:b/>
                <w:bCs/>
                <w:szCs w:val="20"/>
              </w:rPr>
            </w:pPr>
            <w:r w:rsidRPr="00AC6C6F">
              <w:rPr>
                <w:rFonts w:ascii="Arial Narrow" w:hAnsi="Arial Narrow"/>
                <w:b/>
                <w:bCs/>
                <w:szCs w:val="20"/>
              </w:rPr>
              <w:t>Brentuximab</w:t>
            </w:r>
          </w:p>
        </w:tc>
        <w:tc>
          <w:tcPr>
            <w:tcW w:w="1607" w:type="dxa"/>
            <w:shd w:val="clear" w:color="auto" w:fill="auto"/>
            <w:vAlign w:val="center"/>
          </w:tcPr>
          <w:p w:rsidR="00AF726E" w:rsidRPr="00AC6C6F" w:rsidRDefault="00AF726E" w:rsidP="0081589E">
            <w:pPr>
              <w:pStyle w:val="TableCentre"/>
              <w:keepNext/>
              <w:rPr>
                <w:rFonts w:ascii="Arial Narrow" w:hAnsi="Arial Narrow"/>
                <w:b/>
                <w:bCs/>
                <w:szCs w:val="20"/>
              </w:rPr>
            </w:pPr>
            <w:r w:rsidRPr="00AC6C6F">
              <w:rPr>
                <w:rFonts w:ascii="Arial Narrow" w:hAnsi="Arial Narrow"/>
                <w:b/>
                <w:bCs/>
                <w:szCs w:val="20"/>
              </w:rPr>
              <w:t>PC:MTX/BEX</w:t>
            </w:r>
          </w:p>
        </w:tc>
      </w:tr>
      <w:tr w:rsidR="00AF726E" w:rsidRPr="00AC6C6F" w:rsidTr="00302235">
        <w:tc>
          <w:tcPr>
            <w:tcW w:w="9017" w:type="dxa"/>
            <w:gridSpan w:val="5"/>
            <w:shd w:val="clear" w:color="auto" w:fill="auto"/>
            <w:vAlign w:val="center"/>
          </w:tcPr>
          <w:p w:rsidR="00AF726E" w:rsidRPr="00AC6C6F" w:rsidRDefault="00AF726E" w:rsidP="0081589E">
            <w:pPr>
              <w:pStyle w:val="TableCentre"/>
              <w:keepNext/>
              <w:jc w:val="left"/>
              <w:rPr>
                <w:rFonts w:ascii="Arial Narrow" w:hAnsi="Arial Narrow"/>
                <w:b/>
                <w:bCs/>
                <w:szCs w:val="20"/>
              </w:rPr>
            </w:pPr>
            <w:r w:rsidRPr="00AC6C6F">
              <w:rPr>
                <w:rFonts w:ascii="Arial Narrow" w:hAnsi="Arial Narrow"/>
                <w:b/>
                <w:bCs/>
                <w:szCs w:val="20"/>
              </w:rPr>
              <w:t xml:space="preserve">ITT Population </w:t>
            </w:r>
          </w:p>
        </w:tc>
      </w:tr>
      <w:tr w:rsidR="00AF726E" w:rsidRPr="00AC6C6F" w:rsidTr="00302235">
        <w:tc>
          <w:tcPr>
            <w:tcW w:w="9017" w:type="dxa"/>
            <w:gridSpan w:val="5"/>
            <w:shd w:val="clear" w:color="auto" w:fill="auto"/>
            <w:vAlign w:val="center"/>
          </w:tcPr>
          <w:p w:rsidR="00AF726E" w:rsidRPr="00AC6C6F" w:rsidRDefault="00AF726E" w:rsidP="0081589E">
            <w:pPr>
              <w:pStyle w:val="TableCentre"/>
              <w:keepNext/>
              <w:jc w:val="left"/>
              <w:rPr>
                <w:rFonts w:ascii="Arial Narrow" w:hAnsi="Arial Narrow"/>
                <w:szCs w:val="20"/>
              </w:rPr>
            </w:pPr>
            <w:r w:rsidRPr="00AC6C6F">
              <w:rPr>
                <w:rFonts w:ascii="Arial Narrow" w:hAnsi="Arial Narrow"/>
                <w:szCs w:val="20"/>
              </w:rPr>
              <w:t xml:space="preserve">Median PFS </w:t>
            </w:r>
            <w:r w:rsidR="000C4181" w:rsidRPr="00AC6C6F">
              <w:rPr>
                <w:rFonts w:ascii="Arial Narrow" w:hAnsi="Arial Narrow"/>
                <w:szCs w:val="20"/>
              </w:rPr>
              <w:t>–</w:t>
            </w:r>
            <w:r w:rsidRPr="00AC6C6F">
              <w:rPr>
                <w:rFonts w:ascii="Arial Narrow" w:hAnsi="Arial Narrow"/>
                <w:szCs w:val="20"/>
              </w:rPr>
              <w:t xml:space="preserve"> months</w:t>
            </w:r>
          </w:p>
        </w:tc>
      </w:tr>
      <w:tr w:rsidR="00AF726E" w:rsidRPr="00AC6C6F" w:rsidTr="00302235">
        <w:tc>
          <w:tcPr>
            <w:tcW w:w="2447" w:type="dxa"/>
            <w:shd w:val="clear" w:color="auto" w:fill="auto"/>
          </w:tcPr>
          <w:p w:rsidR="00AF726E" w:rsidRPr="00AC6C6F" w:rsidRDefault="00AF726E" w:rsidP="0081589E">
            <w:pPr>
              <w:pStyle w:val="Table"/>
              <w:keepNext/>
              <w:ind w:left="720" w:hanging="371"/>
              <w:rPr>
                <w:rFonts w:ascii="Arial Narrow" w:hAnsi="Arial Narrow"/>
                <w:szCs w:val="20"/>
              </w:rPr>
            </w:pPr>
            <w:r w:rsidRPr="00AC6C6F">
              <w:rPr>
                <w:rFonts w:ascii="Arial Narrow" w:hAnsi="Arial Narrow"/>
                <w:szCs w:val="20"/>
              </w:rPr>
              <w:t>Investigator</w:t>
            </w:r>
          </w:p>
        </w:tc>
        <w:tc>
          <w:tcPr>
            <w:tcW w:w="1778"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7.7</w:t>
            </w:r>
          </w:p>
        </w:tc>
        <w:tc>
          <w:tcPr>
            <w:tcW w:w="1690"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3.1</w:t>
            </w:r>
          </w:p>
        </w:tc>
        <w:tc>
          <w:tcPr>
            <w:tcW w:w="1495"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15.7</w:t>
            </w:r>
          </w:p>
        </w:tc>
        <w:tc>
          <w:tcPr>
            <w:tcW w:w="1607"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3.6</w:t>
            </w:r>
          </w:p>
        </w:tc>
      </w:tr>
      <w:tr w:rsidR="00AF726E" w:rsidRPr="00AC6C6F" w:rsidTr="00302235">
        <w:tc>
          <w:tcPr>
            <w:tcW w:w="2447" w:type="dxa"/>
            <w:shd w:val="clear" w:color="auto" w:fill="auto"/>
          </w:tcPr>
          <w:p w:rsidR="00AF726E" w:rsidRPr="00AC6C6F" w:rsidRDefault="00AF726E" w:rsidP="0081589E">
            <w:pPr>
              <w:pStyle w:val="Table"/>
              <w:keepNext/>
              <w:ind w:firstLine="313"/>
              <w:rPr>
                <w:rFonts w:ascii="Arial Narrow" w:hAnsi="Arial Narrow"/>
                <w:szCs w:val="20"/>
              </w:rPr>
            </w:pPr>
            <w:r w:rsidRPr="00AC6C6F">
              <w:rPr>
                <w:rFonts w:ascii="Arial Narrow" w:hAnsi="Arial Narrow"/>
                <w:szCs w:val="20"/>
              </w:rPr>
              <w:t xml:space="preserve"> Independent</w:t>
            </w:r>
          </w:p>
        </w:tc>
        <w:tc>
          <w:tcPr>
            <w:tcW w:w="1778"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6.7</w:t>
            </w:r>
          </w:p>
        </w:tc>
        <w:tc>
          <w:tcPr>
            <w:tcW w:w="1690"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3.8</w:t>
            </w:r>
          </w:p>
        </w:tc>
        <w:tc>
          <w:tcPr>
            <w:tcW w:w="1495"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16.7</w:t>
            </w:r>
          </w:p>
        </w:tc>
        <w:tc>
          <w:tcPr>
            <w:tcW w:w="1607"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3.5</w:t>
            </w:r>
          </w:p>
        </w:tc>
      </w:tr>
      <w:tr w:rsidR="00AF726E" w:rsidRPr="00AC6C6F" w:rsidTr="00302235">
        <w:tc>
          <w:tcPr>
            <w:tcW w:w="9017" w:type="dxa"/>
            <w:gridSpan w:val="5"/>
            <w:shd w:val="clear" w:color="auto" w:fill="auto"/>
          </w:tcPr>
          <w:p w:rsidR="00AF726E" w:rsidRPr="00AC6C6F" w:rsidRDefault="00AF726E" w:rsidP="0081589E">
            <w:pPr>
              <w:pStyle w:val="TableCentre"/>
              <w:keepNext/>
              <w:jc w:val="left"/>
              <w:rPr>
                <w:rFonts w:ascii="Arial Narrow" w:hAnsi="Arial Narrow"/>
                <w:szCs w:val="20"/>
              </w:rPr>
            </w:pPr>
            <w:r w:rsidRPr="00AC6C6F">
              <w:rPr>
                <w:rFonts w:ascii="Arial Narrow" w:hAnsi="Arial Narrow"/>
                <w:szCs w:val="20"/>
              </w:rPr>
              <w:t xml:space="preserve">ORR – n/N (%) </w:t>
            </w:r>
          </w:p>
        </w:tc>
      </w:tr>
      <w:tr w:rsidR="00AF726E" w:rsidRPr="00AC6C6F" w:rsidTr="00302235">
        <w:tc>
          <w:tcPr>
            <w:tcW w:w="2447" w:type="dxa"/>
            <w:shd w:val="clear" w:color="auto" w:fill="auto"/>
          </w:tcPr>
          <w:p w:rsidR="00AF726E" w:rsidRPr="00AC6C6F" w:rsidRDefault="00AF726E" w:rsidP="0081589E">
            <w:pPr>
              <w:pStyle w:val="Table"/>
              <w:keepNext/>
              <w:ind w:firstLine="349"/>
              <w:rPr>
                <w:rFonts w:ascii="Arial Narrow" w:hAnsi="Arial Narrow"/>
                <w:szCs w:val="20"/>
              </w:rPr>
            </w:pPr>
            <w:r w:rsidRPr="00AC6C6F">
              <w:rPr>
                <w:rFonts w:ascii="Arial Narrow" w:hAnsi="Arial Narrow"/>
                <w:szCs w:val="20"/>
              </w:rPr>
              <w:t>Investigator</w:t>
            </w:r>
          </w:p>
        </w:tc>
        <w:tc>
          <w:tcPr>
            <w:tcW w:w="1778"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52/186 (28.0)</w:t>
            </w:r>
          </w:p>
        </w:tc>
        <w:tc>
          <w:tcPr>
            <w:tcW w:w="1690"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9/186 (4.8)</w:t>
            </w:r>
          </w:p>
        </w:tc>
        <w:tc>
          <w:tcPr>
            <w:tcW w:w="1495"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NA</w:t>
            </w:r>
          </w:p>
        </w:tc>
        <w:tc>
          <w:tcPr>
            <w:tcW w:w="1607"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NA</w:t>
            </w:r>
          </w:p>
        </w:tc>
      </w:tr>
      <w:tr w:rsidR="00AF726E" w:rsidRPr="00AC6C6F" w:rsidTr="00302235">
        <w:tc>
          <w:tcPr>
            <w:tcW w:w="2447" w:type="dxa"/>
            <w:shd w:val="clear" w:color="auto" w:fill="auto"/>
          </w:tcPr>
          <w:p w:rsidR="00AF726E" w:rsidRPr="00AC6C6F" w:rsidRDefault="00AF726E" w:rsidP="0081589E">
            <w:pPr>
              <w:pStyle w:val="Table"/>
              <w:keepNext/>
              <w:ind w:firstLine="349"/>
              <w:rPr>
                <w:rFonts w:ascii="Arial Narrow" w:hAnsi="Arial Narrow"/>
                <w:szCs w:val="20"/>
              </w:rPr>
            </w:pPr>
            <w:r w:rsidRPr="00AC6C6F">
              <w:rPr>
                <w:rFonts w:ascii="Arial Narrow" w:hAnsi="Arial Narrow"/>
                <w:szCs w:val="20"/>
              </w:rPr>
              <w:t>Independent</w:t>
            </w:r>
          </w:p>
        </w:tc>
        <w:tc>
          <w:tcPr>
            <w:tcW w:w="1778"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43/186 (23.1)</w:t>
            </w:r>
          </w:p>
        </w:tc>
        <w:tc>
          <w:tcPr>
            <w:tcW w:w="1690"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7/186 (3.8)</w:t>
            </w:r>
          </w:p>
        </w:tc>
        <w:tc>
          <w:tcPr>
            <w:tcW w:w="1495"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43/64 (67.2)</w:t>
            </w:r>
          </w:p>
        </w:tc>
        <w:tc>
          <w:tcPr>
            <w:tcW w:w="1607"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13/64 (20.3)</w:t>
            </w:r>
          </w:p>
        </w:tc>
      </w:tr>
      <w:tr w:rsidR="00AF726E" w:rsidRPr="00AC6C6F" w:rsidTr="00302235">
        <w:tc>
          <w:tcPr>
            <w:tcW w:w="9017" w:type="dxa"/>
            <w:gridSpan w:val="5"/>
            <w:shd w:val="clear" w:color="auto" w:fill="auto"/>
          </w:tcPr>
          <w:p w:rsidR="00AF726E" w:rsidRPr="00AC6C6F" w:rsidRDefault="00AF726E" w:rsidP="0081589E">
            <w:pPr>
              <w:pStyle w:val="TableCentre"/>
              <w:keepNext/>
              <w:jc w:val="left"/>
              <w:rPr>
                <w:rFonts w:ascii="Arial Narrow" w:hAnsi="Arial Narrow"/>
                <w:szCs w:val="20"/>
              </w:rPr>
            </w:pPr>
            <w:r w:rsidRPr="00AC6C6F">
              <w:rPr>
                <w:rFonts w:ascii="Arial Narrow" w:hAnsi="Arial Narrow"/>
                <w:szCs w:val="20"/>
              </w:rPr>
              <w:t xml:space="preserve">Median DOR </w:t>
            </w:r>
            <w:r w:rsidR="000C4181" w:rsidRPr="00AC6C6F">
              <w:rPr>
                <w:rFonts w:ascii="Arial Narrow" w:hAnsi="Arial Narrow"/>
                <w:szCs w:val="20"/>
              </w:rPr>
              <w:t>–</w:t>
            </w:r>
            <w:r w:rsidRPr="00AC6C6F">
              <w:rPr>
                <w:rFonts w:ascii="Arial Narrow" w:hAnsi="Arial Narrow"/>
                <w:szCs w:val="20"/>
              </w:rPr>
              <w:t xml:space="preserve"> months</w:t>
            </w:r>
          </w:p>
        </w:tc>
      </w:tr>
      <w:tr w:rsidR="00AF726E" w:rsidRPr="00AC6C6F" w:rsidTr="00302235">
        <w:tc>
          <w:tcPr>
            <w:tcW w:w="2447" w:type="dxa"/>
            <w:shd w:val="clear" w:color="auto" w:fill="auto"/>
          </w:tcPr>
          <w:p w:rsidR="00AF726E" w:rsidRPr="00AC6C6F" w:rsidRDefault="00AF726E" w:rsidP="0081589E">
            <w:pPr>
              <w:pStyle w:val="Table"/>
              <w:keepNext/>
              <w:ind w:firstLine="377"/>
              <w:rPr>
                <w:rFonts w:ascii="Arial Narrow" w:hAnsi="Arial Narrow"/>
                <w:szCs w:val="20"/>
              </w:rPr>
            </w:pPr>
            <w:r w:rsidRPr="00AC6C6F">
              <w:rPr>
                <w:rFonts w:ascii="Arial Narrow" w:hAnsi="Arial Narrow"/>
                <w:szCs w:val="20"/>
              </w:rPr>
              <w:t>Investigator</w:t>
            </w:r>
          </w:p>
        </w:tc>
        <w:tc>
          <w:tcPr>
            <w:tcW w:w="1778"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14.1</w:t>
            </w:r>
          </w:p>
        </w:tc>
        <w:tc>
          <w:tcPr>
            <w:tcW w:w="1690"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9.1</w:t>
            </w:r>
          </w:p>
        </w:tc>
        <w:tc>
          <w:tcPr>
            <w:tcW w:w="1495"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NA</w:t>
            </w:r>
          </w:p>
        </w:tc>
        <w:tc>
          <w:tcPr>
            <w:tcW w:w="1607"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NA</w:t>
            </w:r>
          </w:p>
        </w:tc>
      </w:tr>
      <w:tr w:rsidR="00AF726E" w:rsidRPr="00AC6C6F" w:rsidTr="00302235">
        <w:tc>
          <w:tcPr>
            <w:tcW w:w="2447" w:type="dxa"/>
            <w:shd w:val="clear" w:color="auto" w:fill="auto"/>
          </w:tcPr>
          <w:p w:rsidR="00AF726E" w:rsidRPr="00AC6C6F" w:rsidRDefault="00AF726E" w:rsidP="0081589E">
            <w:pPr>
              <w:pStyle w:val="Table"/>
              <w:keepNext/>
              <w:ind w:firstLine="377"/>
              <w:rPr>
                <w:rFonts w:ascii="Arial Narrow" w:hAnsi="Arial Narrow"/>
                <w:szCs w:val="20"/>
              </w:rPr>
            </w:pPr>
            <w:r w:rsidRPr="00AC6C6F">
              <w:rPr>
                <w:rFonts w:ascii="Arial Narrow" w:hAnsi="Arial Narrow"/>
                <w:szCs w:val="20"/>
              </w:rPr>
              <w:t>Independent</w:t>
            </w:r>
          </w:p>
        </w:tc>
        <w:tc>
          <w:tcPr>
            <w:tcW w:w="1778"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16.1</w:t>
            </w:r>
          </w:p>
        </w:tc>
        <w:tc>
          <w:tcPr>
            <w:tcW w:w="1690"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NE</w:t>
            </w:r>
          </w:p>
        </w:tc>
        <w:tc>
          <w:tcPr>
            <w:tcW w:w="1495"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15.1</w:t>
            </w:r>
          </w:p>
        </w:tc>
        <w:tc>
          <w:tcPr>
            <w:tcW w:w="1607"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18.3</w:t>
            </w:r>
          </w:p>
        </w:tc>
      </w:tr>
      <w:tr w:rsidR="00AF726E" w:rsidRPr="00AC6C6F" w:rsidTr="00302235">
        <w:tc>
          <w:tcPr>
            <w:tcW w:w="9017" w:type="dxa"/>
            <w:gridSpan w:val="5"/>
            <w:shd w:val="clear" w:color="auto" w:fill="auto"/>
            <w:vAlign w:val="center"/>
          </w:tcPr>
          <w:p w:rsidR="00AF726E" w:rsidRPr="00AC6C6F" w:rsidRDefault="00AF726E" w:rsidP="0081589E">
            <w:pPr>
              <w:pStyle w:val="TableCentre"/>
              <w:keepNext/>
              <w:jc w:val="left"/>
              <w:rPr>
                <w:rFonts w:ascii="Arial Narrow" w:hAnsi="Arial Narrow"/>
                <w:b/>
                <w:bCs/>
                <w:szCs w:val="20"/>
              </w:rPr>
            </w:pPr>
            <w:r w:rsidRPr="00AC6C6F">
              <w:rPr>
                <w:rFonts w:ascii="Arial Narrow" w:hAnsi="Arial Narrow"/>
                <w:b/>
                <w:bCs/>
                <w:szCs w:val="20"/>
              </w:rPr>
              <w:t>MF subgroup</w:t>
            </w:r>
          </w:p>
        </w:tc>
      </w:tr>
      <w:tr w:rsidR="00AF726E" w:rsidRPr="00AC6C6F" w:rsidTr="00302235">
        <w:tc>
          <w:tcPr>
            <w:tcW w:w="9017" w:type="dxa"/>
            <w:gridSpan w:val="5"/>
            <w:shd w:val="clear" w:color="auto" w:fill="auto"/>
            <w:vAlign w:val="center"/>
          </w:tcPr>
          <w:p w:rsidR="00AF726E" w:rsidRPr="00AC6C6F" w:rsidRDefault="00AF726E" w:rsidP="0081589E">
            <w:pPr>
              <w:pStyle w:val="TableCentre"/>
              <w:keepNext/>
              <w:jc w:val="left"/>
              <w:rPr>
                <w:rFonts w:ascii="Arial Narrow" w:hAnsi="Arial Narrow"/>
                <w:szCs w:val="20"/>
              </w:rPr>
            </w:pPr>
            <w:r w:rsidRPr="00AC6C6F">
              <w:rPr>
                <w:rFonts w:ascii="Arial Narrow" w:hAnsi="Arial Narrow"/>
                <w:szCs w:val="20"/>
              </w:rPr>
              <w:t xml:space="preserve">Median PFS </w:t>
            </w:r>
            <w:r w:rsidR="000C4181" w:rsidRPr="00AC6C6F">
              <w:rPr>
                <w:rFonts w:ascii="Arial Narrow" w:hAnsi="Arial Narrow"/>
                <w:szCs w:val="20"/>
              </w:rPr>
              <w:t>–</w:t>
            </w:r>
            <w:r w:rsidRPr="00AC6C6F">
              <w:rPr>
                <w:rFonts w:ascii="Arial Narrow" w:hAnsi="Arial Narrow"/>
                <w:szCs w:val="20"/>
              </w:rPr>
              <w:t xml:space="preserve"> months</w:t>
            </w:r>
          </w:p>
        </w:tc>
      </w:tr>
      <w:tr w:rsidR="00AF726E" w:rsidRPr="00AC6C6F" w:rsidTr="00302235">
        <w:tc>
          <w:tcPr>
            <w:tcW w:w="2447" w:type="dxa"/>
            <w:shd w:val="clear" w:color="auto" w:fill="auto"/>
          </w:tcPr>
          <w:p w:rsidR="00AF726E" w:rsidRPr="00AC6C6F" w:rsidRDefault="00AF726E" w:rsidP="0081589E">
            <w:pPr>
              <w:pStyle w:val="Table"/>
              <w:keepNext/>
              <w:ind w:firstLine="377"/>
              <w:rPr>
                <w:rFonts w:ascii="Arial Narrow" w:hAnsi="Arial Narrow"/>
                <w:szCs w:val="20"/>
              </w:rPr>
            </w:pPr>
            <w:r w:rsidRPr="00AC6C6F">
              <w:rPr>
                <w:rFonts w:ascii="Arial Narrow" w:hAnsi="Arial Narrow"/>
                <w:szCs w:val="20"/>
              </w:rPr>
              <w:t>Investigator</w:t>
            </w:r>
          </w:p>
        </w:tc>
        <w:tc>
          <w:tcPr>
            <w:tcW w:w="1778"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5.4</w:t>
            </w:r>
          </w:p>
        </w:tc>
        <w:tc>
          <w:tcPr>
            <w:tcW w:w="1690"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3.1</w:t>
            </w:r>
          </w:p>
        </w:tc>
        <w:tc>
          <w:tcPr>
            <w:tcW w:w="1495"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NA</w:t>
            </w:r>
          </w:p>
        </w:tc>
        <w:tc>
          <w:tcPr>
            <w:tcW w:w="1607"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NA</w:t>
            </w:r>
          </w:p>
        </w:tc>
      </w:tr>
      <w:tr w:rsidR="00AF726E" w:rsidRPr="00AC6C6F" w:rsidTr="00302235">
        <w:tc>
          <w:tcPr>
            <w:tcW w:w="2447" w:type="dxa"/>
            <w:shd w:val="clear" w:color="auto" w:fill="auto"/>
          </w:tcPr>
          <w:p w:rsidR="00AF726E" w:rsidRPr="00AC6C6F" w:rsidRDefault="00AF726E" w:rsidP="0081589E">
            <w:pPr>
              <w:pStyle w:val="Table"/>
              <w:keepNext/>
              <w:ind w:firstLine="377"/>
              <w:rPr>
                <w:rFonts w:ascii="Arial Narrow" w:hAnsi="Arial Narrow"/>
                <w:szCs w:val="20"/>
              </w:rPr>
            </w:pPr>
            <w:r w:rsidRPr="00AC6C6F">
              <w:rPr>
                <w:rFonts w:ascii="Arial Narrow" w:hAnsi="Arial Narrow"/>
                <w:szCs w:val="20"/>
              </w:rPr>
              <w:t>Independent</w:t>
            </w:r>
          </w:p>
        </w:tc>
        <w:tc>
          <w:tcPr>
            <w:tcW w:w="1778"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NA</w:t>
            </w:r>
          </w:p>
        </w:tc>
        <w:tc>
          <w:tcPr>
            <w:tcW w:w="1690"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NA</w:t>
            </w:r>
          </w:p>
        </w:tc>
        <w:tc>
          <w:tcPr>
            <w:tcW w:w="1495"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15.9</w:t>
            </w:r>
          </w:p>
        </w:tc>
        <w:tc>
          <w:tcPr>
            <w:tcW w:w="1607"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3.5</w:t>
            </w:r>
          </w:p>
        </w:tc>
      </w:tr>
      <w:tr w:rsidR="00AF726E" w:rsidRPr="00AC6C6F" w:rsidTr="00302235">
        <w:tc>
          <w:tcPr>
            <w:tcW w:w="2447" w:type="dxa"/>
            <w:shd w:val="clear" w:color="auto" w:fill="auto"/>
          </w:tcPr>
          <w:p w:rsidR="00AF726E" w:rsidRPr="00AC6C6F" w:rsidRDefault="00AF726E" w:rsidP="0081589E">
            <w:pPr>
              <w:pStyle w:val="Table"/>
              <w:keepNext/>
              <w:ind w:firstLine="29"/>
              <w:rPr>
                <w:rFonts w:ascii="Arial Narrow" w:hAnsi="Arial Narrow"/>
                <w:szCs w:val="20"/>
              </w:rPr>
            </w:pPr>
            <w:r w:rsidRPr="00AC6C6F">
              <w:rPr>
                <w:rFonts w:ascii="Arial Narrow" w:hAnsi="Arial Narrow"/>
                <w:szCs w:val="20"/>
              </w:rPr>
              <w:t>ORR – n/N (%)</w:t>
            </w:r>
          </w:p>
        </w:tc>
        <w:tc>
          <w:tcPr>
            <w:tcW w:w="1778" w:type="dxa"/>
            <w:shd w:val="clear" w:color="auto" w:fill="auto"/>
          </w:tcPr>
          <w:p w:rsidR="00AF726E" w:rsidRPr="00AC6C6F" w:rsidRDefault="00AF726E" w:rsidP="0081589E">
            <w:pPr>
              <w:pStyle w:val="TableCentre"/>
              <w:keepNext/>
              <w:rPr>
                <w:rFonts w:ascii="Arial Narrow" w:hAnsi="Arial Narrow"/>
                <w:szCs w:val="20"/>
              </w:rPr>
            </w:pPr>
          </w:p>
        </w:tc>
        <w:tc>
          <w:tcPr>
            <w:tcW w:w="1690" w:type="dxa"/>
            <w:shd w:val="clear" w:color="auto" w:fill="auto"/>
          </w:tcPr>
          <w:p w:rsidR="00AF726E" w:rsidRPr="00AC6C6F" w:rsidRDefault="00AF726E" w:rsidP="0081589E">
            <w:pPr>
              <w:pStyle w:val="TableCentre"/>
              <w:keepNext/>
              <w:rPr>
                <w:rFonts w:ascii="Arial Narrow" w:hAnsi="Arial Narrow"/>
                <w:szCs w:val="20"/>
              </w:rPr>
            </w:pPr>
          </w:p>
        </w:tc>
        <w:tc>
          <w:tcPr>
            <w:tcW w:w="1495" w:type="dxa"/>
            <w:shd w:val="clear" w:color="auto" w:fill="auto"/>
          </w:tcPr>
          <w:p w:rsidR="00AF726E" w:rsidRPr="00AC6C6F" w:rsidRDefault="00AF726E" w:rsidP="0081589E">
            <w:pPr>
              <w:pStyle w:val="TableCentre"/>
              <w:keepNext/>
              <w:rPr>
                <w:rFonts w:ascii="Arial Narrow" w:hAnsi="Arial Narrow"/>
                <w:szCs w:val="20"/>
              </w:rPr>
            </w:pPr>
          </w:p>
        </w:tc>
        <w:tc>
          <w:tcPr>
            <w:tcW w:w="1607" w:type="dxa"/>
            <w:shd w:val="clear" w:color="auto" w:fill="auto"/>
          </w:tcPr>
          <w:p w:rsidR="00AF726E" w:rsidRPr="00AC6C6F" w:rsidRDefault="00AF726E" w:rsidP="0081589E">
            <w:pPr>
              <w:pStyle w:val="TableCentre"/>
              <w:keepNext/>
              <w:rPr>
                <w:rFonts w:ascii="Arial Narrow" w:hAnsi="Arial Narrow"/>
                <w:szCs w:val="20"/>
              </w:rPr>
            </w:pPr>
          </w:p>
        </w:tc>
      </w:tr>
      <w:tr w:rsidR="00AF726E" w:rsidRPr="00AC6C6F" w:rsidTr="00302235">
        <w:tc>
          <w:tcPr>
            <w:tcW w:w="2447" w:type="dxa"/>
            <w:shd w:val="clear" w:color="auto" w:fill="auto"/>
          </w:tcPr>
          <w:p w:rsidR="00AF726E" w:rsidRPr="00AC6C6F" w:rsidRDefault="00AF726E" w:rsidP="0081589E">
            <w:pPr>
              <w:pStyle w:val="Table"/>
              <w:keepNext/>
              <w:ind w:firstLine="419"/>
              <w:rPr>
                <w:rFonts w:ascii="Arial Narrow" w:hAnsi="Arial Narrow"/>
                <w:szCs w:val="20"/>
              </w:rPr>
            </w:pPr>
            <w:r w:rsidRPr="00AC6C6F">
              <w:rPr>
                <w:rFonts w:ascii="Arial Narrow" w:hAnsi="Arial Narrow"/>
                <w:szCs w:val="20"/>
              </w:rPr>
              <w:t>Investigator</w:t>
            </w:r>
          </w:p>
        </w:tc>
        <w:tc>
          <w:tcPr>
            <w:tcW w:w="1778"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22/105 (21.0)</w:t>
            </w:r>
          </w:p>
        </w:tc>
        <w:tc>
          <w:tcPr>
            <w:tcW w:w="1690"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7/99 (7.1)</w:t>
            </w:r>
          </w:p>
        </w:tc>
        <w:tc>
          <w:tcPr>
            <w:tcW w:w="1495"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NA</w:t>
            </w:r>
          </w:p>
        </w:tc>
        <w:tc>
          <w:tcPr>
            <w:tcW w:w="1607" w:type="dxa"/>
            <w:shd w:val="clear" w:color="auto" w:fill="auto"/>
          </w:tcPr>
          <w:p w:rsidR="00AF726E" w:rsidRPr="00AC6C6F" w:rsidRDefault="00AF726E" w:rsidP="0081589E">
            <w:pPr>
              <w:pStyle w:val="TableCentre"/>
              <w:keepNext/>
              <w:rPr>
                <w:rFonts w:ascii="Arial Narrow" w:hAnsi="Arial Narrow"/>
                <w:szCs w:val="20"/>
              </w:rPr>
            </w:pPr>
            <w:r w:rsidRPr="00AC6C6F">
              <w:rPr>
                <w:rFonts w:ascii="Arial Narrow" w:hAnsi="Arial Narrow"/>
                <w:szCs w:val="20"/>
              </w:rPr>
              <w:t>NA</w:t>
            </w:r>
          </w:p>
        </w:tc>
      </w:tr>
      <w:tr w:rsidR="00AF726E" w:rsidRPr="00AC6C6F" w:rsidTr="00302235">
        <w:tc>
          <w:tcPr>
            <w:tcW w:w="2447" w:type="dxa"/>
            <w:shd w:val="clear" w:color="auto" w:fill="auto"/>
          </w:tcPr>
          <w:p w:rsidR="00AF726E" w:rsidRPr="00AC6C6F" w:rsidRDefault="00AF726E" w:rsidP="00302235">
            <w:pPr>
              <w:pStyle w:val="Table"/>
              <w:ind w:firstLine="419"/>
              <w:rPr>
                <w:rFonts w:ascii="Arial Narrow" w:hAnsi="Arial Narrow"/>
                <w:szCs w:val="20"/>
              </w:rPr>
            </w:pPr>
            <w:r w:rsidRPr="00AC6C6F">
              <w:rPr>
                <w:rFonts w:ascii="Arial Narrow" w:hAnsi="Arial Narrow"/>
                <w:szCs w:val="20"/>
              </w:rPr>
              <w:t>Independent</w:t>
            </w:r>
          </w:p>
        </w:tc>
        <w:tc>
          <w:tcPr>
            <w:tcW w:w="1778"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NA</w:t>
            </w:r>
          </w:p>
        </w:tc>
        <w:tc>
          <w:tcPr>
            <w:tcW w:w="1690"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NA</w:t>
            </w:r>
          </w:p>
        </w:tc>
        <w:tc>
          <w:tcPr>
            <w:tcW w:w="1495"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31/48 (64.6)</w:t>
            </w:r>
          </w:p>
        </w:tc>
        <w:tc>
          <w:tcPr>
            <w:tcW w:w="1607" w:type="dxa"/>
            <w:shd w:val="clear" w:color="auto" w:fill="auto"/>
          </w:tcPr>
          <w:p w:rsidR="00AF726E" w:rsidRPr="00AC6C6F" w:rsidRDefault="00AF726E" w:rsidP="00302235">
            <w:pPr>
              <w:pStyle w:val="TableCentre"/>
              <w:rPr>
                <w:rFonts w:ascii="Arial Narrow" w:hAnsi="Arial Narrow"/>
                <w:szCs w:val="20"/>
              </w:rPr>
            </w:pPr>
            <w:r w:rsidRPr="00AC6C6F">
              <w:rPr>
                <w:rFonts w:ascii="Arial Narrow" w:hAnsi="Arial Narrow"/>
                <w:szCs w:val="20"/>
              </w:rPr>
              <w:t>8/49 (16.3)</w:t>
            </w:r>
          </w:p>
        </w:tc>
      </w:tr>
    </w:tbl>
    <w:p w:rsidR="00AF726E" w:rsidRPr="00AC6C6F" w:rsidRDefault="00AF726E" w:rsidP="00AF726E">
      <w:pPr>
        <w:rPr>
          <w:rFonts w:ascii="Arial Narrow" w:hAnsi="Arial Narrow"/>
          <w:sz w:val="18"/>
          <w:szCs w:val="18"/>
        </w:rPr>
      </w:pPr>
      <w:r w:rsidRPr="00AC6C6F">
        <w:rPr>
          <w:rFonts w:ascii="Arial Narrow" w:hAnsi="Arial Narrow"/>
          <w:sz w:val="18"/>
          <w:szCs w:val="18"/>
        </w:rPr>
        <w:t xml:space="preserve">Source: Table 2-73 (p153 of the Submission) </w:t>
      </w:r>
    </w:p>
    <w:p w:rsidR="00AF726E" w:rsidRPr="0081589E" w:rsidRDefault="00AF726E" w:rsidP="00AF726E">
      <w:pPr>
        <w:rPr>
          <w:rFonts w:ascii="Arial Narrow" w:hAnsi="Arial Narrow"/>
          <w:sz w:val="18"/>
          <w:szCs w:val="18"/>
        </w:rPr>
      </w:pPr>
      <w:r w:rsidRPr="00AC6C6F">
        <w:rPr>
          <w:rFonts w:ascii="Arial Narrow" w:hAnsi="Arial Narrow"/>
          <w:sz w:val="18"/>
          <w:szCs w:val="18"/>
        </w:rPr>
        <w:t>Abbreviations: DOR = duration of response; ITT = intent to treat; MF = mycosis fungoides;  n =</w:t>
      </w:r>
      <w:r w:rsidRPr="00AC6C6F">
        <w:rPr>
          <w:rFonts w:ascii="Arial Narrow" w:eastAsia="Calibri" w:hAnsi="Arial Narrow"/>
          <w:sz w:val="18"/>
          <w:szCs w:val="18"/>
        </w:rPr>
        <w:t xml:space="preserve"> number of participants with event;</w:t>
      </w:r>
      <w:r w:rsidRPr="00AC6C6F">
        <w:rPr>
          <w:rFonts w:ascii="Arial Narrow" w:hAnsi="Arial Narrow"/>
          <w:sz w:val="18"/>
          <w:szCs w:val="18"/>
        </w:rPr>
        <w:t xml:space="preserve"> </w:t>
      </w:r>
      <w:r w:rsidRPr="00AC6C6F">
        <w:rPr>
          <w:rFonts w:ascii="Arial Narrow" w:eastAsia="Calibri" w:hAnsi="Arial Narrow"/>
          <w:sz w:val="18"/>
          <w:szCs w:val="18"/>
        </w:rPr>
        <w:t xml:space="preserve">N = total participants in group; NE = not estimable; NR = not reported; </w:t>
      </w:r>
      <w:r w:rsidRPr="00AC6C6F">
        <w:rPr>
          <w:rFonts w:ascii="Arial Narrow" w:hAnsi="Arial Narrow"/>
          <w:sz w:val="18"/>
          <w:szCs w:val="18"/>
        </w:rPr>
        <w:t xml:space="preserve">PC:MTX/BEX = physician’s choice of methotrexate or bexarotene; PFS = progression </w:t>
      </w:r>
      <w:r w:rsidR="0081589E">
        <w:rPr>
          <w:rFonts w:ascii="Arial Narrow" w:hAnsi="Arial Narrow"/>
          <w:sz w:val="18"/>
          <w:szCs w:val="18"/>
        </w:rPr>
        <w:t>free survival</w:t>
      </w:r>
    </w:p>
    <w:p w:rsidR="00AF726E" w:rsidRPr="00AC6C6F" w:rsidRDefault="00AF726E" w:rsidP="00AF726E">
      <w:pPr>
        <w:pStyle w:val="4-SubsectionHeading"/>
      </w:pPr>
      <w:bookmarkStart w:id="13" w:name="_Toc40177093"/>
      <w:r w:rsidRPr="00AC6C6F">
        <w:t>Comparative harms</w:t>
      </w:r>
      <w:bookmarkEnd w:id="13"/>
    </w:p>
    <w:p w:rsidR="00AF726E" w:rsidRPr="00AC6C6F" w:rsidRDefault="00967135" w:rsidP="00AF726E">
      <w:pPr>
        <w:rPr>
          <w:u w:val="single"/>
        </w:rPr>
      </w:pPr>
      <w:r w:rsidRPr="00AC6C6F">
        <w:rPr>
          <w:u w:val="single"/>
        </w:rPr>
        <w:t>Mogamulizumab</w:t>
      </w:r>
      <w:r w:rsidR="00371C74" w:rsidRPr="00AC6C6F">
        <w:rPr>
          <w:u w:val="single"/>
        </w:rPr>
        <w:t xml:space="preserve"> vs</w:t>
      </w:r>
      <w:r w:rsidR="00AF726E" w:rsidRPr="00AC6C6F">
        <w:rPr>
          <w:u w:val="single"/>
        </w:rPr>
        <w:t xml:space="preserve"> </w:t>
      </w:r>
      <w:r w:rsidR="00EE197C" w:rsidRPr="00AC6C6F">
        <w:rPr>
          <w:u w:val="single"/>
        </w:rPr>
        <w:t>v</w:t>
      </w:r>
      <w:r w:rsidR="00AF726E" w:rsidRPr="00AC6C6F">
        <w:rPr>
          <w:u w:val="single"/>
        </w:rPr>
        <w:t>orinostat</w:t>
      </w:r>
    </w:p>
    <w:p w:rsidR="00AF726E" w:rsidRPr="00AC6C6F" w:rsidRDefault="00AF726E" w:rsidP="00AF726E">
      <w:pPr>
        <w:pStyle w:val="3-BodyText"/>
        <w:rPr>
          <w:color w:val="0066FF"/>
        </w:rPr>
      </w:pPr>
      <w:r w:rsidRPr="00AC6C6F">
        <w:rPr>
          <w:color w:val="000000" w:themeColor="text1"/>
        </w:rPr>
        <w:t xml:space="preserve">A </w:t>
      </w:r>
      <w:r w:rsidRPr="00AC6C6F">
        <w:rPr>
          <w:rFonts w:ascii="Calibri" w:hAnsi="Calibri" w:cs="Calibri"/>
        </w:rPr>
        <w:t xml:space="preserve">summary of adverse events (AEs) during the study in the safety analysis set (SAS) for MAVORIC is presented in Table </w:t>
      </w:r>
      <w:r w:rsidR="005C22E5" w:rsidRPr="00AC6C6F">
        <w:rPr>
          <w:rFonts w:ascii="Calibri" w:hAnsi="Calibri" w:cs="Calibri"/>
        </w:rPr>
        <w:t>10</w:t>
      </w:r>
      <w:r w:rsidRPr="00AC6C6F">
        <w:rPr>
          <w:rFonts w:ascii="Calibri" w:hAnsi="Calibri" w:cs="Calibri"/>
        </w:rPr>
        <w:t>.</w:t>
      </w:r>
    </w:p>
    <w:p w:rsidR="00AF726E" w:rsidRPr="00AC6C6F" w:rsidRDefault="00AF726E" w:rsidP="0044408F">
      <w:pPr>
        <w:keepNext/>
        <w:keepLines/>
        <w:rPr>
          <w:rStyle w:val="CommentReference"/>
          <w:bCs/>
        </w:rPr>
      </w:pPr>
      <w:r w:rsidRPr="00AC6C6F">
        <w:rPr>
          <w:rStyle w:val="CommentReference"/>
          <w:bCs/>
        </w:rPr>
        <w:t xml:space="preserve">Table </w:t>
      </w:r>
      <w:r w:rsidR="005C22E5" w:rsidRPr="00AC6C6F">
        <w:rPr>
          <w:rStyle w:val="CommentReference"/>
          <w:bCs/>
        </w:rPr>
        <w:t>10:</w:t>
      </w:r>
      <w:r w:rsidRPr="00AC6C6F">
        <w:rPr>
          <w:rStyle w:val="CommentReference"/>
          <w:bCs/>
        </w:rPr>
        <w:t xml:space="preserve"> Summary of safety outcomes in MAVORIC (SAS)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96"/>
        <w:gridCol w:w="1791"/>
        <w:gridCol w:w="1610"/>
        <w:gridCol w:w="1410"/>
        <w:gridCol w:w="1410"/>
      </w:tblGrid>
      <w:tr w:rsidR="00AF726E" w:rsidRPr="00AC6C6F" w:rsidTr="00302235">
        <w:trPr>
          <w:trHeight w:val="70"/>
          <w:tblHeader/>
        </w:trPr>
        <w:tc>
          <w:tcPr>
            <w:tcW w:w="1550" w:type="pct"/>
            <w:vMerge w:val="restart"/>
            <w:shd w:val="clear" w:color="auto" w:fill="auto"/>
            <w:vAlign w:val="center"/>
          </w:tcPr>
          <w:p w:rsidR="00AF726E" w:rsidRPr="00AC6C6F" w:rsidRDefault="00AF726E" w:rsidP="0044408F">
            <w:pPr>
              <w:pStyle w:val="Table"/>
              <w:keepNext/>
              <w:keepLines/>
              <w:jc w:val="center"/>
              <w:rPr>
                <w:rFonts w:ascii="Arial Narrow" w:hAnsi="Arial Narrow"/>
                <w:b/>
                <w:bCs/>
              </w:rPr>
            </w:pPr>
            <w:r w:rsidRPr="00AC6C6F">
              <w:rPr>
                <w:rFonts w:ascii="Arial Narrow" w:hAnsi="Arial Narrow"/>
                <w:b/>
                <w:bCs/>
              </w:rPr>
              <w:t>n</w:t>
            </w:r>
            <w:r w:rsidR="002B6107" w:rsidRPr="00AC6C6F">
              <w:rPr>
                <w:rFonts w:ascii="Arial Narrow" w:hAnsi="Arial Narrow"/>
                <w:b/>
                <w:bCs/>
              </w:rPr>
              <w:t xml:space="preserve"> </w:t>
            </w:r>
            <w:r w:rsidRPr="00AC6C6F">
              <w:rPr>
                <w:rFonts w:ascii="Arial Narrow" w:hAnsi="Arial Narrow"/>
                <w:b/>
                <w:bCs/>
              </w:rPr>
              <w:t>(%)</w:t>
            </w:r>
          </w:p>
        </w:tc>
        <w:tc>
          <w:tcPr>
            <w:tcW w:w="2668" w:type="pct"/>
            <w:gridSpan w:val="3"/>
            <w:shd w:val="clear" w:color="auto" w:fill="auto"/>
          </w:tcPr>
          <w:p w:rsidR="00AF726E" w:rsidRPr="00AC6C6F" w:rsidRDefault="00AF726E" w:rsidP="0044408F">
            <w:pPr>
              <w:pStyle w:val="TableCentre"/>
              <w:keepNext/>
              <w:keepLines/>
              <w:rPr>
                <w:rFonts w:ascii="Arial Narrow" w:hAnsi="Arial Narrow"/>
                <w:b/>
                <w:bCs/>
              </w:rPr>
            </w:pPr>
            <w:r w:rsidRPr="00AC6C6F">
              <w:rPr>
                <w:rFonts w:ascii="Arial Narrow" w:hAnsi="Arial Narrow"/>
                <w:b/>
                <w:bCs/>
              </w:rPr>
              <w:t>Pre-treatment and Randomised Treatment Period</w:t>
            </w:r>
          </w:p>
        </w:tc>
        <w:tc>
          <w:tcPr>
            <w:tcW w:w="782" w:type="pct"/>
            <w:shd w:val="clear" w:color="auto" w:fill="auto"/>
          </w:tcPr>
          <w:p w:rsidR="00AF726E" w:rsidRPr="00AC6C6F" w:rsidRDefault="00AF726E" w:rsidP="0044408F">
            <w:pPr>
              <w:pStyle w:val="TableCentre"/>
              <w:keepNext/>
              <w:keepLines/>
              <w:rPr>
                <w:rFonts w:ascii="Arial Narrow" w:hAnsi="Arial Narrow"/>
                <w:b/>
                <w:bCs/>
              </w:rPr>
            </w:pPr>
            <w:r w:rsidRPr="00AC6C6F">
              <w:rPr>
                <w:rFonts w:ascii="Arial Narrow" w:hAnsi="Arial Narrow"/>
                <w:b/>
                <w:bCs/>
              </w:rPr>
              <w:t>Crossover Period</w:t>
            </w:r>
          </w:p>
        </w:tc>
      </w:tr>
      <w:tr w:rsidR="00AF726E" w:rsidRPr="00AC6C6F" w:rsidTr="00302235">
        <w:trPr>
          <w:trHeight w:val="385"/>
          <w:tblHeader/>
        </w:trPr>
        <w:tc>
          <w:tcPr>
            <w:tcW w:w="1550" w:type="pct"/>
            <w:vMerge/>
            <w:shd w:val="clear" w:color="auto" w:fill="auto"/>
          </w:tcPr>
          <w:p w:rsidR="00AF726E" w:rsidRPr="00AC6C6F" w:rsidRDefault="00AF726E" w:rsidP="0044408F">
            <w:pPr>
              <w:pStyle w:val="Table"/>
              <w:keepNext/>
              <w:keepLines/>
              <w:jc w:val="center"/>
              <w:rPr>
                <w:rFonts w:ascii="Arial Narrow" w:hAnsi="Arial Narrow"/>
                <w:b/>
                <w:bCs/>
              </w:rPr>
            </w:pPr>
          </w:p>
        </w:tc>
        <w:tc>
          <w:tcPr>
            <w:tcW w:w="993" w:type="pct"/>
            <w:shd w:val="clear" w:color="auto" w:fill="auto"/>
          </w:tcPr>
          <w:p w:rsidR="00AF726E" w:rsidRPr="00AC6C6F" w:rsidRDefault="00AF726E" w:rsidP="0044408F">
            <w:pPr>
              <w:pStyle w:val="TableCentre"/>
              <w:keepNext/>
              <w:keepLines/>
              <w:rPr>
                <w:rFonts w:ascii="Arial Narrow" w:hAnsi="Arial Narrow"/>
                <w:b/>
                <w:bCs/>
              </w:rPr>
            </w:pPr>
            <w:r w:rsidRPr="00AC6C6F">
              <w:rPr>
                <w:rFonts w:ascii="Arial Narrow" w:hAnsi="Arial Narrow"/>
                <w:b/>
                <w:bCs/>
              </w:rPr>
              <w:t>Mogamulizumab</w:t>
            </w:r>
          </w:p>
          <w:p w:rsidR="00AF726E" w:rsidRPr="00AC6C6F" w:rsidRDefault="00AF726E" w:rsidP="0044408F">
            <w:pPr>
              <w:pStyle w:val="TableCentre"/>
              <w:keepNext/>
              <w:keepLines/>
              <w:rPr>
                <w:rFonts w:ascii="Arial Narrow" w:hAnsi="Arial Narrow"/>
                <w:b/>
                <w:bCs/>
              </w:rPr>
            </w:pPr>
            <w:r w:rsidRPr="00AC6C6F">
              <w:rPr>
                <w:rFonts w:ascii="Arial Narrow" w:hAnsi="Arial Narrow"/>
                <w:b/>
                <w:bCs/>
              </w:rPr>
              <w:t>(N = 184)</w:t>
            </w:r>
          </w:p>
        </w:tc>
        <w:tc>
          <w:tcPr>
            <w:tcW w:w="893" w:type="pct"/>
            <w:shd w:val="clear" w:color="auto" w:fill="auto"/>
          </w:tcPr>
          <w:p w:rsidR="00AF726E" w:rsidRPr="00AC6C6F" w:rsidRDefault="00AF726E" w:rsidP="0044408F">
            <w:pPr>
              <w:pStyle w:val="TableCentre"/>
              <w:keepNext/>
              <w:keepLines/>
              <w:rPr>
                <w:rFonts w:ascii="Arial Narrow" w:hAnsi="Arial Narrow"/>
                <w:b/>
                <w:bCs/>
              </w:rPr>
            </w:pPr>
            <w:r w:rsidRPr="00AC6C6F">
              <w:rPr>
                <w:rFonts w:ascii="Arial Narrow" w:hAnsi="Arial Narrow"/>
                <w:b/>
                <w:bCs/>
              </w:rPr>
              <w:t>Vorinostat</w:t>
            </w:r>
          </w:p>
          <w:p w:rsidR="00AF726E" w:rsidRPr="00AC6C6F" w:rsidRDefault="00AF726E" w:rsidP="0044408F">
            <w:pPr>
              <w:pStyle w:val="TableCentre"/>
              <w:keepNext/>
              <w:keepLines/>
              <w:rPr>
                <w:rFonts w:ascii="Arial Narrow" w:hAnsi="Arial Narrow"/>
                <w:b/>
                <w:bCs/>
              </w:rPr>
            </w:pPr>
            <w:r w:rsidRPr="00AC6C6F">
              <w:rPr>
                <w:rFonts w:ascii="Arial Narrow" w:hAnsi="Arial Narrow"/>
                <w:b/>
                <w:bCs/>
              </w:rPr>
              <w:t>(N = 186)</w:t>
            </w:r>
          </w:p>
        </w:tc>
        <w:tc>
          <w:tcPr>
            <w:tcW w:w="782" w:type="pct"/>
          </w:tcPr>
          <w:p w:rsidR="00AF726E" w:rsidRPr="00AC6C6F" w:rsidRDefault="00AF726E" w:rsidP="0044408F">
            <w:pPr>
              <w:pStyle w:val="TableCentre"/>
              <w:keepNext/>
              <w:keepLines/>
              <w:rPr>
                <w:rFonts w:ascii="Arial Narrow" w:hAnsi="Arial Narrow"/>
                <w:b/>
                <w:bCs/>
                <w:vertAlign w:val="superscript"/>
              </w:rPr>
            </w:pPr>
            <w:r w:rsidRPr="00AC6C6F">
              <w:rPr>
                <w:rFonts w:ascii="Arial Narrow" w:hAnsi="Arial Narrow"/>
                <w:b/>
                <w:bCs/>
              </w:rPr>
              <w:t xml:space="preserve">RD (95% CI) </w:t>
            </w:r>
            <w:r w:rsidRPr="00AC6C6F">
              <w:rPr>
                <w:rFonts w:ascii="Arial Narrow" w:hAnsi="Arial Narrow"/>
                <w:b/>
                <w:bCs/>
                <w:vertAlign w:val="superscript"/>
              </w:rPr>
              <w:t>c</w:t>
            </w:r>
          </w:p>
        </w:tc>
        <w:tc>
          <w:tcPr>
            <w:tcW w:w="782" w:type="pct"/>
            <w:shd w:val="clear" w:color="auto" w:fill="auto"/>
          </w:tcPr>
          <w:p w:rsidR="00AF726E" w:rsidRPr="00AC6C6F" w:rsidRDefault="00AF726E" w:rsidP="0044408F">
            <w:pPr>
              <w:pStyle w:val="TableCentre"/>
              <w:keepNext/>
              <w:keepLines/>
              <w:rPr>
                <w:rFonts w:ascii="Arial Narrow" w:hAnsi="Arial Narrow"/>
                <w:b/>
                <w:bCs/>
              </w:rPr>
            </w:pPr>
            <w:r w:rsidRPr="00AC6C6F">
              <w:rPr>
                <w:rFonts w:ascii="Arial Narrow" w:hAnsi="Arial Narrow"/>
                <w:b/>
                <w:bCs/>
              </w:rPr>
              <w:t>Mogamulizumab</w:t>
            </w:r>
          </w:p>
          <w:p w:rsidR="00AF726E" w:rsidRPr="00AC6C6F" w:rsidRDefault="00AF726E" w:rsidP="0044408F">
            <w:pPr>
              <w:pStyle w:val="TableCentre"/>
              <w:keepNext/>
              <w:keepLines/>
              <w:rPr>
                <w:rFonts w:ascii="Arial Narrow" w:hAnsi="Arial Narrow"/>
                <w:b/>
                <w:bCs/>
              </w:rPr>
            </w:pPr>
            <w:r w:rsidRPr="00AC6C6F">
              <w:rPr>
                <w:rFonts w:ascii="Arial Narrow" w:hAnsi="Arial Narrow"/>
                <w:b/>
                <w:bCs/>
              </w:rPr>
              <w:t>(N = 136)</w:t>
            </w:r>
          </w:p>
        </w:tc>
      </w:tr>
      <w:tr w:rsidR="00AF726E" w:rsidRPr="00AC6C6F" w:rsidTr="00302235">
        <w:trPr>
          <w:trHeight w:val="258"/>
        </w:trPr>
        <w:tc>
          <w:tcPr>
            <w:tcW w:w="5000" w:type="pct"/>
            <w:gridSpan w:val="5"/>
          </w:tcPr>
          <w:p w:rsidR="00AF726E" w:rsidRPr="00AC6C6F" w:rsidRDefault="00AF726E" w:rsidP="0044408F">
            <w:pPr>
              <w:pStyle w:val="TableCentre"/>
              <w:keepNext/>
              <w:keepLines/>
              <w:jc w:val="left"/>
              <w:rPr>
                <w:rFonts w:ascii="Arial Narrow" w:hAnsi="Arial Narrow"/>
                <w:b/>
                <w:bCs/>
              </w:rPr>
            </w:pPr>
            <w:r w:rsidRPr="00AC6C6F">
              <w:rPr>
                <w:rFonts w:ascii="Arial Narrow" w:hAnsi="Arial Narrow"/>
                <w:b/>
                <w:bCs/>
              </w:rPr>
              <w:t>Adverse Events (AEs)</w:t>
            </w:r>
          </w:p>
        </w:tc>
      </w:tr>
      <w:tr w:rsidR="00AF726E" w:rsidRPr="00AC6C6F" w:rsidTr="00302235">
        <w:trPr>
          <w:trHeight w:val="258"/>
        </w:trPr>
        <w:tc>
          <w:tcPr>
            <w:tcW w:w="1550" w:type="pct"/>
            <w:shd w:val="clear" w:color="auto" w:fill="auto"/>
          </w:tcPr>
          <w:p w:rsidR="00AF726E" w:rsidRPr="00AC6C6F" w:rsidRDefault="00AF726E" w:rsidP="0044408F">
            <w:pPr>
              <w:pStyle w:val="Table"/>
              <w:keepNext/>
              <w:keepLines/>
              <w:ind w:firstLine="284"/>
              <w:rPr>
                <w:rFonts w:ascii="Arial Narrow" w:hAnsi="Arial Narrow"/>
              </w:rPr>
            </w:pPr>
            <w:r w:rsidRPr="00AC6C6F">
              <w:rPr>
                <w:rFonts w:ascii="Arial Narrow" w:hAnsi="Arial Narrow"/>
              </w:rPr>
              <w:t>Any AEs</w:t>
            </w:r>
          </w:p>
        </w:tc>
        <w:tc>
          <w:tcPr>
            <w:tcW w:w="9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180 (97.8)</w:t>
            </w:r>
          </w:p>
        </w:tc>
        <w:tc>
          <w:tcPr>
            <w:tcW w:w="8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185 (99.5)</w:t>
            </w:r>
          </w:p>
        </w:tc>
        <w:tc>
          <w:tcPr>
            <w:tcW w:w="782" w:type="pct"/>
          </w:tcPr>
          <w:p w:rsidR="00AF726E" w:rsidRPr="00AC6C6F" w:rsidRDefault="00AF726E" w:rsidP="0044408F">
            <w:pPr>
              <w:keepNext/>
              <w:keepLines/>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-0.02 (-0.04, 0.01) </w:t>
            </w:r>
          </w:p>
        </w:tc>
        <w:tc>
          <w:tcPr>
            <w:tcW w:w="782"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127 (93.4)</w:t>
            </w:r>
          </w:p>
        </w:tc>
      </w:tr>
      <w:tr w:rsidR="00AF726E" w:rsidRPr="00AC6C6F" w:rsidTr="00302235">
        <w:trPr>
          <w:trHeight w:val="263"/>
        </w:trPr>
        <w:tc>
          <w:tcPr>
            <w:tcW w:w="1550" w:type="pct"/>
            <w:shd w:val="clear" w:color="auto" w:fill="auto"/>
          </w:tcPr>
          <w:p w:rsidR="00AF726E" w:rsidRPr="00AC6C6F" w:rsidRDefault="00AF726E" w:rsidP="0044408F">
            <w:pPr>
              <w:pStyle w:val="Table"/>
              <w:keepNext/>
              <w:keepLines/>
              <w:ind w:firstLine="284"/>
              <w:rPr>
                <w:rFonts w:ascii="Arial Narrow" w:hAnsi="Arial Narrow"/>
              </w:rPr>
            </w:pPr>
            <w:r w:rsidRPr="00AC6C6F">
              <w:rPr>
                <w:rFonts w:ascii="Arial Narrow" w:hAnsi="Arial Narrow"/>
              </w:rPr>
              <w:t>Any TEAEs</w:t>
            </w:r>
          </w:p>
        </w:tc>
        <w:tc>
          <w:tcPr>
            <w:tcW w:w="9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179 (97.3)</w:t>
            </w:r>
          </w:p>
        </w:tc>
        <w:tc>
          <w:tcPr>
            <w:tcW w:w="8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185 (99.5)</w:t>
            </w:r>
          </w:p>
        </w:tc>
        <w:tc>
          <w:tcPr>
            <w:tcW w:w="782" w:type="pct"/>
          </w:tcPr>
          <w:p w:rsidR="00AF726E" w:rsidRPr="00AC6C6F" w:rsidRDefault="00AF726E" w:rsidP="0044408F">
            <w:pPr>
              <w:keepNext/>
              <w:keepLines/>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-0.02 (-0.05, 0.00) </w:t>
            </w:r>
          </w:p>
        </w:tc>
        <w:tc>
          <w:tcPr>
            <w:tcW w:w="782"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127 (93.4)</w:t>
            </w:r>
          </w:p>
        </w:tc>
      </w:tr>
      <w:tr w:rsidR="00AF726E" w:rsidRPr="00AC6C6F" w:rsidTr="00302235">
        <w:trPr>
          <w:trHeight w:val="258"/>
        </w:trPr>
        <w:tc>
          <w:tcPr>
            <w:tcW w:w="1550" w:type="pct"/>
            <w:shd w:val="clear" w:color="auto" w:fill="auto"/>
          </w:tcPr>
          <w:p w:rsidR="00AF726E" w:rsidRPr="00AC6C6F" w:rsidRDefault="00AF726E" w:rsidP="0044408F">
            <w:pPr>
              <w:pStyle w:val="Table"/>
              <w:keepNext/>
              <w:keepLines/>
              <w:ind w:firstLine="284"/>
              <w:rPr>
                <w:rFonts w:ascii="Arial Narrow" w:hAnsi="Arial Narrow"/>
              </w:rPr>
            </w:pPr>
            <w:r w:rsidRPr="00AC6C6F">
              <w:rPr>
                <w:rFonts w:ascii="Arial Narrow" w:hAnsi="Arial Narrow"/>
              </w:rPr>
              <w:t>Drug-related TEAEs</w:t>
            </w:r>
          </w:p>
        </w:tc>
        <w:tc>
          <w:tcPr>
            <w:tcW w:w="9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156 (84.8)</w:t>
            </w:r>
          </w:p>
        </w:tc>
        <w:tc>
          <w:tcPr>
            <w:tcW w:w="8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178 (95.7)</w:t>
            </w:r>
          </w:p>
        </w:tc>
        <w:tc>
          <w:tcPr>
            <w:tcW w:w="782" w:type="pct"/>
          </w:tcPr>
          <w:p w:rsidR="00AF726E" w:rsidRPr="00AC6C6F" w:rsidRDefault="00AF726E" w:rsidP="0044408F">
            <w:pPr>
              <w:keepNext/>
              <w:keepLines/>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w:t>
            </w:r>
            <w:r w:rsidRPr="00AC6C6F">
              <w:rPr>
                <w:rFonts w:ascii="Arial Narrow" w:hAnsi="Arial Narrow"/>
                <w:b/>
                <w:bCs/>
                <w:iCs/>
                <w:color w:val="000000" w:themeColor="text1"/>
                <w:sz w:val="20"/>
                <w:szCs w:val="20"/>
              </w:rPr>
              <w:t>0.11 (-0.17, -0.05</w:t>
            </w:r>
            <w:r w:rsidRPr="00AC6C6F">
              <w:rPr>
                <w:rFonts w:ascii="Arial Narrow" w:hAnsi="Arial Narrow"/>
                <w:iCs/>
                <w:color w:val="000000" w:themeColor="text1"/>
                <w:sz w:val="20"/>
                <w:szCs w:val="20"/>
              </w:rPr>
              <w:t xml:space="preserve">) </w:t>
            </w:r>
          </w:p>
        </w:tc>
        <w:tc>
          <w:tcPr>
            <w:tcW w:w="782"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99 (72.8)</w:t>
            </w:r>
          </w:p>
        </w:tc>
      </w:tr>
      <w:tr w:rsidR="00AF726E" w:rsidRPr="00AC6C6F" w:rsidTr="00302235">
        <w:trPr>
          <w:trHeight w:val="258"/>
        </w:trPr>
        <w:tc>
          <w:tcPr>
            <w:tcW w:w="5000" w:type="pct"/>
            <w:gridSpan w:val="5"/>
          </w:tcPr>
          <w:p w:rsidR="00AF726E" w:rsidRPr="00AC6C6F" w:rsidRDefault="00AF726E" w:rsidP="0044408F">
            <w:pPr>
              <w:pStyle w:val="TableCentre"/>
              <w:keepNext/>
              <w:keepLines/>
              <w:jc w:val="left"/>
              <w:rPr>
                <w:rFonts w:ascii="Arial Narrow" w:hAnsi="Arial Narrow"/>
                <w:b/>
                <w:bCs/>
              </w:rPr>
            </w:pPr>
            <w:r w:rsidRPr="00AC6C6F">
              <w:rPr>
                <w:rFonts w:ascii="Arial Narrow" w:hAnsi="Arial Narrow"/>
                <w:b/>
                <w:bCs/>
              </w:rPr>
              <w:t xml:space="preserve">Grade </w:t>
            </w:r>
            <w:r w:rsidRPr="00AC6C6F">
              <w:rPr>
                <w:rFonts w:ascii="Arial Narrow" w:hAnsi="Arial Narrow"/>
                <w:b/>
                <w:bCs/>
                <w:sz w:val="21"/>
                <w:szCs w:val="24"/>
              </w:rPr>
              <w:t>≥</w:t>
            </w:r>
            <w:r w:rsidRPr="00AC6C6F">
              <w:rPr>
                <w:b/>
                <w:bCs/>
                <w:sz w:val="21"/>
              </w:rPr>
              <w:t xml:space="preserve"> </w:t>
            </w:r>
            <w:r w:rsidRPr="00AC6C6F">
              <w:rPr>
                <w:rFonts w:ascii="Arial Narrow" w:hAnsi="Arial Narrow"/>
                <w:b/>
                <w:bCs/>
              </w:rPr>
              <w:t>3 AEs</w:t>
            </w:r>
          </w:p>
        </w:tc>
      </w:tr>
      <w:tr w:rsidR="00AF726E" w:rsidRPr="00AC6C6F" w:rsidTr="00302235">
        <w:trPr>
          <w:trHeight w:val="258"/>
        </w:trPr>
        <w:tc>
          <w:tcPr>
            <w:tcW w:w="1550" w:type="pct"/>
            <w:shd w:val="clear" w:color="auto" w:fill="auto"/>
          </w:tcPr>
          <w:p w:rsidR="00AF726E" w:rsidRPr="00AC6C6F" w:rsidRDefault="00AF726E" w:rsidP="0044408F">
            <w:pPr>
              <w:pStyle w:val="Table"/>
              <w:keepNext/>
              <w:keepLines/>
              <w:ind w:firstLine="284"/>
              <w:rPr>
                <w:rFonts w:ascii="Arial Narrow" w:hAnsi="Arial Narrow"/>
              </w:rPr>
            </w:pPr>
            <w:r w:rsidRPr="00AC6C6F">
              <w:rPr>
                <w:rFonts w:ascii="Arial Narrow" w:hAnsi="Arial Narrow"/>
              </w:rPr>
              <w:t xml:space="preserve">Any Grade </w:t>
            </w:r>
            <w:r w:rsidRPr="00AC6C6F">
              <w:rPr>
                <w:rFonts w:ascii="Arial Narrow" w:hAnsi="Arial Narrow"/>
                <w:sz w:val="21"/>
                <w:szCs w:val="24"/>
              </w:rPr>
              <w:t>≥</w:t>
            </w:r>
            <w:r w:rsidRPr="00AC6C6F">
              <w:rPr>
                <w:sz w:val="21"/>
              </w:rPr>
              <w:t xml:space="preserve"> </w:t>
            </w:r>
            <w:r w:rsidRPr="00AC6C6F">
              <w:rPr>
                <w:rFonts w:ascii="Arial Narrow" w:hAnsi="Arial Narrow"/>
              </w:rPr>
              <w:t>3 AEs</w:t>
            </w:r>
          </w:p>
        </w:tc>
        <w:tc>
          <w:tcPr>
            <w:tcW w:w="9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84 (45.7)</w:t>
            </w:r>
          </w:p>
        </w:tc>
        <w:tc>
          <w:tcPr>
            <w:tcW w:w="8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86 (46.2)</w:t>
            </w:r>
          </w:p>
        </w:tc>
        <w:tc>
          <w:tcPr>
            <w:tcW w:w="782" w:type="pct"/>
          </w:tcPr>
          <w:p w:rsidR="00AF726E" w:rsidRPr="00AC6C6F" w:rsidRDefault="00AF726E" w:rsidP="0044408F">
            <w:pPr>
              <w:keepNext/>
              <w:keepLines/>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-0.01 (-0.11, 0.10) </w:t>
            </w:r>
          </w:p>
        </w:tc>
        <w:tc>
          <w:tcPr>
            <w:tcW w:w="782"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48 (35.3)</w:t>
            </w:r>
          </w:p>
        </w:tc>
      </w:tr>
      <w:tr w:rsidR="00AF726E" w:rsidRPr="00AC6C6F" w:rsidTr="00302235">
        <w:trPr>
          <w:trHeight w:val="263"/>
        </w:trPr>
        <w:tc>
          <w:tcPr>
            <w:tcW w:w="1550" w:type="pct"/>
            <w:shd w:val="clear" w:color="auto" w:fill="auto"/>
          </w:tcPr>
          <w:p w:rsidR="00AF726E" w:rsidRPr="00AC6C6F" w:rsidRDefault="00AF726E" w:rsidP="0044408F">
            <w:pPr>
              <w:pStyle w:val="Table"/>
              <w:keepNext/>
              <w:keepLines/>
              <w:ind w:firstLine="284"/>
              <w:rPr>
                <w:rFonts w:ascii="Arial Narrow" w:hAnsi="Arial Narrow"/>
              </w:rPr>
            </w:pPr>
            <w:r w:rsidRPr="00AC6C6F">
              <w:rPr>
                <w:rFonts w:ascii="Arial Narrow" w:hAnsi="Arial Narrow"/>
              </w:rPr>
              <w:t xml:space="preserve">Any Grade </w:t>
            </w:r>
            <w:r w:rsidRPr="00AC6C6F">
              <w:rPr>
                <w:rFonts w:ascii="Arial Narrow" w:hAnsi="Arial Narrow"/>
                <w:sz w:val="21"/>
                <w:szCs w:val="24"/>
              </w:rPr>
              <w:t>≥</w:t>
            </w:r>
            <w:r w:rsidRPr="00AC6C6F">
              <w:rPr>
                <w:sz w:val="21"/>
              </w:rPr>
              <w:t xml:space="preserve"> </w:t>
            </w:r>
            <w:r w:rsidRPr="00AC6C6F">
              <w:rPr>
                <w:rFonts w:ascii="Arial Narrow" w:hAnsi="Arial Narrow"/>
              </w:rPr>
              <w:t>3 TEAEs</w:t>
            </w:r>
          </w:p>
        </w:tc>
        <w:tc>
          <w:tcPr>
            <w:tcW w:w="9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78 (42.4)</w:t>
            </w:r>
          </w:p>
        </w:tc>
        <w:tc>
          <w:tcPr>
            <w:tcW w:w="8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85 (45.7)</w:t>
            </w:r>
          </w:p>
        </w:tc>
        <w:tc>
          <w:tcPr>
            <w:tcW w:w="782" w:type="pct"/>
          </w:tcPr>
          <w:p w:rsidR="00AF726E" w:rsidRPr="00AC6C6F" w:rsidRDefault="00AF726E" w:rsidP="0044408F">
            <w:pPr>
              <w:keepNext/>
              <w:keepLines/>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-0.03 (-0.13, 0.07) </w:t>
            </w:r>
          </w:p>
        </w:tc>
        <w:tc>
          <w:tcPr>
            <w:tcW w:w="782"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47 (34.6)</w:t>
            </w:r>
          </w:p>
        </w:tc>
      </w:tr>
      <w:tr w:rsidR="00AF726E" w:rsidRPr="00AC6C6F" w:rsidTr="00302235">
        <w:trPr>
          <w:trHeight w:val="258"/>
        </w:trPr>
        <w:tc>
          <w:tcPr>
            <w:tcW w:w="1550" w:type="pct"/>
            <w:shd w:val="clear" w:color="auto" w:fill="auto"/>
          </w:tcPr>
          <w:p w:rsidR="00AF726E" w:rsidRPr="00AC6C6F" w:rsidRDefault="00AF726E" w:rsidP="0044408F">
            <w:pPr>
              <w:pStyle w:val="Table"/>
              <w:keepNext/>
              <w:keepLines/>
              <w:ind w:firstLine="284"/>
              <w:rPr>
                <w:rFonts w:ascii="Arial Narrow" w:hAnsi="Arial Narrow"/>
              </w:rPr>
            </w:pPr>
            <w:r w:rsidRPr="00AC6C6F">
              <w:rPr>
                <w:rFonts w:ascii="Arial Narrow" w:hAnsi="Arial Narrow"/>
              </w:rPr>
              <w:t xml:space="preserve">Drug-related Grade </w:t>
            </w:r>
            <w:r w:rsidRPr="00AC6C6F">
              <w:rPr>
                <w:rFonts w:ascii="Arial Narrow" w:hAnsi="Arial Narrow"/>
                <w:sz w:val="21"/>
                <w:szCs w:val="24"/>
              </w:rPr>
              <w:t>≥</w:t>
            </w:r>
            <w:r w:rsidRPr="00AC6C6F">
              <w:rPr>
                <w:sz w:val="21"/>
              </w:rPr>
              <w:t xml:space="preserve"> </w:t>
            </w:r>
            <w:r w:rsidRPr="00AC6C6F">
              <w:rPr>
                <w:rFonts w:ascii="Arial Narrow" w:hAnsi="Arial Narrow"/>
              </w:rPr>
              <w:t>3 TEAEs</w:t>
            </w:r>
          </w:p>
        </w:tc>
        <w:tc>
          <w:tcPr>
            <w:tcW w:w="9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47 (25.5)</w:t>
            </w:r>
          </w:p>
        </w:tc>
        <w:tc>
          <w:tcPr>
            <w:tcW w:w="8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65 (34.9)</w:t>
            </w:r>
          </w:p>
        </w:tc>
        <w:tc>
          <w:tcPr>
            <w:tcW w:w="782" w:type="pct"/>
          </w:tcPr>
          <w:p w:rsidR="00AF726E" w:rsidRPr="00AC6C6F" w:rsidRDefault="00AF726E" w:rsidP="0044408F">
            <w:pPr>
              <w:keepNext/>
              <w:keepLines/>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-0.09 (-0.19, 0.00) </w:t>
            </w:r>
          </w:p>
        </w:tc>
        <w:tc>
          <w:tcPr>
            <w:tcW w:w="782"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21 (15.4)</w:t>
            </w:r>
          </w:p>
        </w:tc>
      </w:tr>
      <w:tr w:rsidR="00AF726E" w:rsidRPr="00AC6C6F" w:rsidTr="00302235">
        <w:trPr>
          <w:trHeight w:val="258"/>
        </w:trPr>
        <w:tc>
          <w:tcPr>
            <w:tcW w:w="1550" w:type="pct"/>
            <w:shd w:val="clear" w:color="auto" w:fill="auto"/>
          </w:tcPr>
          <w:p w:rsidR="00AF726E" w:rsidRPr="00AC6C6F" w:rsidRDefault="00AF726E" w:rsidP="0044408F">
            <w:pPr>
              <w:pStyle w:val="Table"/>
              <w:keepNext/>
              <w:keepLines/>
              <w:rPr>
                <w:rFonts w:ascii="Arial Narrow" w:hAnsi="Arial Narrow"/>
                <w:b/>
                <w:bCs/>
              </w:rPr>
            </w:pPr>
            <w:r w:rsidRPr="00AC6C6F">
              <w:rPr>
                <w:rFonts w:ascii="Arial Narrow" w:hAnsi="Arial Narrow"/>
                <w:b/>
                <w:bCs/>
              </w:rPr>
              <w:t>AEs with Outcome of Death</w:t>
            </w:r>
          </w:p>
        </w:tc>
        <w:tc>
          <w:tcPr>
            <w:tcW w:w="9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 xml:space="preserve">5 (2.7) </w:t>
            </w:r>
            <w:r w:rsidRPr="00AC6C6F">
              <w:rPr>
                <w:rFonts w:ascii="Arial Narrow" w:hAnsi="Arial Narrow"/>
                <w:vertAlign w:val="superscript"/>
              </w:rPr>
              <w:t>b</w:t>
            </w:r>
          </w:p>
        </w:tc>
        <w:tc>
          <w:tcPr>
            <w:tcW w:w="8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 xml:space="preserve">9 (4.8) </w:t>
            </w:r>
            <w:r w:rsidRPr="00AC6C6F">
              <w:rPr>
                <w:rFonts w:ascii="Arial Narrow" w:hAnsi="Arial Narrow"/>
                <w:vertAlign w:val="superscript"/>
              </w:rPr>
              <w:t>a</w:t>
            </w:r>
          </w:p>
        </w:tc>
        <w:tc>
          <w:tcPr>
            <w:tcW w:w="782" w:type="pct"/>
          </w:tcPr>
          <w:p w:rsidR="00AF726E" w:rsidRPr="00AC6C6F" w:rsidRDefault="00AF726E" w:rsidP="0044408F">
            <w:pPr>
              <w:keepNext/>
              <w:keepLines/>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-0.02 (-0.06, 0.02) </w:t>
            </w:r>
          </w:p>
        </w:tc>
        <w:tc>
          <w:tcPr>
            <w:tcW w:w="782"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 xml:space="preserve">4 (2.9) </w:t>
            </w:r>
            <w:r w:rsidRPr="00AC6C6F">
              <w:rPr>
                <w:rFonts w:ascii="Arial Narrow" w:hAnsi="Arial Narrow"/>
                <w:vertAlign w:val="superscript"/>
              </w:rPr>
              <w:t>a</w:t>
            </w:r>
          </w:p>
        </w:tc>
      </w:tr>
      <w:tr w:rsidR="00AF726E" w:rsidRPr="00AC6C6F" w:rsidTr="00302235">
        <w:trPr>
          <w:trHeight w:val="258"/>
        </w:trPr>
        <w:tc>
          <w:tcPr>
            <w:tcW w:w="5000" w:type="pct"/>
            <w:gridSpan w:val="5"/>
          </w:tcPr>
          <w:p w:rsidR="00AF726E" w:rsidRPr="00AC6C6F" w:rsidRDefault="00AF726E" w:rsidP="0044408F">
            <w:pPr>
              <w:pStyle w:val="TableCentre"/>
              <w:keepNext/>
              <w:keepLines/>
              <w:jc w:val="left"/>
              <w:rPr>
                <w:rFonts w:ascii="Arial Narrow" w:hAnsi="Arial Narrow"/>
                <w:b/>
                <w:bCs/>
              </w:rPr>
            </w:pPr>
            <w:r w:rsidRPr="00AC6C6F">
              <w:rPr>
                <w:rFonts w:ascii="Arial Narrow" w:hAnsi="Arial Narrow"/>
                <w:b/>
                <w:bCs/>
              </w:rPr>
              <w:t>Serious Adverse Events (SAEs)</w:t>
            </w:r>
          </w:p>
        </w:tc>
      </w:tr>
      <w:tr w:rsidR="00AF726E" w:rsidRPr="00AC6C6F" w:rsidTr="00302235">
        <w:trPr>
          <w:trHeight w:val="263"/>
        </w:trPr>
        <w:tc>
          <w:tcPr>
            <w:tcW w:w="1550" w:type="pct"/>
            <w:shd w:val="clear" w:color="auto" w:fill="auto"/>
          </w:tcPr>
          <w:p w:rsidR="00AF726E" w:rsidRPr="00AC6C6F" w:rsidRDefault="00AF726E" w:rsidP="0044408F">
            <w:pPr>
              <w:pStyle w:val="Table"/>
              <w:keepNext/>
              <w:keepLines/>
              <w:ind w:firstLine="284"/>
              <w:rPr>
                <w:rFonts w:ascii="Arial Narrow" w:hAnsi="Arial Narrow"/>
              </w:rPr>
            </w:pPr>
            <w:r w:rsidRPr="00AC6C6F">
              <w:rPr>
                <w:rFonts w:ascii="Arial Narrow" w:hAnsi="Arial Narrow"/>
              </w:rPr>
              <w:t>Any SAEs</w:t>
            </w:r>
          </w:p>
        </w:tc>
        <w:tc>
          <w:tcPr>
            <w:tcW w:w="9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73 (39.7)</w:t>
            </w:r>
          </w:p>
        </w:tc>
        <w:tc>
          <w:tcPr>
            <w:tcW w:w="8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46 (24.7)</w:t>
            </w:r>
          </w:p>
        </w:tc>
        <w:tc>
          <w:tcPr>
            <w:tcW w:w="782" w:type="pct"/>
          </w:tcPr>
          <w:p w:rsidR="00AF726E" w:rsidRPr="00AC6C6F" w:rsidRDefault="00AF726E" w:rsidP="0044408F">
            <w:pPr>
              <w:keepNext/>
              <w:keepLines/>
              <w:jc w:val="center"/>
              <w:rPr>
                <w:rFonts w:ascii="Arial Narrow" w:hAnsi="Arial Narrow"/>
                <w:b/>
                <w:bCs/>
                <w:iCs/>
                <w:color w:val="000000" w:themeColor="text1"/>
                <w:sz w:val="20"/>
                <w:szCs w:val="20"/>
              </w:rPr>
            </w:pPr>
            <w:r w:rsidRPr="00AC6C6F">
              <w:rPr>
                <w:rFonts w:ascii="Arial Narrow" w:hAnsi="Arial Narrow"/>
                <w:b/>
                <w:bCs/>
                <w:iCs/>
                <w:color w:val="000000" w:themeColor="text1"/>
                <w:sz w:val="20"/>
                <w:szCs w:val="20"/>
              </w:rPr>
              <w:t xml:space="preserve">0.15 (0.06, 0.24) </w:t>
            </w:r>
          </w:p>
        </w:tc>
        <w:tc>
          <w:tcPr>
            <w:tcW w:w="782"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38 (27.9)</w:t>
            </w:r>
          </w:p>
        </w:tc>
      </w:tr>
      <w:tr w:rsidR="00AF726E" w:rsidRPr="00AC6C6F" w:rsidTr="00302235">
        <w:trPr>
          <w:trHeight w:val="60"/>
        </w:trPr>
        <w:tc>
          <w:tcPr>
            <w:tcW w:w="1550" w:type="pct"/>
            <w:shd w:val="clear" w:color="auto" w:fill="auto"/>
          </w:tcPr>
          <w:p w:rsidR="00AF726E" w:rsidRPr="00AC6C6F" w:rsidRDefault="00AF726E" w:rsidP="0044408F">
            <w:pPr>
              <w:pStyle w:val="Table"/>
              <w:keepNext/>
              <w:keepLines/>
              <w:ind w:firstLine="284"/>
              <w:rPr>
                <w:rFonts w:ascii="Arial Narrow" w:hAnsi="Arial Narrow"/>
              </w:rPr>
            </w:pPr>
            <w:r w:rsidRPr="00AC6C6F">
              <w:rPr>
                <w:rFonts w:ascii="Arial Narrow" w:hAnsi="Arial Narrow"/>
              </w:rPr>
              <w:t>Treatment-emergent SAEs</w:t>
            </w:r>
          </w:p>
        </w:tc>
        <w:tc>
          <w:tcPr>
            <w:tcW w:w="9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69 (37.5)</w:t>
            </w:r>
          </w:p>
        </w:tc>
        <w:tc>
          <w:tcPr>
            <w:tcW w:w="8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46 (24.7)</w:t>
            </w:r>
          </w:p>
        </w:tc>
        <w:tc>
          <w:tcPr>
            <w:tcW w:w="782" w:type="pct"/>
          </w:tcPr>
          <w:p w:rsidR="00AF726E" w:rsidRPr="00AC6C6F" w:rsidRDefault="00AF726E" w:rsidP="0044408F">
            <w:pPr>
              <w:keepNext/>
              <w:keepLines/>
              <w:jc w:val="center"/>
              <w:rPr>
                <w:rFonts w:ascii="Arial Narrow" w:hAnsi="Arial Narrow"/>
                <w:b/>
                <w:bCs/>
                <w:iCs/>
                <w:color w:val="000000" w:themeColor="text1"/>
                <w:sz w:val="20"/>
                <w:szCs w:val="20"/>
              </w:rPr>
            </w:pPr>
            <w:r w:rsidRPr="00AC6C6F">
              <w:rPr>
                <w:rFonts w:ascii="Arial Narrow" w:hAnsi="Arial Narrow"/>
                <w:b/>
                <w:bCs/>
                <w:iCs/>
                <w:color w:val="000000" w:themeColor="text1"/>
                <w:sz w:val="20"/>
                <w:szCs w:val="20"/>
              </w:rPr>
              <w:t xml:space="preserve">0.13 (0.03, 0.22) </w:t>
            </w:r>
          </w:p>
        </w:tc>
        <w:tc>
          <w:tcPr>
            <w:tcW w:w="782"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36 (26.5)</w:t>
            </w:r>
          </w:p>
        </w:tc>
      </w:tr>
      <w:tr w:rsidR="00AF726E" w:rsidRPr="00AC6C6F" w:rsidTr="00302235">
        <w:trPr>
          <w:trHeight w:val="258"/>
        </w:trPr>
        <w:tc>
          <w:tcPr>
            <w:tcW w:w="1550" w:type="pct"/>
            <w:shd w:val="clear" w:color="auto" w:fill="auto"/>
          </w:tcPr>
          <w:p w:rsidR="00AF726E" w:rsidRPr="00AC6C6F" w:rsidRDefault="00AF726E" w:rsidP="0044408F">
            <w:pPr>
              <w:pStyle w:val="Table"/>
              <w:keepNext/>
              <w:keepLines/>
              <w:ind w:left="284"/>
              <w:rPr>
                <w:rFonts w:ascii="Arial Narrow" w:hAnsi="Arial Narrow"/>
              </w:rPr>
            </w:pPr>
            <w:r w:rsidRPr="00AC6C6F">
              <w:rPr>
                <w:rFonts w:ascii="Arial Narrow" w:hAnsi="Arial Narrow"/>
              </w:rPr>
              <w:t>Drug-related Treatment-emergent SAEs</w:t>
            </w:r>
          </w:p>
        </w:tc>
        <w:tc>
          <w:tcPr>
            <w:tcW w:w="9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36 (19.6)</w:t>
            </w:r>
          </w:p>
        </w:tc>
        <w:tc>
          <w:tcPr>
            <w:tcW w:w="8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30 (16.1)</w:t>
            </w:r>
          </w:p>
        </w:tc>
        <w:tc>
          <w:tcPr>
            <w:tcW w:w="782" w:type="pct"/>
          </w:tcPr>
          <w:p w:rsidR="00AF726E" w:rsidRPr="00AC6C6F" w:rsidRDefault="00AF726E" w:rsidP="0044408F">
            <w:pPr>
              <w:keepNext/>
              <w:keepLines/>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0.03 (-0.04, 0.11) </w:t>
            </w:r>
          </w:p>
        </w:tc>
        <w:tc>
          <w:tcPr>
            <w:tcW w:w="782"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14 (10.3)</w:t>
            </w:r>
          </w:p>
        </w:tc>
      </w:tr>
      <w:tr w:rsidR="00AF726E" w:rsidRPr="00AC6C6F" w:rsidTr="00302235">
        <w:trPr>
          <w:trHeight w:val="258"/>
        </w:trPr>
        <w:tc>
          <w:tcPr>
            <w:tcW w:w="5000" w:type="pct"/>
            <w:gridSpan w:val="5"/>
          </w:tcPr>
          <w:p w:rsidR="00AF726E" w:rsidRPr="00AC6C6F" w:rsidRDefault="00AF726E" w:rsidP="0044408F">
            <w:pPr>
              <w:pStyle w:val="TableCentre"/>
              <w:keepNext/>
              <w:keepLines/>
              <w:jc w:val="left"/>
              <w:rPr>
                <w:rFonts w:ascii="Arial Narrow" w:hAnsi="Arial Narrow"/>
                <w:b/>
                <w:bCs/>
              </w:rPr>
            </w:pPr>
            <w:r w:rsidRPr="00AC6C6F">
              <w:rPr>
                <w:rFonts w:ascii="Arial Narrow" w:hAnsi="Arial Narrow"/>
                <w:b/>
                <w:bCs/>
              </w:rPr>
              <w:t>Discontinuation due to AEs</w:t>
            </w:r>
          </w:p>
        </w:tc>
      </w:tr>
      <w:tr w:rsidR="00AF726E" w:rsidRPr="00AC6C6F" w:rsidTr="00302235">
        <w:trPr>
          <w:trHeight w:val="263"/>
        </w:trPr>
        <w:tc>
          <w:tcPr>
            <w:tcW w:w="1550" w:type="pct"/>
            <w:shd w:val="clear" w:color="auto" w:fill="auto"/>
          </w:tcPr>
          <w:p w:rsidR="00AF726E" w:rsidRPr="00AC6C6F" w:rsidRDefault="00AF726E" w:rsidP="0044408F">
            <w:pPr>
              <w:pStyle w:val="Table"/>
              <w:keepNext/>
              <w:keepLines/>
              <w:ind w:firstLine="284"/>
              <w:rPr>
                <w:rFonts w:ascii="Arial Narrow" w:hAnsi="Arial Narrow"/>
              </w:rPr>
            </w:pPr>
            <w:r w:rsidRPr="00AC6C6F">
              <w:rPr>
                <w:rFonts w:ascii="Arial Narrow" w:hAnsi="Arial Narrow"/>
              </w:rPr>
              <w:t>Any AEs</w:t>
            </w:r>
          </w:p>
        </w:tc>
        <w:tc>
          <w:tcPr>
            <w:tcW w:w="9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35 (19.0)</w:t>
            </w:r>
          </w:p>
        </w:tc>
        <w:tc>
          <w:tcPr>
            <w:tcW w:w="8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43 (23.1)</w:t>
            </w:r>
          </w:p>
        </w:tc>
        <w:tc>
          <w:tcPr>
            <w:tcW w:w="782" w:type="pct"/>
          </w:tcPr>
          <w:p w:rsidR="00AF726E" w:rsidRPr="00AC6C6F" w:rsidRDefault="00AF726E" w:rsidP="0044408F">
            <w:pPr>
              <w:keepNext/>
              <w:keepLines/>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-0.04 (-0.12, 0.04) </w:t>
            </w:r>
          </w:p>
        </w:tc>
        <w:tc>
          <w:tcPr>
            <w:tcW w:w="782"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30 (22.1)</w:t>
            </w:r>
          </w:p>
        </w:tc>
      </w:tr>
      <w:tr w:rsidR="00AF726E" w:rsidRPr="00AC6C6F" w:rsidTr="00302235">
        <w:trPr>
          <w:trHeight w:val="258"/>
        </w:trPr>
        <w:tc>
          <w:tcPr>
            <w:tcW w:w="1550" w:type="pct"/>
            <w:shd w:val="clear" w:color="auto" w:fill="auto"/>
          </w:tcPr>
          <w:p w:rsidR="00AF726E" w:rsidRPr="00AC6C6F" w:rsidRDefault="00AF726E" w:rsidP="0044408F">
            <w:pPr>
              <w:pStyle w:val="Table"/>
              <w:keepNext/>
              <w:keepLines/>
              <w:ind w:firstLine="284"/>
              <w:rPr>
                <w:rFonts w:ascii="Arial Narrow" w:hAnsi="Arial Narrow"/>
              </w:rPr>
            </w:pPr>
            <w:r w:rsidRPr="00AC6C6F">
              <w:rPr>
                <w:rFonts w:ascii="Arial Narrow" w:hAnsi="Arial Narrow"/>
              </w:rPr>
              <w:t>Any TEAEs</w:t>
            </w:r>
          </w:p>
        </w:tc>
        <w:tc>
          <w:tcPr>
            <w:tcW w:w="9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35 (19.0)</w:t>
            </w:r>
          </w:p>
        </w:tc>
        <w:tc>
          <w:tcPr>
            <w:tcW w:w="8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43 (23.1)</w:t>
            </w:r>
          </w:p>
        </w:tc>
        <w:tc>
          <w:tcPr>
            <w:tcW w:w="782" w:type="pct"/>
          </w:tcPr>
          <w:p w:rsidR="00AF726E" w:rsidRPr="00AC6C6F" w:rsidRDefault="00AF726E" w:rsidP="0044408F">
            <w:pPr>
              <w:keepNext/>
              <w:keepLines/>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-0.04 (-0.12, 0.04) </w:t>
            </w:r>
          </w:p>
        </w:tc>
        <w:tc>
          <w:tcPr>
            <w:tcW w:w="782"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30 (22.1)</w:t>
            </w:r>
          </w:p>
        </w:tc>
      </w:tr>
      <w:tr w:rsidR="00AF726E" w:rsidRPr="00AC6C6F" w:rsidTr="00302235">
        <w:trPr>
          <w:trHeight w:val="258"/>
        </w:trPr>
        <w:tc>
          <w:tcPr>
            <w:tcW w:w="1550" w:type="pct"/>
            <w:shd w:val="clear" w:color="auto" w:fill="auto"/>
          </w:tcPr>
          <w:p w:rsidR="00AF726E" w:rsidRPr="00AC6C6F" w:rsidRDefault="00AF726E" w:rsidP="0044408F">
            <w:pPr>
              <w:pStyle w:val="Table"/>
              <w:keepNext/>
              <w:keepLines/>
              <w:ind w:firstLine="284"/>
              <w:rPr>
                <w:rFonts w:ascii="Arial Narrow" w:hAnsi="Arial Narrow"/>
              </w:rPr>
            </w:pPr>
            <w:r w:rsidRPr="00AC6C6F">
              <w:rPr>
                <w:rFonts w:ascii="Arial Narrow" w:hAnsi="Arial Narrow"/>
              </w:rPr>
              <w:t>Drug-related TEAEs</w:t>
            </w:r>
          </w:p>
        </w:tc>
        <w:tc>
          <w:tcPr>
            <w:tcW w:w="9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25 (13.6)</w:t>
            </w:r>
          </w:p>
        </w:tc>
        <w:tc>
          <w:tcPr>
            <w:tcW w:w="893"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40 (21.5)</w:t>
            </w:r>
          </w:p>
        </w:tc>
        <w:tc>
          <w:tcPr>
            <w:tcW w:w="782" w:type="pct"/>
          </w:tcPr>
          <w:p w:rsidR="00AF726E" w:rsidRPr="00AC6C6F" w:rsidRDefault="00AF726E" w:rsidP="0044408F">
            <w:pPr>
              <w:keepNext/>
              <w:keepLines/>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-0.08 (-0.16, 0.00) </w:t>
            </w:r>
          </w:p>
        </w:tc>
        <w:tc>
          <w:tcPr>
            <w:tcW w:w="782" w:type="pct"/>
            <w:shd w:val="clear" w:color="auto" w:fill="auto"/>
          </w:tcPr>
          <w:p w:rsidR="00AF726E" w:rsidRPr="00AC6C6F" w:rsidRDefault="00AF726E" w:rsidP="0044408F">
            <w:pPr>
              <w:pStyle w:val="TableCentre"/>
              <w:keepNext/>
              <w:keepLines/>
              <w:rPr>
                <w:rFonts w:ascii="Arial Narrow" w:hAnsi="Arial Narrow"/>
              </w:rPr>
            </w:pPr>
            <w:r w:rsidRPr="00AC6C6F">
              <w:rPr>
                <w:rFonts w:ascii="Arial Narrow" w:hAnsi="Arial Narrow"/>
              </w:rPr>
              <w:t>23 (16.9)</w:t>
            </w:r>
          </w:p>
        </w:tc>
      </w:tr>
    </w:tbl>
    <w:p w:rsidR="00AF726E" w:rsidRPr="00AC6C6F" w:rsidRDefault="00AF726E" w:rsidP="0044408F">
      <w:pPr>
        <w:keepNext/>
        <w:keepLines/>
        <w:rPr>
          <w:rFonts w:ascii="Arial Narrow" w:hAnsi="Arial Narrow"/>
          <w:sz w:val="18"/>
          <w:szCs w:val="18"/>
        </w:rPr>
      </w:pPr>
      <w:r w:rsidRPr="00AC6C6F">
        <w:rPr>
          <w:rFonts w:ascii="Arial Narrow" w:hAnsi="Arial Narrow"/>
          <w:sz w:val="18"/>
          <w:szCs w:val="18"/>
        </w:rPr>
        <w:t xml:space="preserve">Source: Table 2-45 (p123 of the Submission). </w:t>
      </w:r>
    </w:p>
    <w:p w:rsidR="00AF726E" w:rsidRPr="00AC6C6F" w:rsidRDefault="00AF726E" w:rsidP="0044408F">
      <w:pPr>
        <w:keepNext/>
        <w:keepLines/>
        <w:rPr>
          <w:rFonts w:ascii="Arial Narrow" w:eastAsia="Calibri" w:hAnsi="Arial Narrow"/>
          <w:sz w:val="18"/>
          <w:szCs w:val="18"/>
        </w:rPr>
      </w:pPr>
      <w:r w:rsidRPr="00AC6C6F">
        <w:rPr>
          <w:rFonts w:ascii="Arial Narrow" w:hAnsi="Arial Narrow"/>
          <w:sz w:val="18"/>
          <w:szCs w:val="18"/>
        </w:rPr>
        <w:t>Abbreviations: AE = adverse event; TEAE = treatment emergent adverse event; SAE = serious adverse event; n =</w:t>
      </w:r>
      <w:r w:rsidRPr="00AC6C6F">
        <w:rPr>
          <w:rFonts w:ascii="Arial Narrow" w:eastAsia="Calibri" w:hAnsi="Arial Narrow"/>
          <w:sz w:val="18"/>
          <w:szCs w:val="18"/>
        </w:rPr>
        <w:t xml:space="preserve"> number of participants with event;</w:t>
      </w:r>
      <w:r w:rsidRPr="00AC6C6F">
        <w:rPr>
          <w:rFonts w:ascii="Arial Narrow" w:hAnsi="Arial Narrow"/>
          <w:sz w:val="18"/>
          <w:szCs w:val="18"/>
        </w:rPr>
        <w:t xml:space="preserve"> </w:t>
      </w:r>
      <w:r w:rsidRPr="00AC6C6F">
        <w:rPr>
          <w:rFonts w:ascii="Arial Narrow" w:eastAsia="Calibri" w:hAnsi="Arial Narrow"/>
          <w:sz w:val="18"/>
          <w:szCs w:val="18"/>
        </w:rPr>
        <w:t>N = total participants in group; RD = risk difference</w:t>
      </w:r>
    </w:p>
    <w:p w:rsidR="00AF726E" w:rsidRPr="00AC6C6F" w:rsidRDefault="00AF726E" w:rsidP="0044408F">
      <w:pPr>
        <w:keepNext/>
        <w:keepLines/>
        <w:rPr>
          <w:rFonts w:ascii="Arial Narrow" w:hAnsi="Arial Narrow"/>
          <w:sz w:val="18"/>
          <w:szCs w:val="18"/>
        </w:rPr>
      </w:pPr>
      <w:r w:rsidRPr="00AC6C6F">
        <w:rPr>
          <w:rFonts w:ascii="Arial Narrow" w:eastAsia="Calibri" w:hAnsi="Arial Narrow"/>
          <w:sz w:val="18"/>
          <w:szCs w:val="18"/>
          <w:vertAlign w:val="superscript"/>
        </w:rPr>
        <w:t xml:space="preserve">a </w:t>
      </w:r>
      <w:r w:rsidRPr="00AC6C6F">
        <w:rPr>
          <w:rFonts w:ascii="Arial Narrow" w:hAnsi="Arial Narrow"/>
          <w:sz w:val="18"/>
          <w:szCs w:val="18"/>
        </w:rPr>
        <w:t>Includes one patient with TEAE with outcome of death that occurred during crossover and &gt; 30 days after the last dose of vorinostat but was related to vorinostat.</w:t>
      </w:r>
    </w:p>
    <w:p w:rsidR="00AF726E" w:rsidRPr="00AC6C6F" w:rsidRDefault="00AF726E" w:rsidP="0044408F">
      <w:pPr>
        <w:keepNext/>
        <w:keepLines/>
        <w:rPr>
          <w:rFonts w:ascii="Arial Narrow" w:hAnsi="Arial Narrow"/>
          <w:sz w:val="18"/>
          <w:szCs w:val="18"/>
        </w:rPr>
      </w:pPr>
      <w:r w:rsidRPr="00AC6C6F">
        <w:rPr>
          <w:rFonts w:ascii="Arial Narrow" w:hAnsi="Arial Narrow"/>
          <w:sz w:val="18"/>
          <w:szCs w:val="18"/>
          <w:vertAlign w:val="superscript"/>
        </w:rPr>
        <w:t xml:space="preserve">b </w:t>
      </w:r>
      <w:r w:rsidRPr="00AC6C6F">
        <w:rPr>
          <w:rFonts w:ascii="Arial Narrow" w:hAnsi="Arial Narrow"/>
          <w:sz w:val="18"/>
          <w:szCs w:val="18"/>
        </w:rPr>
        <w:t>Includes two patients with non TEAEs with outcome of death</w:t>
      </w:r>
      <w:r w:rsidR="00AC6C6F">
        <w:rPr>
          <w:rFonts w:ascii="Arial Narrow" w:hAnsi="Arial Narrow"/>
          <w:sz w:val="18"/>
          <w:szCs w:val="18"/>
        </w:rPr>
        <w:t xml:space="preserve">. </w:t>
      </w:r>
    </w:p>
    <w:p w:rsidR="00AF726E" w:rsidRPr="00AC6C6F" w:rsidRDefault="00AF726E" w:rsidP="0044408F">
      <w:pPr>
        <w:keepNext/>
        <w:keepLines/>
        <w:rPr>
          <w:rFonts w:ascii="Arial Narrow" w:hAnsi="Arial Narrow"/>
          <w:sz w:val="18"/>
          <w:szCs w:val="18"/>
        </w:rPr>
      </w:pPr>
      <w:r w:rsidRPr="00AC6C6F">
        <w:rPr>
          <w:rFonts w:ascii="Arial Narrow" w:hAnsi="Arial Narrow"/>
          <w:sz w:val="18"/>
          <w:szCs w:val="18"/>
          <w:vertAlign w:val="superscript"/>
        </w:rPr>
        <w:t xml:space="preserve">c </w:t>
      </w:r>
      <w:r w:rsidRPr="00AC6C6F">
        <w:rPr>
          <w:rFonts w:ascii="Arial Narrow" w:hAnsi="Arial Narrow"/>
          <w:sz w:val="18"/>
          <w:szCs w:val="18"/>
        </w:rPr>
        <w:t>RD was calculated during the evaluation</w:t>
      </w:r>
    </w:p>
    <w:p w:rsidR="00AF726E" w:rsidRPr="00AC6C6F" w:rsidRDefault="00AF726E" w:rsidP="0044408F">
      <w:pPr>
        <w:keepNext/>
        <w:keepLines/>
        <w:rPr>
          <w:rFonts w:ascii="Arial Narrow" w:eastAsia="Calibri" w:hAnsi="Arial Narrow"/>
          <w:sz w:val="18"/>
          <w:szCs w:val="18"/>
        </w:rPr>
      </w:pPr>
      <w:r w:rsidRPr="00AC6C6F">
        <w:rPr>
          <w:rFonts w:ascii="Arial Narrow" w:eastAsia="Calibri" w:hAnsi="Arial Narrow"/>
          <w:sz w:val="18"/>
          <w:szCs w:val="18"/>
        </w:rPr>
        <w:t>Bold indicates statistically significant difference.</w:t>
      </w:r>
    </w:p>
    <w:p w:rsidR="00AF726E" w:rsidRPr="00AC6C6F" w:rsidRDefault="00AF726E" w:rsidP="00AF726E">
      <w:pPr>
        <w:rPr>
          <w:rFonts w:ascii="Arial Narrow" w:hAnsi="Arial Narrow"/>
          <w:sz w:val="18"/>
          <w:szCs w:val="18"/>
        </w:rPr>
      </w:pPr>
    </w:p>
    <w:p w:rsidR="00AF726E" w:rsidRPr="00AC6C6F" w:rsidRDefault="00AF726E" w:rsidP="00AF726E">
      <w:pPr>
        <w:pStyle w:val="3-BodyText"/>
        <w:rPr>
          <w:color w:val="0066FF"/>
        </w:rPr>
      </w:pPr>
      <w:r w:rsidRPr="00AC6C6F">
        <w:rPr>
          <w:rFonts w:ascii="Calibri" w:hAnsi="Calibri" w:cs="Calibri"/>
        </w:rPr>
        <w:t>Drug-related AEs and drug-related Grade ≥ 3 AEs were slightly lower in the mogamulizumab arm compared to vorinostat (84.8% vs 95.7% for drug-related AEs, and 25.5% vs 34.9% for drug related Grade ≥ 3 AEs). The incidence of any serious adverse events (SAE) was higher in the mogamulizumab arm compared to vorinostat (39.7% vs 24.7%), and slightly higher for mogamulizumab</w:t>
      </w:r>
      <w:r w:rsidRPr="00AC6C6F" w:rsidDel="0012729C">
        <w:rPr>
          <w:rFonts w:ascii="Calibri" w:hAnsi="Calibri" w:cs="Calibri"/>
        </w:rPr>
        <w:t xml:space="preserve"> </w:t>
      </w:r>
      <w:r w:rsidRPr="00AC6C6F">
        <w:rPr>
          <w:rFonts w:ascii="Calibri" w:hAnsi="Calibri" w:cs="Calibri"/>
        </w:rPr>
        <w:t xml:space="preserve">in terms of drug-related SAEs (19.6% vs 16.1%). Discontinuation due to drug-related AEs was lower with the mogamulizumab arm compared to </w:t>
      </w:r>
      <w:r w:rsidR="00FD1AF5" w:rsidRPr="00AC6C6F">
        <w:rPr>
          <w:rFonts w:ascii="Calibri" w:hAnsi="Calibri" w:cs="Calibri"/>
        </w:rPr>
        <w:t xml:space="preserve">the </w:t>
      </w:r>
      <w:r w:rsidRPr="00AC6C6F">
        <w:rPr>
          <w:rFonts w:ascii="Calibri" w:hAnsi="Calibri" w:cs="Calibri"/>
        </w:rPr>
        <w:t xml:space="preserve">vorinostat arm (13.6% vs 21.5). </w:t>
      </w:r>
    </w:p>
    <w:p w:rsidR="00AF726E" w:rsidRPr="00AC6C6F" w:rsidRDefault="00AF726E" w:rsidP="00AF726E">
      <w:pPr>
        <w:pStyle w:val="3-BodyText"/>
        <w:rPr>
          <w:color w:val="0066FF"/>
        </w:rPr>
      </w:pPr>
      <w:r w:rsidRPr="00AC6C6F">
        <w:rPr>
          <w:rFonts w:ascii="Calibri" w:hAnsi="Calibri" w:cs="Calibri"/>
          <w:iCs/>
        </w:rPr>
        <w:t xml:space="preserve">The most common treatment-related TEAEs of any </w:t>
      </w:r>
      <w:r w:rsidR="00FD1AF5" w:rsidRPr="00AC6C6F">
        <w:rPr>
          <w:rFonts w:ascii="Calibri" w:hAnsi="Calibri" w:cs="Calibri"/>
          <w:iCs/>
        </w:rPr>
        <w:t>g</w:t>
      </w:r>
      <w:r w:rsidRPr="00AC6C6F">
        <w:rPr>
          <w:rFonts w:ascii="Calibri" w:hAnsi="Calibri" w:cs="Calibri"/>
          <w:iCs/>
        </w:rPr>
        <w:t xml:space="preserve">rade for mogamulizumab were infusion-related reactions, drug rash, diarrhoea and fatigue. The majority of these events were mild to moderate in severity; </w:t>
      </w:r>
      <w:r w:rsidR="00A61F27" w:rsidRPr="00AC6C6F">
        <w:rPr>
          <w:rFonts w:ascii="Calibri" w:hAnsi="Calibri" w:cs="Calibri"/>
          <w:iCs/>
        </w:rPr>
        <w:t xml:space="preserve">a </w:t>
      </w:r>
      <w:r w:rsidRPr="00AC6C6F">
        <w:rPr>
          <w:rFonts w:ascii="Calibri" w:hAnsi="Calibri" w:cs="Calibri"/>
          <w:iCs/>
        </w:rPr>
        <w:t>Grade ≥ 3 infusion-related reaction occurred in 3 (1.6%) patients. For the vorinostat arm, the most common treatment-related TEAEs were diarrhoea, nausea, fatigue and thrombocytopenia.</w:t>
      </w:r>
    </w:p>
    <w:p w:rsidR="00AF726E" w:rsidRPr="00AC6C6F" w:rsidRDefault="00AF726E" w:rsidP="00AF726E">
      <w:pPr>
        <w:pStyle w:val="3-BodyText"/>
        <w:rPr>
          <w:color w:val="0066FF"/>
        </w:rPr>
      </w:pPr>
      <w:r w:rsidRPr="00AC6C6F">
        <w:rPr>
          <w:rFonts w:ascii="Calibri" w:hAnsi="Calibri" w:cs="Calibri"/>
          <w:iCs/>
        </w:rPr>
        <w:t>In the crossover population</w:t>
      </w:r>
      <w:r w:rsidR="00FD1AF5" w:rsidRPr="00AC6C6F">
        <w:rPr>
          <w:rFonts w:ascii="Calibri" w:hAnsi="Calibri" w:cs="Calibri"/>
          <w:iCs/>
        </w:rPr>
        <w:t>,</w:t>
      </w:r>
      <w:r w:rsidRPr="00AC6C6F">
        <w:rPr>
          <w:rFonts w:ascii="Calibri" w:hAnsi="Calibri" w:cs="Calibri"/>
          <w:iCs/>
        </w:rPr>
        <w:t xml:space="preserve"> </w:t>
      </w:r>
      <w:r w:rsidR="00FD1AF5" w:rsidRPr="00AC6C6F">
        <w:rPr>
          <w:rFonts w:ascii="Calibri" w:hAnsi="Calibri" w:cs="Calibri"/>
          <w:iCs/>
        </w:rPr>
        <w:t xml:space="preserve">the </w:t>
      </w:r>
      <w:r w:rsidRPr="00AC6C6F">
        <w:rPr>
          <w:rFonts w:ascii="Calibri" w:hAnsi="Calibri" w:cs="Calibri"/>
          <w:iCs/>
        </w:rPr>
        <w:t>incidence of AEs and Grade ≥ 3 AEs was lower than in either the mogamulizumab randomised patients or vorinostat treatment period. Drug related SAEs were lower in the crossover population (10.3%) compared to either the mogamulizumab randomised patients or vorinostat treatment period (19.6% vs 16.1%). However, discontinuation due to drug-related AEs was slightly higher in the crossover population (16.9%) compared to the mogamulizumab randomised patients (13.6%) but lower than in the vorinostat treatment period</w:t>
      </w:r>
      <w:r w:rsidRPr="00AC6C6F">
        <w:rPr>
          <w:color w:val="0066FF"/>
        </w:rPr>
        <w:t xml:space="preserve"> </w:t>
      </w:r>
      <w:r w:rsidRPr="00AC6C6F">
        <w:rPr>
          <w:iCs/>
          <w:color w:val="000000" w:themeColor="text1"/>
        </w:rPr>
        <w:t>(21.5%).</w:t>
      </w:r>
    </w:p>
    <w:p w:rsidR="00AF726E" w:rsidRPr="00AC6C6F" w:rsidRDefault="00967135" w:rsidP="00CD09E9">
      <w:pPr>
        <w:spacing w:after="120"/>
        <w:rPr>
          <w:u w:val="single"/>
        </w:rPr>
      </w:pPr>
      <w:r w:rsidRPr="00AC6C6F">
        <w:rPr>
          <w:u w:val="single"/>
        </w:rPr>
        <w:t>Mogamulizumab</w:t>
      </w:r>
      <w:r w:rsidR="00EE197C" w:rsidRPr="00AC6C6F">
        <w:rPr>
          <w:u w:val="single"/>
        </w:rPr>
        <w:t xml:space="preserve"> vs </w:t>
      </w:r>
      <w:r w:rsidR="00EE197C" w:rsidRPr="00AC6C6F">
        <w:rPr>
          <w:bCs/>
          <w:u w:val="single"/>
        </w:rPr>
        <w:t>b</w:t>
      </w:r>
      <w:r w:rsidR="00AF726E" w:rsidRPr="00AC6C6F">
        <w:rPr>
          <w:bCs/>
          <w:u w:val="single"/>
        </w:rPr>
        <w:t>rentuximab</w:t>
      </w:r>
    </w:p>
    <w:p w:rsidR="00AF726E" w:rsidRPr="00AC6C6F" w:rsidRDefault="00AF726E" w:rsidP="00AF726E">
      <w:pPr>
        <w:pStyle w:val="3-BodyText"/>
        <w:rPr>
          <w:color w:val="0066FF"/>
        </w:rPr>
      </w:pPr>
      <w:r w:rsidRPr="00AC6C6F">
        <w:rPr>
          <w:rFonts w:ascii="Calibri" w:hAnsi="Calibri" w:cs="Calibri"/>
          <w:iCs/>
        </w:rPr>
        <w:t>A</w:t>
      </w:r>
      <w:r w:rsidRPr="00AC6C6F">
        <w:rPr>
          <w:rFonts w:ascii="Calibri" w:hAnsi="Calibri" w:cs="Calibri"/>
          <w:i/>
          <w:iCs/>
        </w:rPr>
        <w:t xml:space="preserve"> </w:t>
      </w:r>
      <w:r w:rsidRPr="00AC6C6F">
        <w:rPr>
          <w:rFonts w:ascii="Calibri" w:hAnsi="Calibri" w:cs="Calibri"/>
        </w:rPr>
        <w:t>summary of safety outcomes in the SAS for ALCANZA is presented in Table 1</w:t>
      </w:r>
      <w:r w:rsidR="00236175" w:rsidRPr="00AC6C6F">
        <w:rPr>
          <w:rFonts w:ascii="Calibri" w:hAnsi="Calibri" w:cs="Calibri"/>
        </w:rPr>
        <w:t>1</w:t>
      </w:r>
      <w:r w:rsidRPr="00AC6C6F">
        <w:rPr>
          <w:rFonts w:ascii="Calibri" w:hAnsi="Calibri" w:cs="Calibri"/>
        </w:rPr>
        <w:t xml:space="preserve">. At least one TEAE of any </w:t>
      </w:r>
      <w:r w:rsidR="00FD1AF5" w:rsidRPr="00AC6C6F">
        <w:rPr>
          <w:rFonts w:ascii="Calibri" w:hAnsi="Calibri" w:cs="Calibri"/>
        </w:rPr>
        <w:t>g</w:t>
      </w:r>
      <w:r w:rsidRPr="00AC6C6F">
        <w:rPr>
          <w:rFonts w:ascii="Calibri" w:hAnsi="Calibri" w:cs="Calibri"/>
        </w:rPr>
        <w:t>rade was reported in 95% of patients in the brentuximab arm and 90% in the PC:MTX/BEX arm. Grade ≥ 3 TEAEs were reported in 41% of patients in the brentuximab group and 47% of patients in the comparator group; drug-related Grade ≥ 3 AEs were the same in both arms.</w:t>
      </w:r>
    </w:p>
    <w:p w:rsidR="00AF726E" w:rsidRPr="00AC6C6F" w:rsidRDefault="00AF726E" w:rsidP="00AF726E">
      <w:pPr>
        <w:keepNext/>
        <w:rPr>
          <w:rStyle w:val="CommentReference"/>
          <w:bCs/>
        </w:rPr>
      </w:pPr>
      <w:r w:rsidRPr="00AC6C6F">
        <w:rPr>
          <w:rStyle w:val="CommentReference"/>
          <w:bCs/>
        </w:rPr>
        <w:t>Table 1</w:t>
      </w:r>
      <w:r w:rsidR="00236175" w:rsidRPr="00AC6C6F">
        <w:rPr>
          <w:rStyle w:val="CommentReference"/>
          <w:bCs/>
        </w:rPr>
        <w:t>1:</w:t>
      </w:r>
      <w:r w:rsidRPr="00AC6C6F">
        <w:rPr>
          <w:rStyle w:val="CommentReference"/>
          <w:bCs/>
        </w:rPr>
        <w:t xml:space="preserve"> Summary of safety outcomes in ALCANZA (SAS)</w:t>
      </w:r>
    </w:p>
    <w:tbl>
      <w:tblPr>
        <w:tblStyle w:val="Summarybox1"/>
        <w:tblW w:w="5000" w:type="pct"/>
        <w:tblLook w:val="01E0" w:firstRow="1" w:lastRow="1" w:firstColumn="1" w:lastColumn="1" w:noHBand="0" w:noVBand="0"/>
        <w:tblCaption w:val="Table 11: Summary of safety outcomes in ALCANZA (SAS)"/>
      </w:tblPr>
      <w:tblGrid>
        <w:gridCol w:w="3047"/>
        <w:gridCol w:w="1581"/>
        <w:gridCol w:w="1464"/>
        <w:gridCol w:w="1576"/>
        <w:gridCol w:w="1349"/>
      </w:tblGrid>
      <w:tr w:rsidR="00AF726E" w:rsidRPr="00AC6C6F" w:rsidTr="005C2013">
        <w:trPr>
          <w:trHeight w:val="20"/>
          <w:tblHeader/>
        </w:trPr>
        <w:tc>
          <w:tcPr>
            <w:tcW w:w="1689" w:type="pct"/>
            <w:shd w:val="clear" w:color="auto" w:fill="auto"/>
            <w:vAlign w:val="center"/>
          </w:tcPr>
          <w:p w:rsidR="00AF726E" w:rsidRPr="00AC6C6F" w:rsidRDefault="00AF726E" w:rsidP="00302235">
            <w:pPr>
              <w:pStyle w:val="Table"/>
              <w:jc w:val="center"/>
              <w:rPr>
                <w:rFonts w:ascii="Arial Narrow" w:hAnsi="Arial Narrow"/>
                <w:b/>
                <w:bCs/>
              </w:rPr>
            </w:pPr>
            <w:bookmarkStart w:id="14" w:name="_GoBack"/>
            <w:bookmarkEnd w:id="14"/>
            <w:r w:rsidRPr="00AC6C6F">
              <w:rPr>
                <w:rFonts w:ascii="Arial Narrow" w:hAnsi="Arial Narrow"/>
                <w:b/>
                <w:bCs/>
              </w:rPr>
              <w:t>n (%)</w:t>
            </w:r>
          </w:p>
        </w:tc>
        <w:tc>
          <w:tcPr>
            <w:tcW w:w="876" w:type="pct"/>
            <w:shd w:val="clear" w:color="auto" w:fill="auto"/>
            <w:vAlign w:val="center"/>
          </w:tcPr>
          <w:p w:rsidR="00AF726E" w:rsidRPr="00AC6C6F" w:rsidRDefault="00AF726E" w:rsidP="00302235">
            <w:pPr>
              <w:pStyle w:val="TableCentre"/>
              <w:rPr>
                <w:rFonts w:ascii="Arial Narrow" w:hAnsi="Arial Narrow"/>
                <w:b/>
                <w:bCs/>
              </w:rPr>
            </w:pPr>
            <w:r w:rsidRPr="00AC6C6F">
              <w:rPr>
                <w:rFonts w:ascii="Arial Narrow" w:hAnsi="Arial Narrow"/>
                <w:b/>
                <w:bCs/>
              </w:rPr>
              <w:t>Brentuximab</w:t>
            </w:r>
          </w:p>
          <w:p w:rsidR="00AF726E" w:rsidRPr="00AC6C6F" w:rsidRDefault="00AF726E" w:rsidP="00302235">
            <w:pPr>
              <w:pStyle w:val="TableCentre"/>
              <w:rPr>
                <w:rFonts w:ascii="Arial Narrow" w:hAnsi="Arial Narrow"/>
                <w:b/>
                <w:bCs/>
              </w:rPr>
            </w:pPr>
            <w:r w:rsidRPr="00AC6C6F">
              <w:rPr>
                <w:rFonts w:ascii="Arial Narrow" w:hAnsi="Arial Narrow"/>
                <w:b/>
                <w:bCs/>
              </w:rPr>
              <w:t>(n = 66)</w:t>
            </w:r>
          </w:p>
        </w:tc>
        <w:tc>
          <w:tcPr>
            <w:tcW w:w="812" w:type="pct"/>
            <w:shd w:val="clear" w:color="auto" w:fill="auto"/>
            <w:vAlign w:val="center"/>
          </w:tcPr>
          <w:p w:rsidR="00AF726E" w:rsidRPr="00AC6C6F" w:rsidRDefault="00AF726E" w:rsidP="00302235">
            <w:pPr>
              <w:pStyle w:val="TableCentre"/>
              <w:rPr>
                <w:rFonts w:ascii="Arial Narrow" w:hAnsi="Arial Narrow"/>
                <w:b/>
                <w:bCs/>
              </w:rPr>
            </w:pPr>
            <w:r w:rsidRPr="00AC6C6F">
              <w:rPr>
                <w:rFonts w:ascii="Arial Narrow" w:hAnsi="Arial Narrow"/>
                <w:b/>
                <w:bCs/>
              </w:rPr>
              <w:t>PC:MTX/BEX</w:t>
            </w:r>
          </w:p>
          <w:p w:rsidR="00AF726E" w:rsidRPr="00AC6C6F" w:rsidRDefault="00AF726E" w:rsidP="00302235">
            <w:pPr>
              <w:pStyle w:val="TableCentre"/>
              <w:rPr>
                <w:rFonts w:ascii="Arial Narrow" w:hAnsi="Arial Narrow"/>
                <w:b/>
                <w:bCs/>
              </w:rPr>
            </w:pPr>
            <w:r w:rsidRPr="00AC6C6F">
              <w:rPr>
                <w:rFonts w:ascii="Arial Narrow" w:hAnsi="Arial Narrow"/>
                <w:b/>
                <w:bCs/>
              </w:rPr>
              <w:t>(n = 62)</w:t>
            </w:r>
          </w:p>
        </w:tc>
        <w:tc>
          <w:tcPr>
            <w:tcW w:w="874" w:type="pct"/>
          </w:tcPr>
          <w:p w:rsidR="00AF726E" w:rsidRPr="00AC6C6F" w:rsidRDefault="00AF726E" w:rsidP="00302235">
            <w:pPr>
              <w:pStyle w:val="TableCentre"/>
              <w:rPr>
                <w:rFonts w:ascii="Arial Narrow" w:hAnsi="Arial Narrow"/>
                <w:b/>
                <w:bCs/>
                <w:color w:val="000000" w:themeColor="text1"/>
              </w:rPr>
            </w:pPr>
            <w:r w:rsidRPr="00AC6C6F">
              <w:rPr>
                <w:rFonts w:ascii="Arial Narrow" w:hAnsi="Arial Narrow"/>
                <w:b/>
                <w:bCs/>
                <w:color w:val="000000" w:themeColor="text1"/>
              </w:rPr>
              <w:t xml:space="preserve">RD (95% CI) </w:t>
            </w:r>
            <w:r w:rsidRPr="00AC6C6F">
              <w:rPr>
                <w:rFonts w:ascii="Arial Narrow" w:hAnsi="Arial Narrow"/>
                <w:b/>
                <w:bCs/>
                <w:color w:val="000000" w:themeColor="text1"/>
                <w:vertAlign w:val="superscript"/>
              </w:rPr>
              <w:t>b</w:t>
            </w:r>
          </w:p>
        </w:tc>
        <w:tc>
          <w:tcPr>
            <w:tcW w:w="748" w:type="pct"/>
            <w:shd w:val="clear" w:color="auto" w:fill="auto"/>
            <w:vAlign w:val="center"/>
          </w:tcPr>
          <w:p w:rsidR="00AF726E" w:rsidRPr="00AC6C6F" w:rsidRDefault="00AF726E" w:rsidP="00302235">
            <w:pPr>
              <w:pStyle w:val="TableCentre"/>
              <w:rPr>
                <w:rFonts w:ascii="Arial Narrow" w:hAnsi="Arial Narrow"/>
                <w:b/>
                <w:bCs/>
              </w:rPr>
            </w:pPr>
            <w:r w:rsidRPr="00AC6C6F">
              <w:rPr>
                <w:rFonts w:ascii="Arial Narrow" w:hAnsi="Arial Narrow"/>
                <w:b/>
                <w:bCs/>
              </w:rPr>
              <w:t>Total</w:t>
            </w:r>
          </w:p>
          <w:p w:rsidR="00AF726E" w:rsidRPr="00AC6C6F" w:rsidRDefault="00AF726E" w:rsidP="00302235">
            <w:pPr>
              <w:pStyle w:val="TableCentre"/>
              <w:rPr>
                <w:rFonts w:ascii="Arial Narrow" w:hAnsi="Arial Narrow"/>
                <w:b/>
                <w:bCs/>
              </w:rPr>
            </w:pPr>
            <w:r w:rsidRPr="00AC6C6F">
              <w:rPr>
                <w:rFonts w:ascii="Arial Narrow" w:hAnsi="Arial Narrow"/>
                <w:b/>
                <w:bCs/>
              </w:rPr>
              <w:t>(N = 128)</w:t>
            </w:r>
          </w:p>
        </w:tc>
      </w:tr>
      <w:tr w:rsidR="00AF726E" w:rsidRPr="00AC6C6F" w:rsidTr="00302235">
        <w:trPr>
          <w:trHeight w:val="20"/>
        </w:trPr>
        <w:tc>
          <w:tcPr>
            <w:tcW w:w="1689" w:type="pct"/>
            <w:shd w:val="clear" w:color="auto" w:fill="auto"/>
          </w:tcPr>
          <w:p w:rsidR="00AF726E" w:rsidRPr="00AC6C6F" w:rsidRDefault="00AF726E" w:rsidP="00302235">
            <w:pPr>
              <w:pStyle w:val="Table"/>
              <w:rPr>
                <w:rFonts w:ascii="Arial Narrow" w:hAnsi="Arial Narrow"/>
              </w:rPr>
            </w:pPr>
            <w:r w:rsidRPr="00AC6C6F">
              <w:rPr>
                <w:rFonts w:ascii="Arial Narrow" w:hAnsi="Arial Narrow"/>
              </w:rPr>
              <w:t xml:space="preserve">Any AE </w:t>
            </w:r>
          </w:p>
        </w:tc>
        <w:tc>
          <w:tcPr>
            <w:tcW w:w="876"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63 (95)</w:t>
            </w:r>
          </w:p>
        </w:tc>
        <w:tc>
          <w:tcPr>
            <w:tcW w:w="812"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56 (90)</w:t>
            </w:r>
          </w:p>
        </w:tc>
        <w:tc>
          <w:tcPr>
            <w:tcW w:w="874" w:type="pct"/>
          </w:tcPr>
          <w:p w:rsidR="00AF726E" w:rsidRPr="00AC6C6F" w:rsidRDefault="00AF726E" w:rsidP="00302235">
            <w:pPr>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0.05 (-0.04, 0.14) </w:t>
            </w:r>
          </w:p>
        </w:tc>
        <w:tc>
          <w:tcPr>
            <w:tcW w:w="748"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119 (93)</w:t>
            </w:r>
          </w:p>
        </w:tc>
      </w:tr>
      <w:tr w:rsidR="00AF726E" w:rsidRPr="00AC6C6F" w:rsidTr="00302235">
        <w:trPr>
          <w:trHeight w:val="20"/>
        </w:trPr>
        <w:tc>
          <w:tcPr>
            <w:tcW w:w="1689" w:type="pct"/>
            <w:shd w:val="clear" w:color="auto" w:fill="auto"/>
          </w:tcPr>
          <w:p w:rsidR="00AF726E" w:rsidRPr="00AC6C6F" w:rsidRDefault="00AF726E" w:rsidP="00302235">
            <w:pPr>
              <w:pStyle w:val="Table"/>
              <w:rPr>
                <w:rFonts w:ascii="Arial Narrow" w:hAnsi="Arial Narrow"/>
              </w:rPr>
            </w:pPr>
            <w:r w:rsidRPr="00AC6C6F">
              <w:rPr>
                <w:rFonts w:ascii="Arial Narrow" w:hAnsi="Arial Narrow"/>
              </w:rPr>
              <w:t xml:space="preserve">Any Grade ≥3 AE </w:t>
            </w:r>
          </w:p>
        </w:tc>
        <w:tc>
          <w:tcPr>
            <w:tcW w:w="876"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27 (41)</w:t>
            </w:r>
          </w:p>
        </w:tc>
        <w:tc>
          <w:tcPr>
            <w:tcW w:w="812"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29 (47)</w:t>
            </w:r>
          </w:p>
        </w:tc>
        <w:tc>
          <w:tcPr>
            <w:tcW w:w="874" w:type="pct"/>
          </w:tcPr>
          <w:p w:rsidR="00AF726E" w:rsidRPr="00AC6C6F" w:rsidRDefault="00AF726E" w:rsidP="00302235">
            <w:pPr>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-0.06 (-0.23, 0.11) </w:t>
            </w:r>
          </w:p>
        </w:tc>
        <w:tc>
          <w:tcPr>
            <w:tcW w:w="748"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56 (44)</w:t>
            </w:r>
          </w:p>
        </w:tc>
      </w:tr>
      <w:tr w:rsidR="00AF726E" w:rsidRPr="00AC6C6F" w:rsidTr="00302235">
        <w:trPr>
          <w:trHeight w:val="20"/>
        </w:trPr>
        <w:tc>
          <w:tcPr>
            <w:tcW w:w="1689" w:type="pct"/>
            <w:shd w:val="clear" w:color="auto" w:fill="auto"/>
          </w:tcPr>
          <w:p w:rsidR="00AF726E" w:rsidRPr="00AC6C6F" w:rsidRDefault="00AF726E" w:rsidP="00302235">
            <w:pPr>
              <w:pStyle w:val="Table"/>
              <w:rPr>
                <w:rFonts w:ascii="Arial Narrow" w:hAnsi="Arial Narrow"/>
              </w:rPr>
            </w:pPr>
            <w:r w:rsidRPr="00AC6C6F">
              <w:rPr>
                <w:rFonts w:ascii="Arial Narrow" w:hAnsi="Arial Narrow"/>
              </w:rPr>
              <w:t xml:space="preserve">Drug-related AE </w:t>
            </w:r>
          </w:p>
        </w:tc>
        <w:tc>
          <w:tcPr>
            <w:tcW w:w="876"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57 (86)</w:t>
            </w:r>
          </w:p>
        </w:tc>
        <w:tc>
          <w:tcPr>
            <w:tcW w:w="812"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44 (71)</w:t>
            </w:r>
          </w:p>
        </w:tc>
        <w:tc>
          <w:tcPr>
            <w:tcW w:w="874" w:type="pct"/>
          </w:tcPr>
          <w:p w:rsidR="00AF726E" w:rsidRPr="00AC6C6F" w:rsidRDefault="00AF726E" w:rsidP="00302235">
            <w:pPr>
              <w:jc w:val="center"/>
              <w:rPr>
                <w:rFonts w:ascii="Arial Narrow" w:hAnsi="Arial Narrow"/>
                <w:b/>
                <w:bCs/>
                <w:iCs/>
                <w:color w:val="000000" w:themeColor="text1"/>
                <w:sz w:val="20"/>
                <w:szCs w:val="20"/>
              </w:rPr>
            </w:pPr>
            <w:r w:rsidRPr="00AC6C6F">
              <w:rPr>
                <w:rFonts w:ascii="Arial Narrow" w:hAnsi="Arial Narrow"/>
                <w:b/>
                <w:bCs/>
                <w:iCs/>
                <w:color w:val="000000" w:themeColor="text1"/>
                <w:sz w:val="20"/>
                <w:szCs w:val="20"/>
              </w:rPr>
              <w:t xml:space="preserve">0.15 (0.01, 0.29) </w:t>
            </w:r>
          </w:p>
        </w:tc>
        <w:tc>
          <w:tcPr>
            <w:tcW w:w="748"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101 (79)</w:t>
            </w:r>
          </w:p>
        </w:tc>
      </w:tr>
      <w:tr w:rsidR="00AF726E" w:rsidRPr="00AC6C6F" w:rsidTr="00302235">
        <w:trPr>
          <w:trHeight w:val="20"/>
        </w:trPr>
        <w:tc>
          <w:tcPr>
            <w:tcW w:w="1689" w:type="pct"/>
            <w:shd w:val="clear" w:color="auto" w:fill="auto"/>
          </w:tcPr>
          <w:p w:rsidR="00AF726E" w:rsidRPr="00AC6C6F" w:rsidRDefault="00AF726E" w:rsidP="00302235">
            <w:pPr>
              <w:pStyle w:val="Table"/>
              <w:rPr>
                <w:rFonts w:ascii="Arial Narrow" w:hAnsi="Arial Narrow"/>
              </w:rPr>
            </w:pPr>
            <w:r w:rsidRPr="00AC6C6F">
              <w:rPr>
                <w:rFonts w:ascii="Arial Narrow" w:hAnsi="Arial Narrow"/>
              </w:rPr>
              <w:t xml:space="preserve">Drug-related Grade ≥3 AE </w:t>
            </w:r>
          </w:p>
        </w:tc>
        <w:tc>
          <w:tcPr>
            <w:tcW w:w="876"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19 (29)</w:t>
            </w:r>
          </w:p>
        </w:tc>
        <w:tc>
          <w:tcPr>
            <w:tcW w:w="812"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18 (29)</w:t>
            </w:r>
          </w:p>
        </w:tc>
        <w:tc>
          <w:tcPr>
            <w:tcW w:w="874" w:type="pct"/>
          </w:tcPr>
          <w:p w:rsidR="00AF726E" w:rsidRPr="00AC6C6F" w:rsidRDefault="00AF726E" w:rsidP="00302235">
            <w:pPr>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0.00 (-0.16, 0.15) </w:t>
            </w:r>
          </w:p>
        </w:tc>
        <w:tc>
          <w:tcPr>
            <w:tcW w:w="748"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37 (29)</w:t>
            </w:r>
          </w:p>
        </w:tc>
      </w:tr>
      <w:tr w:rsidR="00AF726E" w:rsidRPr="00AC6C6F" w:rsidTr="00302235">
        <w:trPr>
          <w:trHeight w:val="20"/>
        </w:trPr>
        <w:tc>
          <w:tcPr>
            <w:tcW w:w="1689" w:type="pct"/>
            <w:shd w:val="clear" w:color="auto" w:fill="auto"/>
          </w:tcPr>
          <w:p w:rsidR="00AF726E" w:rsidRPr="00AC6C6F" w:rsidRDefault="00AF726E" w:rsidP="00302235">
            <w:pPr>
              <w:pStyle w:val="Table"/>
              <w:rPr>
                <w:rFonts w:ascii="Arial Narrow" w:hAnsi="Arial Narrow"/>
              </w:rPr>
            </w:pPr>
            <w:r w:rsidRPr="00AC6C6F">
              <w:rPr>
                <w:rFonts w:ascii="Arial Narrow" w:hAnsi="Arial Narrow"/>
              </w:rPr>
              <w:t xml:space="preserve">SAE </w:t>
            </w:r>
          </w:p>
        </w:tc>
        <w:tc>
          <w:tcPr>
            <w:tcW w:w="876"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19 (29)</w:t>
            </w:r>
          </w:p>
        </w:tc>
        <w:tc>
          <w:tcPr>
            <w:tcW w:w="812"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18 (29)</w:t>
            </w:r>
          </w:p>
        </w:tc>
        <w:tc>
          <w:tcPr>
            <w:tcW w:w="874" w:type="pct"/>
          </w:tcPr>
          <w:p w:rsidR="00AF726E" w:rsidRPr="00AC6C6F" w:rsidRDefault="00AF726E" w:rsidP="00302235">
            <w:pPr>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0.00 (-0.16, 0.15) </w:t>
            </w:r>
          </w:p>
        </w:tc>
        <w:tc>
          <w:tcPr>
            <w:tcW w:w="748"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37 (29)</w:t>
            </w:r>
          </w:p>
        </w:tc>
      </w:tr>
      <w:tr w:rsidR="00AF726E" w:rsidRPr="00AC6C6F" w:rsidTr="00302235">
        <w:trPr>
          <w:trHeight w:val="20"/>
        </w:trPr>
        <w:tc>
          <w:tcPr>
            <w:tcW w:w="1689" w:type="pct"/>
            <w:shd w:val="clear" w:color="auto" w:fill="auto"/>
          </w:tcPr>
          <w:p w:rsidR="00AF726E" w:rsidRPr="00AC6C6F" w:rsidRDefault="00AF726E" w:rsidP="00302235">
            <w:pPr>
              <w:pStyle w:val="Table"/>
              <w:rPr>
                <w:rFonts w:ascii="Arial Narrow" w:hAnsi="Arial Narrow"/>
              </w:rPr>
            </w:pPr>
            <w:r w:rsidRPr="00AC6C6F">
              <w:rPr>
                <w:rFonts w:ascii="Arial Narrow" w:hAnsi="Arial Narrow"/>
              </w:rPr>
              <w:t xml:space="preserve">Drug-related SAE </w:t>
            </w:r>
          </w:p>
        </w:tc>
        <w:tc>
          <w:tcPr>
            <w:tcW w:w="876"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9 (14)</w:t>
            </w:r>
          </w:p>
        </w:tc>
        <w:tc>
          <w:tcPr>
            <w:tcW w:w="812"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3 (5)</w:t>
            </w:r>
          </w:p>
        </w:tc>
        <w:tc>
          <w:tcPr>
            <w:tcW w:w="874" w:type="pct"/>
          </w:tcPr>
          <w:p w:rsidR="00AF726E" w:rsidRPr="00AC6C6F" w:rsidRDefault="00AF726E" w:rsidP="00302235">
            <w:pPr>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0.09 (-0.01, 0.19) </w:t>
            </w:r>
          </w:p>
        </w:tc>
        <w:tc>
          <w:tcPr>
            <w:tcW w:w="748" w:type="pct"/>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12 (9)</w:t>
            </w:r>
          </w:p>
        </w:tc>
      </w:tr>
      <w:tr w:rsidR="00AF726E" w:rsidRPr="00AC6C6F" w:rsidTr="00FD1AF5">
        <w:trPr>
          <w:trHeight w:val="20"/>
        </w:trPr>
        <w:tc>
          <w:tcPr>
            <w:tcW w:w="1689" w:type="pct"/>
            <w:tcBorders>
              <w:bottom w:val="single" w:sz="4" w:space="0" w:color="auto"/>
            </w:tcBorders>
            <w:shd w:val="clear" w:color="auto" w:fill="auto"/>
          </w:tcPr>
          <w:p w:rsidR="00AF726E" w:rsidRPr="00AC6C6F" w:rsidRDefault="00AF726E" w:rsidP="00302235">
            <w:pPr>
              <w:pStyle w:val="Table"/>
              <w:rPr>
                <w:rFonts w:ascii="Arial Narrow" w:hAnsi="Arial Narrow"/>
              </w:rPr>
            </w:pPr>
            <w:r w:rsidRPr="00AC6C6F">
              <w:rPr>
                <w:rFonts w:ascii="Arial Narrow" w:hAnsi="Arial Narrow"/>
              </w:rPr>
              <w:t xml:space="preserve">Discontinuation due to AE </w:t>
            </w:r>
          </w:p>
        </w:tc>
        <w:tc>
          <w:tcPr>
            <w:tcW w:w="876" w:type="pct"/>
            <w:tcBorders>
              <w:bottom w:val="single" w:sz="4" w:space="0" w:color="auto"/>
            </w:tcBorders>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16 (24)</w:t>
            </w:r>
          </w:p>
        </w:tc>
        <w:tc>
          <w:tcPr>
            <w:tcW w:w="812" w:type="pct"/>
            <w:tcBorders>
              <w:bottom w:val="single" w:sz="4" w:space="0" w:color="auto"/>
            </w:tcBorders>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5 (8)</w:t>
            </w:r>
          </w:p>
        </w:tc>
        <w:tc>
          <w:tcPr>
            <w:tcW w:w="874" w:type="pct"/>
            <w:tcBorders>
              <w:bottom w:val="single" w:sz="4" w:space="0" w:color="auto"/>
            </w:tcBorders>
          </w:tcPr>
          <w:p w:rsidR="00AF726E" w:rsidRPr="00AC6C6F" w:rsidRDefault="00AF726E" w:rsidP="00302235">
            <w:pPr>
              <w:jc w:val="center"/>
              <w:rPr>
                <w:rFonts w:ascii="Arial Narrow" w:hAnsi="Arial Narrow"/>
                <w:b/>
                <w:bCs/>
                <w:iCs/>
                <w:color w:val="000000" w:themeColor="text1"/>
                <w:sz w:val="20"/>
                <w:szCs w:val="20"/>
              </w:rPr>
            </w:pPr>
            <w:r w:rsidRPr="00AC6C6F">
              <w:rPr>
                <w:rFonts w:ascii="Arial Narrow" w:hAnsi="Arial Narrow"/>
                <w:b/>
                <w:bCs/>
                <w:iCs/>
                <w:color w:val="000000" w:themeColor="text1"/>
                <w:sz w:val="20"/>
                <w:szCs w:val="20"/>
              </w:rPr>
              <w:t xml:space="preserve">0.16 (0.04, 0.29) </w:t>
            </w:r>
          </w:p>
        </w:tc>
        <w:tc>
          <w:tcPr>
            <w:tcW w:w="748" w:type="pct"/>
            <w:tcBorders>
              <w:bottom w:val="single" w:sz="4" w:space="0" w:color="auto"/>
            </w:tcBorders>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21 (16)</w:t>
            </w:r>
          </w:p>
        </w:tc>
      </w:tr>
      <w:tr w:rsidR="00AF726E" w:rsidRPr="00AC6C6F" w:rsidTr="00FD1AF5">
        <w:trPr>
          <w:trHeight w:val="20"/>
        </w:trPr>
        <w:tc>
          <w:tcPr>
            <w:tcW w:w="1689"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
              <w:rPr>
                <w:rFonts w:ascii="Arial Narrow" w:hAnsi="Arial Narrow"/>
                <w:vertAlign w:val="superscript"/>
              </w:rPr>
            </w:pPr>
            <w:r w:rsidRPr="00AC6C6F">
              <w:rPr>
                <w:rFonts w:ascii="Arial Narrow" w:hAnsi="Arial Narrow"/>
              </w:rPr>
              <w:t>On-treatment deaths </w:t>
            </w:r>
            <w:r w:rsidRPr="00AC6C6F">
              <w:rPr>
                <w:rFonts w:ascii="Arial Narrow" w:hAnsi="Arial Narrow"/>
                <w:vertAlign w:val="superscript"/>
              </w:rPr>
              <w:t>a</w:t>
            </w:r>
          </w:p>
        </w:tc>
        <w:tc>
          <w:tcPr>
            <w:tcW w:w="876"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4 (6)</w:t>
            </w: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0</w:t>
            </w:r>
          </w:p>
        </w:tc>
        <w:tc>
          <w:tcPr>
            <w:tcW w:w="874" w:type="pct"/>
            <w:tcBorders>
              <w:top w:val="single" w:sz="4" w:space="0" w:color="auto"/>
              <w:left w:val="single" w:sz="4" w:space="0" w:color="auto"/>
              <w:bottom w:val="single" w:sz="4" w:space="0" w:color="auto"/>
              <w:right w:val="single" w:sz="4" w:space="0" w:color="auto"/>
            </w:tcBorders>
          </w:tcPr>
          <w:p w:rsidR="00AF726E" w:rsidRPr="00AC6C6F" w:rsidRDefault="00AF726E" w:rsidP="00302235">
            <w:pPr>
              <w:jc w:val="center"/>
              <w:rPr>
                <w:rFonts w:ascii="Arial Narrow" w:hAnsi="Arial Narrow"/>
                <w:iCs/>
                <w:color w:val="000000" w:themeColor="text1"/>
                <w:sz w:val="20"/>
                <w:szCs w:val="20"/>
              </w:rPr>
            </w:pPr>
            <w:r w:rsidRPr="00AC6C6F">
              <w:rPr>
                <w:rFonts w:ascii="Arial Narrow" w:hAnsi="Arial Narrow"/>
                <w:iCs/>
                <w:color w:val="000000" w:themeColor="text1"/>
                <w:sz w:val="20"/>
                <w:szCs w:val="20"/>
              </w:rPr>
              <w:t xml:space="preserve">0.06 (0.00, 0.12) </w:t>
            </w:r>
          </w:p>
        </w:tc>
        <w:tc>
          <w:tcPr>
            <w:tcW w:w="748"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Centre"/>
              <w:rPr>
                <w:rFonts w:ascii="Arial Narrow" w:hAnsi="Arial Narrow"/>
              </w:rPr>
            </w:pPr>
            <w:r w:rsidRPr="00AC6C6F">
              <w:rPr>
                <w:rFonts w:ascii="Arial Narrow" w:hAnsi="Arial Narrow"/>
              </w:rPr>
              <w:t>4 (3)</w:t>
            </w:r>
          </w:p>
        </w:tc>
      </w:tr>
    </w:tbl>
    <w:p w:rsidR="00AF726E" w:rsidRPr="00AC6C6F" w:rsidRDefault="00AF726E" w:rsidP="00AF726E">
      <w:pPr>
        <w:rPr>
          <w:rFonts w:ascii="Arial Narrow" w:hAnsi="Arial Narrow"/>
          <w:sz w:val="18"/>
          <w:szCs w:val="18"/>
        </w:rPr>
      </w:pPr>
      <w:r w:rsidRPr="00AC6C6F">
        <w:rPr>
          <w:rFonts w:ascii="Arial Narrow" w:hAnsi="Arial Narrow"/>
          <w:sz w:val="18"/>
          <w:szCs w:val="18"/>
        </w:rPr>
        <w:t xml:space="preserve">Source: Table 2-66 (p143 of the Submission). </w:t>
      </w:r>
    </w:p>
    <w:p w:rsidR="00AF726E" w:rsidRPr="00AC6C6F" w:rsidRDefault="00AF726E" w:rsidP="00AF726E">
      <w:pPr>
        <w:rPr>
          <w:rFonts w:ascii="Arial Narrow" w:eastAsia="Calibri" w:hAnsi="Arial Narrow"/>
          <w:sz w:val="18"/>
          <w:szCs w:val="18"/>
        </w:rPr>
      </w:pPr>
      <w:r w:rsidRPr="00AC6C6F">
        <w:rPr>
          <w:rFonts w:ascii="Arial Narrow" w:hAnsi="Arial Narrow"/>
          <w:sz w:val="18"/>
          <w:szCs w:val="18"/>
        </w:rPr>
        <w:t>Abbreviations: AE = adverse event; n =</w:t>
      </w:r>
      <w:r w:rsidRPr="00AC6C6F">
        <w:rPr>
          <w:rFonts w:ascii="Arial Narrow" w:eastAsia="Calibri" w:hAnsi="Arial Narrow"/>
          <w:sz w:val="18"/>
          <w:szCs w:val="18"/>
        </w:rPr>
        <w:t xml:space="preserve"> number of participants with event;</w:t>
      </w:r>
      <w:r w:rsidRPr="00AC6C6F">
        <w:rPr>
          <w:rFonts w:ascii="Arial Narrow" w:hAnsi="Arial Narrow"/>
          <w:sz w:val="18"/>
          <w:szCs w:val="18"/>
        </w:rPr>
        <w:t xml:space="preserve"> </w:t>
      </w:r>
      <w:r w:rsidRPr="00AC6C6F">
        <w:rPr>
          <w:rFonts w:ascii="Arial Narrow" w:eastAsia="Calibri" w:hAnsi="Arial Narrow"/>
          <w:sz w:val="18"/>
          <w:szCs w:val="18"/>
        </w:rPr>
        <w:t>N = total participants in group; PC:MTX/BEX = physician’s choice of methotrexate or bexarotene;</w:t>
      </w:r>
      <w:r w:rsidR="00EE7961" w:rsidRPr="00AC6C6F">
        <w:rPr>
          <w:rFonts w:ascii="Arial Narrow" w:hAnsi="Arial Narrow"/>
          <w:sz w:val="18"/>
          <w:szCs w:val="18"/>
        </w:rPr>
        <w:t xml:space="preserve"> SAE = serious adverse event</w:t>
      </w:r>
      <w:r w:rsidRPr="00AC6C6F">
        <w:rPr>
          <w:rFonts w:ascii="Arial Narrow" w:eastAsia="Calibri" w:hAnsi="Arial Narrow"/>
          <w:sz w:val="18"/>
          <w:szCs w:val="18"/>
        </w:rPr>
        <w:t xml:space="preserve">. </w:t>
      </w:r>
    </w:p>
    <w:p w:rsidR="00AF726E" w:rsidRPr="00AC6C6F" w:rsidRDefault="00AF726E" w:rsidP="00AF726E">
      <w:pPr>
        <w:rPr>
          <w:rFonts w:ascii="Arial Narrow" w:eastAsia="Calibri" w:hAnsi="Arial Narrow"/>
          <w:sz w:val="18"/>
          <w:szCs w:val="18"/>
        </w:rPr>
      </w:pPr>
      <w:r w:rsidRPr="00AC6C6F">
        <w:rPr>
          <w:rFonts w:ascii="Arial Narrow" w:eastAsia="Calibri" w:hAnsi="Arial Narrow"/>
          <w:sz w:val="18"/>
          <w:szCs w:val="18"/>
          <w:vertAlign w:val="superscript"/>
        </w:rPr>
        <w:t xml:space="preserve">a </w:t>
      </w:r>
      <w:r w:rsidRPr="00AC6C6F">
        <w:rPr>
          <w:rFonts w:ascii="Arial Narrow" w:eastAsia="Calibri" w:hAnsi="Arial Narrow"/>
          <w:sz w:val="18"/>
          <w:szCs w:val="18"/>
        </w:rPr>
        <w:t xml:space="preserve">On-treatment deaths are defined as deaths that occur within 30-days after the last dose of study drug. </w:t>
      </w:r>
    </w:p>
    <w:p w:rsidR="00AF726E" w:rsidRPr="00AC6C6F" w:rsidRDefault="00AF726E" w:rsidP="00AF726E">
      <w:pPr>
        <w:rPr>
          <w:rFonts w:ascii="Arial Narrow" w:hAnsi="Arial Narrow"/>
          <w:sz w:val="18"/>
          <w:szCs w:val="18"/>
        </w:rPr>
      </w:pPr>
      <w:r w:rsidRPr="00AC6C6F">
        <w:rPr>
          <w:rFonts w:ascii="Arial Narrow" w:hAnsi="Arial Narrow"/>
          <w:sz w:val="18"/>
          <w:szCs w:val="18"/>
          <w:vertAlign w:val="superscript"/>
        </w:rPr>
        <w:t xml:space="preserve">b </w:t>
      </w:r>
      <w:r w:rsidRPr="00AC6C6F">
        <w:rPr>
          <w:rFonts w:ascii="Arial Narrow" w:hAnsi="Arial Narrow"/>
          <w:sz w:val="18"/>
          <w:szCs w:val="18"/>
        </w:rPr>
        <w:t>RD was calculated during the evaluation</w:t>
      </w:r>
    </w:p>
    <w:p w:rsidR="00AF726E" w:rsidRPr="00AC6C6F" w:rsidRDefault="00AF726E" w:rsidP="00AF726E">
      <w:pPr>
        <w:rPr>
          <w:rFonts w:ascii="Arial Narrow" w:eastAsia="Calibri" w:hAnsi="Arial Narrow"/>
          <w:sz w:val="18"/>
          <w:szCs w:val="18"/>
        </w:rPr>
      </w:pPr>
      <w:r w:rsidRPr="00AC6C6F">
        <w:rPr>
          <w:rFonts w:ascii="Arial Narrow" w:eastAsia="Calibri" w:hAnsi="Arial Narrow"/>
          <w:sz w:val="18"/>
          <w:szCs w:val="18"/>
        </w:rPr>
        <w:t>Bold indicates statistically significant difference.</w:t>
      </w:r>
    </w:p>
    <w:p w:rsidR="00AF726E" w:rsidRPr="00AC6C6F" w:rsidRDefault="00AF726E" w:rsidP="00AF726E">
      <w:pPr>
        <w:rPr>
          <w:rFonts w:ascii="Arial Narrow" w:hAnsi="Arial Narrow"/>
          <w:sz w:val="18"/>
          <w:szCs w:val="18"/>
        </w:rPr>
      </w:pPr>
    </w:p>
    <w:p w:rsidR="00AF726E" w:rsidRPr="00AC6C6F" w:rsidRDefault="00AF726E" w:rsidP="00AF726E">
      <w:pPr>
        <w:pStyle w:val="4-SubsectionHeading"/>
      </w:pPr>
      <w:bookmarkStart w:id="15" w:name="_Toc40177094"/>
      <w:r w:rsidRPr="00AC6C6F">
        <w:t>Benefits/harms</w:t>
      </w:r>
      <w:bookmarkEnd w:id="15"/>
    </w:p>
    <w:p w:rsidR="00AF726E" w:rsidRPr="00AC6C6F" w:rsidRDefault="00967135" w:rsidP="00CD09E9">
      <w:pPr>
        <w:spacing w:after="120"/>
        <w:rPr>
          <w:u w:val="single"/>
        </w:rPr>
      </w:pPr>
      <w:r w:rsidRPr="00AC6C6F">
        <w:rPr>
          <w:u w:val="single"/>
        </w:rPr>
        <w:t>Mogamulizumab</w:t>
      </w:r>
      <w:r w:rsidR="00EE197C" w:rsidRPr="00AC6C6F">
        <w:rPr>
          <w:u w:val="single"/>
        </w:rPr>
        <w:t xml:space="preserve"> vs v</w:t>
      </w:r>
      <w:r w:rsidR="00AF726E" w:rsidRPr="00AC6C6F">
        <w:rPr>
          <w:u w:val="single"/>
        </w:rPr>
        <w:t>orinostat</w:t>
      </w:r>
    </w:p>
    <w:p w:rsidR="00AF726E" w:rsidRPr="00AC6C6F" w:rsidRDefault="00AF726E" w:rsidP="00AF726E">
      <w:pPr>
        <w:pStyle w:val="3-BodyText"/>
        <w:rPr>
          <w:color w:val="000000" w:themeColor="text1"/>
        </w:rPr>
      </w:pPr>
      <w:r w:rsidRPr="00AC6C6F">
        <w:rPr>
          <w:snapToGrid/>
          <w:color w:val="000000" w:themeColor="text1"/>
        </w:rPr>
        <w:t>A summary of the comparative benefits and harms for mogamulizumab versus vorinostat based on MAVORIC is presented in Table 1</w:t>
      </w:r>
      <w:r w:rsidR="00236175" w:rsidRPr="00AC6C6F">
        <w:rPr>
          <w:snapToGrid/>
          <w:color w:val="000000" w:themeColor="text1"/>
        </w:rPr>
        <w:t>2</w:t>
      </w:r>
      <w:r w:rsidR="00AC6C6F">
        <w:rPr>
          <w:snapToGrid/>
          <w:color w:val="000000" w:themeColor="text1"/>
        </w:rPr>
        <w:t xml:space="preserve">. </w:t>
      </w:r>
    </w:p>
    <w:p w:rsidR="00AF726E" w:rsidRPr="00AC6C6F" w:rsidRDefault="00AF726E" w:rsidP="00AF726E">
      <w:pPr>
        <w:keepNext/>
        <w:rPr>
          <w:rStyle w:val="CommentReference"/>
          <w:bCs/>
        </w:rPr>
      </w:pPr>
      <w:r w:rsidRPr="00AC6C6F">
        <w:rPr>
          <w:rStyle w:val="CommentReference"/>
          <w:bCs/>
        </w:rPr>
        <w:t>Table 1</w:t>
      </w:r>
      <w:r w:rsidR="00236175" w:rsidRPr="00AC6C6F">
        <w:rPr>
          <w:rStyle w:val="CommentReference"/>
          <w:bCs/>
        </w:rPr>
        <w:t>2</w:t>
      </w:r>
      <w:r w:rsidRPr="00AC6C6F">
        <w:rPr>
          <w:rStyle w:val="CommentReference"/>
          <w:bCs/>
        </w:rPr>
        <w:t>: Summary of comparative benefits and harms for mogamulizumab versus vorinostat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91"/>
        <w:gridCol w:w="27"/>
        <w:gridCol w:w="1830"/>
        <w:gridCol w:w="1701"/>
        <w:gridCol w:w="849"/>
        <w:gridCol w:w="718"/>
        <w:gridCol w:w="141"/>
        <w:gridCol w:w="1360"/>
      </w:tblGrid>
      <w:tr w:rsidR="00AF726E" w:rsidRPr="00AC6C6F" w:rsidTr="00302235">
        <w:trPr>
          <w:cantSplit/>
        </w:trPr>
        <w:tc>
          <w:tcPr>
            <w:tcW w:w="5000" w:type="pct"/>
            <w:gridSpan w:val="8"/>
            <w:shd w:val="clear" w:color="auto" w:fill="auto"/>
            <w:vAlign w:val="center"/>
          </w:tcPr>
          <w:p w:rsidR="00AF726E" w:rsidRPr="00AC6C6F" w:rsidRDefault="00AF726E" w:rsidP="00302235">
            <w:pPr>
              <w:pStyle w:val="In-tableHeading"/>
              <w:rPr>
                <w:lang w:val="en-AU"/>
              </w:rPr>
            </w:pPr>
            <w:r w:rsidRPr="00AC6C6F">
              <w:rPr>
                <w:lang w:val="en-AU"/>
              </w:rPr>
              <w:t>Benefits</w:t>
            </w:r>
          </w:p>
        </w:tc>
      </w:tr>
      <w:tr w:rsidR="00AF726E" w:rsidRPr="00AC6C6F" w:rsidTr="003022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In-tableHeading"/>
              <w:rPr>
                <w:lang w:val="en-AU"/>
              </w:rPr>
            </w:pPr>
            <w:r w:rsidRPr="00AC6C6F">
              <w:rPr>
                <w:lang w:val="en-AU"/>
              </w:rPr>
              <w:t>Progression free survival (median duration of follow-up 17.0 months)</w:t>
            </w:r>
          </w:p>
        </w:tc>
      </w:tr>
      <w:tr w:rsidR="00AF726E"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26"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In-tableHeading"/>
              <w:rPr>
                <w:lang w:val="en-AU"/>
              </w:rPr>
            </w:pPr>
            <w:r w:rsidRPr="00AC6C6F">
              <w:rPr>
                <w:lang w:val="en-AU"/>
              </w:rPr>
              <w:t>Event</w:t>
            </w:r>
          </w:p>
        </w:tc>
        <w:tc>
          <w:tcPr>
            <w:tcW w:w="1030" w:type="pct"/>
            <w:gridSpan w:val="2"/>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In-tableHeading"/>
              <w:jc w:val="center"/>
              <w:rPr>
                <w:lang w:val="en-AU"/>
              </w:rPr>
            </w:pPr>
            <w:r w:rsidRPr="00AC6C6F">
              <w:rPr>
                <w:lang w:val="en-AU"/>
              </w:rPr>
              <w:t>Mogamulizumab</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E457B3" w:rsidP="00302235">
            <w:pPr>
              <w:pStyle w:val="In-tableHeading"/>
              <w:jc w:val="center"/>
              <w:rPr>
                <w:lang w:val="en-AU"/>
              </w:rPr>
            </w:pPr>
            <w:r w:rsidRPr="00AC6C6F">
              <w:rPr>
                <w:lang w:val="en-AU"/>
              </w:rPr>
              <w:t>Vorinostat</w:t>
            </w:r>
          </w:p>
        </w:tc>
        <w:tc>
          <w:tcPr>
            <w:tcW w:w="947" w:type="pct"/>
            <w:gridSpan w:val="3"/>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In-tableHeading"/>
              <w:jc w:val="center"/>
              <w:rPr>
                <w:rFonts w:asciiTheme="minorHAnsi" w:hAnsiTheme="minorHAnsi"/>
                <w:lang w:val="en-AU"/>
              </w:rPr>
            </w:pPr>
            <w:r w:rsidRPr="00AC6C6F">
              <w:rPr>
                <w:lang w:val="en-AU"/>
              </w:rPr>
              <w:t>Absolute Difference</w:t>
            </w:r>
          </w:p>
        </w:tc>
        <w:tc>
          <w:tcPr>
            <w:tcW w:w="754"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In-tableHeading"/>
              <w:jc w:val="center"/>
              <w:rPr>
                <w:lang w:val="en-AU"/>
              </w:rPr>
            </w:pPr>
            <w:r w:rsidRPr="00AC6C6F">
              <w:rPr>
                <w:lang w:val="en-AU"/>
              </w:rPr>
              <w:t>HR (95% CI)</w:t>
            </w:r>
          </w:p>
        </w:tc>
      </w:tr>
      <w:tr w:rsidR="00AF726E"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26"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pPr>
            <w:r w:rsidRPr="00AC6C6F">
              <w:t>Progressed, n (%)</w:t>
            </w:r>
          </w:p>
        </w:tc>
        <w:tc>
          <w:tcPr>
            <w:tcW w:w="1030" w:type="pct"/>
            <w:gridSpan w:val="2"/>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pPr>
            <w:r w:rsidRPr="00AC6C6F">
              <w:rPr>
                <w:rFonts w:cs="Times New Roman"/>
              </w:rPr>
              <w:t>110/186 (59.1)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pPr>
            <w:r w:rsidRPr="00AC6C6F">
              <w:rPr>
                <w:rFonts w:cs="Times New Roman"/>
              </w:rPr>
              <w:t>131/186 (70.4)</w:t>
            </w:r>
          </w:p>
        </w:tc>
        <w:tc>
          <w:tcPr>
            <w:tcW w:w="947" w:type="pct"/>
            <w:gridSpan w:val="3"/>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pPr>
          </w:p>
        </w:tc>
        <w:tc>
          <w:tcPr>
            <w:tcW w:w="754" w:type="pct"/>
            <w:vMerge w:val="restart"/>
            <w:tcBorders>
              <w:top w:val="single" w:sz="4" w:space="0" w:color="auto"/>
              <w:left w:val="single" w:sz="4" w:space="0" w:color="auto"/>
              <w:right w:val="single" w:sz="4" w:space="0" w:color="auto"/>
            </w:tcBorders>
            <w:shd w:val="clear" w:color="auto" w:fill="auto"/>
          </w:tcPr>
          <w:p w:rsidR="00AF726E" w:rsidRPr="00AC6C6F" w:rsidRDefault="00AF726E" w:rsidP="00302235">
            <w:pPr>
              <w:pStyle w:val="TableText0"/>
              <w:keepLines/>
              <w:widowControl w:val="0"/>
              <w:jc w:val="center"/>
              <w:rPr>
                <w:b/>
                <w:bCs w:val="0"/>
              </w:rPr>
            </w:pPr>
            <w:r w:rsidRPr="00AC6C6F">
              <w:rPr>
                <w:b/>
                <w:bCs w:val="0"/>
              </w:rPr>
              <w:t>0.53 (0.41, 0.69)</w:t>
            </w:r>
          </w:p>
          <w:p w:rsidR="00AF726E" w:rsidRPr="00AC6C6F" w:rsidRDefault="00AF726E" w:rsidP="00302235">
            <w:pPr>
              <w:pStyle w:val="TableText0"/>
              <w:keepLines/>
              <w:widowControl w:val="0"/>
              <w:jc w:val="center"/>
            </w:pPr>
            <w:r w:rsidRPr="00AC6C6F">
              <w:rPr>
                <w:b/>
                <w:bCs w:val="0"/>
              </w:rPr>
              <w:t>P</w:t>
            </w:r>
            <w:r w:rsidRPr="00AC6C6F">
              <w:t xml:space="preserve"> </w:t>
            </w:r>
            <w:r w:rsidRPr="00AC6C6F">
              <w:rPr>
                <w:b/>
                <w:bCs w:val="0"/>
              </w:rPr>
              <w:t>&lt;0.0001</w:t>
            </w:r>
          </w:p>
        </w:tc>
      </w:tr>
      <w:tr w:rsidR="00AF726E"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26"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pPr>
            <w:r w:rsidRPr="00AC6C6F">
              <w:t>Median PFS, months (95% CI)</w:t>
            </w:r>
          </w:p>
        </w:tc>
        <w:tc>
          <w:tcPr>
            <w:tcW w:w="1030" w:type="pct"/>
            <w:gridSpan w:val="2"/>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rPr>
                <w:rFonts w:cs="Times New Roman"/>
              </w:rPr>
            </w:pPr>
            <w:r w:rsidRPr="00AC6C6F">
              <w:rPr>
                <w:rFonts w:cs="Times New Roman"/>
              </w:rPr>
              <w:t xml:space="preserve">7.7 </w:t>
            </w:r>
            <w:r w:rsidRPr="00AC6C6F">
              <w:t>(5.7, 10.3)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rPr>
                <w:rFonts w:cs="Times New Roman"/>
              </w:rPr>
            </w:pPr>
            <w:r w:rsidRPr="00AC6C6F">
              <w:t>3.1 (2.9, 4.1)</w:t>
            </w:r>
          </w:p>
        </w:tc>
        <w:tc>
          <w:tcPr>
            <w:tcW w:w="947" w:type="pct"/>
            <w:gridSpan w:val="3"/>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pPr>
            <w:r w:rsidRPr="00AC6C6F">
              <w:t>4.6</w:t>
            </w:r>
          </w:p>
        </w:tc>
        <w:tc>
          <w:tcPr>
            <w:tcW w:w="754" w:type="pct"/>
            <w:vMerge/>
            <w:tcBorders>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pPr>
          </w:p>
        </w:tc>
      </w:tr>
      <w:tr w:rsidR="00AF726E"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26"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rPr>
                <w:vertAlign w:val="superscript"/>
              </w:rPr>
            </w:pPr>
            <w:r w:rsidRPr="00AC6C6F">
              <w:t>% not progressed at 6 months (95% CI)</w:t>
            </w:r>
            <w:r w:rsidRPr="00AC6C6F">
              <w:rPr>
                <w:vertAlign w:val="superscript"/>
              </w:rPr>
              <w:t xml:space="preserve"> a</w:t>
            </w:r>
          </w:p>
        </w:tc>
        <w:tc>
          <w:tcPr>
            <w:tcW w:w="1030" w:type="pct"/>
            <w:gridSpan w:val="2"/>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pPr>
            <w:r w:rsidRPr="00AC6C6F">
              <w:t>54.7 (46.6, 62.1)</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pPr>
            <w:r w:rsidRPr="00AC6C6F">
              <w:t>35.1 (27.4, 42.9)</w:t>
            </w:r>
          </w:p>
        </w:tc>
        <w:tc>
          <w:tcPr>
            <w:tcW w:w="947" w:type="pct"/>
            <w:gridSpan w:val="3"/>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rPr>
                <w:iCs/>
                <w:vertAlign w:val="superscript"/>
              </w:rPr>
            </w:pPr>
            <w:r w:rsidRPr="00AC6C6F">
              <w:rPr>
                <w:iCs/>
              </w:rPr>
              <w:t>19.6</w:t>
            </w:r>
            <w:r w:rsidR="00A95F5A" w:rsidRPr="00AC6C6F">
              <w:rPr>
                <w:iCs/>
                <w:vertAlign w:val="superscript"/>
              </w:rPr>
              <w:t>c</w:t>
            </w:r>
          </w:p>
        </w:tc>
        <w:tc>
          <w:tcPr>
            <w:tcW w:w="754"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pPr>
          </w:p>
        </w:tc>
      </w:tr>
      <w:tr w:rsidR="00AF726E"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26"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pPr>
            <w:r w:rsidRPr="00AC6C6F">
              <w:t xml:space="preserve">% not progressed at 18 months (95% CI) </w:t>
            </w:r>
            <w:r w:rsidRPr="00AC6C6F">
              <w:rPr>
                <w:vertAlign w:val="superscript"/>
              </w:rPr>
              <w:t>a</w:t>
            </w:r>
          </w:p>
        </w:tc>
        <w:tc>
          <w:tcPr>
            <w:tcW w:w="1030" w:type="pct"/>
            <w:gridSpan w:val="2"/>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pPr>
            <w:r w:rsidRPr="00AC6C6F">
              <w:t>27.9 (20.1, 36.3)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pPr>
            <w:r w:rsidRPr="00AC6C6F">
              <w:t>13.8 (7.0, 22.8)</w:t>
            </w:r>
          </w:p>
        </w:tc>
        <w:tc>
          <w:tcPr>
            <w:tcW w:w="947" w:type="pct"/>
            <w:gridSpan w:val="3"/>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rPr>
                <w:rFonts w:cs="Times New Roman"/>
                <w:iCs/>
                <w:vertAlign w:val="superscript"/>
              </w:rPr>
            </w:pPr>
            <w:r w:rsidRPr="00AC6C6F">
              <w:rPr>
                <w:rFonts w:cs="Times New Roman"/>
                <w:iCs/>
              </w:rPr>
              <w:t>14.1</w:t>
            </w:r>
            <w:r w:rsidR="00A95F5A" w:rsidRPr="00AC6C6F">
              <w:rPr>
                <w:rFonts w:cs="Times New Roman"/>
                <w:iCs/>
                <w:vertAlign w:val="superscript"/>
              </w:rPr>
              <w:t>c</w:t>
            </w:r>
          </w:p>
        </w:tc>
        <w:tc>
          <w:tcPr>
            <w:tcW w:w="754"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pPr>
          </w:p>
        </w:tc>
      </w:tr>
      <w:tr w:rsidR="00AF726E"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26"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pPr>
            <w:r w:rsidRPr="00AC6C6F">
              <w:t xml:space="preserve">% not progressed at 30 months (95% CI) </w:t>
            </w:r>
            <w:r w:rsidRPr="00AC6C6F">
              <w:rPr>
                <w:vertAlign w:val="superscript"/>
              </w:rPr>
              <w:t>a</w:t>
            </w:r>
          </w:p>
        </w:tc>
        <w:tc>
          <w:tcPr>
            <w:tcW w:w="1030" w:type="pct"/>
            <w:gridSpan w:val="2"/>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pPr>
            <w:r w:rsidRPr="00AC6C6F">
              <w:t>19.6 (11.5, 29.3)</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pPr>
            <w:r w:rsidRPr="00AC6C6F">
              <w:t>10.3 (3.9, 20.4)</w:t>
            </w:r>
          </w:p>
        </w:tc>
        <w:tc>
          <w:tcPr>
            <w:tcW w:w="947" w:type="pct"/>
            <w:gridSpan w:val="3"/>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rPr>
                <w:rFonts w:cs="Times New Roman"/>
                <w:iCs/>
                <w:vertAlign w:val="superscript"/>
              </w:rPr>
            </w:pPr>
            <w:r w:rsidRPr="00AC6C6F">
              <w:rPr>
                <w:rFonts w:cs="Times New Roman"/>
                <w:iCs/>
              </w:rPr>
              <w:t>9.3</w:t>
            </w:r>
            <w:r w:rsidR="00A95F5A" w:rsidRPr="00AC6C6F">
              <w:rPr>
                <w:rFonts w:cs="Times New Roman"/>
                <w:iCs/>
                <w:vertAlign w:val="superscript"/>
              </w:rPr>
              <w:t>c</w:t>
            </w:r>
          </w:p>
        </w:tc>
        <w:tc>
          <w:tcPr>
            <w:tcW w:w="754" w:type="pct"/>
            <w:tcBorders>
              <w:top w:val="single" w:sz="4" w:space="0" w:color="auto"/>
              <w:left w:val="single" w:sz="4" w:space="0" w:color="auto"/>
              <w:bottom w:val="single" w:sz="4" w:space="0" w:color="auto"/>
              <w:right w:val="single" w:sz="4" w:space="0" w:color="auto"/>
            </w:tcBorders>
            <w:shd w:val="clear" w:color="auto" w:fill="auto"/>
          </w:tcPr>
          <w:p w:rsidR="00AF726E" w:rsidRPr="00AC6C6F" w:rsidRDefault="00AF726E" w:rsidP="00302235">
            <w:pPr>
              <w:pStyle w:val="TableText0"/>
              <w:keepLines/>
              <w:widowControl w:val="0"/>
              <w:jc w:val="center"/>
            </w:pPr>
          </w:p>
        </w:tc>
      </w:tr>
      <w:tr w:rsidR="009C13EF" w:rsidRPr="00AC6C6F" w:rsidTr="009C13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9C13EF" w:rsidRPr="00AC6C6F" w:rsidRDefault="009C13EF" w:rsidP="009C13EF">
            <w:pPr>
              <w:pStyle w:val="TableText0"/>
              <w:keepLines/>
              <w:widowControl w:val="0"/>
              <w:rPr>
                <w:b/>
                <w:bCs w:val="0"/>
                <w:vertAlign w:val="superscript"/>
              </w:rPr>
            </w:pPr>
            <w:r w:rsidRPr="00AC6C6F">
              <w:rPr>
                <w:b/>
                <w:bCs w:val="0"/>
              </w:rPr>
              <w:t xml:space="preserve">Overall survival </w:t>
            </w:r>
            <w:r w:rsidR="00987C8A" w:rsidRPr="00AC6C6F">
              <w:rPr>
                <w:b/>
                <w:bCs w:val="0"/>
              </w:rPr>
              <w:t xml:space="preserve">(median duration of follow-up 17.0 months) </w:t>
            </w:r>
            <w:r w:rsidR="00987C8A" w:rsidRPr="00AC6C6F">
              <w:rPr>
                <w:b/>
                <w:bCs w:val="0"/>
                <w:vertAlign w:val="superscript"/>
              </w:rPr>
              <w:t>b</w:t>
            </w:r>
          </w:p>
        </w:tc>
      </w:tr>
      <w:tr w:rsidR="00987C8A" w:rsidRPr="00AC6C6F" w:rsidTr="00AB3E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26" w:type="pct"/>
            <w:tcBorders>
              <w:top w:val="single" w:sz="4" w:space="0" w:color="auto"/>
              <w:left w:val="single" w:sz="4" w:space="0" w:color="auto"/>
              <w:bottom w:val="single" w:sz="4" w:space="0" w:color="auto"/>
              <w:right w:val="single" w:sz="4" w:space="0" w:color="auto"/>
            </w:tcBorders>
            <w:shd w:val="clear" w:color="auto" w:fill="auto"/>
          </w:tcPr>
          <w:p w:rsidR="00987C8A" w:rsidRPr="00AC6C6F" w:rsidRDefault="00987C8A" w:rsidP="00302235">
            <w:pPr>
              <w:pStyle w:val="TableText0"/>
              <w:keepLines/>
              <w:widowControl w:val="0"/>
            </w:pPr>
            <w:r w:rsidRPr="00AC6C6F">
              <w:t>Died, n (%)</w:t>
            </w:r>
          </w:p>
        </w:tc>
        <w:tc>
          <w:tcPr>
            <w:tcW w:w="1030" w:type="pct"/>
            <w:gridSpan w:val="2"/>
            <w:tcBorders>
              <w:top w:val="single" w:sz="4" w:space="0" w:color="auto"/>
              <w:left w:val="single" w:sz="4" w:space="0" w:color="auto"/>
              <w:bottom w:val="single" w:sz="4" w:space="0" w:color="auto"/>
              <w:right w:val="single" w:sz="4" w:space="0" w:color="auto"/>
            </w:tcBorders>
            <w:shd w:val="clear" w:color="auto" w:fill="auto"/>
          </w:tcPr>
          <w:p w:rsidR="00987C8A" w:rsidRPr="00AC6C6F" w:rsidRDefault="00987C8A" w:rsidP="00302235">
            <w:pPr>
              <w:pStyle w:val="TableText0"/>
              <w:keepLines/>
              <w:widowControl w:val="0"/>
              <w:jc w:val="center"/>
            </w:pPr>
            <w:r w:rsidRPr="00AC6C6F">
              <w:t>40/186 (21.5)</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987C8A" w:rsidRPr="00AC6C6F" w:rsidRDefault="00987C8A" w:rsidP="00302235">
            <w:pPr>
              <w:pStyle w:val="TableText0"/>
              <w:keepLines/>
              <w:widowControl w:val="0"/>
              <w:jc w:val="center"/>
            </w:pPr>
            <w:r w:rsidRPr="00AC6C6F">
              <w:t>47</w:t>
            </w:r>
            <w:r w:rsidR="00D227EE" w:rsidRPr="00AC6C6F">
              <w:t>/</w:t>
            </w:r>
            <w:r w:rsidRPr="00AC6C6F">
              <w:t>186 (25.3)</w:t>
            </w:r>
          </w:p>
        </w:tc>
        <w:tc>
          <w:tcPr>
            <w:tcW w:w="947" w:type="pct"/>
            <w:gridSpan w:val="3"/>
            <w:tcBorders>
              <w:top w:val="single" w:sz="4" w:space="0" w:color="auto"/>
              <w:left w:val="single" w:sz="4" w:space="0" w:color="auto"/>
              <w:bottom w:val="single" w:sz="4" w:space="0" w:color="auto"/>
              <w:right w:val="single" w:sz="4" w:space="0" w:color="auto"/>
            </w:tcBorders>
            <w:shd w:val="clear" w:color="auto" w:fill="auto"/>
          </w:tcPr>
          <w:p w:rsidR="00987C8A" w:rsidRPr="00AC6C6F" w:rsidRDefault="00987C8A" w:rsidP="00302235">
            <w:pPr>
              <w:pStyle w:val="TableText0"/>
              <w:keepLines/>
              <w:widowControl w:val="0"/>
              <w:jc w:val="center"/>
              <w:rPr>
                <w:rFonts w:cs="Times New Roman"/>
                <w:iCs/>
              </w:rPr>
            </w:pPr>
          </w:p>
        </w:tc>
        <w:tc>
          <w:tcPr>
            <w:tcW w:w="754" w:type="pct"/>
            <w:vMerge w:val="restart"/>
            <w:tcBorders>
              <w:top w:val="single" w:sz="4" w:space="0" w:color="auto"/>
              <w:left w:val="single" w:sz="4" w:space="0" w:color="auto"/>
              <w:right w:val="single" w:sz="4" w:space="0" w:color="auto"/>
            </w:tcBorders>
            <w:shd w:val="clear" w:color="auto" w:fill="auto"/>
          </w:tcPr>
          <w:p w:rsidR="00987C8A" w:rsidRPr="00AC6C6F" w:rsidRDefault="00987C8A" w:rsidP="00987C8A">
            <w:pPr>
              <w:pStyle w:val="TableText0"/>
              <w:keepLines/>
              <w:widowControl w:val="0"/>
              <w:jc w:val="center"/>
            </w:pPr>
            <w:r w:rsidRPr="00AC6C6F">
              <w:t>0.93 (0.61, 1.43)</w:t>
            </w:r>
          </w:p>
          <w:p w:rsidR="00987C8A" w:rsidRPr="00AC6C6F" w:rsidRDefault="00987C8A" w:rsidP="00987C8A">
            <w:pPr>
              <w:pStyle w:val="TableText0"/>
              <w:keepLines/>
              <w:widowControl w:val="0"/>
              <w:jc w:val="center"/>
            </w:pPr>
            <w:r w:rsidRPr="00AC6C6F">
              <w:t>P = 0.94</w:t>
            </w:r>
          </w:p>
        </w:tc>
      </w:tr>
      <w:tr w:rsidR="00987C8A" w:rsidRPr="00AC6C6F" w:rsidTr="00AB3E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26" w:type="pct"/>
            <w:tcBorders>
              <w:top w:val="single" w:sz="4" w:space="0" w:color="auto"/>
              <w:left w:val="single" w:sz="4" w:space="0" w:color="auto"/>
              <w:bottom w:val="single" w:sz="4" w:space="0" w:color="auto"/>
              <w:right w:val="single" w:sz="4" w:space="0" w:color="auto"/>
            </w:tcBorders>
            <w:shd w:val="clear" w:color="auto" w:fill="auto"/>
          </w:tcPr>
          <w:p w:rsidR="00987C8A" w:rsidRPr="00AC6C6F" w:rsidRDefault="00987C8A" w:rsidP="00987C8A">
            <w:pPr>
              <w:pStyle w:val="TableText0"/>
              <w:keepLines/>
              <w:widowControl w:val="0"/>
            </w:pPr>
            <w:r w:rsidRPr="00AC6C6F">
              <w:t xml:space="preserve">Median </w:t>
            </w:r>
            <w:r w:rsidR="002D3142" w:rsidRPr="00AC6C6F">
              <w:t>O</w:t>
            </w:r>
            <w:r w:rsidRPr="00AC6C6F">
              <w:t>S, months (95% CI)</w:t>
            </w:r>
          </w:p>
        </w:tc>
        <w:tc>
          <w:tcPr>
            <w:tcW w:w="1030" w:type="pct"/>
            <w:gridSpan w:val="2"/>
            <w:tcBorders>
              <w:top w:val="single" w:sz="4" w:space="0" w:color="auto"/>
              <w:left w:val="single" w:sz="4" w:space="0" w:color="auto"/>
              <w:bottom w:val="single" w:sz="4" w:space="0" w:color="auto"/>
              <w:right w:val="single" w:sz="4" w:space="0" w:color="auto"/>
            </w:tcBorders>
            <w:shd w:val="clear" w:color="auto" w:fill="auto"/>
          </w:tcPr>
          <w:p w:rsidR="00987C8A" w:rsidRPr="00AC6C6F" w:rsidRDefault="00987C8A" w:rsidP="00987C8A">
            <w:pPr>
              <w:pStyle w:val="TableText0"/>
              <w:keepLines/>
              <w:widowControl w:val="0"/>
              <w:jc w:val="center"/>
            </w:pPr>
            <w:r w:rsidRPr="00AC6C6F">
              <w:t>NR (NR, NR)</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987C8A" w:rsidRPr="00AC6C6F" w:rsidRDefault="00987C8A" w:rsidP="00987C8A">
            <w:pPr>
              <w:pStyle w:val="TableText0"/>
              <w:keepLines/>
              <w:widowControl w:val="0"/>
              <w:jc w:val="center"/>
            </w:pPr>
            <w:r w:rsidRPr="00AC6C6F">
              <w:t>43.9 (43.6, NR)</w:t>
            </w:r>
          </w:p>
        </w:tc>
        <w:tc>
          <w:tcPr>
            <w:tcW w:w="947" w:type="pct"/>
            <w:gridSpan w:val="3"/>
            <w:tcBorders>
              <w:top w:val="single" w:sz="4" w:space="0" w:color="auto"/>
              <w:left w:val="single" w:sz="4" w:space="0" w:color="auto"/>
              <w:bottom w:val="single" w:sz="4" w:space="0" w:color="auto"/>
              <w:right w:val="single" w:sz="4" w:space="0" w:color="auto"/>
            </w:tcBorders>
            <w:shd w:val="clear" w:color="auto" w:fill="auto"/>
          </w:tcPr>
          <w:p w:rsidR="00987C8A" w:rsidRPr="00AC6C6F" w:rsidRDefault="00987C8A" w:rsidP="00987C8A">
            <w:pPr>
              <w:pStyle w:val="TableText0"/>
              <w:keepLines/>
              <w:widowControl w:val="0"/>
              <w:jc w:val="center"/>
              <w:rPr>
                <w:rFonts w:cs="Times New Roman"/>
                <w:iCs/>
                <w:vertAlign w:val="superscript"/>
              </w:rPr>
            </w:pPr>
            <w:r w:rsidRPr="00AC6C6F">
              <w:rPr>
                <w:rFonts w:cs="Times New Roman"/>
                <w:iCs/>
              </w:rPr>
              <w:t>NE</w:t>
            </w:r>
            <w:r w:rsidR="00A95F5A" w:rsidRPr="00AC6C6F">
              <w:rPr>
                <w:rFonts w:cs="Times New Roman"/>
                <w:iCs/>
                <w:vertAlign w:val="superscript"/>
              </w:rPr>
              <w:t>c</w:t>
            </w:r>
          </w:p>
        </w:tc>
        <w:tc>
          <w:tcPr>
            <w:tcW w:w="754" w:type="pct"/>
            <w:vMerge/>
            <w:tcBorders>
              <w:left w:val="single" w:sz="4" w:space="0" w:color="auto"/>
              <w:bottom w:val="single" w:sz="4" w:space="0" w:color="auto"/>
              <w:right w:val="single" w:sz="4" w:space="0" w:color="auto"/>
            </w:tcBorders>
            <w:shd w:val="clear" w:color="auto" w:fill="auto"/>
          </w:tcPr>
          <w:p w:rsidR="00987C8A" w:rsidRPr="00AC6C6F" w:rsidRDefault="00987C8A" w:rsidP="00987C8A">
            <w:pPr>
              <w:pStyle w:val="TableText0"/>
              <w:keepLines/>
              <w:widowControl w:val="0"/>
              <w:jc w:val="center"/>
            </w:pPr>
          </w:p>
        </w:tc>
      </w:tr>
      <w:tr w:rsidR="00987C8A" w:rsidRPr="00AC6C6F" w:rsidTr="003022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987C8A" w:rsidRPr="00AC6C6F" w:rsidRDefault="00987C8A" w:rsidP="00987C8A">
            <w:pPr>
              <w:pStyle w:val="In-tableHeading"/>
              <w:rPr>
                <w:lang w:val="en-AU"/>
              </w:rPr>
            </w:pPr>
            <w:r w:rsidRPr="00AC6C6F">
              <w:rPr>
                <w:lang w:val="en-AU"/>
              </w:rPr>
              <w:t>Harms (median duration of follow-up 17.0 months)</w:t>
            </w:r>
          </w:p>
        </w:tc>
      </w:tr>
      <w:tr w:rsidR="00987C8A"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134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87C8A" w:rsidRPr="00AC6C6F" w:rsidRDefault="00987C8A" w:rsidP="00987C8A">
            <w:pPr>
              <w:pStyle w:val="In-tableHeading"/>
              <w:jc w:val="center"/>
              <w:rPr>
                <w:bCs/>
                <w:lang w:val="en-AU"/>
              </w:rPr>
            </w:pPr>
            <w:r w:rsidRPr="00AC6C6F">
              <w:rPr>
                <w:bCs/>
                <w:lang w:val="en-AU"/>
              </w:rPr>
              <w:t>Potentially clinically relevant adverse events (any Grade)</w:t>
            </w:r>
          </w:p>
        </w:tc>
        <w:tc>
          <w:tcPr>
            <w:tcW w:w="1015" w:type="pct"/>
            <w:vMerge w:val="restar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In-tableHeading"/>
              <w:ind w:hanging="18"/>
              <w:jc w:val="center"/>
              <w:rPr>
                <w:bCs/>
                <w:lang w:val="en-AU"/>
              </w:rPr>
            </w:pPr>
            <w:r w:rsidRPr="00AC6C6F">
              <w:rPr>
                <w:bCs/>
                <w:lang w:val="en-AU"/>
              </w:rPr>
              <w:t>Mogamulizumab (N = 184)</w:t>
            </w:r>
          </w:p>
        </w:tc>
        <w:tc>
          <w:tcPr>
            <w:tcW w:w="943" w:type="pct"/>
            <w:vMerge w:val="restar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In-tableHeading"/>
              <w:jc w:val="center"/>
              <w:rPr>
                <w:bCs/>
                <w:lang w:val="en-AU"/>
              </w:rPr>
            </w:pPr>
            <w:r w:rsidRPr="00AC6C6F">
              <w:rPr>
                <w:bCs/>
                <w:lang w:val="en-AU"/>
              </w:rPr>
              <w:t>Vorinostat</w:t>
            </w:r>
          </w:p>
          <w:p w:rsidR="00987C8A" w:rsidRPr="00AC6C6F" w:rsidRDefault="00987C8A" w:rsidP="00987C8A">
            <w:pPr>
              <w:pStyle w:val="In-tableHeading"/>
              <w:jc w:val="center"/>
              <w:rPr>
                <w:bCs/>
                <w:lang w:val="en-AU"/>
              </w:rPr>
            </w:pPr>
            <w:r w:rsidRPr="00AC6C6F">
              <w:rPr>
                <w:bCs/>
                <w:lang w:val="en-AU"/>
              </w:rPr>
              <w:t>(N = 186)</w:t>
            </w:r>
          </w:p>
        </w:tc>
        <w:tc>
          <w:tcPr>
            <w:tcW w:w="869" w:type="pct"/>
            <w:gridSpan w:val="2"/>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In-tableHeading"/>
              <w:jc w:val="center"/>
              <w:rPr>
                <w:bCs/>
                <w:lang w:val="en-AU"/>
              </w:rPr>
            </w:pPr>
            <w:r w:rsidRPr="00AC6C6F">
              <w:rPr>
                <w:bCs/>
                <w:lang w:val="en-AU"/>
              </w:rPr>
              <w:t>Event rate/100 patients</w:t>
            </w:r>
          </w:p>
        </w:tc>
        <w:tc>
          <w:tcPr>
            <w:tcW w:w="832" w:type="pct"/>
            <w:gridSpan w:val="2"/>
            <w:vMerge w:val="restar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In-tableHeading"/>
              <w:jc w:val="center"/>
              <w:rPr>
                <w:bCs/>
                <w:vertAlign w:val="superscript"/>
                <w:lang w:val="en-AU"/>
              </w:rPr>
            </w:pPr>
            <w:r w:rsidRPr="00AC6C6F">
              <w:rPr>
                <w:bCs/>
                <w:lang w:val="en-AU"/>
              </w:rPr>
              <w:t>RD</w:t>
            </w:r>
            <w:r w:rsidRPr="00AC6C6F">
              <w:rPr>
                <w:bCs/>
                <w:vertAlign w:val="superscript"/>
                <w:lang w:val="en-AU"/>
              </w:rPr>
              <w:t xml:space="preserve"> c</w:t>
            </w:r>
          </w:p>
          <w:p w:rsidR="00987C8A" w:rsidRPr="00AC6C6F" w:rsidRDefault="00987C8A" w:rsidP="00987C8A">
            <w:pPr>
              <w:pStyle w:val="In-tableHeading"/>
              <w:jc w:val="center"/>
              <w:rPr>
                <w:b w:val="0"/>
                <w:lang w:val="en-AU"/>
              </w:rPr>
            </w:pPr>
            <w:r w:rsidRPr="00AC6C6F">
              <w:rPr>
                <w:bCs/>
                <w:lang w:val="en-AU"/>
              </w:rPr>
              <w:t>(95% CI)</w:t>
            </w:r>
          </w:p>
        </w:tc>
      </w:tr>
      <w:tr w:rsidR="00987C8A"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1341"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87C8A" w:rsidRPr="00AC6C6F" w:rsidRDefault="00987C8A" w:rsidP="00987C8A">
            <w:pPr>
              <w:pStyle w:val="In-tableHeading"/>
              <w:rPr>
                <w:b w:val="0"/>
                <w:lang w:val="en-AU"/>
              </w:rPr>
            </w:pPr>
          </w:p>
        </w:tc>
        <w:tc>
          <w:tcPr>
            <w:tcW w:w="1015" w:type="pct"/>
            <w:vMerge/>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In-tableHeading"/>
              <w:rPr>
                <w:b w:val="0"/>
                <w:lang w:val="en-AU"/>
              </w:rPr>
            </w:pPr>
          </w:p>
        </w:tc>
        <w:tc>
          <w:tcPr>
            <w:tcW w:w="943" w:type="pct"/>
            <w:vMerge/>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In-tableHeading"/>
              <w:rPr>
                <w:b w:val="0"/>
                <w:lang w:val="en-AU"/>
              </w:rPr>
            </w:pPr>
          </w:p>
        </w:tc>
        <w:tc>
          <w:tcPr>
            <w:tcW w:w="471"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In-tableHeading"/>
              <w:ind w:right="-33" w:hanging="53"/>
              <w:jc w:val="center"/>
              <w:rPr>
                <w:bCs/>
                <w:lang w:val="en-AU"/>
              </w:rPr>
            </w:pPr>
            <w:r w:rsidRPr="00AC6C6F">
              <w:rPr>
                <w:bCs/>
                <w:lang w:val="en-AU"/>
              </w:rPr>
              <w:t>Mogamulizumab</w:t>
            </w:r>
          </w:p>
        </w:tc>
        <w:tc>
          <w:tcPr>
            <w:tcW w:w="398"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In-tableHeading"/>
              <w:jc w:val="center"/>
              <w:rPr>
                <w:bCs/>
                <w:lang w:val="en-AU"/>
              </w:rPr>
            </w:pPr>
            <w:r w:rsidRPr="00AC6C6F">
              <w:rPr>
                <w:bCs/>
                <w:lang w:val="en-AU"/>
              </w:rPr>
              <w:t>Vorinostat</w:t>
            </w:r>
          </w:p>
        </w:tc>
        <w:tc>
          <w:tcPr>
            <w:tcW w:w="832" w:type="pct"/>
            <w:gridSpan w:val="2"/>
            <w:vMerge/>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In-tableHeading"/>
              <w:rPr>
                <w:b w:val="0"/>
                <w:lang w:val="en-AU"/>
              </w:rPr>
            </w:pPr>
          </w:p>
        </w:tc>
      </w:tr>
      <w:tr w:rsidR="00987C8A"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87C8A" w:rsidRPr="00AC6C6F" w:rsidRDefault="00987C8A" w:rsidP="00987C8A">
            <w:pPr>
              <w:pStyle w:val="TableText0"/>
              <w:rPr>
                <w:bCs w:val="0"/>
                <w:szCs w:val="20"/>
              </w:rPr>
            </w:pPr>
            <w:r w:rsidRPr="00AC6C6F">
              <w:rPr>
                <w:rStyle w:val="Small"/>
                <w:rFonts w:ascii="Arial Narrow" w:hAnsi="Arial Narrow"/>
                <w:bCs w:val="0"/>
                <w:szCs w:val="20"/>
              </w:rPr>
              <w:t>Drug eruption</w:t>
            </w:r>
          </w:p>
        </w:tc>
        <w:tc>
          <w:tcPr>
            <w:tcW w:w="1015"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42</w:t>
            </w:r>
          </w:p>
        </w:tc>
        <w:tc>
          <w:tcPr>
            <w:tcW w:w="943"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1</w:t>
            </w:r>
          </w:p>
        </w:tc>
        <w:tc>
          <w:tcPr>
            <w:tcW w:w="471"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23</w:t>
            </w:r>
          </w:p>
        </w:tc>
        <w:tc>
          <w:tcPr>
            <w:tcW w:w="398"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1</w:t>
            </w:r>
          </w:p>
        </w:tc>
        <w:tc>
          <w:tcPr>
            <w:tcW w:w="832" w:type="pct"/>
            <w:gridSpan w:val="2"/>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rFonts w:cs="Arial"/>
                <w:b/>
                <w:color w:val="000000" w:themeColor="text1"/>
                <w:szCs w:val="20"/>
              </w:rPr>
            </w:pPr>
            <w:r w:rsidRPr="00AC6C6F">
              <w:rPr>
                <w:rFonts w:cs="Arial"/>
                <w:b/>
                <w:color w:val="000000" w:themeColor="text1"/>
                <w:szCs w:val="20"/>
              </w:rPr>
              <w:t>0.22 (0.16, 0.28)</w:t>
            </w:r>
          </w:p>
        </w:tc>
      </w:tr>
      <w:tr w:rsidR="00987C8A"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87C8A" w:rsidRPr="00AC6C6F" w:rsidRDefault="00987C8A" w:rsidP="00987C8A">
            <w:pPr>
              <w:pStyle w:val="TableText0"/>
              <w:rPr>
                <w:rStyle w:val="Small"/>
                <w:rFonts w:ascii="Arial Narrow" w:hAnsi="Arial Narrow"/>
                <w:bCs w:val="0"/>
                <w:szCs w:val="20"/>
              </w:rPr>
            </w:pPr>
            <w:r w:rsidRPr="00AC6C6F">
              <w:rPr>
                <w:rStyle w:val="Small"/>
                <w:rFonts w:ascii="Arial Narrow" w:hAnsi="Arial Narrow"/>
                <w:bCs w:val="0"/>
                <w:szCs w:val="20"/>
              </w:rPr>
              <w:t>Infusion related reactions</w:t>
            </w:r>
          </w:p>
        </w:tc>
        <w:tc>
          <w:tcPr>
            <w:tcW w:w="1015"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61</w:t>
            </w:r>
          </w:p>
        </w:tc>
        <w:tc>
          <w:tcPr>
            <w:tcW w:w="943"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1</w:t>
            </w:r>
          </w:p>
        </w:tc>
        <w:tc>
          <w:tcPr>
            <w:tcW w:w="471"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33</w:t>
            </w:r>
          </w:p>
        </w:tc>
        <w:tc>
          <w:tcPr>
            <w:tcW w:w="398"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1</w:t>
            </w:r>
          </w:p>
        </w:tc>
        <w:tc>
          <w:tcPr>
            <w:tcW w:w="832" w:type="pct"/>
            <w:gridSpan w:val="2"/>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rFonts w:cs="Arial"/>
                <w:b/>
                <w:color w:val="000000" w:themeColor="text1"/>
                <w:szCs w:val="20"/>
              </w:rPr>
            </w:pPr>
            <w:r w:rsidRPr="00AC6C6F">
              <w:rPr>
                <w:rFonts w:cs="Arial"/>
                <w:b/>
                <w:color w:val="000000" w:themeColor="text1"/>
                <w:szCs w:val="20"/>
              </w:rPr>
              <w:t>0.33 (0.26, 0.39)</w:t>
            </w:r>
          </w:p>
        </w:tc>
      </w:tr>
      <w:tr w:rsidR="00987C8A"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87C8A" w:rsidRPr="00AC6C6F" w:rsidRDefault="00987C8A" w:rsidP="00987C8A">
            <w:pPr>
              <w:pStyle w:val="TableText0"/>
              <w:rPr>
                <w:bCs w:val="0"/>
                <w:szCs w:val="20"/>
              </w:rPr>
            </w:pPr>
            <w:r w:rsidRPr="00AC6C6F">
              <w:rPr>
                <w:bCs w:val="0"/>
                <w:szCs w:val="20"/>
              </w:rPr>
              <w:t>Diarrhoea</w:t>
            </w:r>
          </w:p>
        </w:tc>
        <w:tc>
          <w:tcPr>
            <w:tcW w:w="1015"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19</w:t>
            </w:r>
          </w:p>
        </w:tc>
        <w:tc>
          <w:tcPr>
            <w:tcW w:w="943"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103</w:t>
            </w:r>
          </w:p>
        </w:tc>
        <w:tc>
          <w:tcPr>
            <w:tcW w:w="471"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10</w:t>
            </w:r>
          </w:p>
        </w:tc>
        <w:tc>
          <w:tcPr>
            <w:tcW w:w="398"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55</w:t>
            </w:r>
          </w:p>
        </w:tc>
        <w:tc>
          <w:tcPr>
            <w:tcW w:w="832" w:type="pct"/>
            <w:gridSpan w:val="2"/>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rFonts w:cs="Arial"/>
                <w:b/>
                <w:color w:val="000000" w:themeColor="text1"/>
                <w:szCs w:val="20"/>
              </w:rPr>
            </w:pPr>
            <w:r w:rsidRPr="00AC6C6F">
              <w:rPr>
                <w:rFonts w:cs="Arial"/>
                <w:b/>
                <w:color w:val="000000" w:themeColor="text1"/>
                <w:szCs w:val="20"/>
              </w:rPr>
              <w:t>-0.45 (-0.53, -0.37)</w:t>
            </w:r>
          </w:p>
        </w:tc>
      </w:tr>
      <w:tr w:rsidR="00987C8A"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87C8A" w:rsidRPr="00AC6C6F" w:rsidRDefault="00987C8A" w:rsidP="00987C8A">
            <w:pPr>
              <w:pStyle w:val="TableText0"/>
              <w:rPr>
                <w:bCs w:val="0"/>
                <w:szCs w:val="20"/>
              </w:rPr>
            </w:pPr>
            <w:r w:rsidRPr="00AC6C6F">
              <w:rPr>
                <w:rStyle w:val="Small"/>
                <w:rFonts w:ascii="Arial Narrow" w:hAnsi="Arial Narrow"/>
                <w:bCs w:val="0"/>
                <w:szCs w:val="20"/>
              </w:rPr>
              <w:t>Nausea</w:t>
            </w:r>
          </w:p>
        </w:tc>
        <w:tc>
          <w:tcPr>
            <w:tcW w:w="1015"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17</w:t>
            </w:r>
          </w:p>
        </w:tc>
        <w:tc>
          <w:tcPr>
            <w:tcW w:w="943"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71</w:t>
            </w:r>
          </w:p>
        </w:tc>
        <w:tc>
          <w:tcPr>
            <w:tcW w:w="471"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9</w:t>
            </w:r>
          </w:p>
        </w:tc>
        <w:tc>
          <w:tcPr>
            <w:tcW w:w="398"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38</w:t>
            </w:r>
          </w:p>
        </w:tc>
        <w:tc>
          <w:tcPr>
            <w:tcW w:w="832" w:type="pct"/>
            <w:gridSpan w:val="2"/>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rFonts w:cs="Arial"/>
                <w:b/>
                <w:color w:val="000000" w:themeColor="text1"/>
                <w:szCs w:val="20"/>
              </w:rPr>
            </w:pPr>
            <w:r w:rsidRPr="00AC6C6F">
              <w:rPr>
                <w:rFonts w:cs="Arial"/>
                <w:b/>
                <w:color w:val="000000" w:themeColor="text1"/>
                <w:szCs w:val="20"/>
              </w:rPr>
              <w:t>-0.29 (-0.37, -0.21)</w:t>
            </w:r>
          </w:p>
        </w:tc>
      </w:tr>
      <w:tr w:rsidR="00987C8A"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87C8A" w:rsidRPr="00AC6C6F" w:rsidRDefault="00987C8A" w:rsidP="00987C8A">
            <w:pPr>
              <w:pStyle w:val="TableText0"/>
              <w:rPr>
                <w:bCs w:val="0"/>
                <w:szCs w:val="20"/>
              </w:rPr>
            </w:pPr>
            <w:r w:rsidRPr="00AC6C6F">
              <w:rPr>
                <w:rStyle w:val="Small"/>
                <w:rFonts w:ascii="Arial Narrow" w:hAnsi="Arial Narrow"/>
                <w:bCs w:val="0"/>
                <w:szCs w:val="20"/>
              </w:rPr>
              <w:t>Dysgeusia</w:t>
            </w:r>
          </w:p>
        </w:tc>
        <w:tc>
          <w:tcPr>
            <w:tcW w:w="1015"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6</w:t>
            </w:r>
          </w:p>
        </w:tc>
        <w:tc>
          <w:tcPr>
            <w:tcW w:w="943"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52</w:t>
            </w:r>
          </w:p>
        </w:tc>
        <w:tc>
          <w:tcPr>
            <w:tcW w:w="471"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3</w:t>
            </w:r>
          </w:p>
        </w:tc>
        <w:tc>
          <w:tcPr>
            <w:tcW w:w="398"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28</w:t>
            </w:r>
          </w:p>
        </w:tc>
        <w:tc>
          <w:tcPr>
            <w:tcW w:w="832" w:type="pct"/>
            <w:gridSpan w:val="2"/>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rFonts w:cs="Arial"/>
                <w:b/>
                <w:color w:val="000000" w:themeColor="text1"/>
                <w:szCs w:val="20"/>
              </w:rPr>
            </w:pPr>
            <w:r w:rsidRPr="00AC6C6F">
              <w:rPr>
                <w:rFonts w:cs="Arial"/>
                <w:b/>
                <w:color w:val="000000" w:themeColor="text1"/>
                <w:szCs w:val="20"/>
              </w:rPr>
              <w:t>-0.25 (-0.32, -0.18)</w:t>
            </w:r>
          </w:p>
        </w:tc>
      </w:tr>
      <w:tr w:rsidR="00987C8A"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87C8A" w:rsidRPr="00AC6C6F" w:rsidRDefault="00987C8A" w:rsidP="00987C8A">
            <w:pPr>
              <w:pStyle w:val="TableText0"/>
              <w:rPr>
                <w:bCs w:val="0"/>
                <w:szCs w:val="20"/>
              </w:rPr>
            </w:pPr>
            <w:r w:rsidRPr="00AC6C6F">
              <w:rPr>
                <w:rStyle w:val="Small"/>
                <w:rFonts w:ascii="Arial Narrow" w:hAnsi="Arial Narrow"/>
                <w:bCs w:val="0"/>
                <w:szCs w:val="20"/>
              </w:rPr>
              <w:t>Blood creatinine increased</w:t>
            </w:r>
          </w:p>
        </w:tc>
        <w:tc>
          <w:tcPr>
            <w:tcW w:w="1015"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1</w:t>
            </w:r>
          </w:p>
        </w:tc>
        <w:tc>
          <w:tcPr>
            <w:tcW w:w="943"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45</w:t>
            </w:r>
          </w:p>
        </w:tc>
        <w:tc>
          <w:tcPr>
            <w:tcW w:w="471"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1</w:t>
            </w:r>
          </w:p>
        </w:tc>
        <w:tc>
          <w:tcPr>
            <w:tcW w:w="398"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24</w:t>
            </w:r>
          </w:p>
        </w:tc>
        <w:tc>
          <w:tcPr>
            <w:tcW w:w="832" w:type="pct"/>
            <w:gridSpan w:val="2"/>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rFonts w:cs="Arial"/>
                <w:b/>
                <w:color w:val="000000" w:themeColor="text1"/>
                <w:szCs w:val="20"/>
              </w:rPr>
            </w:pPr>
            <w:r w:rsidRPr="00AC6C6F">
              <w:rPr>
                <w:rFonts w:cs="Arial"/>
                <w:b/>
                <w:color w:val="000000" w:themeColor="text1"/>
                <w:szCs w:val="20"/>
              </w:rPr>
              <w:t>-0.24 (-0.30, -0.17)</w:t>
            </w:r>
          </w:p>
        </w:tc>
      </w:tr>
      <w:tr w:rsidR="00987C8A"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87C8A" w:rsidRPr="00AC6C6F" w:rsidRDefault="00987C8A" w:rsidP="00987C8A">
            <w:pPr>
              <w:pStyle w:val="TableText0"/>
              <w:rPr>
                <w:bCs w:val="0"/>
                <w:szCs w:val="20"/>
              </w:rPr>
            </w:pPr>
            <w:r w:rsidRPr="00AC6C6F">
              <w:rPr>
                <w:rStyle w:val="Small"/>
                <w:rFonts w:ascii="Arial Narrow" w:hAnsi="Arial Narrow"/>
                <w:bCs w:val="0"/>
                <w:szCs w:val="20"/>
              </w:rPr>
              <w:t>Thrombocytopenia</w:t>
            </w:r>
          </w:p>
        </w:tc>
        <w:tc>
          <w:tcPr>
            <w:tcW w:w="1015"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14</w:t>
            </w:r>
          </w:p>
        </w:tc>
        <w:tc>
          <w:tcPr>
            <w:tcW w:w="943"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56</w:t>
            </w:r>
          </w:p>
        </w:tc>
        <w:tc>
          <w:tcPr>
            <w:tcW w:w="471"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8</w:t>
            </w:r>
          </w:p>
        </w:tc>
        <w:tc>
          <w:tcPr>
            <w:tcW w:w="398"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30</w:t>
            </w:r>
          </w:p>
        </w:tc>
        <w:tc>
          <w:tcPr>
            <w:tcW w:w="832" w:type="pct"/>
            <w:gridSpan w:val="2"/>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rFonts w:cs="Arial"/>
                <w:b/>
                <w:color w:val="000000" w:themeColor="text1"/>
                <w:szCs w:val="20"/>
              </w:rPr>
            </w:pPr>
            <w:r w:rsidRPr="00AC6C6F">
              <w:rPr>
                <w:rFonts w:cs="Arial"/>
                <w:b/>
                <w:color w:val="000000" w:themeColor="text1"/>
                <w:szCs w:val="20"/>
              </w:rPr>
              <w:t>-0.22 (-0.30, -0.15)</w:t>
            </w:r>
          </w:p>
        </w:tc>
      </w:tr>
      <w:tr w:rsidR="00987C8A" w:rsidRPr="00AC6C6F" w:rsidTr="00E45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87C8A" w:rsidRPr="00AC6C6F" w:rsidRDefault="00987C8A" w:rsidP="00987C8A">
            <w:pPr>
              <w:pStyle w:val="TableText0"/>
              <w:rPr>
                <w:rStyle w:val="Small"/>
                <w:rFonts w:ascii="Arial Narrow" w:hAnsi="Arial Narrow"/>
                <w:bCs w:val="0"/>
                <w:szCs w:val="20"/>
              </w:rPr>
            </w:pPr>
            <w:r w:rsidRPr="00AC6C6F">
              <w:rPr>
                <w:rStyle w:val="Small"/>
                <w:rFonts w:ascii="Arial Narrow" w:hAnsi="Arial Narrow"/>
                <w:bCs w:val="0"/>
                <w:szCs w:val="20"/>
              </w:rPr>
              <w:t>Decreased appetite</w:t>
            </w:r>
          </w:p>
        </w:tc>
        <w:tc>
          <w:tcPr>
            <w:tcW w:w="1015"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5</w:t>
            </w:r>
          </w:p>
        </w:tc>
        <w:tc>
          <w:tcPr>
            <w:tcW w:w="943"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40</w:t>
            </w:r>
          </w:p>
        </w:tc>
        <w:tc>
          <w:tcPr>
            <w:tcW w:w="471"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3</w:t>
            </w:r>
          </w:p>
        </w:tc>
        <w:tc>
          <w:tcPr>
            <w:tcW w:w="398" w:type="pct"/>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bCs w:val="0"/>
                <w:szCs w:val="20"/>
              </w:rPr>
            </w:pPr>
            <w:r w:rsidRPr="00AC6C6F">
              <w:rPr>
                <w:bCs w:val="0"/>
                <w:szCs w:val="20"/>
              </w:rPr>
              <w:t>22</w:t>
            </w:r>
          </w:p>
        </w:tc>
        <w:tc>
          <w:tcPr>
            <w:tcW w:w="832" w:type="pct"/>
            <w:gridSpan w:val="2"/>
            <w:tcBorders>
              <w:top w:val="single" w:sz="4" w:space="0" w:color="auto"/>
              <w:left w:val="single" w:sz="4" w:space="0" w:color="auto"/>
              <w:bottom w:val="single" w:sz="4" w:space="0" w:color="auto"/>
              <w:right w:val="single" w:sz="4" w:space="0" w:color="auto"/>
            </w:tcBorders>
            <w:vAlign w:val="center"/>
          </w:tcPr>
          <w:p w:rsidR="00987C8A" w:rsidRPr="00AC6C6F" w:rsidRDefault="00987C8A" w:rsidP="00987C8A">
            <w:pPr>
              <w:pStyle w:val="TableText0"/>
              <w:jc w:val="center"/>
              <w:rPr>
                <w:rFonts w:cs="Arial"/>
                <w:b/>
                <w:color w:val="000000" w:themeColor="text1"/>
                <w:szCs w:val="20"/>
              </w:rPr>
            </w:pPr>
            <w:r w:rsidRPr="00AC6C6F">
              <w:rPr>
                <w:rFonts w:cs="Arial"/>
                <w:b/>
                <w:color w:val="000000" w:themeColor="text1"/>
                <w:szCs w:val="20"/>
              </w:rPr>
              <w:t>-0.19 (-0.25, -0.12)</w:t>
            </w:r>
          </w:p>
        </w:tc>
      </w:tr>
    </w:tbl>
    <w:p w:rsidR="00AF726E" w:rsidRPr="00AC6C6F" w:rsidRDefault="00AF726E" w:rsidP="00AF726E">
      <w:pPr>
        <w:rPr>
          <w:rFonts w:ascii="Arial Narrow" w:hAnsi="Arial Narrow"/>
          <w:sz w:val="18"/>
          <w:szCs w:val="18"/>
        </w:rPr>
      </w:pPr>
      <w:r w:rsidRPr="00AC6C6F">
        <w:rPr>
          <w:rFonts w:ascii="Arial Narrow" w:hAnsi="Arial Narrow"/>
          <w:sz w:val="18"/>
          <w:szCs w:val="18"/>
        </w:rPr>
        <w:t>Source: Compiled during the evaluation. Table 2-28 (p109 of the Submission), Table 11.4.1-3 p130 MAVORIC CSR</w:t>
      </w:r>
      <w:r w:rsidR="00AC6C6F">
        <w:rPr>
          <w:rFonts w:ascii="Arial Narrow" w:hAnsi="Arial Narrow"/>
          <w:sz w:val="18"/>
          <w:szCs w:val="18"/>
        </w:rPr>
        <w:t xml:space="preserve">. </w:t>
      </w:r>
    </w:p>
    <w:p w:rsidR="00AF726E" w:rsidRPr="00AC6C6F" w:rsidRDefault="00AF726E" w:rsidP="00AF726E">
      <w:pPr>
        <w:rPr>
          <w:rFonts w:ascii="Arial Narrow" w:hAnsi="Arial Narrow"/>
          <w:sz w:val="18"/>
          <w:szCs w:val="18"/>
        </w:rPr>
      </w:pPr>
      <w:r w:rsidRPr="00AC6C6F">
        <w:rPr>
          <w:rFonts w:ascii="Arial Narrow" w:hAnsi="Arial Narrow"/>
          <w:sz w:val="18"/>
          <w:szCs w:val="18"/>
        </w:rPr>
        <w:t xml:space="preserve">Abbreviations: CI = confidence interval; HR = hazard ratio; n = number of participants with event; N = total participants in group; </w:t>
      </w:r>
      <w:r w:rsidR="00987C8A" w:rsidRPr="00AC6C6F">
        <w:rPr>
          <w:rFonts w:ascii="Arial Narrow" w:hAnsi="Arial Narrow"/>
          <w:sz w:val="18"/>
          <w:szCs w:val="18"/>
        </w:rPr>
        <w:t xml:space="preserve">OS = overall survival; </w:t>
      </w:r>
      <w:r w:rsidRPr="00AC6C6F">
        <w:rPr>
          <w:rFonts w:ascii="Arial Narrow" w:hAnsi="Arial Narrow"/>
          <w:sz w:val="18"/>
          <w:szCs w:val="18"/>
        </w:rPr>
        <w:t xml:space="preserve">PFS = progression free survival; RD = risk difference </w:t>
      </w:r>
    </w:p>
    <w:p w:rsidR="00AF726E" w:rsidRPr="00AC6C6F" w:rsidRDefault="00AF726E" w:rsidP="00AF726E">
      <w:pPr>
        <w:rPr>
          <w:rFonts w:ascii="Arial Narrow" w:hAnsi="Arial Narrow"/>
          <w:sz w:val="18"/>
          <w:szCs w:val="18"/>
        </w:rPr>
      </w:pPr>
      <w:r w:rsidRPr="00AC6C6F">
        <w:rPr>
          <w:rFonts w:ascii="Arial Narrow" w:hAnsi="Arial Narrow"/>
          <w:sz w:val="18"/>
          <w:szCs w:val="18"/>
          <w:vertAlign w:val="superscript"/>
        </w:rPr>
        <w:t xml:space="preserve">a </w:t>
      </w:r>
      <w:r w:rsidRPr="00AC6C6F">
        <w:rPr>
          <w:rFonts w:ascii="Arial Narrow" w:hAnsi="Arial Narrow"/>
          <w:sz w:val="18"/>
          <w:szCs w:val="18"/>
        </w:rPr>
        <w:t>Rate (%) of being alive without progression for at least the indicated months.</w:t>
      </w:r>
    </w:p>
    <w:p w:rsidR="00987C8A" w:rsidRPr="00AC6C6F" w:rsidRDefault="00987C8A" w:rsidP="00AF726E">
      <w:pPr>
        <w:rPr>
          <w:rFonts w:ascii="Arial Narrow" w:hAnsi="Arial Narrow"/>
          <w:bCs/>
          <w:i/>
          <w:iCs/>
          <w:sz w:val="18"/>
          <w:szCs w:val="18"/>
        </w:rPr>
      </w:pPr>
      <w:r w:rsidRPr="00AC6C6F">
        <w:rPr>
          <w:rFonts w:ascii="Arial Narrow" w:hAnsi="Arial Narrow"/>
          <w:b/>
          <w:sz w:val="18"/>
          <w:szCs w:val="18"/>
          <w:vertAlign w:val="superscript"/>
        </w:rPr>
        <w:t xml:space="preserve">b </w:t>
      </w:r>
      <w:r w:rsidRPr="00AC6C6F">
        <w:rPr>
          <w:rFonts w:ascii="Arial Narrow" w:hAnsi="Arial Narrow"/>
          <w:bCs/>
          <w:sz w:val="18"/>
          <w:szCs w:val="18"/>
        </w:rPr>
        <w:t>The OS results present</w:t>
      </w:r>
      <w:r w:rsidR="00D227EE" w:rsidRPr="00AC6C6F">
        <w:rPr>
          <w:rFonts w:ascii="Arial Narrow" w:hAnsi="Arial Narrow"/>
          <w:bCs/>
          <w:sz w:val="18"/>
          <w:szCs w:val="18"/>
        </w:rPr>
        <w:t>ed</w:t>
      </w:r>
      <w:r w:rsidRPr="00AC6C6F">
        <w:rPr>
          <w:rFonts w:ascii="Arial Narrow" w:hAnsi="Arial Narrow"/>
          <w:bCs/>
          <w:sz w:val="18"/>
          <w:szCs w:val="18"/>
        </w:rPr>
        <w:t xml:space="preserve"> have not been adjusted for crossover. The </w:t>
      </w:r>
      <w:r w:rsidR="00326BD7" w:rsidRPr="00AC6C6F">
        <w:rPr>
          <w:rFonts w:ascii="Arial Narrow" w:hAnsi="Arial Narrow"/>
          <w:bCs/>
          <w:sz w:val="18"/>
          <w:szCs w:val="18"/>
        </w:rPr>
        <w:t>median OS results are from the primary analysis (31</w:t>
      </w:r>
      <w:r w:rsidR="00326BD7" w:rsidRPr="00AC6C6F">
        <w:rPr>
          <w:rFonts w:ascii="Arial Narrow" w:hAnsi="Arial Narrow"/>
          <w:bCs/>
          <w:sz w:val="18"/>
          <w:szCs w:val="18"/>
          <w:vertAlign w:val="superscript"/>
        </w:rPr>
        <w:t>st</w:t>
      </w:r>
      <w:r w:rsidR="00326BD7" w:rsidRPr="00AC6C6F">
        <w:rPr>
          <w:rFonts w:ascii="Arial Narrow" w:hAnsi="Arial Narrow"/>
          <w:bCs/>
          <w:sz w:val="18"/>
          <w:szCs w:val="18"/>
        </w:rPr>
        <w:t xml:space="preserve"> December 2016), as the updated analysis (2</w:t>
      </w:r>
      <w:r w:rsidR="00326BD7" w:rsidRPr="00AC6C6F">
        <w:rPr>
          <w:rFonts w:ascii="Arial Narrow" w:hAnsi="Arial Narrow"/>
          <w:bCs/>
          <w:sz w:val="18"/>
          <w:szCs w:val="18"/>
          <w:vertAlign w:val="superscript"/>
        </w:rPr>
        <w:t>nd</w:t>
      </w:r>
      <w:r w:rsidR="00326BD7" w:rsidRPr="00AC6C6F">
        <w:rPr>
          <w:rFonts w:ascii="Arial Narrow" w:hAnsi="Arial Narrow"/>
          <w:bCs/>
          <w:sz w:val="18"/>
          <w:szCs w:val="18"/>
        </w:rPr>
        <w:t xml:space="preserve"> March 2019) presented in the submission (p147) only consisted of the KM analysis.</w:t>
      </w:r>
    </w:p>
    <w:p w:rsidR="00AF726E" w:rsidRPr="00AC6C6F" w:rsidRDefault="00987C8A" w:rsidP="00AF726E">
      <w:pPr>
        <w:pStyle w:val="TableFigureFooter"/>
        <w:widowControl w:val="0"/>
      </w:pPr>
      <w:r w:rsidRPr="00AC6C6F">
        <w:rPr>
          <w:vertAlign w:val="superscript"/>
        </w:rPr>
        <w:t>c</w:t>
      </w:r>
      <w:r w:rsidR="00AF726E" w:rsidRPr="00AC6C6F">
        <w:rPr>
          <w:vertAlign w:val="superscript"/>
        </w:rPr>
        <w:t xml:space="preserve"> </w:t>
      </w:r>
      <w:r w:rsidR="00A95F5A" w:rsidRPr="00AC6C6F">
        <w:t>C</w:t>
      </w:r>
      <w:r w:rsidR="00AF726E" w:rsidRPr="00AC6C6F">
        <w:t>alculated during the evaluation</w:t>
      </w:r>
    </w:p>
    <w:p w:rsidR="00AF726E" w:rsidRPr="00AC6C6F" w:rsidRDefault="00AF726E" w:rsidP="00AF726E">
      <w:pPr>
        <w:pStyle w:val="TableFigureFooter"/>
        <w:widowControl w:val="0"/>
      </w:pPr>
      <w:r w:rsidRPr="00AC6C6F">
        <w:rPr>
          <w:rFonts w:eastAsia="Calibri"/>
        </w:rPr>
        <w:t>Bold indicates statistically significant difference.</w:t>
      </w:r>
    </w:p>
    <w:p w:rsidR="00AF726E" w:rsidRPr="00AC6C6F" w:rsidRDefault="00AF726E" w:rsidP="00AF726E">
      <w:pPr>
        <w:rPr>
          <w:rFonts w:ascii="Arial Narrow" w:hAnsi="Arial Narrow"/>
          <w:sz w:val="18"/>
          <w:szCs w:val="18"/>
        </w:rPr>
      </w:pPr>
    </w:p>
    <w:p w:rsidR="00AF726E" w:rsidRPr="00AC6C6F" w:rsidRDefault="00AF726E" w:rsidP="00AF726E">
      <w:pPr>
        <w:pStyle w:val="3-BodyText"/>
        <w:rPr>
          <w:color w:val="000000" w:themeColor="text1"/>
        </w:rPr>
      </w:pPr>
      <w:r w:rsidRPr="00AC6C6F">
        <w:rPr>
          <w:snapToGrid/>
          <w:color w:val="000000" w:themeColor="text1"/>
        </w:rPr>
        <w:t xml:space="preserve">On the basis of the direct evidence presented by the submission </w:t>
      </w:r>
      <w:r w:rsidR="00E457B3" w:rsidRPr="00AC6C6F">
        <w:rPr>
          <w:snapToGrid/>
          <w:color w:val="000000" w:themeColor="text1"/>
        </w:rPr>
        <w:t>from</w:t>
      </w:r>
      <w:r w:rsidRPr="00AC6C6F">
        <w:rPr>
          <w:snapToGrid/>
          <w:color w:val="000000" w:themeColor="text1"/>
        </w:rPr>
        <w:t xml:space="preserve"> MAVORIC, for every 100 patients treated with mogamulizumab in comparison with vorinostat in patients with relapsed or refractory MF or SS CTCL after at least one prior therapy:</w:t>
      </w:r>
    </w:p>
    <w:p w:rsidR="00BE33D3" w:rsidRPr="00AC6C6F" w:rsidRDefault="00AF726E" w:rsidP="0081589E">
      <w:pPr>
        <w:pStyle w:val="3-BodyText"/>
        <w:numPr>
          <w:ilvl w:val="0"/>
          <w:numId w:val="17"/>
        </w:numPr>
        <w:spacing w:after="0"/>
        <w:ind w:left="1077" w:hanging="357"/>
        <w:rPr>
          <w:color w:val="000000" w:themeColor="text1"/>
        </w:rPr>
      </w:pPr>
      <w:r w:rsidRPr="00AC6C6F">
        <w:rPr>
          <w:color w:val="000000" w:themeColor="text1"/>
        </w:rPr>
        <w:t>Approximately 1</w:t>
      </w:r>
      <w:r w:rsidR="00FD1AF5" w:rsidRPr="00AC6C6F">
        <w:rPr>
          <w:color w:val="000000" w:themeColor="text1"/>
        </w:rPr>
        <w:t>4</w:t>
      </w:r>
      <w:r w:rsidRPr="00AC6C6F">
        <w:rPr>
          <w:color w:val="000000" w:themeColor="text1"/>
        </w:rPr>
        <w:t xml:space="preserve"> additional patients will be alive without progression for at least 1</w:t>
      </w:r>
      <w:r w:rsidR="00FD1AF5" w:rsidRPr="00AC6C6F">
        <w:rPr>
          <w:color w:val="000000" w:themeColor="text1"/>
        </w:rPr>
        <w:t>8</w:t>
      </w:r>
      <w:r w:rsidRPr="00AC6C6F">
        <w:rPr>
          <w:color w:val="000000" w:themeColor="text1"/>
        </w:rPr>
        <w:t xml:space="preserve"> months. </w:t>
      </w:r>
    </w:p>
    <w:p w:rsidR="00BE33D3" w:rsidRPr="00AC6C6F" w:rsidRDefault="00AF726E" w:rsidP="0081589E">
      <w:pPr>
        <w:pStyle w:val="3-BodyText"/>
        <w:numPr>
          <w:ilvl w:val="0"/>
          <w:numId w:val="17"/>
        </w:numPr>
        <w:spacing w:after="0"/>
        <w:ind w:left="1077" w:hanging="357"/>
        <w:rPr>
          <w:color w:val="000000" w:themeColor="text1"/>
        </w:rPr>
      </w:pPr>
      <w:r w:rsidRPr="00AC6C6F">
        <w:rPr>
          <w:color w:val="000000" w:themeColor="text1"/>
        </w:rPr>
        <w:t>Approximately 22 additional people will experience drug eruption (</w:t>
      </w:r>
      <w:r w:rsidR="00E457B3" w:rsidRPr="00AC6C6F">
        <w:rPr>
          <w:iCs/>
          <w:color w:val="000000" w:themeColor="text1"/>
        </w:rPr>
        <w:t xml:space="preserve">a </w:t>
      </w:r>
      <w:r w:rsidRPr="00AC6C6F">
        <w:rPr>
          <w:iCs/>
          <w:color w:val="000000" w:themeColor="text1"/>
        </w:rPr>
        <w:t>drug</w:t>
      </w:r>
      <w:r w:rsidR="00E457B3" w:rsidRPr="00AC6C6F">
        <w:rPr>
          <w:iCs/>
          <w:color w:val="000000" w:themeColor="text1"/>
        </w:rPr>
        <w:t xml:space="preserve"> related</w:t>
      </w:r>
      <w:r w:rsidRPr="00AC6C6F">
        <w:rPr>
          <w:iCs/>
          <w:color w:val="000000" w:themeColor="text1"/>
        </w:rPr>
        <w:t xml:space="preserve"> rash</w:t>
      </w:r>
      <w:r w:rsidRPr="00AC6C6F">
        <w:rPr>
          <w:color w:val="000000" w:themeColor="text1"/>
        </w:rPr>
        <w:t>).</w:t>
      </w:r>
    </w:p>
    <w:p w:rsidR="00BE33D3" w:rsidRPr="00AC6C6F" w:rsidRDefault="00AF726E" w:rsidP="0081589E">
      <w:pPr>
        <w:pStyle w:val="3-BodyText"/>
        <w:numPr>
          <w:ilvl w:val="0"/>
          <w:numId w:val="17"/>
        </w:numPr>
        <w:spacing w:after="0"/>
        <w:ind w:left="1077" w:hanging="357"/>
        <w:rPr>
          <w:color w:val="000000" w:themeColor="text1"/>
        </w:rPr>
      </w:pPr>
      <w:r w:rsidRPr="00AC6C6F">
        <w:rPr>
          <w:color w:val="000000" w:themeColor="text1"/>
        </w:rPr>
        <w:t>Approximately 3</w:t>
      </w:r>
      <w:r w:rsidR="00FD1AF5" w:rsidRPr="00AC6C6F">
        <w:rPr>
          <w:color w:val="000000" w:themeColor="text1"/>
        </w:rPr>
        <w:t>3</w:t>
      </w:r>
      <w:r w:rsidRPr="00AC6C6F">
        <w:rPr>
          <w:color w:val="000000" w:themeColor="text1"/>
        </w:rPr>
        <w:t xml:space="preserve"> additional people will experience an infusion related reaction</w:t>
      </w:r>
      <w:r w:rsidR="00E457B3" w:rsidRPr="00AC6C6F">
        <w:rPr>
          <w:color w:val="000000" w:themeColor="text1"/>
        </w:rPr>
        <w:t xml:space="preserve"> (</w:t>
      </w:r>
      <w:r w:rsidR="00E457B3" w:rsidRPr="00AC6C6F">
        <w:rPr>
          <w:iCs/>
          <w:color w:val="000000" w:themeColor="text1"/>
        </w:rPr>
        <w:t>including localised pain or rash</w:t>
      </w:r>
      <w:r w:rsidR="00E457B3" w:rsidRPr="00AC6C6F">
        <w:rPr>
          <w:color w:val="000000" w:themeColor="text1"/>
        </w:rPr>
        <w:t>)</w:t>
      </w:r>
      <w:r w:rsidRPr="00AC6C6F">
        <w:rPr>
          <w:color w:val="000000" w:themeColor="text1"/>
        </w:rPr>
        <w:t xml:space="preserve">. </w:t>
      </w:r>
    </w:p>
    <w:p w:rsidR="00BE33D3" w:rsidRPr="00AC6C6F" w:rsidRDefault="00AF726E" w:rsidP="0081589E">
      <w:pPr>
        <w:pStyle w:val="3-BodyText"/>
        <w:numPr>
          <w:ilvl w:val="0"/>
          <w:numId w:val="17"/>
        </w:numPr>
        <w:spacing w:after="0"/>
        <w:ind w:left="1077" w:hanging="357"/>
        <w:rPr>
          <w:color w:val="000000" w:themeColor="text1"/>
        </w:rPr>
      </w:pPr>
      <w:r w:rsidRPr="00AC6C6F">
        <w:rPr>
          <w:color w:val="000000" w:themeColor="text1"/>
        </w:rPr>
        <w:t xml:space="preserve">Approximately 45 fewer patients will experience diarrhoea. </w:t>
      </w:r>
    </w:p>
    <w:p w:rsidR="00BE33D3" w:rsidRPr="00AC6C6F" w:rsidRDefault="00AF726E" w:rsidP="0081589E">
      <w:pPr>
        <w:pStyle w:val="3-BodyText"/>
        <w:numPr>
          <w:ilvl w:val="0"/>
          <w:numId w:val="17"/>
        </w:numPr>
        <w:spacing w:after="0"/>
        <w:ind w:left="1077" w:hanging="357"/>
        <w:rPr>
          <w:color w:val="000000" w:themeColor="text1"/>
        </w:rPr>
      </w:pPr>
      <w:r w:rsidRPr="00AC6C6F">
        <w:rPr>
          <w:color w:val="000000" w:themeColor="text1"/>
        </w:rPr>
        <w:t xml:space="preserve">Approximately 29 fewer patients will experience nausea. </w:t>
      </w:r>
    </w:p>
    <w:p w:rsidR="00BE33D3" w:rsidRPr="00AC6C6F" w:rsidRDefault="00AF726E" w:rsidP="0081589E">
      <w:pPr>
        <w:pStyle w:val="3-BodyText"/>
        <w:numPr>
          <w:ilvl w:val="0"/>
          <w:numId w:val="17"/>
        </w:numPr>
        <w:spacing w:after="0"/>
        <w:ind w:left="1077" w:hanging="357"/>
        <w:rPr>
          <w:color w:val="000000" w:themeColor="text1"/>
        </w:rPr>
      </w:pPr>
      <w:r w:rsidRPr="00AC6C6F">
        <w:rPr>
          <w:color w:val="000000" w:themeColor="text1"/>
        </w:rPr>
        <w:t>Approximately 25 fewer patients will experience dysgeusia (</w:t>
      </w:r>
      <w:r w:rsidR="00E457B3" w:rsidRPr="00AC6C6F">
        <w:rPr>
          <w:iCs/>
          <w:color w:val="000000" w:themeColor="text1"/>
        </w:rPr>
        <w:t xml:space="preserve">an </w:t>
      </w:r>
      <w:r w:rsidRPr="00AC6C6F">
        <w:rPr>
          <w:iCs/>
          <w:color w:val="000000" w:themeColor="text1"/>
        </w:rPr>
        <w:t>altered sense of taste</w:t>
      </w:r>
      <w:r w:rsidRPr="00AC6C6F">
        <w:rPr>
          <w:color w:val="000000" w:themeColor="text1"/>
        </w:rPr>
        <w:t xml:space="preserve">). </w:t>
      </w:r>
    </w:p>
    <w:p w:rsidR="00BE33D3" w:rsidRPr="00AC6C6F" w:rsidRDefault="00AF726E" w:rsidP="0081589E">
      <w:pPr>
        <w:pStyle w:val="3-BodyText"/>
        <w:numPr>
          <w:ilvl w:val="0"/>
          <w:numId w:val="17"/>
        </w:numPr>
        <w:spacing w:after="0"/>
        <w:ind w:left="1077" w:hanging="357"/>
        <w:rPr>
          <w:color w:val="000000" w:themeColor="text1"/>
        </w:rPr>
      </w:pPr>
      <w:r w:rsidRPr="00AC6C6F">
        <w:rPr>
          <w:color w:val="000000" w:themeColor="text1"/>
        </w:rPr>
        <w:t>Approximately 2</w:t>
      </w:r>
      <w:r w:rsidR="00FD1AF5" w:rsidRPr="00AC6C6F">
        <w:rPr>
          <w:color w:val="000000" w:themeColor="text1"/>
        </w:rPr>
        <w:t>4</w:t>
      </w:r>
      <w:r w:rsidRPr="00AC6C6F">
        <w:rPr>
          <w:color w:val="000000" w:themeColor="text1"/>
        </w:rPr>
        <w:t xml:space="preserve"> fewer patients will experience an increase in blood creatinine level</w:t>
      </w:r>
      <w:r w:rsidR="00E457B3" w:rsidRPr="00AC6C6F">
        <w:rPr>
          <w:color w:val="000000" w:themeColor="text1"/>
        </w:rPr>
        <w:t xml:space="preserve"> (</w:t>
      </w:r>
      <w:r w:rsidR="00183864" w:rsidRPr="00AC6C6F">
        <w:rPr>
          <w:iCs/>
          <w:color w:val="000000" w:themeColor="text1"/>
        </w:rPr>
        <w:t xml:space="preserve">laboratory test which can potentially indicate a </w:t>
      </w:r>
      <w:r w:rsidR="00E457B3" w:rsidRPr="00AC6C6F">
        <w:rPr>
          <w:iCs/>
          <w:color w:val="000000" w:themeColor="text1"/>
        </w:rPr>
        <w:t>change in kidney function)</w:t>
      </w:r>
      <w:r w:rsidRPr="00AC6C6F">
        <w:rPr>
          <w:color w:val="000000" w:themeColor="text1"/>
        </w:rPr>
        <w:t xml:space="preserve">. </w:t>
      </w:r>
    </w:p>
    <w:p w:rsidR="00BE33D3" w:rsidRPr="00AC6C6F" w:rsidRDefault="00AF726E" w:rsidP="0081589E">
      <w:pPr>
        <w:pStyle w:val="3-BodyText"/>
        <w:numPr>
          <w:ilvl w:val="0"/>
          <w:numId w:val="17"/>
        </w:numPr>
        <w:spacing w:after="0"/>
        <w:ind w:left="1077" w:hanging="357"/>
        <w:rPr>
          <w:color w:val="000000" w:themeColor="text1"/>
        </w:rPr>
      </w:pPr>
      <w:r w:rsidRPr="00AC6C6F">
        <w:rPr>
          <w:color w:val="000000" w:themeColor="text1"/>
        </w:rPr>
        <w:t>Approximately 22 fewer patients will experience thrombocytopenia (</w:t>
      </w:r>
      <w:r w:rsidRPr="00AC6C6F">
        <w:rPr>
          <w:iCs/>
          <w:color w:val="000000" w:themeColor="text1"/>
        </w:rPr>
        <w:t>low platelet count</w:t>
      </w:r>
      <w:r w:rsidRPr="00AC6C6F">
        <w:rPr>
          <w:color w:val="000000" w:themeColor="text1"/>
        </w:rPr>
        <w:t xml:space="preserve">). </w:t>
      </w:r>
    </w:p>
    <w:p w:rsidR="00AF726E" w:rsidRPr="00AC6C6F" w:rsidRDefault="00AF726E" w:rsidP="0081589E">
      <w:pPr>
        <w:pStyle w:val="3-BodyText"/>
        <w:numPr>
          <w:ilvl w:val="0"/>
          <w:numId w:val="17"/>
        </w:numPr>
        <w:spacing w:after="0"/>
        <w:ind w:left="1077" w:hanging="357"/>
        <w:rPr>
          <w:color w:val="000000" w:themeColor="text1"/>
        </w:rPr>
      </w:pPr>
      <w:r w:rsidRPr="00AC6C6F">
        <w:rPr>
          <w:color w:val="000000" w:themeColor="text1"/>
        </w:rPr>
        <w:t xml:space="preserve">Approximately 19 fewer patients will experience decreased appetite. </w:t>
      </w:r>
    </w:p>
    <w:p w:rsidR="00A33D46" w:rsidRPr="00AC6C6F" w:rsidRDefault="00A33D46" w:rsidP="00A33D46">
      <w:pPr>
        <w:pStyle w:val="3-BodyText"/>
        <w:numPr>
          <w:ilvl w:val="0"/>
          <w:numId w:val="0"/>
        </w:numPr>
        <w:spacing w:after="0"/>
        <w:ind w:left="720" w:hanging="720"/>
        <w:rPr>
          <w:color w:val="000000" w:themeColor="text1"/>
        </w:rPr>
      </w:pPr>
    </w:p>
    <w:p w:rsidR="00AF726E" w:rsidRPr="00AC6C6F" w:rsidRDefault="00967135" w:rsidP="00CD09E9">
      <w:pPr>
        <w:spacing w:after="120"/>
        <w:rPr>
          <w:u w:val="single"/>
        </w:rPr>
      </w:pPr>
      <w:r w:rsidRPr="00AC6C6F">
        <w:rPr>
          <w:u w:val="single"/>
        </w:rPr>
        <w:t>Mogamulizumab</w:t>
      </w:r>
      <w:r w:rsidR="00EE197C" w:rsidRPr="00AC6C6F">
        <w:rPr>
          <w:u w:val="single"/>
        </w:rPr>
        <w:t xml:space="preserve"> vs</w:t>
      </w:r>
      <w:r w:rsidR="00EE197C" w:rsidRPr="00AC6C6F">
        <w:rPr>
          <w:bCs/>
          <w:u w:val="single"/>
        </w:rPr>
        <w:t xml:space="preserve"> b</w:t>
      </w:r>
      <w:r w:rsidR="00AF726E" w:rsidRPr="00AC6C6F">
        <w:rPr>
          <w:bCs/>
          <w:u w:val="single"/>
        </w:rPr>
        <w:t>rentuximab</w:t>
      </w:r>
    </w:p>
    <w:p w:rsidR="00A33D46" w:rsidRPr="00AC6C6F" w:rsidRDefault="00AF726E" w:rsidP="00A26656">
      <w:pPr>
        <w:pStyle w:val="3-BodyText"/>
      </w:pPr>
      <w:r w:rsidRPr="00AC6C6F">
        <w:rPr>
          <w:iCs/>
          <w:snapToGrid/>
        </w:rPr>
        <w:t>The naïve indirect comparison between MAVORIC and ALCANZA presented in the submission did not allow for a quantitative comparison of the benefits and harms of mogamulizumab and brentuximab. Accordingly, a benefits/harms table has not been presented</w:t>
      </w:r>
      <w:r w:rsidRPr="00AC6C6F">
        <w:rPr>
          <w:snapToGrid/>
        </w:rPr>
        <w:t>.</w:t>
      </w:r>
    </w:p>
    <w:p w:rsidR="00AF726E" w:rsidRPr="00AC6C6F" w:rsidRDefault="00AF726E" w:rsidP="00AF726E">
      <w:pPr>
        <w:pStyle w:val="4-SubsectionHeading"/>
      </w:pPr>
      <w:bookmarkStart w:id="16" w:name="_Toc40177095"/>
      <w:r w:rsidRPr="00AC6C6F">
        <w:t>Clinical claim</w:t>
      </w:r>
      <w:bookmarkEnd w:id="16"/>
    </w:p>
    <w:p w:rsidR="009C7ECD" w:rsidRPr="00AC6C6F" w:rsidRDefault="00AF726E" w:rsidP="00AF726E">
      <w:pPr>
        <w:pStyle w:val="3-BodyText"/>
        <w:rPr>
          <w:iCs/>
          <w:color w:val="000000" w:themeColor="text1"/>
        </w:rPr>
      </w:pPr>
      <w:r w:rsidRPr="00AC6C6F">
        <w:rPr>
          <w:color w:val="000000" w:themeColor="text1"/>
        </w:rPr>
        <w:t xml:space="preserve">For the </w:t>
      </w:r>
      <w:r w:rsidRPr="00AC6C6F">
        <w:rPr>
          <w:rFonts w:ascii="Calibri" w:hAnsi="Calibri" w:cs="Calibri"/>
          <w:color w:val="000000" w:themeColor="text1"/>
        </w:rPr>
        <w:t>primary clinical claim, the submission described mogamulizumab as superior in terms of effectiveness and comparable in terms of safety compared to vorinostat despite a longer duration of treatment.</w:t>
      </w:r>
      <w:r w:rsidRPr="00AC6C6F">
        <w:rPr>
          <w:rFonts w:ascii="Calibri" w:hAnsi="Calibri" w:cs="Calibri"/>
          <w:iCs/>
          <w:color w:val="000000" w:themeColor="text1"/>
        </w:rPr>
        <w:t xml:space="preserve"> </w:t>
      </w:r>
    </w:p>
    <w:p w:rsidR="00F00B75" w:rsidRPr="00AC6C6F" w:rsidRDefault="00E31923" w:rsidP="00752F9F">
      <w:pPr>
        <w:pStyle w:val="3-BodyText"/>
        <w:rPr>
          <w:iCs/>
          <w:color w:val="000000" w:themeColor="text1"/>
        </w:rPr>
      </w:pPr>
      <w:r w:rsidRPr="00AC6C6F">
        <w:rPr>
          <w:rFonts w:ascii="Calibri" w:hAnsi="Calibri" w:cs="Calibri"/>
          <w:iCs/>
          <w:color w:val="000000" w:themeColor="text1"/>
        </w:rPr>
        <w:t>During the evaluation t</w:t>
      </w:r>
      <w:r w:rsidR="00AF726E" w:rsidRPr="00AC6C6F">
        <w:rPr>
          <w:rFonts w:ascii="Calibri" w:hAnsi="Calibri" w:cs="Calibri"/>
          <w:iCs/>
          <w:color w:val="000000" w:themeColor="text1"/>
        </w:rPr>
        <w:t xml:space="preserve">he efficacy </w:t>
      </w:r>
      <w:r w:rsidRPr="00AC6C6F">
        <w:rPr>
          <w:rFonts w:ascii="Calibri" w:hAnsi="Calibri" w:cs="Calibri"/>
          <w:iCs/>
          <w:color w:val="000000" w:themeColor="text1"/>
        </w:rPr>
        <w:t xml:space="preserve">claim </w:t>
      </w:r>
      <w:r w:rsidR="00FD1AF5" w:rsidRPr="00AC6C6F">
        <w:rPr>
          <w:rFonts w:ascii="Calibri" w:hAnsi="Calibri" w:cs="Calibri"/>
          <w:iCs/>
          <w:color w:val="000000" w:themeColor="text1"/>
        </w:rPr>
        <w:t>wa</w:t>
      </w:r>
      <w:r w:rsidR="00AF726E" w:rsidRPr="00AC6C6F">
        <w:rPr>
          <w:rFonts w:ascii="Calibri" w:hAnsi="Calibri" w:cs="Calibri"/>
          <w:iCs/>
          <w:color w:val="000000" w:themeColor="text1"/>
        </w:rPr>
        <w:t xml:space="preserve">s </w:t>
      </w:r>
      <w:r w:rsidRPr="00AC6C6F">
        <w:rPr>
          <w:rFonts w:ascii="Calibri" w:hAnsi="Calibri" w:cs="Calibri"/>
          <w:iCs/>
          <w:color w:val="000000" w:themeColor="text1"/>
        </w:rPr>
        <w:t xml:space="preserve">considered </w:t>
      </w:r>
      <w:r w:rsidR="00AF726E" w:rsidRPr="00AC6C6F">
        <w:rPr>
          <w:rFonts w:ascii="Calibri" w:hAnsi="Calibri" w:cs="Calibri"/>
          <w:iCs/>
          <w:color w:val="000000" w:themeColor="text1"/>
        </w:rPr>
        <w:t xml:space="preserve">adequately supported by the evidence from MAVORIC </w:t>
      </w:r>
      <w:r w:rsidRPr="00AC6C6F">
        <w:rPr>
          <w:rFonts w:ascii="Calibri" w:hAnsi="Calibri" w:cs="Calibri"/>
          <w:iCs/>
          <w:color w:val="000000" w:themeColor="text1"/>
        </w:rPr>
        <w:t>which demonstrated</w:t>
      </w:r>
      <w:r w:rsidR="00A33D46" w:rsidRPr="00AC6C6F">
        <w:rPr>
          <w:rFonts w:ascii="Calibri" w:hAnsi="Calibri" w:cs="Calibri"/>
          <w:iCs/>
          <w:color w:val="000000" w:themeColor="text1"/>
        </w:rPr>
        <w:t xml:space="preserve"> </w:t>
      </w:r>
      <w:r w:rsidR="00AF726E" w:rsidRPr="00AC6C6F">
        <w:rPr>
          <w:rFonts w:ascii="Calibri" w:hAnsi="Calibri" w:cs="Calibri"/>
          <w:iCs/>
          <w:color w:val="000000" w:themeColor="text1"/>
        </w:rPr>
        <w:t>statistically significant gain</w:t>
      </w:r>
      <w:r w:rsidR="002B6107" w:rsidRPr="00AC6C6F">
        <w:rPr>
          <w:rFonts w:ascii="Calibri" w:hAnsi="Calibri" w:cs="Calibri"/>
          <w:iCs/>
          <w:color w:val="000000" w:themeColor="text1"/>
        </w:rPr>
        <w:t>s</w:t>
      </w:r>
      <w:r w:rsidR="00AF726E" w:rsidRPr="00AC6C6F">
        <w:rPr>
          <w:rFonts w:ascii="Calibri" w:hAnsi="Calibri" w:cs="Calibri"/>
          <w:iCs/>
          <w:color w:val="000000" w:themeColor="text1"/>
        </w:rPr>
        <w:t xml:space="preserve"> in PFS and ORR for mogamulizumab compared to vorinostat. However,</w:t>
      </w:r>
      <w:r w:rsidRPr="00AC6C6F">
        <w:rPr>
          <w:rFonts w:ascii="Calibri" w:hAnsi="Calibri" w:cs="Calibri"/>
          <w:iCs/>
          <w:color w:val="000000" w:themeColor="text1"/>
        </w:rPr>
        <w:t xml:space="preserve"> it was noted that</w:t>
      </w:r>
      <w:r w:rsidR="00AF726E" w:rsidRPr="00AC6C6F">
        <w:rPr>
          <w:rFonts w:ascii="Calibri" w:hAnsi="Calibri" w:cs="Calibri"/>
          <w:iCs/>
          <w:color w:val="000000" w:themeColor="text1"/>
        </w:rPr>
        <w:t xml:space="preserve"> </w:t>
      </w:r>
      <w:r w:rsidR="00AF726E" w:rsidRPr="00AC6C6F">
        <w:rPr>
          <w:rFonts w:ascii="Calibri" w:hAnsi="Calibri" w:cs="Calibri"/>
          <w:iCs/>
        </w:rPr>
        <w:t>a large p</w:t>
      </w:r>
      <w:r w:rsidR="00A33D46" w:rsidRPr="00AC6C6F">
        <w:rPr>
          <w:rFonts w:ascii="Calibri" w:hAnsi="Calibri" w:cs="Calibri"/>
          <w:iCs/>
        </w:rPr>
        <w:t>rop</w:t>
      </w:r>
      <w:r w:rsidR="00AF726E" w:rsidRPr="00AC6C6F">
        <w:rPr>
          <w:rFonts w:ascii="Calibri" w:hAnsi="Calibri" w:cs="Calibri"/>
          <w:iCs/>
        </w:rPr>
        <w:t>ortion of patients in the vorinostat arm crossed over to mogamulizumab,</w:t>
      </w:r>
      <w:r w:rsidRPr="00AC6C6F">
        <w:rPr>
          <w:rFonts w:ascii="Calibri" w:hAnsi="Calibri" w:cs="Calibri"/>
          <w:iCs/>
        </w:rPr>
        <w:t xml:space="preserve"> and</w:t>
      </w:r>
      <w:r w:rsidR="00AF726E" w:rsidRPr="00AC6C6F">
        <w:rPr>
          <w:rFonts w:ascii="Calibri" w:hAnsi="Calibri" w:cs="Calibri"/>
          <w:iCs/>
        </w:rPr>
        <w:t xml:space="preserve"> </w:t>
      </w:r>
      <w:r w:rsidRPr="00AC6C6F">
        <w:rPr>
          <w:rFonts w:ascii="Calibri" w:hAnsi="Calibri" w:cs="Calibri"/>
          <w:iCs/>
        </w:rPr>
        <w:t xml:space="preserve">the impact of this </w:t>
      </w:r>
      <w:r w:rsidR="00AF726E" w:rsidRPr="00AC6C6F">
        <w:rPr>
          <w:rFonts w:ascii="Calibri" w:hAnsi="Calibri" w:cs="Calibri"/>
          <w:iCs/>
        </w:rPr>
        <w:t xml:space="preserve">on </w:t>
      </w:r>
      <w:r w:rsidRPr="00AC6C6F">
        <w:rPr>
          <w:rFonts w:ascii="Calibri" w:hAnsi="Calibri" w:cs="Calibri"/>
          <w:iCs/>
        </w:rPr>
        <w:t xml:space="preserve">the </w:t>
      </w:r>
      <w:r w:rsidR="00AF726E" w:rsidRPr="00AC6C6F">
        <w:rPr>
          <w:rFonts w:ascii="Calibri" w:hAnsi="Calibri" w:cs="Calibri"/>
          <w:iCs/>
        </w:rPr>
        <w:t xml:space="preserve">PFS </w:t>
      </w:r>
      <w:r w:rsidRPr="00AC6C6F">
        <w:rPr>
          <w:rFonts w:ascii="Calibri" w:hAnsi="Calibri" w:cs="Calibri"/>
          <w:iCs/>
        </w:rPr>
        <w:t>was unknown</w:t>
      </w:r>
      <w:r w:rsidR="00AF726E" w:rsidRPr="00AC6C6F">
        <w:rPr>
          <w:rFonts w:ascii="Calibri" w:hAnsi="Calibri" w:cs="Calibri"/>
          <w:iCs/>
        </w:rPr>
        <w:t xml:space="preserve">. </w:t>
      </w:r>
      <w:r w:rsidR="00EB291C" w:rsidRPr="00AC6C6F">
        <w:rPr>
          <w:rFonts w:cs="Calibri"/>
          <w:iCs/>
        </w:rPr>
        <w:t>Given that the</w:t>
      </w:r>
      <w:r w:rsidR="003C0C75" w:rsidRPr="00AC6C6F">
        <w:rPr>
          <w:rFonts w:cs="Calibri"/>
          <w:iCs/>
        </w:rPr>
        <w:t xml:space="preserve"> assessment of PD</w:t>
      </w:r>
      <w:r w:rsidR="00EB291C" w:rsidRPr="00AC6C6F">
        <w:rPr>
          <w:rFonts w:cs="Calibri"/>
          <w:iCs/>
        </w:rPr>
        <w:t xml:space="preserve"> included some outcome assessments that were subjective in nature, such as skin response measurement by investigator based on mSWAT</w:t>
      </w:r>
      <w:r w:rsidR="003C0C75" w:rsidRPr="00AC6C6F">
        <w:rPr>
          <w:rFonts w:cs="Calibri"/>
          <w:iCs/>
        </w:rPr>
        <w:t>,</w:t>
      </w:r>
      <w:r w:rsidR="00962DC1" w:rsidRPr="00AC6C6F">
        <w:rPr>
          <w:rFonts w:cs="Calibri"/>
          <w:iCs/>
        </w:rPr>
        <w:t xml:space="preserve"> </w:t>
      </w:r>
      <w:r w:rsidR="00EB291C" w:rsidRPr="00AC6C6F">
        <w:rPr>
          <w:rFonts w:cs="Calibri"/>
          <w:iCs/>
        </w:rPr>
        <w:t>this may have influenced the determination of crossover eligibility</w:t>
      </w:r>
      <w:r w:rsidR="003C0C75" w:rsidRPr="00AC6C6F">
        <w:rPr>
          <w:rFonts w:cs="Calibri"/>
          <w:iCs/>
        </w:rPr>
        <w:t xml:space="preserve">. ESC previously noted that mSWAT performed by an unblinded investigator </w:t>
      </w:r>
      <w:r w:rsidR="00EB291C" w:rsidRPr="00AC6C6F">
        <w:rPr>
          <w:rFonts w:cs="Calibri"/>
          <w:iCs/>
        </w:rPr>
        <w:t xml:space="preserve">(as in MAVORIC) </w:t>
      </w:r>
      <w:r w:rsidR="003C0C75" w:rsidRPr="00AC6C6F">
        <w:rPr>
          <w:rFonts w:cs="Calibri"/>
          <w:iCs/>
        </w:rPr>
        <w:t xml:space="preserve">posed a potential risk of bias (paragraph </w:t>
      </w:r>
      <w:r w:rsidR="003C0C75" w:rsidRPr="00AC6C6F">
        <w:rPr>
          <w:rFonts w:cs="Calibri"/>
        </w:rPr>
        <w:t xml:space="preserve">6.10, </w:t>
      </w:r>
      <w:r w:rsidR="003C0C75" w:rsidRPr="00AC6C6F">
        <w:rPr>
          <w:rFonts w:cs="Calibri"/>
          <w:iCs/>
        </w:rPr>
        <w:t>brentuximab, PSD, July 2018 PBAC Meeting).</w:t>
      </w:r>
      <w:r w:rsidR="003C0C75" w:rsidRPr="00AC6C6F" w:rsidDel="003C0C75">
        <w:rPr>
          <w:rFonts w:cs="Times New Roman"/>
          <w:snapToGrid/>
        </w:rPr>
        <w:t xml:space="preserve"> </w:t>
      </w:r>
      <w:r w:rsidR="00F00B75" w:rsidRPr="00AC6C6F">
        <w:rPr>
          <w:rFonts w:cs="Times New Roman"/>
          <w:snapToGrid/>
        </w:rPr>
        <w:t xml:space="preserve">The </w:t>
      </w:r>
      <w:r w:rsidR="00871AE7" w:rsidRPr="00AC6C6F">
        <w:rPr>
          <w:rFonts w:cs="Times New Roman"/>
          <w:snapToGrid/>
        </w:rPr>
        <w:t xml:space="preserve">PBAC agreed with the </w:t>
      </w:r>
      <w:r w:rsidR="00F00B75" w:rsidRPr="00AC6C6F">
        <w:rPr>
          <w:rFonts w:cs="Times New Roman"/>
          <w:snapToGrid/>
        </w:rPr>
        <w:t xml:space="preserve">ESC that the level of crossover and the extent of censoring that occurred in MAVORIC could potentially impact PFS estimates. </w:t>
      </w:r>
      <w:r w:rsidR="004F1C26" w:rsidRPr="00AC6C6F">
        <w:rPr>
          <w:rFonts w:cs="Times New Roman"/>
          <w:snapToGrid/>
        </w:rPr>
        <w:t xml:space="preserve">The PBAC also noted that the </w:t>
      </w:r>
      <w:r w:rsidR="004F1C26" w:rsidRPr="00AC6C6F">
        <w:rPr>
          <w:rFonts w:cs="Calibri"/>
        </w:rPr>
        <w:t xml:space="preserve">vorinostat ORR in the MAVORIC trial was substantially lower than reported in vorinostat studies previously considered by the PBAC (see paragraph 6.19). </w:t>
      </w:r>
    </w:p>
    <w:p w:rsidR="005E4B04" w:rsidRPr="00AC6C6F" w:rsidRDefault="00E31923" w:rsidP="00F00B75">
      <w:pPr>
        <w:pStyle w:val="3-BodyText"/>
        <w:rPr>
          <w:iCs/>
          <w:color w:val="000000" w:themeColor="text1"/>
        </w:rPr>
      </w:pPr>
      <w:r w:rsidRPr="00AC6C6F">
        <w:rPr>
          <w:rFonts w:ascii="Calibri" w:hAnsi="Calibri" w:cs="Calibri"/>
          <w:iCs/>
        </w:rPr>
        <w:t>A</w:t>
      </w:r>
      <w:r w:rsidR="00AF726E" w:rsidRPr="00AC6C6F">
        <w:rPr>
          <w:rFonts w:ascii="Calibri" w:hAnsi="Calibri" w:cs="Calibri"/>
          <w:iCs/>
        </w:rPr>
        <w:t xml:space="preserve"> </w:t>
      </w:r>
      <w:r w:rsidR="00EB291C" w:rsidRPr="00AC6C6F">
        <w:rPr>
          <w:rFonts w:ascii="Calibri" w:hAnsi="Calibri" w:cs="Calibri"/>
          <w:iCs/>
        </w:rPr>
        <w:t xml:space="preserve">statistically significant </w:t>
      </w:r>
      <w:r w:rsidR="00AF726E" w:rsidRPr="00AC6C6F">
        <w:rPr>
          <w:rFonts w:ascii="Calibri" w:hAnsi="Calibri" w:cs="Calibri"/>
          <w:iCs/>
        </w:rPr>
        <w:t>difference in OS</w:t>
      </w:r>
      <w:r w:rsidR="00EB291C" w:rsidRPr="00AC6C6F">
        <w:rPr>
          <w:rFonts w:ascii="Calibri" w:hAnsi="Calibri" w:cs="Calibri"/>
          <w:iCs/>
        </w:rPr>
        <w:t xml:space="preserve"> </w:t>
      </w:r>
      <w:r w:rsidRPr="00AC6C6F">
        <w:rPr>
          <w:rFonts w:ascii="Calibri" w:hAnsi="Calibri" w:cs="Calibri"/>
          <w:iCs/>
        </w:rPr>
        <w:t xml:space="preserve">across the </w:t>
      </w:r>
      <w:r w:rsidR="00EB291C" w:rsidRPr="00AC6C6F">
        <w:rPr>
          <w:rFonts w:ascii="Calibri" w:hAnsi="Calibri" w:cs="Calibri"/>
          <w:iCs/>
        </w:rPr>
        <w:t>treatment groups</w:t>
      </w:r>
      <w:r w:rsidRPr="00AC6C6F">
        <w:rPr>
          <w:rFonts w:ascii="Calibri" w:hAnsi="Calibri" w:cs="Calibri"/>
          <w:iCs/>
        </w:rPr>
        <w:t xml:space="preserve"> was not demonstrated</w:t>
      </w:r>
      <w:r w:rsidR="00EB291C" w:rsidRPr="00AC6C6F">
        <w:rPr>
          <w:rFonts w:ascii="Calibri" w:hAnsi="Calibri" w:cs="Calibri"/>
          <w:iCs/>
        </w:rPr>
        <w:t>.</w:t>
      </w:r>
      <w:r w:rsidR="00AF726E" w:rsidRPr="00AC6C6F">
        <w:rPr>
          <w:rFonts w:ascii="Calibri" w:hAnsi="Calibri" w:cs="Calibri"/>
          <w:iCs/>
        </w:rPr>
        <w:t xml:space="preserve"> </w:t>
      </w:r>
      <w:r w:rsidR="009A56E7" w:rsidRPr="00AC6C6F">
        <w:rPr>
          <w:rFonts w:ascii="Calibri" w:hAnsi="Calibri" w:cs="Calibri"/>
          <w:iCs/>
        </w:rPr>
        <w:t>A</w:t>
      </w:r>
      <w:r w:rsidR="00A33D46" w:rsidRPr="00AC6C6F">
        <w:rPr>
          <w:rFonts w:ascii="Calibri" w:hAnsi="Calibri" w:cs="Calibri"/>
          <w:iCs/>
        </w:rPr>
        <w:t>nalyses</w:t>
      </w:r>
      <w:r w:rsidR="00AF726E" w:rsidRPr="00AC6C6F">
        <w:rPr>
          <w:rFonts w:ascii="Calibri" w:hAnsi="Calibri" w:cs="Calibri"/>
          <w:iCs/>
        </w:rPr>
        <w:t xml:space="preserve"> adjust</w:t>
      </w:r>
      <w:r w:rsidR="00A33D46" w:rsidRPr="00AC6C6F">
        <w:rPr>
          <w:rFonts w:ascii="Calibri" w:hAnsi="Calibri" w:cs="Calibri"/>
          <w:iCs/>
        </w:rPr>
        <w:t xml:space="preserve">ing </w:t>
      </w:r>
      <w:r w:rsidR="00AF726E" w:rsidRPr="00AC6C6F">
        <w:rPr>
          <w:rFonts w:ascii="Calibri" w:hAnsi="Calibri" w:cs="Calibri"/>
          <w:iCs/>
        </w:rPr>
        <w:t>for treatment switching</w:t>
      </w:r>
      <w:r w:rsidR="00EB291C" w:rsidRPr="00AC6C6F">
        <w:rPr>
          <w:rFonts w:ascii="Calibri" w:hAnsi="Calibri" w:cs="Calibri"/>
          <w:iCs/>
        </w:rPr>
        <w:t xml:space="preserve"> showed a numerical difference in OS but no statistically significant difference (regardless of the adjustment method applied)</w:t>
      </w:r>
      <w:r w:rsidR="00AF726E" w:rsidRPr="00AC6C6F">
        <w:rPr>
          <w:rFonts w:ascii="Calibri" w:hAnsi="Calibri" w:cs="Calibri"/>
          <w:iCs/>
        </w:rPr>
        <w:t xml:space="preserve">. </w:t>
      </w:r>
    </w:p>
    <w:p w:rsidR="00752F9F" w:rsidRPr="00AC6C6F" w:rsidRDefault="001D5903" w:rsidP="00752F9F">
      <w:pPr>
        <w:pStyle w:val="3-BodyText"/>
        <w:rPr>
          <w:rFonts w:ascii="Calibri" w:hAnsi="Calibri" w:cs="Calibri"/>
          <w:iCs/>
        </w:rPr>
      </w:pPr>
      <w:r w:rsidRPr="00AC6C6F">
        <w:t>The PBAC considered the extent of benefit, if any, for mogamulizumab versus vorinostat could not be determined from the available evidence, and therefore did not consider the claim of superior comparative effectiveness to be adequately supported.</w:t>
      </w:r>
      <w:r w:rsidRPr="00AC6C6F">
        <w:rPr>
          <w:rFonts w:ascii="Calibri" w:hAnsi="Calibri" w:cs="Calibri"/>
          <w:iCs/>
        </w:rPr>
        <w:t xml:space="preserve"> </w:t>
      </w:r>
    </w:p>
    <w:p w:rsidR="00752F9F" w:rsidRPr="00AC6C6F" w:rsidRDefault="00752F9F" w:rsidP="00752F9F">
      <w:pPr>
        <w:pStyle w:val="3-BodyText"/>
        <w:rPr>
          <w:rFonts w:ascii="Calibri" w:hAnsi="Calibri" w:cs="Calibri"/>
          <w:iCs/>
        </w:rPr>
      </w:pPr>
      <w:r w:rsidRPr="00AC6C6F">
        <w:rPr>
          <w:rFonts w:ascii="Calibri" w:hAnsi="Calibri" w:cs="Calibri"/>
          <w:iCs/>
        </w:rPr>
        <w:t>The PBAC considered that the claim of non-inferior comparative safety versus vorinostat was reasonable.</w:t>
      </w:r>
    </w:p>
    <w:p w:rsidR="00AF726E" w:rsidRPr="00AC6C6F" w:rsidRDefault="00AF726E" w:rsidP="00AF726E">
      <w:pPr>
        <w:pStyle w:val="3-BodyText"/>
        <w:rPr>
          <w:iCs/>
          <w:color w:val="000000" w:themeColor="text1"/>
        </w:rPr>
      </w:pPr>
      <w:r w:rsidRPr="00AC6C6F">
        <w:rPr>
          <w:rFonts w:ascii="Calibri" w:hAnsi="Calibri" w:cs="Calibri"/>
        </w:rPr>
        <w:t xml:space="preserve">In terms of the secondary clinical claim, the submission described mogamulizumab as </w:t>
      </w:r>
      <w:r w:rsidR="00A33D46" w:rsidRPr="00AC6C6F">
        <w:rPr>
          <w:rFonts w:ascii="Calibri" w:hAnsi="Calibri" w:cs="Calibri"/>
        </w:rPr>
        <w:t xml:space="preserve">having </w:t>
      </w:r>
      <w:r w:rsidRPr="00AC6C6F">
        <w:rPr>
          <w:rFonts w:ascii="Calibri" w:hAnsi="Calibri" w:cs="Calibri"/>
        </w:rPr>
        <w:t>a qualitatively (but unquantifiabl</w:t>
      </w:r>
      <w:r w:rsidR="00A33D46" w:rsidRPr="00AC6C6F">
        <w:rPr>
          <w:rFonts w:ascii="Calibri" w:hAnsi="Calibri" w:cs="Calibri"/>
        </w:rPr>
        <w:t>y</w:t>
      </w:r>
      <w:r w:rsidRPr="00AC6C6F">
        <w:rPr>
          <w:rFonts w:ascii="Calibri" w:hAnsi="Calibri" w:cs="Calibri"/>
        </w:rPr>
        <w:t xml:space="preserve">) different mix of effectiveness and safety compared to brentuximab. </w:t>
      </w:r>
      <w:r w:rsidR="00754D40" w:rsidRPr="00AC6C6F">
        <w:rPr>
          <w:rFonts w:ascii="Calibri" w:hAnsi="Calibri" w:cs="Calibri"/>
        </w:rPr>
        <w:t xml:space="preserve">The </w:t>
      </w:r>
      <w:r w:rsidR="00CA4CFA" w:rsidRPr="00AC6C6F">
        <w:rPr>
          <w:rFonts w:ascii="Calibri" w:hAnsi="Calibri" w:cs="Calibri"/>
        </w:rPr>
        <w:t xml:space="preserve">PBAC agreed with the </w:t>
      </w:r>
      <w:r w:rsidR="00754D40" w:rsidRPr="00AC6C6F">
        <w:rPr>
          <w:rFonts w:ascii="Calibri" w:hAnsi="Calibri" w:cs="Calibri"/>
        </w:rPr>
        <w:t xml:space="preserve">ESC </w:t>
      </w:r>
      <w:r w:rsidR="00CA4CFA" w:rsidRPr="00AC6C6F">
        <w:rPr>
          <w:rFonts w:ascii="Calibri" w:hAnsi="Calibri" w:cs="Calibri"/>
        </w:rPr>
        <w:t>that</w:t>
      </w:r>
      <w:r w:rsidR="00754D40" w:rsidRPr="00AC6C6F">
        <w:rPr>
          <w:rFonts w:ascii="Calibri" w:hAnsi="Calibri" w:cs="Calibri"/>
          <w:i/>
        </w:rPr>
        <w:t xml:space="preserve"> </w:t>
      </w:r>
      <w:r w:rsidR="00754D40" w:rsidRPr="00AC6C6F">
        <w:rPr>
          <w:rFonts w:ascii="Calibri" w:hAnsi="Calibri" w:cs="Calibri"/>
          <w:iCs/>
        </w:rPr>
        <w:t>i</w:t>
      </w:r>
      <w:r w:rsidRPr="00AC6C6F">
        <w:rPr>
          <w:rFonts w:ascii="Calibri" w:hAnsi="Calibri" w:cs="Calibri"/>
          <w:iCs/>
        </w:rPr>
        <w:t>t</w:t>
      </w:r>
      <w:r w:rsidRPr="00AC6C6F">
        <w:rPr>
          <w:rFonts w:ascii="Calibri" w:hAnsi="Calibri" w:cs="Calibri"/>
          <w:bCs/>
          <w:iCs/>
        </w:rPr>
        <w:t xml:space="preserve"> is difficult to draw any meaningful comparison </w:t>
      </w:r>
      <w:r w:rsidR="00EB291C" w:rsidRPr="00AC6C6F">
        <w:rPr>
          <w:rFonts w:ascii="Calibri" w:hAnsi="Calibri" w:cs="Calibri"/>
          <w:bCs/>
          <w:iCs/>
        </w:rPr>
        <w:t xml:space="preserve">from </w:t>
      </w:r>
      <w:r w:rsidRPr="00AC6C6F">
        <w:rPr>
          <w:rFonts w:ascii="Calibri" w:hAnsi="Calibri" w:cs="Calibri"/>
          <w:bCs/>
          <w:iCs/>
        </w:rPr>
        <w:t xml:space="preserve">the evidence </w:t>
      </w:r>
      <w:r w:rsidR="007C6B47" w:rsidRPr="00AC6C6F">
        <w:rPr>
          <w:rFonts w:ascii="Calibri" w:hAnsi="Calibri" w:cs="Calibri"/>
          <w:bCs/>
          <w:iCs/>
        </w:rPr>
        <w:t xml:space="preserve">for </w:t>
      </w:r>
      <w:r w:rsidRPr="00AC6C6F">
        <w:rPr>
          <w:rFonts w:ascii="Calibri" w:hAnsi="Calibri" w:cs="Calibri"/>
          <w:bCs/>
          <w:iCs/>
        </w:rPr>
        <w:t xml:space="preserve">mogamulizumab and brentuximab given that it was based on a naïve indirect comparison informed by two trials that contained patients with different baseline disease characteristics, including CTCL subtype and CD30 expression. Furthermore, </w:t>
      </w:r>
      <w:r w:rsidRPr="00AC6C6F">
        <w:rPr>
          <w:rFonts w:ascii="Calibri" w:hAnsi="Calibri" w:cs="Calibri"/>
          <w:iCs/>
        </w:rPr>
        <w:t xml:space="preserve">there was no evidence presented in the submission regarding the use of mogamulizumab in CD30+ CTCL to inform the relevance of this comparison with brentuximab. </w:t>
      </w:r>
    </w:p>
    <w:p w:rsidR="00124743" w:rsidRPr="00AC6C6F" w:rsidRDefault="00124743" w:rsidP="00124743">
      <w:pPr>
        <w:pStyle w:val="4-SubsectionHeading"/>
      </w:pPr>
      <w:bookmarkStart w:id="17" w:name="_Toc22897645"/>
      <w:bookmarkStart w:id="18" w:name="_Toc22898857"/>
      <w:bookmarkStart w:id="19" w:name="_Toc40177096"/>
      <w:bookmarkEnd w:id="3"/>
      <w:r w:rsidRPr="00AC6C6F">
        <w:t>Economic analysis</w:t>
      </w:r>
      <w:bookmarkEnd w:id="17"/>
      <w:bookmarkEnd w:id="18"/>
      <w:bookmarkEnd w:id="19"/>
      <w:r w:rsidRPr="00AC6C6F">
        <w:t xml:space="preserve"> </w:t>
      </w:r>
    </w:p>
    <w:p w:rsidR="00C40187" w:rsidRPr="00AC6C6F" w:rsidRDefault="00D61A64" w:rsidP="00124743">
      <w:pPr>
        <w:pStyle w:val="3-BodyText"/>
        <w:rPr>
          <w:b/>
          <w:bCs/>
          <w:color w:val="0066FF"/>
        </w:rPr>
      </w:pPr>
      <w:r w:rsidRPr="00AC6C6F">
        <w:t xml:space="preserve">The submission </w:t>
      </w:r>
      <w:r w:rsidR="00CB153D" w:rsidRPr="00AC6C6F">
        <w:t xml:space="preserve">presented a cost-utility analysis (CUA) </w:t>
      </w:r>
      <w:r w:rsidR="00D13DB0" w:rsidRPr="00AC6C6F">
        <w:t>comparing mogamulizumab with vorinostat</w:t>
      </w:r>
      <w:r w:rsidR="00124D17" w:rsidRPr="00AC6C6F">
        <w:t>.</w:t>
      </w:r>
      <w:r w:rsidR="000D7237" w:rsidRPr="00AC6C6F">
        <w:t xml:space="preserve"> An economic evaluation for mogamulizumab versus brentuximab was not provided.</w:t>
      </w:r>
      <w:r w:rsidR="00124D17" w:rsidRPr="00AC6C6F">
        <w:t xml:space="preserve"> </w:t>
      </w:r>
      <w:r w:rsidR="00A33D46" w:rsidRPr="00AC6C6F">
        <w:t>A s</w:t>
      </w:r>
      <w:r w:rsidR="003E53ED" w:rsidRPr="00AC6C6F">
        <w:t>ummar</w:t>
      </w:r>
      <w:r w:rsidR="00477AF1" w:rsidRPr="00AC6C6F">
        <w:t>y</w:t>
      </w:r>
      <w:r w:rsidR="003E53ED" w:rsidRPr="00AC6C6F">
        <w:t xml:space="preserve"> of </w:t>
      </w:r>
      <w:r w:rsidR="00A33D46" w:rsidRPr="00AC6C6F">
        <w:t xml:space="preserve">the </w:t>
      </w:r>
      <w:r w:rsidR="003E53ED" w:rsidRPr="00AC6C6F">
        <w:t>model structure</w:t>
      </w:r>
      <w:r w:rsidR="00477AF1" w:rsidRPr="00AC6C6F">
        <w:t xml:space="preserve">, key inputs and rationale </w:t>
      </w:r>
      <w:r w:rsidR="00A33D46" w:rsidRPr="00AC6C6F">
        <w:t xml:space="preserve">for the model structure is </w:t>
      </w:r>
      <w:r w:rsidR="00477AF1" w:rsidRPr="00AC6C6F">
        <w:t>presented</w:t>
      </w:r>
      <w:r w:rsidR="005B03FE" w:rsidRPr="00AC6C6F">
        <w:t xml:space="preserve"> in </w:t>
      </w:r>
      <w:r w:rsidR="00A33D46" w:rsidRPr="00AC6C6F">
        <w:t>Table 13</w:t>
      </w:r>
      <w:r w:rsidR="005B03FE" w:rsidRPr="00AC6C6F">
        <w:t>.</w:t>
      </w:r>
    </w:p>
    <w:p w:rsidR="00BE0657" w:rsidRPr="00AC6C6F" w:rsidRDefault="00BE0657" w:rsidP="00BE0657">
      <w:pPr>
        <w:pStyle w:val="TableFigureHeading"/>
        <w:rPr>
          <w:rStyle w:val="CommentReference"/>
          <w:b/>
        </w:rPr>
      </w:pPr>
      <w:r w:rsidRPr="00AC6C6F">
        <w:rPr>
          <w:rStyle w:val="CommentReference"/>
          <w:b/>
        </w:rPr>
        <w:t xml:space="preserve">Table </w:t>
      </w:r>
      <w:r w:rsidR="00236175" w:rsidRPr="00AC6C6F">
        <w:rPr>
          <w:rStyle w:val="CommentReference"/>
          <w:b/>
        </w:rPr>
        <w:t>13</w:t>
      </w:r>
      <w:r w:rsidRPr="00AC6C6F">
        <w:rPr>
          <w:rStyle w:val="CommentReference"/>
          <w:b/>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477AF1" w:rsidRPr="00AC6C6F" w:rsidTr="000332CC">
        <w:trPr>
          <w:tblHeader/>
        </w:trPr>
        <w:tc>
          <w:tcPr>
            <w:tcW w:w="1396" w:type="pct"/>
            <w:shd w:val="clear" w:color="auto" w:fill="auto"/>
            <w:vAlign w:val="center"/>
          </w:tcPr>
          <w:p w:rsidR="00477AF1" w:rsidRPr="00AC6C6F" w:rsidRDefault="00477AF1" w:rsidP="000332CC">
            <w:pPr>
              <w:pStyle w:val="In-tableHeading"/>
              <w:rPr>
                <w:lang w:val="en-AU"/>
              </w:rPr>
            </w:pPr>
            <w:r w:rsidRPr="00AC6C6F">
              <w:rPr>
                <w:lang w:val="en-AU"/>
              </w:rPr>
              <w:t>Component</w:t>
            </w:r>
          </w:p>
        </w:tc>
        <w:tc>
          <w:tcPr>
            <w:tcW w:w="3604" w:type="pct"/>
            <w:shd w:val="clear" w:color="auto" w:fill="auto"/>
            <w:vAlign w:val="center"/>
          </w:tcPr>
          <w:p w:rsidR="00477AF1" w:rsidRPr="00AC6C6F" w:rsidRDefault="00477AF1" w:rsidP="000332CC">
            <w:pPr>
              <w:pStyle w:val="In-tableHeading"/>
              <w:rPr>
                <w:lang w:val="en-AU"/>
              </w:rPr>
            </w:pPr>
            <w:r w:rsidRPr="00AC6C6F">
              <w:rPr>
                <w:lang w:val="en-AU"/>
              </w:rPr>
              <w:t>Summary</w:t>
            </w:r>
          </w:p>
        </w:tc>
      </w:tr>
      <w:tr w:rsidR="00477AF1" w:rsidRPr="00AC6C6F" w:rsidTr="000332CC">
        <w:tc>
          <w:tcPr>
            <w:tcW w:w="1396" w:type="pct"/>
            <w:shd w:val="clear" w:color="auto" w:fill="auto"/>
            <w:vAlign w:val="center"/>
          </w:tcPr>
          <w:p w:rsidR="00477AF1" w:rsidRPr="00AC6C6F" w:rsidRDefault="00477AF1" w:rsidP="000332CC">
            <w:pPr>
              <w:pStyle w:val="TableText0"/>
            </w:pPr>
            <w:r w:rsidRPr="00AC6C6F">
              <w:t>Treatments</w:t>
            </w:r>
          </w:p>
        </w:tc>
        <w:tc>
          <w:tcPr>
            <w:tcW w:w="3604" w:type="pct"/>
            <w:shd w:val="clear" w:color="auto" w:fill="auto"/>
            <w:vAlign w:val="center"/>
          </w:tcPr>
          <w:p w:rsidR="00477AF1" w:rsidRPr="00AC6C6F" w:rsidRDefault="00EF527C" w:rsidP="000332CC">
            <w:pPr>
              <w:pStyle w:val="TableText0"/>
            </w:pPr>
            <w:r w:rsidRPr="00AC6C6F">
              <w:t>Mogamulizumab</w:t>
            </w:r>
            <w:r w:rsidR="00477AF1" w:rsidRPr="00AC6C6F">
              <w:t xml:space="preserve"> vs </w:t>
            </w:r>
            <w:r w:rsidRPr="00AC6C6F">
              <w:t>vorinostat</w:t>
            </w:r>
          </w:p>
        </w:tc>
      </w:tr>
      <w:tr w:rsidR="00477AF1" w:rsidRPr="00AC6C6F" w:rsidTr="000332CC">
        <w:tc>
          <w:tcPr>
            <w:tcW w:w="1396" w:type="pct"/>
            <w:shd w:val="clear" w:color="auto" w:fill="auto"/>
            <w:vAlign w:val="center"/>
          </w:tcPr>
          <w:p w:rsidR="00477AF1" w:rsidRPr="00AC6C6F" w:rsidRDefault="00477AF1" w:rsidP="000332CC">
            <w:pPr>
              <w:pStyle w:val="TableText0"/>
            </w:pPr>
            <w:r w:rsidRPr="00AC6C6F">
              <w:t>Time horizon</w:t>
            </w:r>
          </w:p>
        </w:tc>
        <w:tc>
          <w:tcPr>
            <w:tcW w:w="3604" w:type="pct"/>
            <w:shd w:val="clear" w:color="auto" w:fill="auto"/>
            <w:vAlign w:val="center"/>
          </w:tcPr>
          <w:p w:rsidR="00477AF1" w:rsidRPr="00AC6C6F" w:rsidRDefault="00622432" w:rsidP="00622432">
            <w:pPr>
              <w:pStyle w:val="TableText0"/>
            </w:pPr>
            <w:r w:rsidRPr="00AC6C6F">
              <w:t xml:space="preserve">20 </w:t>
            </w:r>
            <w:r w:rsidR="00477AF1" w:rsidRPr="00AC6C6F">
              <w:t xml:space="preserve">years in the model base case </w:t>
            </w:r>
            <w:r w:rsidR="00D935FE" w:rsidRPr="00AC6C6F">
              <w:t>(</w:t>
            </w:r>
            <w:r w:rsidRPr="00AC6C6F">
              <w:t>3 years median follow-up</w:t>
            </w:r>
            <w:r w:rsidR="00477AF1" w:rsidRPr="00AC6C6F">
              <w:t xml:space="preserve"> in </w:t>
            </w:r>
            <w:r w:rsidR="00533841" w:rsidRPr="00AC6C6F">
              <w:t>MAVORIC</w:t>
            </w:r>
            <w:r w:rsidR="00D935FE" w:rsidRPr="00AC6C6F">
              <w:t>)</w:t>
            </w:r>
          </w:p>
        </w:tc>
      </w:tr>
      <w:tr w:rsidR="00622432" w:rsidRPr="00AC6C6F" w:rsidTr="000332CC">
        <w:tc>
          <w:tcPr>
            <w:tcW w:w="1396" w:type="pct"/>
            <w:shd w:val="clear" w:color="auto" w:fill="auto"/>
            <w:vAlign w:val="center"/>
          </w:tcPr>
          <w:p w:rsidR="00622432" w:rsidRPr="00AC6C6F" w:rsidRDefault="00622432" w:rsidP="00622432">
            <w:pPr>
              <w:pStyle w:val="TableText0"/>
            </w:pPr>
            <w:r w:rsidRPr="00AC6C6F">
              <w:t>Outcomes</w:t>
            </w:r>
          </w:p>
        </w:tc>
        <w:tc>
          <w:tcPr>
            <w:tcW w:w="3604" w:type="pct"/>
            <w:shd w:val="clear" w:color="auto" w:fill="auto"/>
          </w:tcPr>
          <w:p w:rsidR="00622432" w:rsidRPr="00AC6C6F" w:rsidRDefault="00622432" w:rsidP="00622432">
            <w:pPr>
              <w:pStyle w:val="TableText0"/>
            </w:pPr>
            <w:r w:rsidRPr="00AC6C6F">
              <w:t>Life years and quality adjusted life years (QALYs) gained</w:t>
            </w:r>
          </w:p>
        </w:tc>
      </w:tr>
      <w:tr w:rsidR="00622432" w:rsidRPr="00AC6C6F" w:rsidTr="000332CC">
        <w:tc>
          <w:tcPr>
            <w:tcW w:w="1396" w:type="pct"/>
            <w:shd w:val="clear" w:color="auto" w:fill="auto"/>
            <w:vAlign w:val="center"/>
          </w:tcPr>
          <w:p w:rsidR="00622432" w:rsidRPr="00AC6C6F" w:rsidRDefault="00622432" w:rsidP="00622432">
            <w:pPr>
              <w:pStyle w:val="TableText0"/>
            </w:pPr>
            <w:r w:rsidRPr="00AC6C6F">
              <w:t>Methods used to generate results</w:t>
            </w:r>
          </w:p>
        </w:tc>
        <w:tc>
          <w:tcPr>
            <w:tcW w:w="3604" w:type="pct"/>
            <w:shd w:val="clear" w:color="auto" w:fill="auto"/>
            <w:vAlign w:val="center"/>
          </w:tcPr>
          <w:p w:rsidR="00622432" w:rsidRPr="00AC6C6F" w:rsidRDefault="00622432" w:rsidP="006575A5">
            <w:pPr>
              <w:pStyle w:val="TableText0"/>
            </w:pPr>
            <w:r w:rsidRPr="00AC6C6F">
              <w:t xml:space="preserve">Partitioned survival model </w:t>
            </w:r>
          </w:p>
        </w:tc>
      </w:tr>
      <w:tr w:rsidR="00622432" w:rsidRPr="00AC6C6F" w:rsidTr="000332CC">
        <w:tc>
          <w:tcPr>
            <w:tcW w:w="1396" w:type="pct"/>
            <w:shd w:val="clear" w:color="auto" w:fill="auto"/>
            <w:vAlign w:val="center"/>
          </w:tcPr>
          <w:p w:rsidR="00622432" w:rsidRPr="00AC6C6F" w:rsidRDefault="00622432" w:rsidP="00622432">
            <w:pPr>
              <w:pStyle w:val="TableText0"/>
            </w:pPr>
            <w:r w:rsidRPr="00AC6C6F">
              <w:t>Health states</w:t>
            </w:r>
          </w:p>
        </w:tc>
        <w:tc>
          <w:tcPr>
            <w:tcW w:w="3604" w:type="pct"/>
            <w:shd w:val="clear" w:color="auto" w:fill="auto"/>
            <w:vAlign w:val="center"/>
          </w:tcPr>
          <w:p w:rsidR="006575A5" w:rsidRPr="00AC6C6F" w:rsidRDefault="006575A5" w:rsidP="006575A5">
            <w:pPr>
              <w:pStyle w:val="TableBullets"/>
              <w:numPr>
                <w:ilvl w:val="0"/>
                <w:numId w:val="0"/>
              </w:numPr>
              <w:ind w:left="357" w:hanging="357"/>
              <w:rPr>
                <w:rFonts w:ascii="Arial Narrow" w:hAnsi="Arial Narrow"/>
              </w:rPr>
            </w:pPr>
            <w:r w:rsidRPr="00AC6C6F">
              <w:rPr>
                <w:rFonts w:ascii="Arial Narrow" w:hAnsi="Arial Narrow"/>
              </w:rPr>
              <w:t xml:space="preserve">Disease control on treatment </w:t>
            </w:r>
            <w:r w:rsidR="003A308D" w:rsidRPr="00AC6C6F">
              <w:rPr>
                <w:rFonts w:ascii="Arial Narrow" w:hAnsi="Arial Narrow"/>
              </w:rPr>
              <w:t>(DCOT)</w:t>
            </w:r>
          </w:p>
          <w:p w:rsidR="006575A5" w:rsidRPr="00AC6C6F" w:rsidRDefault="006575A5" w:rsidP="006575A5">
            <w:pPr>
              <w:pStyle w:val="TableBullets"/>
              <w:numPr>
                <w:ilvl w:val="0"/>
                <w:numId w:val="0"/>
              </w:numPr>
              <w:ind w:left="357" w:hanging="357"/>
              <w:rPr>
                <w:rFonts w:ascii="Arial Narrow" w:hAnsi="Arial Narrow"/>
              </w:rPr>
            </w:pPr>
            <w:r w:rsidRPr="00AC6C6F">
              <w:rPr>
                <w:rFonts w:ascii="Arial Narrow" w:hAnsi="Arial Narrow"/>
              </w:rPr>
              <w:t xml:space="preserve">Surveillance without treatment </w:t>
            </w:r>
          </w:p>
          <w:p w:rsidR="006575A5" w:rsidRPr="00AC6C6F" w:rsidRDefault="006575A5" w:rsidP="006575A5">
            <w:pPr>
              <w:pStyle w:val="TableBullets"/>
              <w:numPr>
                <w:ilvl w:val="0"/>
                <w:numId w:val="0"/>
              </w:numPr>
              <w:ind w:left="357" w:hanging="357"/>
              <w:rPr>
                <w:rFonts w:ascii="Arial Narrow" w:hAnsi="Arial Narrow"/>
              </w:rPr>
            </w:pPr>
            <w:r w:rsidRPr="00AC6C6F">
              <w:rPr>
                <w:rFonts w:ascii="Arial Narrow" w:hAnsi="Arial Narrow"/>
              </w:rPr>
              <w:t xml:space="preserve">Subsequent therapy </w:t>
            </w:r>
          </w:p>
          <w:p w:rsidR="00622432" w:rsidRPr="00AC6C6F" w:rsidRDefault="006575A5" w:rsidP="006575A5">
            <w:pPr>
              <w:pStyle w:val="TableBullets"/>
              <w:numPr>
                <w:ilvl w:val="0"/>
                <w:numId w:val="0"/>
              </w:numPr>
              <w:ind w:left="357" w:hanging="357"/>
              <w:rPr>
                <w:rFonts w:ascii="Arial Narrow" w:hAnsi="Arial Narrow"/>
              </w:rPr>
            </w:pPr>
            <w:r w:rsidRPr="00AC6C6F">
              <w:rPr>
                <w:rFonts w:ascii="Arial Narrow" w:hAnsi="Arial Narrow"/>
              </w:rPr>
              <w:t>Dead</w:t>
            </w:r>
          </w:p>
        </w:tc>
      </w:tr>
      <w:tr w:rsidR="00622432" w:rsidRPr="00AC6C6F" w:rsidTr="000332CC">
        <w:tc>
          <w:tcPr>
            <w:tcW w:w="1396" w:type="pct"/>
            <w:shd w:val="clear" w:color="auto" w:fill="auto"/>
            <w:vAlign w:val="center"/>
          </w:tcPr>
          <w:p w:rsidR="00622432" w:rsidRPr="00AC6C6F" w:rsidRDefault="00622432" w:rsidP="00622432">
            <w:pPr>
              <w:pStyle w:val="TableText0"/>
            </w:pPr>
            <w:r w:rsidRPr="00AC6C6F">
              <w:t>Cycle length</w:t>
            </w:r>
          </w:p>
        </w:tc>
        <w:tc>
          <w:tcPr>
            <w:tcW w:w="3604" w:type="pct"/>
            <w:shd w:val="clear" w:color="auto" w:fill="auto"/>
            <w:vAlign w:val="center"/>
          </w:tcPr>
          <w:p w:rsidR="00622432" w:rsidRPr="00AC6C6F" w:rsidRDefault="006575A5" w:rsidP="006575A5">
            <w:pPr>
              <w:pStyle w:val="TableText0"/>
            </w:pPr>
            <w:r w:rsidRPr="00AC6C6F">
              <w:t>7</w:t>
            </w:r>
            <w:r w:rsidR="00622432" w:rsidRPr="00AC6C6F">
              <w:t xml:space="preserve"> </w:t>
            </w:r>
            <w:r w:rsidRPr="00AC6C6F">
              <w:t>days</w:t>
            </w:r>
          </w:p>
        </w:tc>
      </w:tr>
      <w:tr w:rsidR="00622432" w:rsidRPr="00AC6C6F" w:rsidTr="000332CC">
        <w:tc>
          <w:tcPr>
            <w:tcW w:w="1396" w:type="pct"/>
            <w:shd w:val="clear" w:color="auto" w:fill="auto"/>
            <w:vAlign w:val="center"/>
          </w:tcPr>
          <w:p w:rsidR="00622432" w:rsidRPr="00AC6C6F" w:rsidRDefault="006575A5" w:rsidP="006575A5">
            <w:pPr>
              <w:pStyle w:val="TableText0"/>
            </w:pPr>
            <w:r w:rsidRPr="00AC6C6F">
              <w:t>Allocation to health states</w:t>
            </w:r>
          </w:p>
        </w:tc>
        <w:tc>
          <w:tcPr>
            <w:tcW w:w="3604" w:type="pct"/>
            <w:shd w:val="clear" w:color="auto" w:fill="auto"/>
            <w:vAlign w:val="center"/>
          </w:tcPr>
          <w:p w:rsidR="00622432" w:rsidRPr="00AC6C6F" w:rsidRDefault="00533841" w:rsidP="00622432">
            <w:pPr>
              <w:pStyle w:val="TableText0"/>
            </w:pPr>
            <w:r w:rsidRPr="00AC6C6F">
              <w:t>Derived from time to event analyses</w:t>
            </w:r>
            <w:r w:rsidR="00220E48" w:rsidRPr="00AC6C6F">
              <w:t xml:space="preserve"> (TOT, TTNT, and OS)</w:t>
            </w:r>
            <w:r w:rsidRPr="00AC6C6F">
              <w:t xml:space="preserve"> of MAVORIC</w:t>
            </w:r>
          </w:p>
        </w:tc>
      </w:tr>
      <w:tr w:rsidR="00622432" w:rsidRPr="00AC6C6F" w:rsidTr="000332CC">
        <w:tc>
          <w:tcPr>
            <w:tcW w:w="1396" w:type="pct"/>
            <w:shd w:val="clear" w:color="auto" w:fill="auto"/>
            <w:vAlign w:val="center"/>
          </w:tcPr>
          <w:p w:rsidR="00622432" w:rsidRPr="00AC6C6F" w:rsidRDefault="00622432" w:rsidP="00622432">
            <w:pPr>
              <w:pStyle w:val="TableText0"/>
            </w:pPr>
            <w:r w:rsidRPr="00AC6C6F">
              <w:t>Extrapolation method</w:t>
            </w:r>
          </w:p>
        </w:tc>
        <w:tc>
          <w:tcPr>
            <w:tcW w:w="3604" w:type="pct"/>
            <w:shd w:val="clear" w:color="auto" w:fill="auto"/>
            <w:vAlign w:val="center"/>
          </w:tcPr>
          <w:p w:rsidR="00622432" w:rsidRPr="00AC6C6F" w:rsidRDefault="00220E48" w:rsidP="00622432">
            <w:pPr>
              <w:pStyle w:val="TableText0"/>
            </w:pPr>
            <w:r w:rsidRPr="00AC6C6F">
              <w:t>P</w:t>
            </w:r>
            <w:r w:rsidR="00622432" w:rsidRPr="00AC6C6F">
              <w:t xml:space="preserve">arametric model fitted to each treatment arm with </w:t>
            </w:r>
            <w:r w:rsidRPr="00AC6C6F">
              <w:t>gamma</w:t>
            </w:r>
            <w:r w:rsidR="00622432" w:rsidRPr="00AC6C6F">
              <w:t xml:space="preserve"> sele</w:t>
            </w:r>
            <w:r w:rsidRPr="00AC6C6F">
              <w:t xml:space="preserve">cted in base case for </w:t>
            </w:r>
            <w:r w:rsidR="00C801DF" w:rsidRPr="00AC6C6F">
              <w:t>TOT</w:t>
            </w:r>
            <w:r w:rsidR="00EB291C" w:rsidRPr="00AC6C6F">
              <w:t xml:space="preserve">, </w:t>
            </w:r>
            <w:r w:rsidRPr="00AC6C6F">
              <w:t>lognormal</w:t>
            </w:r>
            <w:r w:rsidR="00622432" w:rsidRPr="00AC6C6F">
              <w:t xml:space="preserve"> for </w:t>
            </w:r>
            <w:r w:rsidRPr="00AC6C6F">
              <w:t>TTNT and exponential for OS</w:t>
            </w:r>
            <w:r w:rsidR="00622432" w:rsidRPr="00AC6C6F">
              <w:t xml:space="preserve"> based on goodness of fit/external validation</w:t>
            </w:r>
            <w:r w:rsidR="00EB291C" w:rsidRPr="00AC6C6F">
              <w:t>. N</w:t>
            </w:r>
            <w:r w:rsidR="00AE4D84" w:rsidRPr="00AC6C6F">
              <w:t>o convergence applied</w:t>
            </w:r>
            <w:r w:rsidR="00EB291C" w:rsidRPr="00AC6C6F">
              <w:t>.</w:t>
            </w:r>
            <w:r w:rsidR="00F572C9" w:rsidRPr="00AC6C6F">
              <w:t xml:space="preserve"> OS outcome </w:t>
            </w:r>
            <w:r w:rsidR="00D935FE" w:rsidRPr="00AC6C6F">
              <w:t xml:space="preserve">for </w:t>
            </w:r>
            <w:r w:rsidR="00F572C9" w:rsidRPr="00AC6C6F">
              <w:t>vorinostat was based on IPCW</w:t>
            </w:r>
            <w:r w:rsidR="00D935FE" w:rsidRPr="00AC6C6F">
              <w:t xml:space="preserve"> crossover adjusted</w:t>
            </w:r>
            <w:r w:rsidR="00EB291C" w:rsidRPr="00AC6C6F">
              <w:t xml:space="preserve"> (excluding patients who had an SCT)</w:t>
            </w:r>
            <w:r w:rsidR="00D935FE" w:rsidRPr="00AC6C6F">
              <w:t>.</w:t>
            </w:r>
          </w:p>
          <w:p w:rsidR="00622432" w:rsidRPr="00AC6C6F" w:rsidRDefault="00FC7EF6" w:rsidP="00BB2A26">
            <w:pPr>
              <w:pStyle w:val="TableText0"/>
            </w:pPr>
            <w:r w:rsidRPr="00AC6C6F">
              <w:rPr>
                <w:iCs/>
              </w:rPr>
              <w:t>59</w:t>
            </w:r>
            <w:r w:rsidR="00622432" w:rsidRPr="00AC6C6F">
              <w:rPr>
                <w:iCs/>
              </w:rPr>
              <w:t xml:space="preserve">% of </w:t>
            </w:r>
            <w:r w:rsidR="00AA42E2" w:rsidRPr="00AC6C6F">
              <w:rPr>
                <w:iCs/>
              </w:rPr>
              <w:t xml:space="preserve">discounted </w:t>
            </w:r>
            <w:r w:rsidR="00622432" w:rsidRPr="00AC6C6F">
              <w:rPr>
                <w:iCs/>
              </w:rPr>
              <w:t>QALYs</w:t>
            </w:r>
            <w:r w:rsidR="00BB2A26" w:rsidRPr="00AC6C6F">
              <w:rPr>
                <w:iCs/>
              </w:rPr>
              <w:t xml:space="preserve"> (and 29</w:t>
            </w:r>
            <w:r w:rsidR="00622432" w:rsidRPr="00AC6C6F">
              <w:rPr>
                <w:iCs/>
              </w:rPr>
              <w:t xml:space="preserve">% of </w:t>
            </w:r>
            <w:r w:rsidR="006B3741" w:rsidRPr="00AC6C6F">
              <w:rPr>
                <w:iCs/>
              </w:rPr>
              <w:t xml:space="preserve">discounted </w:t>
            </w:r>
            <w:r w:rsidR="00622432" w:rsidRPr="00AC6C6F">
              <w:rPr>
                <w:iCs/>
              </w:rPr>
              <w:t>costs) occur in the extrapolated period</w:t>
            </w:r>
            <w:r w:rsidR="00622432" w:rsidRPr="00AC6C6F">
              <w:t>.</w:t>
            </w:r>
          </w:p>
        </w:tc>
      </w:tr>
      <w:tr w:rsidR="00622432" w:rsidRPr="00AC6C6F" w:rsidTr="000332CC">
        <w:tc>
          <w:tcPr>
            <w:tcW w:w="1396" w:type="pct"/>
            <w:shd w:val="clear" w:color="auto" w:fill="auto"/>
            <w:vAlign w:val="center"/>
          </w:tcPr>
          <w:p w:rsidR="00622432" w:rsidRPr="00AC6C6F" w:rsidRDefault="00622432" w:rsidP="00622432">
            <w:pPr>
              <w:pStyle w:val="TableText0"/>
            </w:pPr>
            <w:r w:rsidRPr="00AC6C6F">
              <w:t>Health related quality of life</w:t>
            </w:r>
          </w:p>
        </w:tc>
        <w:tc>
          <w:tcPr>
            <w:tcW w:w="3604" w:type="pct"/>
            <w:shd w:val="clear" w:color="auto" w:fill="auto"/>
            <w:vAlign w:val="center"/>
          </w:tcPr>
          <w:p w:rsidR="00622432" w:rsidRPr="00AC6C6F" w:rsidRDefault="003A308D" w:rsidP="00622432">
            <w:pPr>
              <w:pStyle w:val="TableText0"/>
            </w:pPr>
            <w:r w:rsidRPr="00AC6C6F">
              <w:t>MAVORIC</w:t>
            </w:r>
            <w:r w:rsidR="00AE4D84" w:rsidRPr="00AC6C6F">
              <w:t>-based;</w:t>
            </w:r>
          </w:p>
          <w:p w:rsidR="00622432" w:rsidRPr="00AC6C6F" w:rsidRDefault="00D935FE" w:rsidP="004B0B42">
            <w:pPr>
              <w:pStyle w:val="TableText0"/>
            </w:pPr>
            <w:r w:rsidRPr="00AC6C6F">
              <w:t xml:space="preserve">Utility values for </w:t>
            </w:r>
            <w:r w:rsidR="003A308D" w:rsidRPr="00AC6C6F">
              <w:t>DCOT = varied by cycle</w:t>
            </w:r>
            <w:r w:rsidR="004B0B42" w:rsidRPr="00AC6C6F">
              <w:t>s</w:t>
            </w:r>
            <w:r w:rsidR="003A308D" w:rsidRPr="00AC6C6F">
              <w:t xml:space="preserve"> (0.695-0.813 for mogamulizumab and 0.592-0.763 for vor</w:t>
            </w:r>
            <w:r w:rsidR="004B0B42" w:rsidRPr="00AC6C6F">
              <w:t>inostat); s</w:t>
            </w:r>
            <w:r w:rsidR="003A308D" w:rsidRPr="00AC6C6F">
              <w:t xml:space="preserve">urveillance without treatment = 0.7675; </w:t>
            </w:r>
            <w:r w:rsidR="004B0B42" w:rsidRPr="00AC6C6F">
              <w:t>s</w:t>
            </w:r>
            <w:r w:rsidR="003A308D" w:rsidRPr="00AC6C6F">
              <w:t>ubsequent therapy = 0.7185</w:t>
            </w:r>
          </w:p>
        </w:tc>
      </w:tr>
    </w:tbl>
    <w:p w:rsidR="005B03FE" w:rsidRPr="00AC6C6F" w:rsidRDefault="005B03FE" w:rsidP="005B03FE">
      <w:pPr>
        <w:pStyle w:val="TableFigureFooter"/>
      </w:pPr>
      <w:r w:rsidRPr="00AC6C6F">
        <w:t>Source: Table 3-1, p161 of the submission</w:t>
      </w:r>
      <w:r w:rsidR="0065710B" w:rsidRPr="00AC6C6F">
        <w:t>; developed during the evaluation</w:t>
      </w:r>
    </w:p>
    <w:p w:rsidR="005B03FE" w:rsidRPr="00AC6C6F" w:rsidRDefault="005B03FE" w:rsidP="005B03FE">
      <w:pPr>
        <w:pStyle w:val="TableFigureFooter"/>
        <w:rPr>
          <w:sz w:val="20"/>
        </w:rPr>
      </w:pPr>
      <w:r w:rsidRPr="00AC6C6F">
        <w:t>Abbreviations:</w:t>
      </w:r>
      <w:r w:rsidR="00E46197" w:rsidRPr="00AC6C6F">
        <w:t xml:space="preserve"> DCOT = disease control on treatment;</w:t>
      </w:r>
      <w:r w:rsidRPr="00AC6C6F">
        <w:t xml:space="preserve"> </w:t>
      </w:r>
      <w:r w:rsidR="00F572C9" w:rsidRPr="00AC6C6F">
        <w:t xml:space="preserve">IPCW = inverse probability of censoring weighted; </w:t>
      </w:r>
      <w:r w:rsidRPr="00AC6C6F">
        <w:t>QALYs = Quality Adjusted Life Years gained</w:t>
      </w:r>
      <w:r w:rsidR="00E46197" w:rsidRPr="00AC6C6F">
        <w:t xml:space="preserve">; OS = overall survival; </w:t>
      </w:r>
      <w:r w:rsidR="00EB291C" w:rsidRPr="00AC6C6F">
        <w:t xml:space="preserve">SCT= stem cell transplant; </w:t>
      </w:r>
      <w:r w:rsidR="00E46197" w:rsidRPr="00AC6C6F">
        <w:t>TOT = time on treatment; TTNT = time on next treatment</w:t>
      </w:r>
    </w:p>
    <w:p w:rsidR="00D935FE" w:rsidRPr="00AC6C6F" w:rsidRDefault="007A7DFD" w:rsidP="009036F7">
      <w:pPr>
        <w:pStyle w:val="3-BodyText"/>
        <w:rPr>
          <w:iCs/>
        </w:rPr>
      </w:pPr>
      <w:r w:rsidRPr="00AC6C6F">
        <w:t xml:space="preserve">The model population </w:t>
      </w:r>
      <w:r w:rsidR="00D935FE" w:rsidRPr="00AC6C6F">
        <w:t>w</w:t>
      </w:r>
      <w:r w:rsidR="00FD1AF5" w:rsidRPr="00AC6C6F">
        <w:t>as</w:t>
      </w:r>
      <w:r w:rsidRPr="00AC6C6F">
        <w:t xml:space="preserve"> patients </w:t>
      </w:r>
      <w:r w:rsidR="00D935FE" w:rsidRPr="00AC6C6F">
        <w:t xml:space="preserve">with </w:t>
      </w:r>
      <w:r w:rsidRPr="00AC6C6F">
        <w:t xml:space="preserve">refractory or relapsed CTCL </w:t>
      </w:r>
      <w:r w:rsidR="00D935FE" w:rsidRPr="00AC6C6F">
        <w:t xml:space="preserve">which </w:t>
      </w:r>
      <w:r w:rsidRPr="00AC6C6F">
        <w:t>reflects the proposed PBS population</w:t>
      </w:r>
      <w:r w:rsidR="00D537FE" w:rsidRPr="00AC6C6F">
        <w:t>.</w:t>
      </w:r>
      <w:r w:rsidRPr="00AC6C6F">
        <w:rPr>
          <w:iCs/>
        </w:rPr>
        <w:t xml:space="preserve"> </w:t>
      </w:r>
      <w:r w:rsidR="00D935FE" w:rsidRPr="00AC6C6F">
        <w:rPr>
          <w:iCs/>
        </w:rPr>
        <w:t>However</w:t>
      </w:r>
      <w:r w:rsidRPr="00AC6C6F">
        <w:rPr>
          <w:iCs/>
        </w:rPr>
        <w:t xml:space="preserve">, </w:t>
      </w:r>
      <w:r w:rsidR="00D935FE" w:rsidRPr="00AC6C6F">
        <w:rPr>
          <w:iCs/>
        </w:rPr>
        <w:t>the d</w:t>
      </w:r>
      <w:r w:rsidRPr="00AC6C6F">
        <w:rPr>
          <w:iCs/>
        </w:rPr>
        <w:t xml:space="preserve">ata used in the model from MAVORIC </w:t>
      </w:r>
      <w:r w:rsidR="00D935FE" w:rsidRPr="00AC6C6F">
        <w:rPr>
          <w:iCs/>
        </w:rPr>
        <w:t xml:space="preserve">were </w:t>
      </w:r>
      <w:r w:rsidR="00077782" w:rsidRPr="00AC6C6F">
        <w:rPr>
          <w:iCs/>
        </w:rPr>
        <w:t xml:space="preserve">for </w:t>
      </w:r>
      <w:r w:rsidRPr="00AC6C6F">
        <w:rPr>
          <w:iCs/>
        </w:rPr>
        <w:t xml:space="preserve">MF and SS patients </w:t>
      </w:r>
      <w:r w:rsidR="00D935FE" w:rsidRPr="00AC6C6F">
        <w:rPr>
          <w:iCs/>
        </w:rPr>
        <w:t>only</w:t>
      </w:r>
      <w:r w:rsidRPr="00AC6C6F">
        <w:rPr>
          <w:iCs/>
        </w:rPr>
        <w:t xml:space="preserve">. </w:t>
      </w:r>
      <w:r w:rsidR="000D7237" w:rsidRPr="00AC6C6F">
        <w:rPr>
          <w:iCs/>
        </w:rPr>
        <w:t>P</w:t>
      </w:r>
      <w:r w:rsidR="00D935FE" w:rsidRPr="00AC6C6F">
        <w:rPr>
          <w:iCs/>
        </w:rPr>
        <w:t xml:space="preserve">atients who had an SCT </w:t>
      </w:r>
      <w:r w:rsidR="000D7237" w:rsidRPr="00AC6C6F">
        <w:rPr>
          <w:iCs/>
        </w:rPr>
        <w:t xml:space="preserve">were excluded </w:t>
      </w:r>
      <w:r w:rsidR="00D935FE" w:rsidRPr="00AC6C6F">
        <w:rPr>
          <w:iCs/>
        </w:rPr>
        <w:t xml:space="preserve">from the analysis of OS </w:t>
      </w:r>
      <w:r w:rsidR="000D7237" w:rsidRPr="00AC6C6F">
        <w:rPr>
          <w:iCs/>
        </w:rPr>
        <w:t>used to inform</w:t>
      </w:r>
      <w:r w:rsidR="00D935FE" w:rsidRPr="00AC6C6F">
        <w:rPr>
          <w:iCs/>
        </w:rPr>
        <w:t xml:space="preserve"> the economic model. </w:t>
      </w:r>
    </w:p>
    <w:p w:rsidR="008C2600" w:rsidRPr="00AC6C6F" w:rsidRDefault="000D7237" w:rsidP="008C2600">
      <w:pPr>
        <w:pStyle w:val="3-BodyText"/>
        <w:rPr>
          <w:color w:val="0066FF"/>
        </w:rPr>
      </w:pPr>
      <w:r w:rsidRPr="00AC6C6F">
        <w:t>During the evaluation t</w:t>
      </w:r>
      <w:r w:rsidR="009D3C27" w:rsidRPr="00AC6C6F">
        <w:t xml:space="preserve">he </w:t>
      </w:r>
      <w:r w:rsidRPr="00AC6C6F">
        <w:t xml:space="preserve">model </w:t>
      </w:r>
      <w:r w:rsidR="009D3C27" w:rsidRPr="00AC6C6F">
        <w:t>time horizon of 20 years</w:t>
      </w:r>
      <w:r w:rsidRPr="00AC6C6F">
        <w:t xml:space="preserve"> was considered long</w:t>
      </w:r>
      <w:r w:rsidR="009D3C27" w:rsidRPr="00AC6C6F">
        <w:t xml:space="preserve"> </w:t>
      </w:r>
      <w:r w:rsidRPr="00AC6C6F">
        <w:t>given</w:t>
      </w:r>
      <w:r w:rsidR="009D3C27" w:rsidRPr="00AC6C6F">
        <w:t xml:space="preserve"> </w:t>
      </w:r>
      <w:r w:rsidR="00D935FE" w:rsidRPr="00AC6C6F">
        <w:t xml:space="preserve">the </w:t>
      </w:r>
      <w:r w:rsidR="00D30A7D" w:rsidRPr="00AC6C6F">
        <w:t xml:space="preserve">proposed PBS listing for mogamulizumab </w:t>
      </w:r>
      <w:r w:rsidR="00A50253" w:rsidRPr="00AC6C6F">
        <w:t>wa</w:t>
      </w:r>
      <w:r w:rsidR="00D30A7D" w:rsidRPr="00AC6C6F">
        <w:t xml:space="preserve">s </w:t>
      </w:r>
      <w:r w:rsidR="00A50253" w:rsidRPr="00AC6C6F">
        <w:t>for patients</w:t>
      </w:r>
      <w:r w:rsidR="00D30A7D" w:rsidRPr="00AC6C6F">
        <w:t xml:space="preserve"> who have used at least one systemic therapy, and thus are likely to have a worse prognosis than de-novo patients</w:t>
      </w:r>
      <w:r w:rsidR="00D935FE" w:rsidRPr="00AC6C6F">
        <w:t>. In addition</w:t>
      </w:r>
      <w:r w:rsidR="00D30A7D" w:rsidRPr="00AC6C6F">
        <w:t>, patients in MAVORIC, which are assumed to be the same as those in the economic model, had predominantly late stage disease; 62.4% with stage III or IV vs 37.6% IB or II disease.</w:t>
      </w:r>
      <w:r w:rsidR="008C2600" w:rsidRPr="00AC6C6F">
        <w:rPr>
          <w:color w:val="0066FF"/>
        </w:rPr>
        <w:t xml:space="preserve"> </w:t>
      </w:r>
      <w:r w:rsidR="008C2600" w:rsidRPr="00AC6C6F">
        <w:t xml:space="preserve">The PSCR stated that </w:t>
      </w:r>
      <w:r w:rsidR="008C2600" w:rsidRPr="00AC6C6F">
        <w:rPr>
          <w:iCs/>
        </w:rPr>
        <w:t>the results of the updated (March 2019) analysis of MAVORIC indicate that around 50% of patients receiving mogamulizumab were still alive after 5-6 years. As such, the PSCR argued that a 20 year time horizon was appropriate.</w:t>
      </w:r>
      <w:r w:rsidR="003740F3" w:rsidRPr="00AC6C6F">
        <w:rPr>
          <w:iCs/>
        </w:rPr>
        <w:t xml:space="preserve"> </w:t>
      </w:r>
      <w:r w:rsidR="00DE3139" w:rsidRPr="00AC6C6F">
        <w:rPr>
          <w:iCs/>
        </w:rPr>
        <w:t xml:space="preserve">The PBAC </w:t>
      </w:r>
      <w:r w:rsidR="007F11FA" w:rsidRPr="00AC6C6F">
        <w:rPr>
          <w:iCs/>
        </w:rPr>
        <w:t xml:space="preserve">noted </w:t>
      </w:r>
      <w:r w:rsidR="00DE3139" w:rsidRPr="00AC6C6F">
        <w:rPr>
          <w:iCs/>
        </w:rPr>
        <w:t xml:space="preserve">the economic analyses for </w:t>
      </w:r>
      <w:r w:rsidR="00A50253" w:rsidRPr="00AC6C6F">
        <w:rPr>
          <w:iCs/>
        </w:rPr>
        <w:t xml:space="preserve">the </w:t>
      </w:r>
      <w:r w:rsidR="00DE3139" w:rsidRPr="00AC6C6F">
        <w:rPr>
          <w:iCs/>
        </w:rPr>
        <w:t>vorinostat and brentuximab considerations for relapsed or refractory CTCL incorporated shorter time horizons and agreed with the evaluation that a more conservative time horizon may be appropriate for this patient population.</w:t>
      </w:r>
    </w:p>
    <w:p w:rsidR="008C2600" w:rsidRPr="00AC6C6F" w:rsidRDefault="00A50253" w:rsidP="0050798A">
      <w:pPr>
        <w:pStyle w:val="3-BodyText"/>
        <w:rPr>
          <w:color w:val="0066FF"/>
        </w:rPr>
      </w:pPr>
      <w:r w:rsidRPr="00AC6C6F">
        <w:t>During the evaluation t</w:t>
      </w:r>
      <w:r w:rsidR="00D935FE" w:rsidRPr="00AC6C6F">
        <w:t>he a</w:t>
      </w:r>
      <w:r w:rsidR="00BE4D85" w:rsidRPr="00AC6C6F">
        <w:t xml:space="preserve">pproach used to estimate OS in the model </w:t>
      </w:r>
      <w:r w:rsidR="00D935FE" w:rsidRPr="00AC6C6F">
        <w:t xml:space="preserve">was </w:t>
      </w:r>
      <w:r w:rsidRPr="00AC6C6F">
        <w:t xml:space="preserve">considered </w:t>
      </w:r>
      <w:r w:rsidR="00D935FE" w:rsidRPr="00AC6C6F">
        <w:t xml:space="preserve">inadequately </w:t>
      </w:r>
      <w:r w:rsidR="00BE4D85" w:rsidRPr="00AC6C6F">
        <w:t>just</w:t>
      </w:r>
      <w:r w:rsidR="00F24E90" w:rsidRPr="00AC6C6F">
        <w:t>if</w:t>
      </w:r>
      <w:r w:rsidR="00BE4D85" w:rsidRPr="00AC6C6F">
        <w:t xml:space="preserve">ied. </w:t>
      </w:r>
      <w:r w:rsidR="005645AA" w:rsidRPr="00AC6C6F">
        <w:t>Application of</w:t>
      </w:r>
      <w:r w:rsidR="00F24E90" w:rsidRPr="00AC6C6F">
        <w:t xml:space="preserve"> IPCW </w:t>
      </w:r>
      <w:r w:rsidR="00FD1AF5" w:rsidRPr="00AC6C6F">
        <w:t xml:space="preserve">for crossover adjustment </w:t>
      </w:r>
      <w:r w:rsidR="00F24E90" w:rsidRPr="00AC6C6F">
        <w:t>provide</w:t>
      </w:r>
      <w:r w:rsidR="00664418" w:rsidRPr="00AC6C6F">
        <w:t>d</w:t>
      </w:r>
      <w:r w:rsidR="00F24E90" w:rsidRPr="00AC6C6F">
        <w:t xml:space="preserve"> </w:t>
      </w:r>
      <w:r w:rsidR="00B37FB5" w:rsidRPr="00AC6C6F">
        <w:t xml:space="preserve">overly pessimistic </w:t>
      </w:r>
      <w:r w:rsidR="00D935FE" w:rsidRPr="00AC6C6F">
        <w:t>and inadequately</w:t>
      </w:r>
      <w:r w:rsidR="00B37FB5" w:rsidRPr="00AC6C6F">
        <w:t xml:space="preserve"> </w:t>
      </w:r>
      <w:r w:rsidR="00D935FE" w:rsidRPr="00AC6C6F">
        <w:t xml:space="preserve">justified estimates </w:t>
      </w:r>
      <w:r w:rsidR="00B37FB5" w:rsidRPr="00AC6C6F">
        <w:t>of OS for vorinostat.</w:t>
      </w:r>
      <w:r w:rsidR="00C37DCA" w:rsidRPr="00AC6C6F">
        <w:t xml:space="preserve"> During the </w:t>
      </w:r>
      <w:r w:rsidR="00443348" w:rsidRPr="00AC6C6F">
        <w:t>period of the trial (</w:t>
      </w:r>
      <w:r w:rsidR="00C37DCA" w:rsidRPr="00AC6C6F">
        <w:t>3 years</w:t>
      </w:r>
      <w:r w:rsidR="00443348" w:rsidRPr="00AC6C6F">
        <w:t>)</w:t>
      </w:r>
      <w:r w:rsidR="00C37DCA" w:rsidRPr="00AC6C6F">
        <w:t xml:space="preserve">, </w:t>
      </w:r>
      <w:r w:rsidRPr="00AC6C6F">
        <w:t xml:space="preserve">based on the ITT analysis, </w:t>
      </w:r>
      <w:r w:rsidR="00C37DCA" w:rsidRPr="00AC6C6F">
        <w:t xml:space="preserve">there was </w:t>
      </w:r>
      <w:r w:rsidR="00441C21" w:rsidRPr="00AC6C6F">
        <w:t xml:space="preserve">a </w:t>
      </w:r>
      <w:r w:rsidR="00C37DCA" w:rsidRPr="00AC6C6F">
        <w:t xml:space="preserve">minimal difference in OS </w:t>
      </w:r>
      <w:r w:rsidR="00C40BDD" w:rsidRPr="00AC6C6F">
        <w:t>(</w:t>
      </w:r>
      <w:r w:rsidRPr="00AC6C6F">
        <w:t xml:space="preserve">mean of </w:t>
      </w:r>
      <w:r w:rsidR="00C40BDD" w:rsidRPr="00AC6C6F">
        <w:t>0.30 months</w:t>
      </w:r>
      <w:r w:rsidR="00443348" w:rsidRPr="00AC6C6F">
        <w:t xml:space="preserve"> in favour of vorinostat</w:t>
      </w:r>
      <w:r w:rsidR="00C40BDD" w:rsidRPr="00AC6C6F">
        <w:t>)</w:t>
      </w:r>
      <w:r w:rsidRPr="00AC6C6F">
        <w:t>.</w:t>
      </w:r>
      <w:r w:rsidR="00C40BDD" w:rsidRPr="00AC6C6F">
        <w:t xml:space="preserve"> </w:t>
      </w:r>
      <w:r w:rsidRPr="00AC6C6F">
        <w:t>T</w:t>
      </w:r>
      <w:r w:rsidR="00C40BDD" w:rsidRPr="00AC6C6F">
        <w:t xml:space="preserve">his increased to 7.9 months </w:t>
      </w:r>
      <w:r w:rsidR="00443348" w:rsidRPr="00AC6C6F">
        <w:t xml:space="preserve">in favour of </w:t>
      </w:r>
      <w:r w:rsidR="00EE7961" w:rsidRPr="00AC6C6F">
        <w:t>mogamulizumab</w:t>
      </w:r>
      <w:r w:rsidR="00443348" w:rsidRPr="00AC6C6F">
        <w:t xml:space="preserve"> </w:t>
      </w:r>
      <w:r w:rsidR="0065253A" w:rsidRPr="00AC6C6F">
        <w:t>based on the</w:t>
      </w:r>
      <w:r w:rsidR="00C40BDD" w:rsidRPr="00AC6C6F">
        <w:t xml:space="preserve"> IPCW </w:t>
      </w:r>
      <w:r w:rsidRPr="00AC6C6F">
        <w:t>adjustment</w:t>
      </w:r>
      <w:r w:rsidR="00C40BDD" w:rsidRPr="00AC6C6F">
        <w:t xml:space="preserve">. </w:t>
      </w:r>
      <w:r w:rsidR="008C2600" w:rsidRPr="00AC6C6F">
        <w:rPr>
          <w:iCs/>
        </w:rPr>
        <w:t xml:space="preserve">The PSCR stated that </w:t>
      </w:r>
      <w:r w:rsidR="007226AC" w:rsidRPr="00AC6C6F">
        <w:rPr>
          <w:iCs/>
        </w:rPr>
        <w:t>this is a</w:t>
      </w:r>
      <w:r w:rsidR="008C2600" w:rsidRPr="00AC6C6F">
        <w:rPr>
          <w:iCs/>
        </w:rPr>
        <w:t xml:space="preserve"> reasonable effect of extrapolating short term trial based outcomes to a lifetime horizon and adjusting these to exclude the confounding effect of crossover from vorinostat to mogamulizumab following disease progression. The ESC </w:t>
      </w:r>
      <w:r w:rsidR="0050798A" w:rsidRPr="00AC6C6F">
        <w:rPr>
          <w:iCs/>
        </w:rPr>
        <w:t>agreed with the evaluation that use of IPCW provided overly pessimistic and inadequately justified estimates of OS for vorinostat. As outlined in paragraph 6.3</w:t>
      </w:r>
      <w:r w:rsidR="00833C6D" w:rsidRPr="00AC6C6F">
        <w:rPr>
          <w:iCs/>
        </w:rPr>
        <w:t>3</w:t>
      </w:r>
      <w:r w:rsidR="0050798A" w:rsidRPr="00AC6C6F">
        <w:rPr>
          <w:iCs/>
        </w:rPr>
        <w:t xml:space="preserve"> </w:t>
      </w:r>
      <w:r w:rsidR="0050798A" w:rsidRPr="00AC6C6F">
        <w:rPr>
          <w:iCs/>
          <w:snapToGrid/>
        </w:rPr>
        <w:t>the ESC considered the TSEM crossover approach would likely provide the most reliable method to adjust for treatment switching for the OS outcome in MAVORIC</w:t>
      </w:r>
      <w:r w:rsidR="00AC6C6F">
        <w:rPr>
          <w:iCs/>
          <w:snapToGrid/>
        </w:rPr>
        <w:t xml:space="preserve">. </w:t>
      </w:r>
    </w:p>
    <w:p w:rsidR="00F24E90" w:rsidRPr="00AC6C6F" w:rsidRDefault="00061F37" w:rsidP="0065253A">
      <w:pPr>
        <w:pStyle w:val="3-BodyText"/>
        <w:rPr>
          <w:color w:val="0066FF"/>
        </w:rPr>
      </w:pPr>
      <w:r w:rsidRPr="00AC6C6F">
        <w:t>N</w:t>
      </w:r>
      <w:r w:rsidR="0017649E" w:rsidRPr="00AC6C6F">
        <w:t xml:space="preserve">one of the distributions used in the extrapolation of OS </w:t>
      </w:r>
      <w:r w:rsidR="00333667" w:rsidRPr="00AC6C6F">
        <w:t xml:space="preserve">for mogamulizumab and vorinostat </w:t>
      </w:r>
      <w:r w:rsidR="0017649E" w:rsidRPr="00AC6C6F">
        <w:t xml:space="preserve">were </w:t>
      </w:r>
      <w:r w:rsidRPr="00AC6C6F">
        <w:t>validated with</w:t>
      </w:r>
      <w:r w:rsidR="0017649E" w:rsidRPr="00AC6C6F">
        <w:t xml:space="preserve"> clinical evidence. </w:t>
      </w:r>
      <w:r w:rsidR="00043981" w:rsidRPr="00AC6C6F">
        <w:t xml:space="preserve">The use of </w:t>
      </w:r>
      <w:r w:rsidR="002044B9" w:rsidRPr="00AC6C6F">
        <w:t xml:space="preserve">the </w:t>
      </w:r>
      <w:r w:rsidR="00043981" w:rsidRPr="00AC6C6F">
        <w:t xml:space="preserve">exponential </w:t>
      </w:r>
      <w:r w:rsidR="002044B9" w:rsidRPr="00AC6C6F">
        <w:t xml:space="preserve">function </w:t>
      </w:r>
      <w:r w:rsidR="00043981" w:rsidRPr="00AC6C6F">
        <w:t xml:space="preserve">for vorinostat was </w:t>
      </w:r>
      <w:r w:rsidRPr="00AC6C6F">
        <w:t xml:space="preserve">considered during the evaluation to be </w:t>
      </w:r>
      <w:r w:rsidR="00043981" w:rsidRPr="00AC6C6F">
        <w:t>overly pessimistic</w:t>
      </w:r>
      <w:r w:rsidR="002044B9" w:rsidRPr="00AC6C6F">
        <w:t>,</w:t>
      </w:r>
      <w:r w:rsidR="00043981" w:rsidRPr="00AC6C6F">
        <w:t xml:space="preserve"> </w:t>
      </w:r>
      <w:r w:rsidRPr="00AC6C6F">
        <w:t xml:space="preserve">and it </w:t>
      </w:r>
      <w:r w:rsidR="00043981" w:rsidRPr="00AC6C6F">
        <w:t xml:space="preserve">resulted in the </w:t>
      </w:r>
      <w:r w:rsidR="002044B9" w:rsidRPr="00AC6C6F">
        <w:t xml:space="preserve">lowest estimate of </w:t>
      </w:r>
      <w:r w:rsidR="00043981" w:rsidRPr="00AC6C6F">
        <w:t xml:space="preserve">OS </w:t>
      </w:r>
      <w:r w:rsidRPr="00AC6C6F">
        <w:t xml:space="preserve">with </w:t>
      </w:r>
      <w:r w:rsidR="002044B9" w:rsidRPr="00AC6C6F">
        <w:t xml:space="preserve">a survival curve that dropped off rapidly. </w:t>
      </w:r>
      <w:r w:rsidR="0050798A" w:rsidRPr="00AC6C6F">
        <w:t>The ESC considered that the u</w:t>
      </w:r>
      <w:r w:rsidR="002044B9" w:rsidRPr="00AC6C6F">
        <w:t xml:space="preserve">se of a </w:t>
      </w:r>
      <w:r w:rsidR="00E166CC" w:rsidRPr="00AC6C6F">
        <w:rPr>
          <w:iCs/>
          <w:color w:val="000000" w:themeColor="text1"/>
        </w:rPr>
        <w:t xml:space="preserve">Weibull </w:t>
      </w:r>
      <w:r w:rsidR="002044B9" w:rsidRPr="00AC6C6F">
        <w:rPr>
          <w:iCs/>
          <w:color w:val="000000" w:themeColor="text1"/>
        </w:rPr>
        <w:t xml:space="preserve">function produced OS estimates for vorinostat that were higher than those from the exponential and an OS curve that appeared more realistic in shape. </w:t>
      </w:r>
    </w:p>
    <w:p w:rsidR="007B6C19" w:rsidRPr="00AC6C6F" w:rsidRDefault="00FA3917" w:rsidP="002B2F35">
      <w:pPr>
        <w:pStyle w:val="3-BodyText"/>
      </w:pPr>
      <w:r w:rsidRPr="00AC6C6F">
        <w:t xml:space="preserve">The </w:t>
      </w:r>
      <w:r w:rsidR="004C4D06" w:rsidRPr="00AC6C6F">
        <w:t xml:space="preserve">results of </w:t>
      </w:r>
      <w:r w:rsidR="00526184" w:rsidRPr="00AC6C6F">
        <w:t xml:space="preserve">the </w:t>
      </w:r>
      <w:r w:rsidR="004C4D06" w:rsidRPr="00AC6C6F">
        <w:t>trace</w:t>
      </w:r>
      <w:r w:rsidR="00526184" w:rsidRPr="00AC6C6F">
        <w:t>s</w:t>
      </w:r>
      <w:r w:rsidR="004C4D06" w:rsidRPr="00AC6C6F">
        <w:t xml:space="preserve"> from</w:t>
      </w:r>
      <w:r w:rsidRPr="00AC6C6F">
        <w:t xml:space="preserve"> </w:t>
      </w:r>
      <w:r w:rsidR="00526184" w:rsidRPr="00AC6C6F">
        <w:t xml:space="preserve">the </w:t>
      </w:r>
      <w:r w:rsidRPr="00AC6C6F">
        <w:t>comparative outcome</w:t>
      </w:r>
      <w:r w:rsidR="00526184" w:rsidRPr="00AC6C6F">
        <w:t>s, including OS</w:t>
      </w:r>
      <w:r w:rsidR="00FD1AF5" w:rsidRPr="00AC6C6F">
        <w:t>,</w:t>
      </w:r>
      <w:r w:rsidRPr="00AC6C6F">
        <w:t xml:space="preserve"> </w:t>
      </w:r>
      <w:r w:rsidR="004C4D06" w:rsidRPr="00AC6C6F">
        <w:t xml:space="preserve">predicted by the model are presented in </w:t>
      </w:r>
      <w:r w:rsidR="00EE197C" w:rsidRPr="00AC6C6F">
        <w:t>Figure 7</w:t>
      </w:r>
      <w:r w:rsidR="004C4D06" w:rsidRPr="00AC6C6F">
        <w:t>.</w:t>
      </w:r>
      <w:r w:rsidR="00526184" w:rsidRPr="00AC6C6F">
        <w:t xml:space="preserve"> </w:t>
      </w:r>
      <w:r w:rsidR="00526184" w:rsidRPr="00AC6C6F">
        <w:rPr>
          <w:iCs/>
        </w:rPr>
        <w:t>Estimates noted as being “convergence” have been produced in Sensitivity Analyses as part of the</w:t>
      </w:r>
      <w:r w:rsidR="0050798A" w:rsidRPr="00AC6C6F">
        <w:rPr>
          <w:iCs/>
        </w:rPr>
        <w:t xml:space="preserve"> evaluation</w:t>
      </w:r>
      <w:r w:rsidR="00526184" w:rsidRPr="00AC6C6F">
        <w:rPr>
          <w:iCs/>
        </w:rPr>
        <w:t>.</w:t>
      </w:r>
      <w:r w:rsidR="0046742F" w:rsidRPr="00AC6C6F">
        <w:rPr>
          <w:iCs/>
        </w:rPr>
        <w:t xml:space="preserve"> Overall, </w:t>
      </w:r>
      <w:r w:rsidR="0046742F" w:rsidRPr="00AC6C6F">
        <w:t xml:space="preserve">a high proportion of the OS results were obtained from the extrapolation period compared with the </w:t>
      </w:r>
      <w:r w:rsidR="00061F37" w:rsidRPr="00AC6C6F">
        <w:t>trial follow-up period</w:t>
      </w:r>
      <w:r w:rsidR="0046742F" w:rsidRPr="00AC6C6F">
        <w:t xml:space="preserve"> (72%</w:t>
      </w:r>
      <w:r w:rsidR="00BC63EA" w:rsidRPr="00AC6C6F">
        <w:t xml:space="preserve"> of the</w:t>
      </w:r>
      <w:r w:rsidR="0046742F" w:rsidRPr="00AC6C6F">
        <w:t xml:space="preserve"> mogamulizumab and 61%</w:t>
      </w:r>
      <w:r w:rsidR="00BC63EA" w:rsidRPr="00AC6C6F">
        <w:t xml:space="preserve"> of the </w:t>
      </w:r>
      <w:r w:rsidR="0046742F" w:rsidRPr="00AC6C6F">
        <w:t>vorinostat of the OS results were from the extrapolation</w:t>
      </w:r>
      <w:r w:rsidR="00BC63EA" w:rsidRPr="00AC6C6F">
        <w:t xml:space="preserve"> period</w:t>
      </w:r>
      <w:r w:rsidR="0046742F" w:rsidRPr="00AC6C6F">
        <w:t>).</w:t>
      </w:r>
    </w:p>
    <w:p w:rsidR="00264FA2" w:rsidRPr="00AC6C6F" w:rsidRDefault="00264FA2" w:rsidP="00264FA2">
      <w:pPr>
        <w:ind w:left="360"/>
        <w:rPr>
          <w:rFonts w:ascii="Arial Narrow" w:hAnsi="Arial Narrow"/>
          <w:b/>
          <w:bCs/>
          <w:sz w:val="20"/>
          <w:szCs w:val="20"/>
        </w:rPr>
      </w:pPr>
    </w:p>
    <w:p w:rsidR="00D75926" w:rsidRPr="00AC6C6F" w:rsidRDefault="009550A3" w:rsidP="0081589E">
      <w:pPr>
        <w:keepNext/>
        <w:keepLines/>
        <w:rPr>
          <w:rFonts w:ascii="Arial Narrow" w:hAnsi="Arial Narrow"/>
          <w:b/>
          <w:bCs/>
          <w:sz w:val="20"/>
          <w:szCs w:val="20"/>
        </w:rPr>
      </w:pPr>
      <w:r w:rsidRPr="00AC6C6F">
        <w:rPr>
          <w:rFonts w:ascii="Arial Narrow" w:hAnsi="Arial Narrow"/>
          <w:b/>
          <w:bCs/>
          <w:sz w:val="20"/>
          <w:szCs w:val="20"/>
        </w:rPr>
        <w:t>F</w:t>
      </w:r>
      <w:r w:rsidR="00617AC3" w:rsidRPr="00AC6C6F">
        <w:rPr>
          <w:rFonts w:ascii="Arial Narrow" w:hAnsi="Arial Narrow"/>
          <w:b/>
          <w:bCs/>
          <w:sz w:val="20"/>
          <w:szCs w:val="20"/>
        </w:rPr>
        <w:t xml:space="preserve">igure </w:t>
      </w:r>
      <w:r w:rsidR="00EE197C" w:rsidRPr="00AC6C6F">
        <w:rPr>
          <w:rFonts w:ascii="Arial Narrow" w:hAnsi="Arial Narrow"/>
          <w:b/>
          <w:bCs/>
          <w:sz w:val="20"/>
          <w:szCs w:val="20"/>
        </w:rPr>
        <w:t>7</w:t>
      </w:r>
      <w:r w:rsidR="00D75926" w:rsidRPr="00AC6C6F">
        <w:rPr>
          <w:rFonts w:ascii="Arial Narrow" w:hAnsi="Arial Narrow"/>
          <w:b/>
          <w:bCs/>
          <w:sz w:val="20"/>
          <w:szCs w:val="20"/>
        </w:rPr>
        <w:t>: Trace of comparative outcome of mogamulizumab and vorinostat from the model</w:t>
      </w:r>
    </w:p>
    <w:p w:rsidR="00AF79D4" w:rsidRPr="00AC6C6F" w:rsidRDefault="00564AF0" w:rsidP="00564AF0">
      <w:pPr>
        <w:pStyle w:val="ListParagraph"/>
        <w:jc w:val="center"/>
        <w:rPr>
          <w:rFonts w:ascii="Arial Narrow" w:hAnsi="Arial Narrow"/>
          <w:sz w:val="18"/>
          <w:szCs w:val="18"/>
        </w:rPr>
      </w:pPr>
      <w:r w:rsidRPr="00AC6C6F">
        <w:rPr>
          <w:noProof/>
        </w:rPr>
        <w:drawing>
          <wp:inline distT="0" distB="0" distL="0" distR="0" wp14:anchorId="3B34F808" wp14:editId="4522D0FD">
            <wp:extent cx="5552110" cy="3624240"/>
            <wp:effectExtent l="0" t="0" r="0" b="0"/>
            <wp:docPr id="28" name="Picture 28" title="Figure 7: Trace of comparative outcome of mogamulizumab and vorinostat from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3579" cy="3631727"/>
                    </a:xfrm>
                    <a:prstGeom prst="rect">
                      <a:avLst/>
                    </a:prstGeom>
                    <a:noFill/>
                    <a:ln>
                      <a:noFill/>
                    </a:ln>
                  </pic:spPr>
                </pic:pic>
              </a:graphicData>
            </a:graphic>
          </wp:inline>
        </w:drawing>
      </w:r>
    </w:p>
    <w:p w:rsidR="00AF79D4" w:rsidRPr="00AC6C6F" w:rsidRDefault="00AF79D4" w:rsidP="00564AF0">
      <w:pPr>
        <w:rPr>
          <w:rFonts w:ascii="Arial Narrow" w:hAnsi="Arial Narrow"/>
          <w:sz w:val="18"/>
          <w:szCs w:val="18"/>
        </w:rPr>
      </w:pPr>
      <w:r w:rsidRPr="00AC6C6F">
        <w:rPr>
          <w:rFonts w:ascii="Arial Narrow" w:hAnsi="Arial Narrow"/>
          <w:sz w:val="18"/>
          <w:szCs w:val="18"/>
        </w:rPr>
        <w:t>Source: Developed by the evaluators based on Section 3 Workbook.xlsx</w:t>
      </w:r>
    </w:p>
    <w:p w:rsidR="00AF79D4" w:rsidRPr="00AC6C6F" w:rsidRDefault="00AF79D4" w:rsidP="00564AF0">
      <w:pPr>
        <w:rPr>
          <w:rFonts w:ascii="Arial Narrow" w:hAnsi="Arial Narrow"/>
          <w:sz w:val="18"/>
          <w:szCs w:val="18"/>
        </w:rPr>
      </w:pPr>
      <w:r w:rsidRPr="00AC6C6F">
        <w:rPr>
          <w:rFonts w:ascii="Arial Narrow" w:hAnsi="Arial Narrow"/>
          <w:sz w:val="18"/>
          <w:szCs w:val="18"/>
        </w:rPr>
        <w:t xml:space="preserve">Abbreviations: </w:t>
      </w:r>
      <w:r w:rsidR="00564AF0" w:rsidRPr="00AC6C6F">
        <w:rPr>
          <w:rFonts w:ascii="Arial Narrow" w:hAnsi="Arial Narrow"/>
          <w:sz w:val="18"/>
          <w:szCs w:val="18"/>
        </w:rPr>
        <w:t xml:space="preserve">Con = convergence; KM = Kaplan-Meier; </w:t>
      </w:r>
      <w:r w:rsidRPr="00AC6C6F">
        <w:rPr>
          <w:rFonts w:ascii="Arial Narrow" w:hAnsi="Arial Narrow"/>
          <w:sz w:val="18"/>
          <w:szCs w:val="18"/>
        </w:rPr>
        <w:t>MOGA = mogamulizumab; VORIN = vorinostat</w:t>
      </w:r>
      <w:r w:rsidR="00564AF0" w:rsidRPr="00AC6C6F">
        <w:rPr>
          <w:rFonts w:ascii="Arial Narrow" w:hAnsi="Arial Narrow"/>
          <w:sz w:val="18"/>
          <w:szCs w:val="18"/>
        </w:rPr>
        <w:t xml:space="preserve">; OS = overall survival; TOT = time on treatment; TTNT = time on treatment; </w:t>
      </w:r>
    </w:p>
    <w:p w:rsidR="00564AF0" w:rsidRPr="00AC6C6F" w:rsidRDefault="00564AF0" w:rsidP="00564AF0">
      <w:pPr>
        <w:pStyle w:val="TableFigureFooter"/>
      </w:pPr>
      <w:r w:rsidRPr="00AC6C6F">
        <w:rPr>
          <w:szCs w:val="18"/>
        </w:rPr>
        <w:t xml:space="preserve">Note: </w:t>
      </w:r>
      <w:r w:rsidRPr="00AC6C6F">
        <w:t xml:space="preserve">convergence applied from median OS of mogamulizumab in MAVORIC </w:t>
      </w:r>
      <w:r w:rsidR="00C57E9B" w:rsidRPr="00AC6C6F">
        <w:t xml:space="preserve">by the </w:t>
      </w:r>
      <w:r w:rsidR="00B15620" w:rsidRPr="00AC6C6F">
        <w:t xml:space="preserve">Commentary </w:t>
      </w:r>
      <w:r w:rsidR="00C57E9B" w:rsidRPr="00AC6C6F">
        <w:t>in a sensitivity analysis</w:t>
      </w:r>
    </w:p>
    <w:p w:rsidR="00E94ABA" w:rsidRPr="00AC6C6F" w:rsidRDefault="00E47319" w:rsidP="00D0740E">
      <w:pPr>
        <w:pStyle w:val="3-BodyText"/>
      </w:pPr>
      <w:r w:rsidRPr="00AC6C6F">
        <w:rPr>
          <w:iCs/>
        </w:rPr>
        <w:t xml:space="preserve">The submission included costs for post-progression treatments in the economic model, stating that it relied on the use of post-progression therapies in MAVORIC to determine the therapies included and the proportions of their use. </w:t>
      </w:r>
      <w:r w:rsidRPr="00AC6C6F">
        <w:t>However, t</w:t>
      </w:r>
      <w:r w:rsidR="009E4E61" w:rsidRPr="00AC6C6F">
        <w:t>he estimation of post-progression costs did not reflect the therapie</w:t>
      </w:r>
      <w:r w:rsidR="002044B9" w:rsidRPr="00AC6C6F">
        <w:t>s</w:t>
      </w:r>
      <w:r w:rsidR="009E4E61" w:rsidRPr="00AC6C6F">
        <w:t xml:space="preserve"> used in MAVORIC</w:t>
      </w:r>
      <w:r w:rsidR="00427E81" w:rsidRPr="00AC6C6F">
        <w:t>. P</w:t>
      </w:r>
      <w:r w:rsidRPr="00AC6C6F">
        <w:t>ost-progression therapy in the economic model was dominated by methotrexate</w:t>
      </w:r>
      <w:r w:rsidR="00427E81" w:rsidRPr="00AC6C6F">
        <w:t xml:space="preserve">; assumed to be used by </w:t>
      </w:r>
      <w:r w:rsidRPr="00AC6C6F">
        <w:t>60%</w:t>
      </w:r>
      <w:r w:rsidR="00427E81" w:rsidRPr="00AC6C6F">
        <w:t xml:space="preserve"> of patients in the model as compared with 4.3% of patients in M</w:t>
      </w:r>
      <w:r w:rsidR="00F9238A" w:rsidRPr="00AC6C6F">
        <w:t>AVORIC</w:t>
      </w:r>
      <w:r w:rsidR="00427E81" w:rsidRPr="00AC6C6F">
        <w:t xml:space="preserve">. The assumed dominance of </w:t>
      </w:r>
      <w:r w:rsidR="00EE7961" w:rsidRPr="00AC6C6F">
        <w:t>methotrexate</w:t>
      </w:r>
      <w:r w:rsidR="00427E81" w:rsidRPr="00AC6C6F">
        <w:t xml:space="preserve"> as post progression therapy was not justified by the submission. </w:t>
      </w:r>
      <w:r w:rsidR="00427E81" w:rsidRPr="00AC6C6F">
        <w:rPr>
          <w:iCs/>
        </w:rPr>
        <w:t xml:space="preserve">Assigning a high proportion of use to methotrexate (60%) in the economic model resulted in low post-progression costs per cycle given that methotrexate is among the cheapest medicines assumed to be used </w:t>
      </w:r>
      <w:r w:rsidR="00427E81" w:rsidRPr="00AC6C6F">
        <w:t xml:space="preserve">as post-progression treatment. </w:t>
      </w:r>
      <w:r w:rsidR="002A3034" w:rsidRPr="00AC6C6F">
        <w:t xml:space="preserve">The PSCR argued that </w:t>
      </w:r>
      <w:r w:rsidR="002A3034" w:rsidRPr="00AC6C6F">
        <w:rPr>
          <w:rStyle w:val="Font"/>
        </w:rPr>
        <w:t>p</w:t>
      </w:r>
      <w:r w:rsidR="002A3034" w:rsidRPr="00AC6C6F">
        <w:t xml:space="preserve">atterns of subsequent anti-cancer therapy will invariably be different between the trial and PBS settings, primarily because many of the therapies used in MAVORIC are not registered or reimbursed in Australia. The ESC considered that, when calculating costs for post-progression treatments in the economic model, a reduction in the proportion of use of methotrexate </w:t>
      </w:r>
      <w:r w:rsidR="00BA6E8E" w:rsidRPr="00AC6C6F">
        <w:t xml:space="preserve">from 60% to 5% </w:t>
      </w:r>
      <w:r w:rsidR="002A3034" w:rsidRPr="00AC6C6F">
        <w:t>to reflect the use of such treatments in the MAVORIC trial would be appropriate.</w:t>
      </w:r>
    </w:p>
    <w:p w:rsidR="009E4E61" w:rsidRPr="00AC6C6F" w:rsidRDefault="00E94ABA" w:rsidP="00D0740E">
      <w:pPr>
        <w:pStyle w:val="3-BodyText"/>
      </w:pPr>
      <w:r w:rsidRPr="00AC6C6F">
        <w:t xml:space="preserve">In addition, </w:t>
      </w:r>
      <w:r w:rsidR="00E47319" w:rsidRPr="00AC6C6F">
        <w:t xml:space="preserve">patients in MAVORIC were treated with a range of therapies not included in the economic model (e.g. vorinostat, </w:t>
      </w:r>
      <w:r w:rsidR="00E47319" w:rsidRPr="00AC6C6F">
        <w:rPr>
          <w:iCs/>
        </w:rPr>
        <w:t>romidepsin,</w:t>
      </w:r>
      <w:r w:rsidR="00E47319" w:rsidRPr="00AC6C6F">
        <w:t xml:space="preserve"> </w:t>
      </w:r>
      <w:r w:rsidR="00E47319" w:rsidRPr="00AC6C6F">
        <w:rPr>
          <w:iCs/>
        </w:rPr>
        <w:t>bexarotene, oral steroids, and pralatrexate)</w:t>
      </w:r>
      <w:r w:rsidR="00E47319" w:rsidRPr="00AC6C6F">
        <w:t xml:space="preserve">. </w:t>
      </w:r>
      <w:r w:rsidRPr="00AC6C6F">
        <w:t>T</w:t>
      </w:r>
      <w:r w:rsidR="00604A0D" w:rsidRPr="00AC6C6F">
        <w:rPr>
          <w:iCs/>
        </w:rPr>
        <w:t>he difference in the mix of post-progression therapies</w:t>
      </w:r>
      <w:r w:rsidRPr="00AC6C6F">
        <w:rPr>
          <w:iCs/>
        </w:rPr>
        <w:t xml:space="preserve"> between the economic model and MAVORIC</w:t>
      </w:r>
      <w:r w:rsidR="00604A0D" w:rsidRPr="00AC6C6F">
        <w:rPr>
          <w:iCs/>
        </w:rPr>
        <w:t xml:space="preserve"> </w:t>
      </w:r>
      <w:r w:rsidRPr="00AC6C6F">
        <w:rPr>
          <w:iCs/>
        </w:rPr>
        <w:t xml:space="preserve">means that the model </w:t>
      </w:r>
      <w:r w:rsidR="009E4E61" w:rsidRPr="00AC6C6F">
        <w:t xml:space="preserve">might not replicate </w:t>
      </w:r>
      <w:r w:rsidR="00604A0D" w:rsidRPr="00AC6C6F">
        <w:t xml:space="preserve">the </w:t>
      </w:r>
      <w:r w:rsidR="009E4E61" w:rsidRPr="00AC6C6F">
        <w:t>OS outcome</w:t>
      </w:r>
      <w:r w:rsidR="00604A0D" w:rsidRPr="00AC6C6F">
        <w:t>s</w:t>
      </w:r>
      <w:r w:rsidR="009E4E61" w:rsidRPr="00AC6C6F">
        <w:t xml:space="preserve"> </w:t>
      </w:r>
      <w:r w:rsidR="00604A0D" w:rsidRPr="00AC6C6F">
        <w:t>observed in</w:t>
      </w:r>
      <w:r w:rsidR="009E4E61" w:rsidRPr="00AC6C6F">
        <w:t xml:space="preserve"> MAVORIC. Moreover,</w:t>
      </w:r>
      <w:r w:rsidR="00604A0D" w:rsidRPr="00AC6C6F">
        <w:t xml:space="preserve"> the post-progression therapies included</w:t>
      </w:r>
      <w:r w:rsidR="009E4E61" w:rsidRPr="00AC6C6F">
        <w:t xml:space="preserve"> </w:t>
      </w:r>
      <w:r w:rsidR="00604A0D" w:rsidRPr="00AC6C6F">
        <w:t xml:space="preserve">were </w:t>
      </w:r>
      <w:r w:rsidR="009E4E61" w:rsidRPr="00AC6C6F">
        <w:t>not consistent with the proposed treatment algorithm</w:t>
      </w:r>
      <w:r w:rsidR="00604A0D" w:rsidRPr="00AC6C6F">
        <w:t xml:space="preserve"> which allows for the use of brentuximab</w:t>
      </w:r>
      <w:r w:rsidR="009E4E61" w:rsidRPr="00AC6C6F">
        <w:t xml:space="preserve">. </w:t>
      </w:r>
      <w:r w:rsidR="009E4E61" w:rsidRPr="00AC6C6F">
        <w:rPr>
          <w:iCs/>
        </w:rPr>
        <w:t xml:space="preserve">The post-progression costs were likely underestimated and favoured mogamulizumab </w:t>
      </w:r>
      <w:r w:rsidR="00604A0D" w:rsidRPr="00AC6C6F">
        <w:rPr>
          <w:iCs/>
        </w:rPr>
        <w:t xml:space="preserve">given that the assumed </w:t>
      </w:r>
      <w:r w:rsidR="009E4E61" w:rsidRPr="00AC6C6F">
        <w:rPr>
          <w:iCs/>
        </w:rPr>
        <w:t xml:space="preserve">duration </w:t>
      </w:r>
      <w:r w:rsidRPr="00AC6C6F">
        <w:rPr>
          <w:iCs/>
        </w:rPr>
        <w:t xml:space="preserve">of </w:t>
      </w:r>
      <w:r w:rsidR="009E4E61" w:rsidRPr="00AC6C6F">
        <w:rPr>
          <w:iCs/>
        </w:rPr>
        <w:t>expos</w:t>
      </w:r>
      <w:r w:rsidRPr="00AC6C6F">
        <w:rPr>
          <w:iCs/>
        </w:rPr>
        <w:t xml:space="preserve">ure </w:t>
      </w:r>
      <w:r w:rsidR="009E4E61" w:rsidRPr="00AC6C6F">
        <w:rPr>
          <w:iCs/>
        </w:rPr>
        <w:t xml:space="preserve">to post-progression </w:t>
      </w:r>
      <w:r w:rsidR="009E4E61" w:rsidRPr="00AC6C6F">
        <w:t xml:space="preserve">treatment was longer </w:t>
      </w:r>
      <w:r w:rsidR="00604A0D" w:rsidRPr="00AC6C6F">
        <w:t>for</w:t>
      </w:r>
      <w:r w:rsidR="009E4E61" w:rsidRPr="00AC6C6F">
        <w:t xml:space="preserve"> mogamulizumab than vorinostat.</w:t>
      </w:r>
      <w:r w:rsidR="002A3034" w:rsidRPr="00AC6C6F">
        <w:t xml:space="preserve"> </w:t>
      </w:r>
    </w:p>
    <w:p w:rsidR="00DE215F" w:rsidRPr="00AC6C6F" w:rsidRDefault="00526184" w:rsidP="00245476">
      <w:pPr>
        <w:pStyle w:val="3-BodyText"/>
      </w:pPr>
      <w:r w:rsidRPr="00AC6C6F">
        <w:t xml:space="preserve">The submission reported utility values derived from MAVORIC. </w:t>
      </w:r>
      <w:r w:rsidR="0030066C" w:rsidRPr="00AC6C6F">
        <w:t xml:space="preserve">However, the precise methods applied to estimate the mean values provided nor the source for these values could be verified. </w:t>
      </w:r>
      <w:r w:rsidRPr="00AC6C6F">
        <w:rPr>
          <w:iCs/>
        </w:rPr>
        <w:t>From the information provided with the submission it was surmised that these values resulted from patient completion of the EQ-5D-3L in MAVORIC, to which UK tariffs were applied.</w:t>
      </w:r>
      <w:r w:rsidRPr="00AC6C6F">
        <w:t xml:space="preserve"> Given the availability of Australian specific tariffs for this instrument, it would have been appropriate that they be applied for this submission. </w:t>
      </w:r>
      <w:r w:rsidR="00245476" w:rsidRPr="00AC6C6F">
        <w:t>The ESC noted that the utility values from the re-analysis of EQ-5D-3L from MAVORIC for mogamulizumab and vorinostat were comparable with the total on-treatment period values reported as 0.773 (95% CI</w:t>
      </w:r>
      <w:r w:rsidR="00542EDD" w:rsidRPr="00AC6C6F">
        <w:t>:</w:t>
      </w:r>
      <w:r w:rsidR="00245476" w:rsidRPr="00AC6C6F">
        <w:t xml:space="preserve"> 0.241, 1.305) and 0.762 (95% CI</w:t>
      </w:r>
      <w:r w:rsidR="00542EDD" w:rsidRPr="00AC6C6F">
        <w:t>:</w:t>
      </w:r>
      <w:r w:rsidR="00245476" w:rsidRPr="00AC6C6F">
        <w:t xml:space="preserve"> 0.668, 0.856) respectively. Despite this the ESC noted the utilities applied for DCOT </w:t>
      </w:r>
      <w:r w:rsidR="00245476" w:rsidRPr="00AC6C6F">
        <w:rPr>
          <w:iCs/>
        </w:rPr>
        <w:t>(or pre-progression on treatment) increased over time for mogamulizumab. The ESC considered it may be mor</w:t>
      </w:r>
      <w:r w:rsidR="00FE2216" w:rsidRPr="00AC6C6F">
        <w:rPr>
          <w:iCs/>
        </w:rPr>
        <w:t xml:space="preserve">e appropriate to assume equal utilities in the DCOT health state. </w:t>
      </w:r>
      <w:r w:rsidR="00FE4E43" w:rsidRPr="00AC6C6F">
        <w:rPr>
          <w:iCs/>
        </w:rPr>
        <w:t>The pre-PBAC response stated that the increase in utilities in the mogamulizumab group over time was an observed outcome in the MAVORIC trial. The sponsor argued that the o</w:t>
      </w:r>
      <w:r w:rsidR="00F03AEE" w:rsidRPr="00AC6C6F">
        <w:rPr>
          <w:iCs/>
        </w:rPr>
        <w:t>bservation may be a true effect</w:t>
      </w:r>
      <w:r w:rsidR="00FE4E43" w:rsidRPr="00AC6C6F">
        <w:rPr>
          <w:iCs/>
        </w:rPr>
        <w:t xml:space="preserve">, reflecting the superior effectiveness </w:t>
      </w:r>
      <w:r w:rsidR="00F03AEE" w:rsidRPr="00AC6C6F">
        <w:rPr>
          <w:iCs/>
        </w:rPr>
        <w:t xml:space="preserve">and different safety profile of mogamulizumab, but also acknowledged that it could also be attributed to statistical factors, or chance. </w:t>
      </w:r>
    </w:p>
    <w:p w:rsidR="00124743" w:rsidRPr="00AC6C6F" w:rsidRDefault="00B87A1F" w:rsidP="00124743">
      <w:pPr>
        <w:pStyle w:val="3-BodyText"/>
      </w:pPr>
      <w:r w:rsidRPr="00AC6C6F">
        <w:t>A</w:t>
      </w:r>
      <w:r w:rsidR="00124743" w:rsidRPr="00AC6C6F">
        <w:t xml:space="preserve"> summary of the key drivers of the model </w:t>
      </w:r>
      <w:r w:rsidRPr="00AC6C6F">
        <w:t>is presented in</w:t>
      </w:r>
      <w:r w:rsidR="00124743" w:rsidRPr="00AC6C6F">
        <w:t xml:space="preserve"> </w:t>
      </w:r>
      <w:r w:rsidR="00B15620" w:rsidRPr="00AC6C6F">
        <w:t>Table 14</w:t>
      </w:r>
      <w:r w:rsidR="00124743" w:rsidRPr="00AC6C6F">
        <w:t>.</w:t>
      </w:r>
      <w:r w:rsidR="00124743" w:rsidRPr="00AC6C6F">
        <w:rPr>
          <w:color w:val="0066FF"/>
        </w:rPr>
        <w:t xml:space="preserve"> </w:t>
      </w:r>
    </w:p>
    <w:p w:rsidR="00124743" w:rsidRPr="00AC6C6F" w:rsidRDefault="007B6C19" w:rsidP="00124743">
      <w:pPr>
        <w:pStyle w:val="TableFigureHeading"/>
        <w:rPr>
          <w:rStyle w:val="CommentReference"/>
          <w:b/>
        </w:rPr>
      </w:pPr>
      <w:r w:rsidRPr="00AC6C6F">
        <w:rPr>
          <w:rStyle w:val="CommentReference"/>
          <w:b/>
        </w:rPr>
        <w:t xml:space="preserve">Table </w:t>
      </w:r>
      <w:r w:rsidR="00236175" w:rsidRPr="00AC6C6F">
        <w:rPr>
          <w:rStyle w:val="CommentReference"/>
          <w:b/>
        </w:rPr>
        <w:t>14:</w:t>
      </w:r>
      <w:r w:rsidR="00124743" w:rsidRPr="00AC6C6F">
        <w:rPr>
          <w:rStyle w:val="CommentReference"/>
          <w:b/>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4678"/>
        <w:gridCol w:w="3068"/>
      </w:tblGrid>
      <w:tr w:rsidR="00124743" w:rsidRPr="00AC6C6F" w:rsidTr="00851010">
        <w:trPr>
          <w:tblHeader/>
        </w:trPr>
        <w:tc>
          <w:tcPr>
            <w:tcW w:w="705" w:type="pct"/>
            <w:shd w:val="clear" w:color="auto" w:fill="auto"/>
            <w:vAlign w:val="center"/>
          </w:tcPr>
          <w:p w:rsidR="00124743" w:rsidRPr="00AC6C6F" w:rsidRDefault="00124743" w:rsidP="000332CC">
            <w:pPr>
              <w:pStyle w:val="In-tableHeading"/>
              <w:jc w:val="center"/>
              <w:rPr>
                <w:lang w:val="en-AU"/>
              </w:rPr>
            </w:pPr>
            <w:r w:rsidRPr="00AC6C6F">
              <w:rPr>
                <w:lang w:val="en-AU"/>
              </w:rPr>
              <w:t>Description</w:t>
            </w:r>
          </w:p>
        </w:tc>
        <w:tc>
          <w:tcPr>
            <w:tcW w:w="2594" w:type="pct"/>
            <w:shd w:val="clear" w:color="auto" w:fill="auto"/>
            <w:vAlign w:val="center"/>
          </w:tcPr>
          <w:p w:rsidR="00124743" w:rsidRPr="00AC6C6F" w:rsidRDefault="00124743" w:rsidP="000332CC">
            <w:pPr>
              <w:pStyle w:val="In-tableHeading"/>
              <w:jc w:val="center"/>
              <w:rPr>
                <w:lang w:val="en-AU"/>
              </w:rPr>
            </w:pPr>
            <w:r w:rsidRPr="00AC6C6F">
              <w:rPr>
                <w:lang w:val="en-AU"/>
              </w:rPr>
              <w:t>Method/Value</w:t>
            </w:r>
          </w:p>
        </w:tc>
        <w:tc>
          <w:tcPr>
            <w:tcW w:w="1701" w:type="pct"/>
            <w:shd w:val="clear" w:color="auto" w:fill="auto"/>
            <w:vAlign w:val="center"/>
          </w:tcPr>
          <w:p w:rsidR="00124743" w:rsidRPr="00AC6C6F" w:rsidRDefault="00124743" w:rsidP="000332CC">
            <w:pPr>
              <w:pStyle w:val="In-tableHeading"/>
              <w:jc w:val="center"/>
              <w:rPr>
                <w:lang w:val="en-AU"/>
              </w:rPr>
            </w:pPr>
            <w:r w:rsidRPr="00AC6C6F">
              <w:rPr>
                <w:lang w:val="en-AU"/>
              </w:rPr>
              <w:t>Impact</w:t>
            </w:r>
          </w:p>
          <w:p w:rsidR="00124743" w:rsidRPr="00AC6C6F" w:rsidRDefault="00124743" w:rsidP="005019C1">
            <w:pPr>
              <w:pStyle w:val="In-tableHeading"/>
              <w:jc w:val="center"/>
              <w:rPr>
                <w:lang w:val="en-AU"/>
              </w:rPr>
            </w:pPr>
            <w:r w:rsidRPr="00AC6C6F">
              <w:rPr>
                <w:rFonts w:cs="Arial"/>
                <w:szCs w:val="20"/>
                <w:lang w:val="en-AU"/>
              </w:rPr>
              <w:t>Base case: $</w:t>
            </w:r>
            <w:r w:rsidR="006D5D3C">
              <w:rPr>
                <w:rFonts w:cs="Arial"/>
                <w:szCs w:val="20"/>
                <w:lang w:val="en-AU"/>
              </w:rPr>
              <w:t>55,000 to &lt; $75,000</w:t>
            </w:r>
            <w:r w:rsidRPr="00AC6C6F">
              <w:rPr>
                <w:rFonts w:cs="Arial"/>
                <w:szCs w:val="20"/>
                <w:lang w:val="en-AU"/>
              </w:rPr>
              <w:t>/QALY gained</w:t>
            </w:r>
          </w:p>
        </w:tc>
      </w:tr>
      <w:tr w:rsidR="007261F0" w:rsidRPr="00AC6C6F" w:rsidTr="00851010">
        <w:tc>
          <w:tcPr>
            <w:tcW w:w="705" w:type="pct"/>
            <w:shd w:val="clear" w:color="auto" w:fill="auto"/>
            <w:vAlign w:val="center"/>
          </w:tcPr>
          <w:p w:rsidR="007261F0" w:rsidRPr="00AC6C6F" w:rsidRDefault="00BD2170" w:rsidP="000332CC">
            <w:pPr>
              <w:pStyle w:val="TableText0"/>
              <w:jc w:val="center"/>
            </w:pPr>
            <w:r w:rsidRPr="00AC6C6F">
              <w:t>Adjustment for crossover</w:t>
            </w:r>
          </w:p>
        </w:tc>
        <w:tc>
          <w:tcPr>
            <w:tcW w:w="2594" w:type="pct"/>
            <w:shd w:val="clear" w:color="auto" w:fill="auto"/>
            <w:vAlign w:val="center"/>
          </w:tcPr>
          <w:p w:rsidR="007261F0" w:rsidRPr="00AC6C6F" w:rsidRDefault="00422BC5" w:rsidP="00D62666">
            <w:pPr>
              <w:pStyle w:val="TableText0"/>
            </w:pPr>
            <w:r w:rsidRPr="00AC6C6F">
              <w:t>IPCW</w:t>
            </w:r>
            <w:r w:rsidR="00100F47" w:rsidRPr="00AC6C6F">
              <w:t xml:space="preserve"> </w:t>
            </w:r>
            <w:r w:rsidR="00933DE4" w:rsidRPr="00AC6C6F">
              <w:t>provided overly pessimistic OS outcome</w:t>
            </w:r>
            <w:r w:rsidR="00604A0D" w:rsidRPr="00AC6C6F">
              <w:t>s</w:t>
            </w:r>
            <w:r w:rsidR="00933DE4" w:rsidRPr="00AC6C6F">
              <w:t xml:space="preserve"> for </w:t>
            </w:r>
            <w:r w:rsidR="00343CD7" w:rsidRPr="00AC6C6F">
              <w:t>vorinostat</w:t>
            </w:r>
            <w:r w:rsidR="00604A0D" w:rsidRPr="00AC6C6F">
              <w:t xml:space="preserve"> relative to other adjustment methods.</w:t>
            </w:r>
          </w:p>
        </w:tc>
        <w:tc>
          <w:tcPr>
            <w:tcW w:w="1701" w:type="pct"/>
            <w:shd w:val="clear" w:color="auto" w:fill="auto"/>
            <w:vAlign w:val="center"/>
          </w:tcPr>
          <w:p w:rsidR="007261F0" w:rsidRPr="00AC6C6F" w:rsidRDefault="00C5026D" w:rsidP="000332CC">
            <w:pPr>
              <w:pStyle w:val="TableText0"/>
            </w:pPr>
            <w:r w:rsidRPr="00AC6C6F">
              <w:t xml:space="preserve">High, </w:t>
            </w:r>
            <w:r w:rsidR="00263317" w:rsidRPr="00AC6C6F">
              <w:t>favour</w:t>
            </w:r>
            <w:r w:rsidR="00BD2170" w:rsidRPr="00AC6C6F">
              <w:t>ed</w:t>
            </w:r>
            <w:r w:rsidRPr="00AC6C6F">
              <w:t xml:space="preserve"> mogamulizumab</w:t>
            </w:r>
            <w:r w:rsidR="00BD2170" w:rsidRPr="00AC6C6F">
              <w:t>;</w:t>
            </w:r>
            <w:r w:rsidRPr="00AC6C6F">
              <w:t xml:space="preserve"> using the TSEM increased the ICER to $</w:t>
            </w:r>
            <w:r w:rsidR="006D5D3C">
              <w:t>135,000 to &lt; $155,000 per QALY</w:t>
            </w:r>
          </w:p>
        </w:tc>
      </w:tr>
      <w:tr w:rsidR="00124743" w:rsidRPr="00AC6C6F" w:rsidTr="00851010">
        <w:tc>
          <w:tcPr>
            <w:tcW w:w="705" w:type="pct"/>
            <w:shd w:val="clear" w:color="auto" w:fill="auto"/>
            <w:vAlign w:val="center"/>
          </w:tcPr>
          <w:p w:rsidR="00124743" w:rsidRPr="00AC6C6F" w:rsidRDefault="001F568A" w:rsidP="000332CC">
            <w:pPr>
              <w:pStyle w:val="TableText0"/>
              <w:jc w:val="center"/>
            </w:pPr>
            <w:r w:rsidRPr="00AC6C6F">
              <w:t>Convergence</w:t>
            </w:r>
          </w:p>
        </w:tc>
        <w:tc>
          <w:tcPr>
            <w:tcW w:w="2594" w:type="pct"/>
            <w:shd w:val="clear" w:color="auto" w:fill="auto"/>
            <w:vAlign w:val="center"/>
          </w:tcPr>
          <w:p w:rsidR="001A1B87" w:rsidRPr="00AC6C6F" w:rsidRDefault="001A1B87" w:rsidP="000332CC">
            <w:pPr>
              <w:pStyle w:val="TableText0"/>
            </w:pPr>
            <w:r w:rsidRPr="00AC6C6F">
              <w:t xml:space="preserve">No convergence applied </w:t>
            </w:r>
            <w:r w:rsidR="00BD2170" w:rsidRPr="00AC6C6F">
              <w:t xml:space="preserve">to extrapolation of </w:t>
            </w:r>
            <w:r w:rsidRPr="00AC6C6F">
              <w:t>outcomes</w:t>
            </w:r>
            <w:r w:rsidR="00604A0D" w:rsidRPr="00AC6C6F">
              <w:t xml:space="preserve"> resulting in an ongoing treatment effect for mogamulizumab.</w:t>
            </w:r>
          </w:p>
        </w:tc>
        <w:tc>
          <w:tcPr>
            <w:tcW w:w="1701" w:type="pct"/>
            <w:shd w:val="clear" w:color="auto" w:fill="auto"/>
            <w:vAlign w:val="center"/>
          </w:tcPr>
          <w:p w:rsidR="00124743" w:rsidRPr="00AC6C6F" w:rsidRDefault="00124743" w:rsidP="00ED2396">
            <w:pPr>
              <w:pStyle w:val="TableText0"/>
            </w:pPr>
            <w:r w:rsidRPr="00AC6C6F">
              <w:t xml:space="preserve">High, </w:t>
            </w:r>
            <w:r w:rsidR="00263317" w:rsidRPr="00AC6C6F">
              <w:t>favour</w:t>
            </w:r>
            <w:r w:rsidR="00BD2170" w:rsidRPr="00AC6C6F">
              <w:t>ed</w:t>
            </w:r>
            <w:r w:rsidRPr="00AC6C6F">
              <w:t xml:space="preserve"> </w:t>
            </w:r>
            <w:r w:rsidR="00ED2396" w:rsidRPr="00AC6C6F">
              <w:t>mogamulizumab</w:t>
            </w:r>
            <w:r w:rsidR="00BD2170" w:rsidRPr="00AC6C6F">
              <w:t>;</w:t>
            </w:r>
            <w:r w:rsidR="00ED2396" w:rsidRPr="00AC6C6F">
              <w:t xml:space="preserve"> applying convergence from median OS of mogamulizumab in MAVORIC increased the ICER to $</w:t>
            </w:r>
            <w:r w:rsidR="006D5D3C">
              <w:t>95,000 to &lt; $115,000 per QALY</w:t>
            </w:r>
          </w:p>
        </w:tc>
      </w:tr>
      <w:tr w:rsidR="00933DE4" w:rsidRPr="00AC6C6F" w:rsidTr="00851010">
        <w:tc>
          <w:tcPr>
            <w:tcW w:w="705" w:type="pct"/>
            <w:shd w:val="clear" w:color="auto" w:fill="auto"/>
            <w:vAlign w:val="center"/>
          </w:tcPr>
          <w:p w:rsidR="00933DE4" w:rsidRPr="00AC6C6F" w:rsidRDefault="00707CA6" w:rsidP="000332CC">
            <w:pPr>
              <w:pStyle w:val="TableText0"/>
              <w:jc w:val="center"/>
            </w:pPr>
            <w:r w:rsidRPr="00AC6C6F">
              <w:t>Extrapolation function for vorinostat</w:t>
            </w:r>
          </w:p>
        </w:tc>
        <w:tc>
          <w:tcPr>
            <w:tcW w:w="2594" w:type="pct"/>
            <w:shd w:val="clear" w:color="auto" w:fill="auto"/>
            <w:vAlign w:val="center"/>
          </w:tcPr>
          <w:p w:rsidR="00933DE4" w:rsidRPr="00AC6C6F" w:rsidRDefault="00707CA6" w:rsidP="000332CC">
            <w:pPr>
              <w:pStyle w:val="TableText0"/>
            </w:pPr>
            <w:r w:rsidRPr="00AC6C6F">
              <w:t>Exponential was overly conservative for vorinostat</w:t>
            </w:r>
            <w:r w:rsidR="00604A0D" w:rsidRPr="00AC6C6F">
              <w:t xml:space="preserve"> and may not adequately describe the data.</w:t>
            </w:r>
          </w:p>
        </w:tc>
        <w:tc>
          <w:tcPr>
            <w:tcW w:w="1701" w:type="pct"/>
            <w:shd w:val="clear" w:color="auto" w:fill="auto"/>
            <w:vAlign w:val="center"/>
          </w:tcPr>
          <w:p w:rsidR="00933DE4" w:rsidRPr="00AC6C6F" w:rsidRDefault="00707CA6" w:rsidP="00ED2396">
            <w:pPr>
              <w:pStyle w:val="TableText0"/>
            </w:pPr>
            <w:r w:rsidRPr="00AC6C6F">
              <w:t>High, favoured mogamulizumab, using Weibull increased the ICER to $</w:t>
            </w:r>
            <w:r w:rsidR="006D5D3C">
              <w:t>75,000 to &lt; $95,000 per QALY</w:t>
            </w:r>
          </w:p>
        </w:tc>
      </w:tr>
    </w:tbl>
    <w:p w:rsidR="00124743" w:rsidRPr="00AC6C6F" w:rsidRDefault="00124743" w:rsidP="00040A3E">
      <w:pPr>
        <w:pStyle w:val="TableFigureFooter"/>
        <w:spacing w:after="0"/>
        <w:rPr>
          <w:szCs w:val="18"/>
        </w:rPr>
      </w:pPr>
      <w:r w:rsidRPr="00AC6C6F">
        <w:rPr>
          <w:szCs w:val="18"/>
        </w:rPr>
        <w:t xml:space="preserve">Source: </w:t>
      </w:r>
      <w:r w:rsidR="00C4071E" w:rsidRPr="00AC6C6F">
        <w:rPr>
          <w:szCs w:val="18"/>
        </w:rPr>
        <w:t>developed during the evaluation using Section 3 worksheet</w:t>
      </w:r>
    </w:p>
    <w:p w:rsidR="00040A3E" w:rsidRPr="00AC6C6F" w:rsidRDefault="00C4071E" w:rsidP="00040A3E">
      <w:pPr>
        <w:pStyle w:val="CaptionFootnote"/>
        <w:rPr>
          <w:rFonts w:ascii="Arial Narrow" w:hAnsi="Arial Narrow"/>
          <w:sz w:val="18"/>
        </w:rPr>
      </w:pPr>
      <w:r w:rsidRPr="00AC6C6F">
        <w:rPr>
          <w:rFonts w:ascii="Arial Narrow" w:hAnsi="Arial Narrow"/>
          <w:sz w:val="18"/>
        </w:rPr>
        <w:t xml:space="preserve">Abbreviations: </w:t>
      </w:r>
      <w:r w:rsidR="00040A3E" w:rsidRPr="00AC6C6F">
        <w:rPr>
          <w:rFonts w:ascii="Arial Narrow" w:hAnsi="Arial Narrow"/>
          <w:bCs w:val="0"/>
          <w:sz w:val="18"/>
        </w:rPr>
        <w:t>ICER= incremental cost effectiveness ratio</w:t>
      </w:r>
      <w:r w:rsidR="00040A3E" w:rsidRPr="00AC6C6F">
        <w:rPr>
          <w:rFonts w:ascii="Arial Narrow" w:hAnsi="Arial Narrow"/>
          <w:sz w:val="18"/>
        </w:rPr>
        <w:t xml:space="preserve">; IPCW = inverse probability of censoring weighted; </w:t>
      </w:r>
      <w:r w:rsidR="007B1498">
        <w:rPr>
          <w:rFonts w:ascii="Arial Narrow" w:hAnsi="Arial Narrow"/>
          <w:sz w:val="18"/>
        </w:rPr>
        <w:t>KM = Kapla</w:t>
      </w:r>
      <w:r w:rsidR="00BD2170" w:rsidRPr="00AC6C6F">
        <w:rPr>
          <w:rFonts w:ascii="Arial Narrow" w:hAnsi="Arial Narrow"/>
          <w:sz w:val="18"/>
        </w:rPr>
        <w:t xml:space="preserve">n-Meier; </w:t>
      </w:r>
      <w:r w:rsidR="00040A3E" w:rsidRPr="00AC6C6F">
        <w:rPr>
          <w:rFonts w:ascii="Arial Narrow" w:hAnsi="Arial Narrow"/>
          <w:sz w:val="18"/>
        </w:rPr>
        <w:t xml:space="preserve">QALYs = </w:t>
      </w:r>
      <w:r w:rsidR="00BD2170" w:rsidRPr="00AC6C6F">
        <w:rPr>
          <w:rFonts w:ascii="Arial Narrow" w:hAnsi="Arial Narrow"/>
          <w:sz w:val="18"/>
        </w:rPr>
        <w:t>quality adjusted life years</w:t>
      </w:r>
      <w:r w:rsidR="00040A3E" w:rsidRPr="00AC6C6F">
        <w:rPr>
          <w:rFonts w:ascii="Arial Narrow" w:hAnsi="Arial Narrow"/>
          <w:sz w:val="18"/>
        </w:rPr>
        <w:t>; OS = overall survival; TSEM = two-stage methods</w:t>
      </w:r>
    </w:p>
    <w:p w:rsidR="00BD2170" w:rsidRDefault="00BD2170" w:rsidP="00040A3E">
      <w:pPr>
        <w:pStyle w:val="CaptionFootnote"/>
        <w:rPr>
          <w:rFonts w:ascii="Arial Narrow" w:hAnsi="Arial Narrow"/>
          <w:sz w:val="18"/>
        </w:rPr>
      </w:pPr>
    </w:p>
    <w:p w:rsidR="00021652" w:rsidRPr="00021652" w:rsidRDefault="00021652" w:rsidP="00040A3E">
      <w:pPr>
        <w:pStyle w:val="CaptionFootnote"/>
        <w:rPr>
          <w:rFonts w:asciiTheme="minorHAnsi" w:hAnsiTheme="minorHAnsi" w:cstheme="minorHAnsi"/>
          <w:i/>
          <w:sz w:val="24"/>
          <w:szCs w:val="24"/>
        </w:rPr>
      </w:pPr>
    </w:p>
    <w:p w:rsidR="00124743" w:rsidRPr="00AC6C6F" w:rsidRDefault="00B76C14" w:rsidP="00BD2170">
      <w:pPr>
        <w:pStyle w:val="3-BodyText"/>
      </w:pPr>
      <w:r w:rsidRPr="00AC6C6F">
        <w:t xml:space="preserve">The results from the economic evaluation </w:t>
      </w:r>
      <w:r w:rsidR="00BD2170" w:rsidRPr="00AC6C6F">
        <w:t>are summarised in T</w:t>
      </w:r>
      <w:r w:rsidRPr="00AC6C6F">
        <w:t xml:space="preserve">able </w:t>
      </w:r>
      <w:r w:rsidR="00BD2170" w:rsidRPr="00AC6C6F">
        <w:t>15</w:t>
      </w:r>
      <w:r w:rsidRPr="00AC6C6F">
        <w:t>.</w:t>
      </w:r>
      <w:r w:rsidR="00134471" w:rsidRPr="00AC6C6F">
        <w:t xml:space="preserve"> These results were based on the published price of the subsequent therapy (except for brentuximab where the submission assumed </w:t>
      </w:r>
      <w:r w:rsidR="0030066C" w:rsidRPr="00AC6C6F">
        <w:t xml:space="preserve">a rebate of </w:t>
      </w:r>
      <w:r w:rsidR="00B21624">
        <w:rPr>
          <w:noProof/>
          <w:color w:val="000000"/>
          <w:highlight w:val="black"/>
        </w:rPr>
        <w:t>'''''</w:t>
      </w:r>
      <w:r w:rsidR="00134471" w:rsidRPr="00AC6C6F">
        <w:t xml:space="preserve">% </w:t>
      </w:r>
      <w:r w:rsidR="0030066C" w:rsidRPr="00AC6C6F">
        <w:t>of the published price</w:t>
      </w:r>
      <w:r w:rsidR="00134471" w:rsidRPr="00AC6C6F">
        <w:t>)</w:t>
      </w:r>
      <w:r w:rsidR="00134471" w:rsidRPr="00AC6C6F">
        <w:rPr>
          <w:i/>
        </w:rPr>
        <w:t xml:space="preserve">. </w:t>
      </w:r>
      <w:r w:rsidR="00134471" w:rsidRPr="00AC6C6F">
        <w:t>The ICER/QALY was estimated at $</w:t>
      </w:r>
      <w:r w:rsidR="00021652">
        <w:t>55,000 to &lt; $75,000</w:t>
      </w:r>
      <w:r w:rsidR="00134471" w:rsidRPr="00AC6C6F">
        <w:t>.</w:t>
      </w:r>
      <w:r w:rsidR="00134471" w:rsidRPr="00AC6C6F">
        <w:rPr>
          <w:i/>
        </w:rPr>
        <w:t xml:space="preserve"> </w:t>
      </w:r>
    </w:p>
    <w:p w:rsidR="00124743" w:rsidRPr="00AC6C6F" w:rsidRDefault="00C57A56" w:rsidP="00124743">
      <w:pPr>
        <w:pStyle w:val="TableFigureHeading"/>
        <w:rPr>
          <w:rStyle w:val="CommentReference"/>
        </w:rPr>
      </w:pPr>
      <w:r w:rsidRPr="00AC6C6F">
        <w:rPr>
          <w:rStyle w:val="CommentReference"/>
          <w:b/>
        </w:rPr>
        <w:t xml:space="preserve">Table </w:t>
      </w:r>
      <w:r w:rsidR="00236175" w:rsidRPr="00AC6C6F">
        <w:rPr>
          <w:rStyle w:val="CommentReference"/>
          <w:b/>
        </w:rPr>
        <w:t>15</w:t>
      </w:r>
      <w:r w:rsidR="00124743" w:rsidRPr="00AC6C6F">
        <w:rPr>
          <w:rStyle w:val="CommentReference"/>
          <w:b/>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99"/>
        <w:gridCol w:w="2440"/>
        <w:gridCol w:w="2521"/>
        <w:gridCol w:w="2357"/>
      </w:tblGrid>
      <w:tr w:rsidR="00124743" w:rsidRPr="00AC6C6F" w:rsidTr="000332CC">
        <w:trPr>
          <w:cantSplit/>
          <w:tblHeader/>
        </w:trPr>
        <w:tc>
          <w:tcPr>
            <w:tcW w:w="942" w:type="pct"/>
            <w:shd w:val="clear" w:color="auto" w:fill="FFFFFF"/>
          </w:tcPr>
          <w:p w:rsidR="00124743" w:rsidRPr="00AC6C6F" w:rsidRDefault="00124743" w:rsidP="000332CC">
            <w:pPr>
              <w:pStyle w:val="In-tableHeading"/>
              <w:jc w:val="center"/>
              <w:rPr>
                <w:lang w:val="en-AU"/>
              </w:rPr>
            </w:pPr>
          </w:p>
        </w:tc>
        <w:tc>
          <w:tcPr>
            <w:tcW w:w="1353" w:type="pct"/>
            <w:shd w:val="clear" w:color="auto" w:fill="FFFFFF"/>
          </w:tcPr>
          <w:p w:rsidR="00124743" w:rsidRPr="00AC6C6F" w:rsidRDefault="00C938C6" w:rsidP="000332CC">
            <w:pPr>
              <w:pStyle w:val="In-tableHeading"/>
              <w:jc w:val="center"/>
              <w:rPr>
                <w:lang w:val="en-AU"/>
              </w:rPr>
            </w:pPr>
            <w:r w:rsidRPr="00AC6C6F">
              <w:rPr>
                <w:lang w:val="en-AU"/>
              </w:rPr>
              <w:t>Mogamulizumab</w:t>
            </w:r>
          </w:p>
        </w:tc>
        <w:tc>
          <w:tcPr>
            <w:tcW w:w="1398" w:type="pct"/>
            <w:shd w:val="clear" w:color="auto" w:fill="FFFFFF"/>
          </w:tcPr>
          <w:p w:rsidR="00124743" w:rsidRPr="00AC6C6F" w:rsidRDefault="00C938C6" w:rsidP="000332CC">
            <w:pPr>
              <w:pStyle w:val="In-tableHeading"/>
              <w:jc w:val="center"/>
              <w:rPr>
                <w:lang w:val="en-AU"/>
              </w:rPr>
            </w:pPr>
            <w:r w:rsidRPr="00AC6C6F">
              <w:rPr>
                <w:lang w:val="en-AU"/>
              </w:rPr>
              <w:t>Vorinostat</w:t>
            </w:r>
          </w:p>
        </w:tc>
        <w:tc>
          <w:tcPr>
            <w:tcW w:w="1307" w:type="pct"/>
            <w:shd w:val="clear" w:color="auto" w:fill="FFFFFF"/>
            <w:vAlign w:val="center"/>
          </w:tcPr>
          <w:p w:rsidR="00124743" w:rsidRPr="00AC6C6F" w:rsidRDefault="00124743" w:rsidP="000332CC">
            <w:pPr>
              <w:pStyle w:val="In-tableHeading"/>
              <w:jc w:val="center"/>
              <w:rPr>
                <w:lang w:val="en-AU"/>
              </w:rPr>
            </w:pPr>
            <w:r w:rsidRPr="00AC6C6F">
              <w:rPr>
                <w:lang w:val="en-AU"/>
              </w:rPr>
              <w:t>Increment</w:t>
            </w:r>
          </w:p>
        </w:tc>
      </w:tr>
      <w:tr w:rsidR="00C938C6" w:rsidRPr="00AC6C6F" w:rsidTr="000332CC">
        <w:trPr>
          <w:cantSplit/>
        </w:trPr>
        <w:tc>
          <w:tcPr>
            <w:tcW w:w="942" w:type="pct"/>
            <w:shd w:val="clear" w:color="auto" w:fill="auto"/>
          </w:tcPr>
          <w:p w:rsidR="00C938C6" w:rsidRPr="00AC6C6F" w:rsidRDefault="00C938C6" w:rsidP="00C938C6">
            <w:pPr>
              <w:pStyle w:val="TableText0"/>
            </w:pPr>
            <w:r w:rsidRPr="00AC6C6F">
              <w:t>Costs</w:t>
            </w:r>
          </w:p>
        </w:tc>
        <w:tc>
          <w:tcPr>
            <w:tcW w:w="1353" w:type="pct"/>
            <w:shd w:val="clear" w:color="auto" w:fill="auto"/>
          </w:tcPr>
          <w:p w:rsidR="00C938C6" w:rsidRPr="00AC6C6F" w:rsidRDefault="00C938C6" w:rsidP="00C938C6">
            <w:pPr>
              <w:pStyle w:val="TableText0"/>
              <w:jc w:val="center"/>
            </w:pPr>
            <w:r w:rsidRPr="00AC6C6F">
              <w:rPr>
                <w:szCs w:val="20"/>
              </w:rPr>
              <w:t>$</w:t>
            </w:r>
            <w:r w:rsidR="00B21624">
              <w:rPr>
                <w:noProof/>
                <w:color w:val="000000"/>
                <w:szCs w:val="20"/>
                <w:highlight w:val="black"/>
              </w:rPr>
              <w:t>''''''''''''''''''</w:t>
            </w:r>
          </w:p>
        </w:tc>
        <w:tc>
          <w:tcPr>
            <w:tcW w:w="1398" w:type="pct"/>
            <w:shd w:val="clear" w:color="auto" w:fill="auto"/>
          </w:tcPr>
          <w:p w:rsidR="00C938C6" w:rsidRPr="00AC6C6F" w:rsidRDefault="00C938C6" w:rsidP="00C938C6">
            <w:pPr>
              <w:pStyle w:val="TableText0"/>
              <w:jc w:val="center"/>
            </w:pPr>
            <w:r w:rsidRPr="00AC6C6F">
              <w:rPr>
                <w:szCs w:val="20"/>
              </w:rPr>
              <w:t>$50,639</w:t>
            </w:r>
          </w:p>
        </w:tc>
        <w:tc>
          <w:tcPr>
            <w:tcW w:w="1307" w:type="pct"/>
            <w:shd w:val="clear" w:color="auto" w:fill="auto"/>
          </w:tcPr>
          <w:p w:rsidR="00C938C6" w:rsidRPr="00AC6C6F" w:rsidRDefault="00C938C6" w:rsidP="00C938C6">
            <w:pPr>
              <w:pStyle w:val="TableText0"/>
              <w:jc w:val="center"/>
            </w:pPr>
            <w:r w:rsidRPr="00AC6C6F">
              <w:rPr>
                <w:szCs w:val="20"/>
              </w:rPr>
              <w:t>$</w:t>
            </w:r>
            <w:r w:rsidR="00B21624">
              <w:rPr>
                <w:noProof/>
                <w:color w:val="000000"/>
                <w:szCs w:val="20"/>
                <w:highlight w:val="black"/>
              </w:rPr>
              <w:t>''''''''''''''''''''</w:t>
            </w:r>
          </w:p>
        </w:tc>
      </w:tr>
      <w:tr w:rsidR="00C938C6" w:rsidRPr="00AC6C6F" w:rsidTr="000332CC">
        <w:trPr>
          <w:cantSplit/>
        </w:trPr>
        <w:tc>
          <w:tcPr>
            <w:tcW w:w="942" w:type="pct"/>
            <w:shd w:val="clear" w:color="auto" w:fill="auto"/>
          </w:tcPr>
          <w:p w:rsidR="00C938C6" w:rsidRPr="00AC6C6F" w:rsidRDefault="00C938C6" w:rsidP="00C938C6">
            <w:pPr>
              <w:pStyle w:val="TableText0"/>
            </w:pPr>
            <w:r w:rsidRPr="00AC6C6F">
              <w:t>Life years</w:t>
            </w:r>
          </w:p>
        </w:tc>
        <w:tc>
          <w:tcPr>
            <w:tcW w:w="1353" w:type="pct"/>
            <w:shd w:val="clear" w:color="auto" w:fill="auto"/>
          </w:tcPr>
          <w:p w:rsidR="00C938C6" w:rsidRPr="00AC6C6F" w:rsidRDefault="00C938C6" w:rsidP="00C938C6">
            <w:pPr>
              <w:pStyle w:val="TableText0"/>
              <w:jc w:val="center"/>
            </w:pPr>
            <w:r w:rsidRPr="00AC6C6F">
              <w:rPr>
                <w:szCs w:val="20"/>
              </w:rPr>
              <w:t>5.0270</w:t>
            </w:r>
          </w:p>
        </w:tc>
        <w:tc>
          <w:tcPr>
            <w:tcW w:w="1398" w:type="pct"/>
            <w:shd w:val="clear" w:color="auto" w:fill="auto"/>
          </w:tcPr>
          <w:p w:rsidR="00C938C6" w:rsidRPr="00AC6C6F" w:rsidRDefault="00C938C6" w:rsidP="00C938C6">
            <w:pPr>
              <w:pStyle w:val="TableText0"/>
              <w:jc w:val="center"/>
            </w:pPr>
            <w:r w:rsidRPr="00AC6C6F">
              <w:rPr>
                <w:szCs w:val="20"/>
              </w:rPr>
              <w:t>2.8932</w:t>
            </w:r>
          </w:p>
        </w:tc>
        <w:tc>
          <w:tcPr>
            <w:tcW w:w="1307" w:type="pct"/>
            <w:shd w:val="clear" w:color="auto" w:fill="auto"/>
          </w:tcPr>
          <w:p w:rsidR="00C938C6" w:rsidRPr="00AC6C6F" w:rsidRDefault="00C938C6" w:rsidP="00C938C6">
            <w:pPr>
              <w:pStyle w:val="TableText0"/>
              <w:jc w:val="center"/>
            </w:pPr>
            <w:r w:rsidRPr="00AC6C6F">
              <w:rPr>
                <w:szCs w:val="20"/>
              </w:rPr>
              <w:t>2.1338</w:t>
            </w:r>
          </w:p>
        </w:tc>
      </w:tr>
      <w:tr w:rsidR="00C938C6" w:rsidRPr="00AC6C6F" w:rsidTr="000332CC">
        <w:trPr>
          <w:cantSplit/>
        </w:trPr>
        <w:tc>
          <w:tcPr>
            <w:tcW w:w="942" w:type="pct"/>
            <w:shd w:val="clear" w:color="auto" w:fill="auto"/>
          </w:tcPr>
          <w:p w:rsidR="00C938C6" w:rsidRPr="00AC6C6F" w:rsidRDefault="00C938C6" w:rsidP="00C938C6">
            <w:pPr>
              <w:pStyle w:val="TableText0"/>
            </w:pPr>
            <w:r w:rsidRPr="00AC6C6F">
              <w:t>QALYS</w:t>
            </w:r>
          </w:p>
        </w:tc>
        <w:tc>
          <w:tcPr>
            <w:tcW w:w="1353" w:type="pct"/>
            <w:shd w:val="clear" w:color="auto" w:fill="auto"/>
          </w:tcPr>
          <w:p w:rsidR="00C938C6" w:rsidRPr="00AC6C6F" w:rsidRDefault="00C938C6" w:rsidP="00C938C6">
            <w:pPr>
              <w:pStyle w:val="TableText0"/>
              <w:jc w:val="center"/>
            </w:pPr>
            <w:r w:rsidRPr="00AC6C6F">
              <w:rPr>
                <w:szCs w:val="20"/>
              </w:rPr>
              <w:t>3.6793</w:t>
            </w:r>
          </w:p>
        </w:tc>
        <w:tc>
          <w:tcPr>
            <w:tcW w:w="1398" w:type="pct"/>
            <w:shd w:val="clear" w:color="auto" w:fill="auto"/>
          </w:tcPr>
          <w:p w:rsidR="00C938C6" w:rsidRPr="00AC6C6F" w:rsidRDefault="00C938C6" w:rsidP="00C938C6">
            <w:pPr>
              <w:pStyle w:val="TableText0"/>
              <w:jc w:val="center"/>
            </w:pPr>
            <w:r w:rsidRPr="00AC6C6F">
              <w:rPr>
                <w:szCs w:val="20"/>
              </w:rPr>
              <w:t>2.0665</w:t>
            </w:r>
          </w:p>
        </w:tc>
        <w:tc>
          <w:tcPr>
            <w:tcW w:w="1307" w:type="pct"/>
            <w:shd w:val="clear" w:color="auto" w:fill="auto"/>
          </w:tcPr>
          <w:p w:rsidR="00C938C6" w:rsidRPr="00AC6C6F" w:rsidRDefault="00C938C6" w:rsidP="00C938C6">
            <w:pPr>
              <w:pStyle w:val="TableText0"/>
              <w:jc w:val="center"/>
            </w:pPr>
            <w:r w:rsidRPr="00AC6C6F">
              <w:rPr>
                <w:szCs w:val="20"/>
              </w:rPr>
              <w:t>1.6128</w:t>
            </w:r>
          </w:p>
        </w:tc>
      </w:tr>
      <w:tr w:rsidR="00C938C6" w:rsidRPr="00AC6C6F" w:rsidTr="000332CC">
        <w:trPr>
          <w:cantSplit/>
        </w:trPr>
        <w:tc>
          <w:tcPr>
            <w:tcW w:w="3693" w:type="pct"/>
            <w:gridSpan w:val="3"/>
            <w:tcBorders>
              <w:right w:val="single" w:sz="4" w:space="0" w:color="000000"/>
            </w:tcBorders>
            <w:shd w:val="clear" w:color="auto" w:fill="auto"/>
          </w:tcPr>
          <w:p w:rsidR="00C938C6" w:rsidRPr="00AC6C6F" w:rsidRDefault="00C938C6" w:rsidP="00C938C6">
            <w:pPr>
              <w:pStyle w:val="In-tableHeading"/>
              <w:rPr>
                <w:b w:val="0"/>
                <w:bCs/>
                <w:lang w:val="en-AU"/>
              </w:rPr>
            </w:pPr>
            <w:r w:rsidRPr="00AC6C6F">
              <w:rPr>
                <w:b w:val="0"/>
                <w:bCs/>
                <w:lang w:val="en-AU"/>
              </w:rPr>
              <w:t>Incremental cost per life year gained</w:t>
            </w:r>
          </w:p>
        </w:tc>
        <w:tc>
          <w:tcPr>
            <w:tcW w:w="1307" w:type="pct"/>
            <w:tcBorders>
              <w:left w:val="single" w:sz="4" w:space="0" w:color="000000"/>
            </w:tcBorders>
            <w:shd w:val="clear" w:color="auto" w:fill="auto"/>
          </w:tcPr>
          <w:p w:rsidR="00C938C6" w:rsidRPr="00AC6C6F" w:rsidRDefault="00C938C6" w:rsidP="00C938C6">
            <w:pPr>
              <w:keepNext/>
              <w:keepLines/>
              <w:jc w:val="center"/>
              <w:rPr>
                <w:rFonts w:ascii="Arial Narrow" w:eastAsia="Calibri" w:hAnsi="Arial Narrow"/>
                <w:bCs/>
                <w:sz w:val="20"/>
                <w:szCs w:val="20"/>
              </w:rPr>
            </w:pPr>
            <w:r w:rsidRPr="00AC6C6F">
              <w:rPr>
                <w:rFonts w:ascii="Arial Narrow" w:hAnsi="Arial Narrow"/>
                <w:bCs/>
                <w:sz w:val="20"/>
                <w:szCs w:val="20"/>
              </w:rPr>
              <w:t>$</w:t>
            </w:r>
            <w:r w:rsidR="00B21624">
              <w:rPr>
                <w:rFonts w:ascii="Arial Narrow" w:hAnsi="Arial Narrow"/>
                <w:bCs/>
                <w:noProof/>
                <w:color w:val="000000"/>
                <w:sz w:val="20"/>
                <w:szCs w:val="20"/>
                <w:highlight w:val="black"/>
              </w:rPr>
              <w:t>'''''''''''''''''</w:t>
            </w:r>
          </w:p>
        </w:tc>
      </w:tr>
      <w:tr w:rsidR="00C938C6" w:rsidRPr="00AC6C6F" w:rsidTr="000332CC">
        <w:trPr>
          <w:cantSplit/>
        </w:trPr>
        <w:tc>
          <w:tcPr>
            <w:tcW w:w="3693" w:type="pct"/>
            <w:gridSpan w:val="3"/>
            <w:tcBorders>
              <w:right w:val="single" w:sz="4" w:space="0" w:color="000000"/>
            </w:tcBorders>
            <w:shd w:val="clear" w:color="auto" w:fill="auto"/>
          </w:tcPr>
          <w:p w:rsidR="00C938C6" w:rsidRPr="00AC6C6F" w:rsidRDefault="00C938C6" w:rsidP="00C938C6">
            <w:pPr>
              <w:pStyle w:val="In-tableHeading"/>
              <w:rPr>
                <w:b w:val="0"/>
                <w:bCs/>
                <w:lang w:val="en-AU"/>
              </w:rPr>
            </w:pPr>
            <w:r w:rsidRPr="00AC6C6F">
              <w:rPr>
                <w:b w:val="0"/>
                <w:bCs/>
                <w:lang w:val="en-AU"/>
              </w:rPr>
              <w:t>Incremental cost per QALY gained</w:t>
            </w:r>
          </w:p>
        </w:tc>
        <w:tc>
          <w:tcPr>
            <w:tcW w:w="1307" w:type="pct"/>
            <w:tcBorders>
              <w:left w:val="single" w:sz="4" w:space="0" w:color="000000"/>
            </w:tcBorders>
            <w:shd w:val="clear" w:color="auto" w:fill="auto"/>
          </w:tcPr>
          <w:p w:rsidR="00C938C6" w:rsidRPr="00AC6C6F" w:rsidRDefault="00C938C6" w:rsidP="00C938C6">
            <w:pPr>
              <w:keepNext/>
              <w:keepLines/>
              <w:jc w:val="center"/>
              <w:rPr>
                <w:rFonts w:ascii="Arial Narrow" w:eastAsia="Calibri" w:hAnsi="Arial Narrow"/>
                <w:bCs/>
                <w:sz w:val="20"/>
                <w:szCs w:val="20"/>
              </w:rPr>
            </w:pPr>
            <w:r w:rsidRPr="00AC6C6F">
              <w:rPr>
                <w:rFonts w:ascii="Arial Narrow" w:hAnsi="Arial Narrow"/>
                <w:bCs/>
                <w:sz w:val="20"/>
                <w:szCs w:val="20"/>
              </w:rPr>
              <w:t>$</w:t>
            </w:r>
            <w:r w:rsidR="00B21624">
              <w:rPr>
                <w:rFonts w:ascii="Arial Narrow" w:hAnsi="Arial Narrow"/>
                <w:bCs/>
                <w:noProof/>
                <w:color w:val="000000"/>
                <w:sz w:val="20"/>
                <w:szCs w:val="20"/>
                <w:highlight w:val="black"/>
              </w:rPr>
              <w:t>'''''''''''''''''</w:t>
            </w:r>
          </w:p>
        </w:tc>
      </w:tr>
    </w:tbl>
    <w:p w:rsidR="00BD127A" w:rsidRPr="00AC6C6F" w:rsidRDefault="00124743" w:rsidP="00BD127A">
      <w:pPr>
        <w:pStyle w:val="TableFooter"/>
        <w:rPr>
          <w:rFonts w:eastAsia="Calibri"/>
          <w:szCs w:val="20"/>
        </w:rPr>
      </w:pPr>
      <w:r w:rsidRPr="00AC6C6F">
        <w:t xml:space="preserve">Source: </w:t>
      </w:r>
      <w:r w:rsidR="00BD127A" w:rsidRPr="00AC6C6F">
        <w:rPr>
          <w:bCs/>
          <w:szCs w:val="18"/>
        </w:rPr>
        <w:t>Table 3.25, p.192 of the submission</w:t>
      </w:r>
      <w:r w:rsidR="00BD127A" w:rsidRPr="00AC6C6F">
        <w:rPr>
          <w:rFonts w:eastAsia="Calibri"/>
          <w:szCs w:val="20"/>
        </w:rPr>
        <w:t xml:space="preserve"> </w:t>
      </w:r>
    </w:p>
    <w:p w:rsidR="00BD127A" w:rsidRPr="00AC6C6F" w:rsidRDefault="00BD127A" w:rsidP="00213EBC">
      <w:pPr>
        <w:pStyle w:val="TableFooter"/>
        <w:spacing w:after="240"/>
        <w:rPr>
          <w:bCs/>
          <w:szCs w:val="18"/>
        </w:rPr>
      </w:pPr>
      <w:r w:rsidRPr="00AC6C6F">
        <w:rPr>
          <w:rStyle w:val="FontBold"/>
          <w:rFonts w:ascii="Arial Narrow" w:hAnsi="Arial Narrow"/>
          <w:b w:val="0"/>
          <w:bCs/>
          <w:sz w:val="18"/>
          <w:szCs w:val="18"/>
        </w:rPr>
        <w:t>Abbreviations</w:t>
      </w:r>
      <w:r w:rsidR="00880FED" w:rsidRPr="00AC6C6F">
        <w:rPr>
          <w:rStyle w:val="FontBold"/>
          <w:rFonts w:ascii="Arial Narrow" w:hAnsi="Arial Narrow"/>
          <w:b w:val="0"/>
          <w:bCs/>
          <w:sz w:val="18"/>
          <w:szCs w:val="18"/>
        </w:rPr>
        <w:t>:</w:t>
      </w:r>
      <w:r w:rsidRPr="00AC6C6F">
        <w:rPr>
          <w:bCs/>
          <w:szCs w:val="18"/>
        </w:rPr>
        <w:t xml:space="preserve"> QALYs= quality adjusted life years</w:t>
      </w:r>
    </w:p>
    <w:p w:rsidR="00124743" w:rsidRPr="00AC6C6F" w:rsidRDefault="00124743" w:rsidP="00124743">
      <w:pPr>
        <w:pStyle w:val="3-BodyText"/>
      </w:pPr>
      <w:r w:rsidRPr="00AC6C6F">
        <w:t xml:space="preserve">The results of key </w:t>
      </w:r>
      <w:r w:rsidR="00553AFB" w:rsidRPr="00AC6C6F">
        <w:t>univariate and multivariate</w:t>
      </w:r>
      <w:r w:rsidRPr="00AC6C6F">
        <w:t xml:space="preserve"> sensitivity analyses </w:t>
      </w:r>
      <w:r w:rsidR="00373BDD" w:rsidRPr="00AC6C6F">
        <w:t>from the submission and prepared by the</w:t>
      </w:r>
      <w:r w:rsidR="002A3034" w:rsidRPr="00AC6C6F">
        <w:t xml:space="preserve"> evaluation</w:t>
      </w:r>
      <w:r w:rsidR="00373BDD" w:rsidRPr="00AC6C6F">
        <w:t xml:space="preserve"> </w:t>
      </w:r>
      <w:r w:rsidRPr="00AC6C6F">
        <w:t xml:space="preserve">are summarised </w:t>
      </w:r>
      <w:r w:rsidR="00735DCD" w:rsidRPr="00AC6C6F">
        <w:t xml:space="preserve">in Table </w:t>
      </w:r>
      <w:r w:rsidR="00C95D4C" w:rsidRPr="00AC6C6F">
        <w:t>16</w:t>
      </w:r>
      <w:r w:rsidRPr="00AC6C6F">
        <w:t xml:space="preserve">. </w:t>
      </w:r>
    </w:p>
    <w:p w:rsidR="00124743" w:rsidRPr="00AC6C6F" w:rsidRDefault="002E7996" w:rsidP="002A3034">
      <w:pPr>
        <w:pStyle w:val="TableFigureHeading"/>
        <w:keepLines/>
        <w:rPr>
          <w:rStyle w:val="CommentReference"/>
          <w:b/>
        </w:rPr>
      </w:pPr>
      <w:r w:rsidRPr="00AC6C6F">
        <w:rPr>
          <w:rStyle w:val="CommentReference"/>
          <w:b/>
        </w:rPr>
        <w:t xml:space="preserve">Table </w:t>
      </w:r>
      <w:r w:rsidR="00C95D4C" w:rsidRPr="00AC6C6F">
        <w:rPr>
          <w:rStyle w:val="CommentReference"/>
          <w:b/>
        </w:rPr>
        <w:t>16</w:t>
      </w:r>
      <w:r w:rsidR="00124743" w:rsidRPr="00AC6C6F">
        <w:rPr>
          <w:rStyle w:val="CommentReference"/>
          <w:b/>
        </w:rPr>
        <w:t>: Sensitivity analyses</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276"/>
        <w:gridCol w:w="1275"/>
        <w:gridCol w:w="1134"/>
        <w:gridCol w:w="1084"/>
      </w:tblGrid>
      <w:tr w:rsidR="00966F2C" w:rsidRPr="00AC6C6F" w:rsidTr="00693492">
        <w:trPr>
          <w:tblHeader/>
        </w:trPr>
        <w:tc>
          <w:tcPr>
            <w:tcW w:w="4248" w:type="dxa"/>
          </w:tcPr>
          <w:p w:rsidR="00966F2C" w:rsidRPr="00AC6C6F" w:rsidRDefault="00966F2C" w:rsidP="002A3034">
            <w:pPr>
              <w:pStyle w:val="In-tableHeading"/>
              <w:keepLines/>
              <w:widowControl w:val="0"/>
              <w:rPr>
                <w:lang w:val="en-AU"/>
              </w:rPr>
            </w:pPr>
            <w:r w:rsidRPr="00AC6C6F">
              <w:rPr>
                <w:lang w:val="en-AU"/>
              </w:rPr>
              <w:t>Analyses</w:t>
            </w:r>
          </w:p>
        </w:tc>
        <w:tc>
          <w:tcPr>
            <w:tcW w:w="1276" w:type="dxa"/>
          </w:tcPr>
          <w:p w:rsidR="00966F2C" w:rsidRPr="00AC6C6F" w:rsidRDefault="00966F2C" w:rsidP="002A3034">
            <w:pPr>
              <w:pStyle w:val="In-tableHeading"/>
              <w:keepLines/>
              <w:widowControl w:val="0"/>
              <w:jc w:val="center"/>
              <w:rPr>
                <w:lang w:val="en-AU"/>
              </w:rPr>
            </w:pPr>
            <w:r w:rsidRPr="00AC6C6F">
              <w:rPr>
                <w:lang w:val="en-AU"/>
              </w:rPr>
              <w:t>Incremental cost</w:t>
            </w:r>
          </w:p>
        </w:tc>
        <w:tc>
          <w:tcPr>
            <w:tcW w:w="1275" w:type="dxa"/>
          </w:tcPr>
          <w:p w:rsidR="00966F2C" w:rsidRPr="00AC6C6F" w:rsidRDefault="00966F2C" w:rsidP="002A3034">
            <w:pPr>
              <w:pStyle w:val="In-tableHeading"/>
              <w:keepLines/>
              <w:widowControl w:val="0"/>
              <w:jc w:val="center"/>
              <w:rPr>
                <w:lang w:val="en-AU"/>
              </w:rPr>
            </w:pPr>
            <w:r w:rsidRPr="00AC6C6F">
              <w:rPr>
                <w:lang w:val="en-AU"/>
              </w:rPr>
              <w:t>Incremental QALY</w:t>
            </w:r>
          </w:p>
        </w:tc>
        <w:tc>
          <w:tcPr>
            <w:tcW w:w="1134" w:type="dxa"/>
          </w:tcPr>
          <w:p w:rsidR="00966F2C" w:rsidRPr="00AC6C6F" w:rsidRDefault="00966F2C" w:rsidP="002A3034">
            <w:pPr>
              <w:pStyle w:val="In-tableHeading"/>
              <w:keepLines/>
              <w:widowControl w:val="0"/>
              <w:jc w:val="center"/>
              <w:rPr>
                <w:lang w:val="en-AU"/>
              </w:rPr>
            </w:pPr>
            <w:r w:rsidRPr="00AC6C6F">
              <w:rPr>
                <w:lang w:val="en-AU"/>
              </w:rPr>
              <w:t>ICER</w:t>
            </w:r>
          </w:p>
        </w:tc>
        <w:tc>
          <w:tcPr>
            <w:tcW w:w="1084" w:type="dxa"/>
          </w:tcPr>
          <w:p w:rsidR="00966F2C" w:rsidRPr="00AC6C6F" w:rsidRDefault="00966F2C" w:rsidP="002A3034">
            <w:pPr>
              <w:pStyle w:val="In-tableHeading"/>
              <w:keepLines/>
              <w:widowControl w:val="0"/>
              <w:jc w:val="center"/>
              <w:rPr>
                <w:lang w:val="en-AU"/>
              </w:rPr>
            </w:pPr>
            <w:r w:rsidRPr="00AC6C6F">
              <w:rPr>
                <w:lang w:val="en-AU"/>
              </w:rPr>
              <w:t>%Change</w:t>
            </w:r>
          </w:p>
        </w:tc>
      </w:tr>
      <w:tr w:rsidR="00966F2C" w:rsidRPr="00AC6C6F" w:rsidTr="00693492">
        <w:tc>
          <w:tcPr>
            <w:tcW w:w="4248" w:type="dxa"/>
          </w:tcPr>
          <w:p w:rsidR="00966F2C" w:rsidRPr="00AC6C6F" w:rsidRDefault="00966F2C" w:rsidP="002A3034">
            <w:pPr>
              <w:pStyle w:val="TableText0"/>
              <w:keepLines/>
              <w:widowControl w:val="0"/>
              <w:rPr>
                <w:b/>
              </w:rPr>
            </w:pPr>
            <w:r w:rsidRPr="00AC6C6F">
              <w:rPr>
                <w:b/>
              </w:rPr>
              <w:t>Base case</w:t>
            </w:r>
          </w:p>
        </w:tc>
        <w:tc>
          <w:tcPr>
            <w:tcW w:w="1276" w:type="dxa"/>
          </w:tcPr>
          <w:p w:rsidR="00966F2C" w:rsidRPr="00AC6C6F" w:rsidRDefault="00966F2C" w:rsidP="002A3034">
            <w:pPr>
              <w:pStyle w:val="TableText0"/>
              <w:keepLines/>
              <w:widowControl w:val="0"/>
              <w:jc w:val="center"/>
              <w:rPr>
                <w:b/>
              </w:rPr>
            </w:pPr>
            <w:r w:rsidRPr="00AC6C6F">
              <w:rPr>
                <w:b/>
              </w:rPr>
              <w:t>$</w:t>
            </w:r>
            <w:r w:rsidR="00B21624">
              <w:rPr>
                <w:b/>
                <w:noProof/>
                <w:color w:val="000000"/>
                <w:highlight w:val="black"/>
              </w:rPr>
              <w:t>''''''''''''''''</w:t>
            </w:r>
          </w:p>
        </w:tc>
        <w:tc>
          <w:tcPr>
            <w:tcW w:w="1275" w:type="dxa"/>
          </w:tcPr>
          <w:p w:rsidR="00966F2C" w:rsidRPr="00AC6C6F" w:rsidRDefault="00966F2C" w:rsidP="002A3034">
            <w:pPr>
              <w:pStyle w:val="TableText0"/>
              <w:keepLines/>
              <w:widowControl w:val="0"/>
              <w:jc w:val="center"/>
              <w:rPr>
                <w:b/>
              </w:rPr>
            </w:pPr>
            <w:r w:rsidRPr="00AC6C6F">
              <w:rPr>
                <w:b/>
              </w:rPr>
              <w:t>1.6128</w:t>
            </w:r>
          </w:p>
        </w:tc>
        <w:tc>
          <w:tcPr>
            <w:tcW w:w="1134" w:type="dxa"/>
          </w:tcPr>
          <w:p w:rsidR="00966F2C" w:rsidRPr="00AC6C6F" w:rsidRDefault="00966F2C" w:rsidP="002A3034">
            <w:pPr>
              <w:pStyle w:val="TableText0"/>
              <w:keepLines/>
              <w:widowControl w:val="0"/>
              <w:jc w:val="center"/>
              <w:rPr>
                <w:b/>
              </w:rPr>
            </w:pPr>
            <w:r w:rsidRPr="00AC6C6F">
              <w:rPr>
                <w:b/>
              </w:rPr>
              <w:t>$</w:t>
            </w:r>
            <w:r w:rsidR="00B21624">
              <w:rPr>
                <w:b/>
                <w:noProof/>
                <w:color w:val="000000"/>
                <w:highlight w:val="black"/>
              </w:rPr>
              <w:t>''''''''''''''</w:t>
            </w:r>
          </w:p>
        </w:tc>
        <w:tc>
          <w:tcPr>
            <w:tcW w:w="1084" w:type="dxa"/>
          </w:tcPr>
          <w:p w:rsidR="00966F2C" w:rsidRPr="00AC6C6F" w:rsidRDefault="00966F2C" w:rsidP="002A3034">
            <w:pPr>
              <w:pStyle w:val="TableText0"/>
              <w:keepLines/>
              <w:widowControl w:val="0"/>
              <w:jc w:val="center"/>
              <w:rPr>
                <w:b/>
              </w:rPr>
            </w:pPr>
          </w:p>
        </w:tc>
      </w:tr>
      <w:tr w:rsidR="0022612C" w:rsidRPr="00AC6C6F" w:rsidTr="002742E9">
        <w:trPr>
          <w:trHeight w:val="232"/>
        </w:trPr>
        <w:tc>
          <w:tcPr>
            <w:tcW w:w="9017" w:type="dxa"/>
            <w:gridSpan w:val="5"/>
          </w:tcPr>
          <w:p w:rsidR="0022612C" w:rsidRPr="00AC6C6F" w:rsidRDefault="0022612C" w:rsidP="002A3034">
            <w:pPr>
              <w:pStyle w:val="TableText0"/>
              <w:keepLines/>
              <w:widowControl w:val="0"/>
            </w:pPr>
            <w:r w:rsidRPr="00AC6C6F">
              <w:rPr>
                <w:b/>
              </w:rPr>
              <w:t>Time horizon (base case 20-year)</w:t>
            </w:r>
          </w:p>
        </w:tc>
      </w:tr>
      <w:tr w:rsidR="0022612C" w:rsidRPr="00AC6C6F" w:rsidTr="0022612C">
        <w:trPr>
          <w:trHeight w:val="240"/>
        </w:trPr>
        <w:tc>
          <w:tcPr>
            <w:tcW w:w="4248" w:type="dxa"/>
          </w:tcPr>
          <w:p w:rsidR="0022612C" w:rsidRPr="00AC6C6F" w:rsidRDefault="0022612C" w:rsidP="002A3034">
            <w:pPr>
              <w:pStyle w:val="TableText0"/>
              <w:keepLines/>
              <w:widowControl w:val="0"/>
              <w:numPr>
                <w:ilvl w:val="0"/>
                <w:numId w:val="4"/>
              </w:numPr>
            </w:pPr>
            <w:r w:rsidRPr="00AC6C6F">
              <w:t>10-year</w:t>
            </w:r>
          </w:p>
        </w:tc>
        <w:tc>
          <w:tcPr>
            <w:tcW w:w="1276" w:type="dxa"/>
          </w:tcPr>
          <w:p w:rsidR="0022612C" w:rsidRPr="00AC6C6F" w:rsidRDefault="0022612C" w:rsidP="002A3034">
            <w:pPr>
              <w:pStyle w:val="TableText0"/>
              <w:keepLines/>
              <w:widowControl w:val="0"/>
              <w:jc w:val="center"/>
            </w:pPr>
            <w:r w:rsidRPr="00AC6C6F">
              <w:t>$</w:t>
            </w:r>
            <w:r w:rsidR="00B21624">
              <w:rPr>
                <w:noProof/>
                <w:color w:val="000000"/>
                <w:highlight w:val="black"/>
              </w:rPr>
              <w:t>'''''''''''''''''''</w:t>
            </w:r>
          </w:p>
        </w:tc>
        <w:tc>
          <w:tcPr>
            <w:tcW w:w="1275" w:type="dxa"/>
          </w:tcPr>
          <w:p w:rsidR="0022612C" w:rsidRPr="00AC6C6F" w:rsidRDefault="0022612C" w:rsidP="002A3034">
            <w:pPr>
              <w:pStyle w:val="TableText0"/>
              <w:keepLines/>
              <w:widowControl w:val="0"/>
              <w:jc w:val="center"/>
            </w:pPr>
            <w:r w:rsidRPr="00AC6C6F">
              <w:t>1.2735</w:t>
            </w:r>
          </w:p>
        </w:tc>
        <w:tc>
          <w:tcPr>
            <w:tcW w:w="1134" w:type="dxa"/>
          </w:tcPr>
          <w:p w:rsidR="0022612C" w:rsidRPr="00AC6C6F" w:rsidRDefault="0022612C" w:rsidP="002A3034">
            <w:pPr>
              <w:pStyle w:val="TableText0"/>
              <w:keepLines/>
              <w:widowControl w:val="0"/>
              <w:jc w:val="center"/>
            </w:pPr>
            <w:r w:rsidRPr="00AC6C6F">
              <w:t>$</w:t>
            </w:r>
            <w:r w:rsidR="00B21624">
              <w:rPr>
                <w:noProof/>
                <w:color w:val="000000"/>
                <w:highlight w:val="black"/>
              </w:rPr>
              <w:t>''''''''''''''''</w:t>
            </w:r>
          </w:p>
        </w:tc>
        <w:tc>
          <w:tcPr>
            <w:tcW w:w="1084" w:type="dxa"/>
          </w:tcPr>
          <w:p w:rsidR="0022612C" w:rsidRPr="00AC6C6F" w:rsidRDefault="0022612C" w:rsidP="002A3034">
            <w:pPr>
              <w:pStyle w:val="TableText0"/>
              <w:keepLines/>
              <w:widowControl w:val="0"/>
              <w:jc w:val="center"/>
            </w:pPr>
            <w:r w:rsidRPr="00AC6C6F">
              <w:t>+21%</w:t>
            </w:r>
          </w:p>
        </w:tc>
      </w:tr>
      <w:tr w:rsidR="0022612C" w:rsidRPr="00AC6C6F" w:rsidTr="00693492">
        <w:trPr>
          <w:trHeight w:val="255"/>
        </w:trPr>
        <w:tc>
          <w:tcPr>
            <w:tcW w:w="4248" w:type="dxa"/>
          </w:tcPr>
          <w:p w:rsidR="0022612C" w:rsidRPr="00AC6C6F" w:rsidRDefault="0022612C" w:rsidP="002A3034">
            <w:pPr>
              <w:pStyle w:val="TableText0"/>
              <w:keepLines/>
              <w:widowControl w:val="0"/>
              <w:numPr>
                <w:ilvl w:val="0"/>
                <w:numId w:val="4"/>
              </w:numPr>
            </w:pPr>
            <w:r w:rsidRPr="00AC6C6F">
              <w:t>15-year</w:t>
            </w:r>
            <w:r w:rsidR="00AB55FB" w:rsidRPr="00AC6C6F">
              <w:rPr>
                <w:vertAlign w:val="superscript"/>
              </w:rPr>
              <w:t>a</w:t>
            </w:r>
          </w:p>
        </w:tc>
        <w:tc>
          <w:tcPr>
            <w:tcW w:w="1276" w:type="dxa"/>
          </w:tcPr>
          <w:p w:rsidR="0022612C" w:rsidRPr="00AC6C6F" w:rsidRDefault="0022612C" w:rsidP="002A3034">
            <w:pPr>
              <w:pStyle w:val="TableText0"/>
              <w:keepLines/>
              <w:widowControl w:val="0"/>
              <w:jc w:val="center"/>
            </w:pPr>
            <w:r w:rsidRPr="00AC6C6F">
              <w:t>$</w:t>
            </w:r>
            <w:r w:rsidR="00B21624">
              <w:rPr>
                <w:noProof/>
                <w:color w:val="000000"/>
                <w:highlight w:val="black"/>
              </w:rPr>
              <w:t>'''''''''''''''''</w:t>
            </w:r>
          </w:p>
        </w:tc>
        <w:tc>
          <w:tcPr>
            <w:tcW w:w="1275" w:type="dxa"/>
          </w:tcPr>
          <w:p w:rsidR="0022612C" w:rsidRPr="00AC6C6F" w:rsidRDefault="0022612C" w:rsidP="002A3034">
            <w:pPr>
              <w:pStyle w:val="TableText0"/>
              <w:keepLines/>
              <w:widowControl w:val="0"/>
              <w:jc w:val="center"/>
            </w:pPr>
            <w:r w:rsidRPr="00AC6C6F">
              <w:t>1.5138</w:t>
            </w:r>
          </w:p>
        </w:tc>
        <w:tc>
          <w:tcPr>
            <w:tcW w:w="1134" w:type="dxa"/>
          </w:tcPr>
          <w:p w:rsidR="0022612C" w:rsidRPr="00AC6C6F" w:rsidRDefault="0022612C" w:rsidP="002A3034">
            <w:pPr>
              <w:pStyle w:val="TableText0"/>
              <w:keepLines/>
              <w:widowControl w:val="0"/>
              <w:jc w:val="center"/>
            </w:pPr>
            <w:r w:rsidRPr="00AC6C6F">
              <w:t>$</w:t>
            </w:r>
            <w:r w:rsidR="00B21624">
              <w:rPr>
                <w:noProof/>
                <w:color w:val="000000"/>
                <w:highlight w:val="black"/>
              </w:rPr>
              <w:t>'''''''''''''''''</w:t>
            </w:r>
          </w:p>
        </w:tc>
        <w:tc>
          <w:tcPr>
            <w:tcW w:w="1084" w:type="dxa"/>
          </w:tcPr>
          <w:p w:rsidR="0022612C" w:rsidRPr="00AC6C6F" w:rsidRDefault="0022612C" w:rsidP="002A3034">
            <w:pPr>
              <w:pStyle w:val="TableText0"/>
              <w:keepLines/>
              <w:widowControl w:val="0"/>
              <w:jc w:val="center"/>
            </w:pPr>
            <w:r w:rsidRPr="00AC6C6F">
              <w:t>+5%</w:t>
            </w:r>
          </w:p>
        </w:tc>
      </w:tr>
      <w:tr w:rsidR="0022612C" w:rsidRPr="00AC6C6F" w:rsidTr="002742E9">
        <w:trPr>
          <w:trHeight w:val="180"/>
        </w:trPr>
        <w:tc>
          <w:tcPr>
            <w:tcW w:w="9017" w:type="dxa"/>
            <w:gridSpan w:val="5"/>
          </w:tcPr>
          <w:p w:rsidR="0022612C" w:rsidRPr="00AC6C6F" w:rsidRDefault="0022612C" w:rsidP="002A3034">
            <w:pPr>
              <w:pStyle w:val="TableText0"/>
              <w:keepLines/>
              <w:widowControl w:val="0"/>
            </w:pPr>
            <w:r w:rsidRPr="00AC6C6F">
              <w:rPr>
                <w:b/>
              </w:rPr>
              <w:t>OS extrapolation (base case exponential)</w:t>
            </w:r>
            <w:r w:rsidR="00AB55FB" w:rsidRPr="00AC6C6F">
              <w:rPr>
                <w:b/>
                <w:vertAlign w:val="superscript"/>
              </w:rPr>
              <w:t>a</w:t>
            </w:r>
            <w:r w:rsidRPr="00AC6C6F">
              <w:rPr>
                <w:b/>
              </w:rPr>
              <w:t xml:space="preserve"> </w:t>
            </w:r>
          </w:p>
        </w:tc>
      </w:tr>
      <w:tr w:rsidR="0022612C" w:rsidRPr="00AC6C6F" w:rsidTr="0022612C">
        <w:trPr>
          <w:trHeight w:val="153"/>
        </w:trPr>
        <w:tc>
          <w:tcPr>
            <w:tcW w:w="4248" w:type="dxa"/>
          </w:tcPr>
          <w:p w:rsidR="0022612C" w:rsidRPr="00AC6C6F" w:rsidRDefault="0022612C" w:rsidP="002A3034">
            <w:pPr>
              <w:pStyle w:val="TableText0"/>
              <w:keepLines/>
              <w:widowControl w:val="0"/>
              <w:numPr>
                <w:ilvl w:val="0"/>
                <w:numId w:val="6"/>
              </w:numPr>
            </w:pPr>
            <w:r w:rsidRPr="00AC6C6F">
              <w:t>Weibull</w:t>
            </w:r>
            <w:r w:rsidR="00927204" w:rsidRPr="00AC6C6F">
              <w:t xml:space="preserve"> (vorinostat)</w:t>
            </w:r>
          </w:p>
        </w:tc>
        <w:tc>
          <w:tcPr>
            <w:tcW w:w="1276" w:type="dxa"/>
          </w:tcPr>
          <w:p w:rsidR="0022612C" w:rsidRPr="00AC6C6F" w:rsidDel="0022612C" w:rsidRDefault="0022612C" w:rsidP="002A3034">
            <w:pPr>
              <w:pStyle w:val="TableText0"/>
              <w:keepLines/>
              <w:widowControl w:val="0"/>
              <w:jc w:val="center"/>
            </w:pPr>
            <w:r w:rsidRPr="00AC6C6F">
              <w:t>$</w:t>
            </w:r>
            <w:r w:rsidR="00B21624">
              <w:rPr>
                <w:noProof/>
                <w:color w:val="000000"/>
                <w:highlight w:val="black"/>
              </w:rPr>
              <w:t>'''''''''''''''''</w:t>
            </w:r>
          </w:p>
        </w:tc>
        <w:tc>
          <w:tcPr>
            <w:tcW w:w="1275" w:type="dxa"/>
          </w:tcPr>
          <w:p w:rsidR="0022612C" w:rsidRPr="00AC6C6F" w:rsidRDefault="0022612C" w:rsidP="002A3034">
            <w:pPr>
              <w:pStyle w:val="TableText0"/>
              <w:keepLines/>
              <w:widowControl w:val="0"/>
              <w:jc w:val="center"/>
            </w:pPr>
            <w:r w:rsidRPr="00AC6C6F">
              <w:t>1.1362</w:t>
            </w:r>
          </w:p>
        </w:tc>
        <w:tc>
          <w:tcPr>
            <w:tcW w:w="1134" w:type="dxa"/>
          </w:tcPr>
          <w:p w:rsidR="0022612C" w:rsidRPr="00AC6C6F" w:rsidDel="0022612C" w:rsidRDefault="0022612C" w:rsidP="002A3034">
            <w:pPr>
              <w:pStyle w:val="TableText0"/>
              <w:keepLines/>
              <w:widowControl w:val="0"/>
              <w:jc w:val="center"/>
            </w:pPr>
            <w:r w:rsidRPr="00AC6C6F">
              <w:t>$</w:t>
            </w:r>
            <w:r w:rsidR="00B21624">
              <w:rPr>
                <w:noProof/>
                <w:color w:val="000000"/>
                <w:highlight w:val="black"/>
              </w:rPr>
              <w:t>'''''''''''''''</w:t>
            </w:r>
          </w:p>
        </w:tc>
        <w:tc>
          <w:tcPr>
            <w:tcW w:w="1084" w:type="dxa"/>
          </w:tcPr>
          <w:p w:rsidR="0022612C" w:rsidRPr="00AC6C6F" w:rsidDel="0022612C" w:rsidRDefault="0022612C" w:rsidP="002A3034">
            <w:pPr>
              <w:pStyle w:val="TableText0"/>
              <w:keepLines/>
              <w:widowControl w:val="0"/>
              <w:jc w:val="center"/>
            </w:pPr>
            <w:r w:rsidRPr="00AC6C6F">
              <w:t>+33%</w:t>
            </w:r>
          </w:p>
        </w:tc>
      </w:tr>
      <w:tr w:rsidR="0022612C" w:rsidRPr="00AC6C6F" w:rsidTr="0022612C">
        <w:trPr>
          <w:trHeight w:val="263"/>
        </w:trPr>
        <w:tc>
          <w:tcPr>
            <w:tcW w:w="4248" w:type="dxa"/>
          </w:tcPr>
          <w:p w:rsidR="0022612C" w:rsidRPr="00AC6C6F" w:rsidRDefault="0022612C" w:rsidP="002A3034">
            <w:pPr>
              <w:pStyle w:val="TableText0"/>
              <w:keepLines/>
              <w:widowControl w:val="0"/>
              <w:numPr>
                <w:ilvl w:val="0"/>
                <w:numId w:val="6"/>
              </w:numPr>
            </w:pPr>
            <w:r w:rsidRPr="00AC6C6F">
              <w:t>Gompertz</w:t>
            </w:r>
            <w:r w:rsidR="00927204" w:rsidRPr="00AC6C6F">
              <w:t xml:space="preserve"> (mogamulizumab)</w:t>
            </w:r>
          </w:p>
        </w:tc>
        <w:tc>
          <w:tcPr>
            <w:tcW w:w="1276" w:type="dxa"/>
          </w:tcPr>
          <w:p w:rsidR="0022612C" w:rsidRPr="00AC6C6F" w:rsidDel="00693492" w:rsidRDefault="0022612C" w:rsidP="002A3034">
            <w:pPr>
              <w:pStyle w:val="TableText0"/>
              <w:keepLines/>
              <w:widowControl w:val="0"/>
              <w:jc w:val="center"/>
            </w:pPr>
            <w:r w:rsidRPr="00AC6C6F">
              <w:t>$</w:t>
            </w:r>
            <w:r w:rsidR="00B21624">
              <w:rPr>
                <w:noProof/>
                <w:color w:val="000000"/>
                <w:highlight w:val="black"/>
              </w:rPr>
              <w:t>''''''''''''''''''''''</w:t>
            </w:r>
          </w:p>
        </w:tc>
        <w:tc>
          <w:tcPr>
            <w:tcW w:w="1275" w:type="dxa"/>
          </w:tcPr>
          <w:p w:rsidR="0022612C" w:rsidRPr="00AC6C6F" w:rsidDel="00693492" w:rsidRDefault="0022612C" w:rsidP="002A3034">
            <w:pPr>
              <w:pStyle w:val="TableText0"/>
              <w:keepLines/>
              <w:widowControl w:val="0"/>
              <w:jc w:val="center"/>
            </w:pPr>
            <w:r w:rsidRPr="00AC6C6F">
              <w:t>1.1727</w:t>
            </w:r>
          </w:p>
        </w:tc>
        <w:tc>
          <w:tcPr>
            <w:tcW w:w="1134" w:type="dxa"/>
          </w:tcPr>
          <w:p w:rsidR="0022612C" w:rsidRPr="00AC6C6F" w:rsidDel="00693492" w:rsidRDefault="0022612C" w:rsidP="002A3034">
            <w:pPr>
              <w:pStyle w:val="TableText0"/>
              <w:keepLines/>
              <w:widowControl w:val="0"/>
              <w:jc w:val="center"/>
            </w:pPr>
            <w:r w:rsidRPr="00AC6C6F">
              <w:t>$</w:t>
            </w:r>
            <w:r w:rsidR="00B21624">
              <w:rPr>
                <w:noProof/>
                <w:color w:val="000000"/>
                <w:highlight w:val="black"/>
              </w:rPr>
              <w:t>''''''''''''''''''</w:t>
            </w:r>
          </w:p>
        </w:tc>
        <w:tc>
          <w:tcPr>
            <w:tcW w:w="1084" w:type="dxa"/>
          </w:tcPr>
          <w:p w:rsidR="0022612C" w:rsidRPr="00AC6C6F" w:rsidDel="00693492" w:rsidRDefault="0022612C" w:rsidP="002A3034">
            <w:pPr>
              <w:pStyle w:val="TableText0"/>
              <w:keepLines/>
              <w:widowControl w:val="0"/>
              <w:jc w:val="center"/>
            </w:pPr>
            <w:r w:rsidRPr="00AC6C6F">
              <w:t>+30%</w:t>
            </w:r>
          </w:p>
        </w:tc>
      </w:tr>
      <w:tr w:rsidR="0022612C" w:rsidRPr="00AC6C6F" w:rsidTr="002742E9">
        <w:trPr>
          <w:trHeight w:val="195"/>
        </w:trPr>
        <w:tc>
          <w:tcPr>
            <w:tcW w:w="9017" w:type="dxa"/>
            <w:gridSpan w:val="5"/>
          </w:tcPr>
          <w:p w:rsidR="0022612C" w:rsidRPr="00AC6C6F" w:rsidRDefault="0022612C" w:rsidP="002A3034">
            <w:pPr>
              <w:pStyle w:val="TableText0"/>
              <w:keepLines/>
              <w:widowControl w:val="0"/>
              <w:rPr>
                <w:vertAlign w:val="superscript"/>
              </w:rPr>
            </w:pPr>
            <w:r w:rsidRPr="00AC6C6F">
              <w:rPr>
                <w:b/>
                <w:iCs/>
              </w:rPr>
              <w:t>Convergence (base case no convergence)</w:t>
            </w:r>
            <w:r w:rsidR="00AB55FB" w:rsidRPr="00AC6C6F">
              <w:rPr>
                <w:b/>
                <w:iCs/>
                <w:vertAlign w:val="superscript"/>
              </w:rPr>
              <w:t>a</w:t>
            </w:r>
          </w:p>
        </w:tc>
      </w:tr>
      <w:tr w:rsidR="0022612C" w:rsidRPr="00AC6C6F" w:rsidTr="0022612C">
        <w:trPr>
          <w:trHeight w:val="278"/>
        </w:trPr>
        <w:tc>
          <w:tcPr>
            <w:tcW w:w="4248" w:type="dxa"/>
          </w:tcPr>
          <w:p w:rsidR="0022612C" w:rsidRPr="00AC6C6F" w:rsidRDefault="0022612C" w:rsidP="002A3034">
            <w:pPr>
              <w:pStyle w:val="TableText0"/>
              <w:keepLines/>
              <w:widowControl w:val="0"/>
              <w:numPr>
                <w:ilvl w:val="0"/>
                <w:numId w:val="6"/>
              </w:numPr>
              <w:rPr>
                <w:iCs/>
              </w:rPr>
            </w:pPr>
            <w:r w:rsidRPr="00AC6C6F">
              <w:rPr>
                <w:iCs/>
              </w:rPr>
              <w:t>From median follow-up (week 156)</w:t>
            </w:r>
          </w:p>
        </w:tc>
        <w:tc>
          <w:tcPr>
            <w:tcW w:w="1276" w:type="dxa"/>
          </w:tcPr>
          <w:p w:rsidR="0022612C" w:rsidRPr="00AC6C6F" w:rsidRDefault="0022612C" w:rsidP="002A3034">
            <w:pPr>
              <w:pStyle w:val="TableText0"/>
              <w:keepLines/>
              <w:widowControl w:val="0"/>
              <w:jc w:val="center"/>
            </w:pPr>
            <w:r w:rsidRPr="00AC6C6F">
              <w:t>$</w:t>
            </w:r>
            <w:r w:rsidR="00B21624">
              <w:rPr>
                <w:noProof/>
                <w:color w:val="000000"/>
                <w:highlight w:val="black"/>
              </w:rPr>
              <w:t>''''''''''''''''''</w:t>
            </w:r>
          </w:p>
        </w:tc>
        <w:tc>
          <w:tcPr>
            <w:tcW w:w="1275" w:type="dxa"/>
          </w:tcPr>
          <w:p w:rsidR="0022612C" w:rsidRPr="00AC6C6F" w:rsidRDefault="0022612C" w:rsidP="002A3034">
            <w:pPr>
              <w:pStyle w:val="TableText0"/>
              <w:keepLines/>
              <w:widowControl w:val="0"/>
              <w:jc w:val="center"/>
            </w:pPr>
            <w:r w:rsidRPr="00AC6C6F">
              <w:t>0.8253</w:t>
            </w:r>
          </w:p>
        </w:tc>
        <w:tc>
          <w:tcPr>
            <w:tcW w:w="1134" w:type="dxa"/>
          </w:tcPr>
          <w:p w:rsidR="0022612C" w:rsidRPr="00AC6C6F" w:rsidRDefault="0022612C" w:rsidP="002A3034">
            <w:pPr>
              <w:pStyle w:val="TableText0"/>
              <w:keepLines/>
              <w:widowControl w:val="0"/>
              <w:jc w:val="center"/>
            </w:pPr>
            <w:r w:rsidRPr="00AC6C6F">
              <w:t>$</w:t>
            </w:r>
            <w:r w:rsidR="00B21624">
              <w:rPr>
                <w:noProof/>
                <w:color w:val="000000"/>
                <w:highlight w:val="black"/>
              </w:rPr>
              <w:t>''''''''''''''''''</w:t>
            </w:r>
          </w:p>
        </w:tc>
        <w:tc>
          <w:tcPr>
            <w:tcW w:w="1084" w:type="dxa"/>
          </w:tcPr>
          <w:p w:rsidR="0022612C" w:rsidRPr="00AC6C6F" w:rsidRDefault="0022612C" w:rsidP="002A3034">
            <w:pPr>
              <w:pStyle w:val="TableText0"/>
              <w:keepLines/>
              <w:widowControl w:val="0"/>
              <w:jc w:val="center"/>
            </w:pPr>
            <w:r w:rsidRPr="00AC6C6F">
              <w:t>+79%</w:t>
            </w:r>
          </w:p>
        </w:tc>
      </w:tr>
      <w:tr w:rsidR="0022612C" w:rsidRPr="00AC6C6F" w:rsidTr="0022612C">
        <w:trPr>
          <w:trHeight w:val="210"/>
        </w:trPr>
        <w:tc>
          <w:tcPr>
            <w:tcW w:w="4248" w:type="dxa"/>
          </w:tcPr>
          <w:p w:rsidR="0022612C" w:rsidRPr="00AC6C6F" w:rsidRDefault="0022612C" w:rsidP="002A3034">
            <w:pPr>
              <w:pStyle w:val="TableText0"/>
              <w:keepLines/>
              <w:widowControl w:val="0"/>
              <w:numPr>
                <w:ilvl w:val="0"/>
                <w:numId w:val="6"/>
              </w:numPr>
              <w:ind w:right="-454"/>
              <w:rPr>
                <w:iCs/>
              </w:rPr>
            </w:pPr>
            <w:r w:rsidRPr="00AC6C6F">
              <w:rPr>
                <w:iCs/>
              </w:rPr>
              <w:t xml:space="preserve">From median OS </w:t>
            </w:r>
            <w:r w:rsidR="00613E23" w:rsidRPr="00AC6C6F">
              <w:rPr>
                <w:iCs/>
              </w:rPr>
              <w:t xml:space="preserve">mogamulizumab </w:t>
            </w:r>
            <w:r w:rsidRPr="00AC6C6F">
              <w:rPr>
                <w:iCs/>
              </w:rPr>
              <w:t>(week 223</w:t>
            </w:r>
            <w:r w:rsidR="002A3034" w:rsidRPr="00AC6C6F">
              <w:rPr>
                <w:iCs/>
              </w:rPr>
              <w:t>)</w:t>
            </w:r>
            <w:r w:rsidR="002A3034" w:rsidRPr="00AC6C6F">
              <w:rPr>
                <w:iCs/>
                <w:vertAlign w:val="superscript"/>
              </w:rPr>
              <w:t>b</w:t>
            </w:r>
          </w:p>
        </w:tc>
        <w:tc>
          <w:tcPr>
            <w:tcW w:w="1276" w:type="dxa"/>
          </w:tcPr>
          <w:p w:rsidR="0022612C" w:rsidRPr="00AC6C6F" w:rsidRDefault="0022612C" w:rsidP="002A3034">
            <w:pPr>
              <w:pStyle w:val="TableText0"/>
              <w:keepLines/>
              <w:widowControl w:val="0"/>
              <w:jc w:val="center"/>
            </w:pPr>
            <w:r w:rsidRPr="00AC6C6F">
              <w:t>$</w:t>
            </w:r>
            <w:r w:rsidR="00B21624">
              <w:rPr>
                <w:noProof/>
                <w:color w:val="000000"/>
                <w:highlight w:val="black"/>
              </w:rPr>
              <w:t>'''''''''''''''''</w:t>
            </w:r>
          </w:p>
        </w:tc>
        <w:tc>
          <w:tcPr>
            <w:tcW w:w="1275" w:type="dxa"/>
          </w:tcPr>
          <w:p w:rsidR="0022612C" w:rsidRPr="00AC6C6F" w:rsidRDefault="0022612C" w:rsidP="002A3034">
            <w:pPr>
              <w:pStyle w:val="TableText0"/>
              <w:keepLines/>
              <w:widowControl w:val="0"/>
              <w:jc w:val="center"/>
            </w:pPr>
            <w:r w:rsidRPr="00AC6C6F">
              <w:t>0.9893</w:t>
            </w:r>
          </w:p>
        </w:tc>
        <w:tc>
          <w:tcPr>
            <w:tcW w:w="1134" w:type="dxa"/>
          </w:tcPr>
          <w:p w:rsidR="0022612C" w:rsidRPr="00AC6C6F" w:rsidRDefault="0022612C" w:rsidP="002A3034">
            <w:pPr>
              <w:pStyle w:val="TableText0"/>
              <w:keepLines/>
              <w:widowControl w:val="0"/>
              <w:jc w:val="center"/>
            </w:pPr>
            <w:r w:rsidRPr="00AC6C6F">
              <w:t>$</w:t>
            </w:r>
            <w:r w:rsidR="00B21624">
              <w:rPr>
                <w:noProof/>
                <w:color w:val="000000"/>
                <w:highlight w:val="black"/>
              </w:rPr>
              <w:t>''''''''''''''''''''''</w:t>
            </w:r>
          </w:p>
        </w:tc>
        <w:tc>
          <w:tcPr>
            <w:tcW w:w="1084" w:type="dxa"/>
          </w:tcPr>
          <w:p w:rsidR="0022612C" w:rsidRPr="00AC6C6F" w:rsidRDefault="0022612C" w:rsidP="002A3034">
            <w:pPr>
              <w:pStyle w:val="TableText0"/>
              <w:keepLines/>
              <w:widowControl w:val="0"/>
              <w:jc w:val="center"/>
            </w:pPr>
            <w:r w:rsidRPr="00AC6C6F">
              <w:t>+51%</w:t>
            </w:r>
          </w:p>
        </w:tc>
      </w:tr>
      <w:tr w:rsidR="0022612C" w:rsidRPr="00AC6C6F" w:rsidTr="0022612C">
        <w:trPr>
          <w:trHeight w:val="253"/>
        </w:trPr>
        <w:tc>
          <w:tcPr>
            <w:tcW w:w="9017" w:type="dxa"/>
            <w:gridSpan w:val="5"/>
          </w:tcPr>
          <w:p w:rsidR="0022612C" w:rsidRPr="00AC6C6F" w:rsidRDefault="0022612C" w:rsidP="002A3034">
            <w:pPr>
              <w:pStyle w:val="TableText0"/>
              <w:keepLines/>
              <w:widowControl w:val="0"/>
            </w:pPr>
            <w:r w:rsidRPr="00AC6C6F">
              <w:rPr>
                <w:b/>
                <w:iCs/>
              </w:rPr>
              <w:t>Adjustment of OS for treatment switching (base case IPCW)</w:t>
            </w:r>
          </w:p>
        </w:tc>
      </w:tr>
      <w:tr w:rsidR="0022612C" w:rsidRPr="00AC6C6F" w:rsidTr="0022612C">
        <w:trPr>
          <w:trHeight w:val="252"/>
        </w:trPr>
        <w:tc>
          <w:tcPr>
            <w:tcW w:w="4248" w:type="dxa"/>
          </w:tcPr>
          <w:p w:rsidR="0022612C" w:rsidRPr="00AC6C6F" w:rsidRDefault="0022612C" w:rsidP="002A3034">
            <w:pPr>
              <w:pStyle w:val="TableText0"/>
              <w:keepLines/>
              <w:widowControl w:val="0"/>
              <w:numPr>
                <w:ilvl w:val="0"/>
                <w:numId w:val="19"/>
              </w:numPr>
              <w:rPr>
                <w:iCs/>
              </w:rPr>
            </w:pPr>
            <w:r w:rsidRPr="00AC6C6F">
              <w:rPr>
                <w:iCs/>
              </w:rPr>
              <w:t>TSEM</w:t>
            </w:r>
          </w:p>
        </w:tc>
        <w:tc>
          <w:tcPr>
            <w:tcW w:w="1276" w:type="dxa"/>
          </w:tcPr>
          <w:p w:rsidR="0022612C" w:rsidRPr="00AC6C6F" w:rsidRDefault="0022612C" w:rsidP="002A3034">
            <w:pPr>
              <w:pStyle w:val="TableText0"/>
              <w:keepLines/>
              <w:widowControl w:val="0"/>
              <w:jc w:val="center"/>
            </w:pPr>
            <w:r w:rsidRPr="00AC6C6F">
              <w:t>$</w:t>
            </w:r>
            <w:r w:rsidR="00B21624">
              <w:rPr>
                <w:noProof/>
                <w:color w:val="000000"/>
                <w:highlight w:val="black"/>
              </w:rPr>
              <w:t>'''''''''''''''''''</w:t>
            </w:r>
          </w:p>
        </w:tc>
        <w:tc>
          <w:tcPr>
            <w:tcW w:w="1275" w:type="dxa"/>
          </w:tcPr>
          <w:p w:rsidR="0022612C" w:rsidRPr="00AC6C6F" w:rsidRDefault="0022612C" w:rsidP="002A3034">
            <w:pPr>
              <w:pStyle w:val="TableText0"/>
              <w:keepLines/>
              <w:widowControl w:val="0"/>
              <w:jc w:val="center"/>
            </w:pPr>
            <w:r w:rsidRPr="00AC6C6F">
              <w:t>0.7592</w:t>
            </w:r>
          </w:p>
        </w:tc>
        <w:tc>
          <w:tcPr>
            <w:tcW w:w="1134" w:type="dxa"/>
          </w:tcPr>
          <w:p w:rsidR="0022612C" w:rsidRPr="00AC6C6F" w:rsidRDefault="0022612C" w:rsidP="002A3034">
            <w:pPr>
              <w:pStyle w:val="TableText0"/>
              <w:keepLines/>
              <w:widowControl w:val="0"/>
              <w:jc w:val="center"/>
            </w:pPr>
            <w:r w:rsidRPr="00AC6C6F">
              <w:t>$</w:t>
            </w:r>
            <w:r w:rsidR="00B21624">
              <w:rPr>
                <w:noProof/>
                <w:color w:val="000000"/>
                <w:highlight w:val="black"/>
              </w:rPr>
              <w:t>''''''''''''''''''''''</w:t>
            </w:r>
          </w:p>
        </w:tc>
        <w:tc>
          <w:tcPr>
            <w:tcW w:w="1084" w:type="dxa"/>
          </w:tcPr>
          <w:p w:rsidR="0022612C" w:rsidRPr="00AC6C6F" w:rsidRDefault="0022612C" w:rsidP="002A3034">
            <w:pPr>
              <w:pStyle w:val="TableText0"/>
              <w:keepLines/>
              <w:widowControl w:val="0"/>
              <w:jc w:val="center"/>
            </w:pPr>
            <w:r w:rsidRPr="00AC6C6F">
              <w:t>+89%</w:t>
            </w:r>
          </w:p>
        </w:tc>
      </w:tr>
      <w:tr w:rsidR="0022612C" w:rsidRPr="00AC6C6F" w:rsidTr="0022612C">
        <w:trPr>
          <w:trHeight w:val="171"/>
        </w:trPr>
        <w:tc>
          <w:tcPr>
            <w:tcW w:w="4248" w:type="dxa"/>
          </w:tcPr>
          <w:p w:rsidR="0022612C" w:rsidRPr="00AC6C6F" w:rsidRDefault="0022612C" w:rsidP="002A3034">
            <w:pPr>
              <w:pStyle w:val="TableText0"/>
              <w:keepLines/>
              <w:widowControl w:val="0"/>
              <w:numPr>
                <w:ilvl w:val="0"/>
                <w:numId w:val="6"/>
              </w:numPr>
              <w:rPr>
                <w:iCs/>
              </w:rPr>
            </w:pPr>
            <w:r w:rsidRPr="00AC6C6F">
              <w:rPr>
                <w:iCs/>
              </w:rPr>
              <w:t>ITT (no crossover adjustment applied).</w:t>
            </w:r>
          </w:p>
        </w:tc>
        <w:tc>
          <w:tcPr>
            <w:tcW w:w="1276" w:type="dxa"/>
          </w:tcPr>
          <w:p w:rsidR="0022612C" w:rsidRPr="00AC6C6F" w:rsidRDefault="0022612C" w:rsidP="002A3034">
            <w:pPr>
              <w:pStyle w:val="TableText0"/>
              <w:keepLines/>
              <w:widowControl w:val="0"/>
              <w:jc w:val="center"/>
            </w:pPr>
            <w:r w:rsidRPr="00AC6C6F">
              <w:t>$</w:t>
            </w:r>
            <w:r w:rsidR="00B21624">
              <w:rPr>
                <w:noProof/>
                <w:color w:val="000000"/>
                <w:highlight w:val="black"/>
              </w:rPr>
              <w:t>''''''''''''''''''</w:t>
            </w:r>
          </w:p>
        </w:tc>
        <w:tc>
          <w:tcPr>
            <w:tcW w:w="1275" w:type="dxa"/>
          </w:tcPr>
          <w:p w:rsidR="0022612C" w:rsidRPr="00AC6C6F" w:rsidRDefault="0022612C" w:rsidP="002A3034">
            <w:pPr>
              <w:pStyle w:val="TableText0"/>
              <w:keepLines/>
              <w:widowControl w:val="0"/>
              <w:jc w:val="center"/>
            </w:pPr>
            <w:r w:rsidRPr="00AC6C6F">
              <w:t>-0.1760</w:t>
            </w:r>
          </w:p>
        </w:tc>
        <w:tc>
          <w:tcPr>
            <w:tcW w:w="1134" w:type="dxa"/>
          </w:tcPr>
          <w:p w:rsidR="0022612C" w:rsidRPr="00AC6C6F" w:rsidRDefault="0022612C" w:rsidP="002A3034">
            <w:pPr>
              <w:pStyle w:val="TableText0"/>
              <w:keepLines/>
              <w:widowControl w:val="0"/>
              <w:jc w:val="center"/>
            </w:pPr>
            <w:r w:rsidRPr="00AC6C6F">
              <w:t>Domina</w:t>
            </w:r>
            <w:r w:rsidR="00EB5C59">
              <w:t>n</w:t>
            </w:r>
            <w:r w:rsidRPr="00AC6C6F">
              <w:t>t</w:t>
            </w:r>
          </w:p>
        </w:tc>
        <w:tc>
          <w:tcPr>
            <w:tcW w:w="1084" w:type="dxa"/>
          </w:tcPr>
          <w:p w:rsidR="0022612C" w:rsidRPr="00AC6C6F" w:rsidRDefault="0022612C" w:rsidP="002A3034">
            <w:pPr>
              <w:pStyle w:val="TableText0"/>
              <w:keepLines/>
              <w:widowControl w:val="0"/>
              <w:jc w:val="center"/>
            </w:pPr>
            <w:r w:rsidRPr="00AC6C6F">
              <w:t>-</w:t>
            </w:r>
          </w:p>
        </w:tc>
      </w:tr>
      <w:tr w:rsidR="0022612C" w:rsidRPr="00AC6C6F" w:rsidTr="0022612C">
        <w:trPr>
          <w:trHeight w:val="179"/>
        </w:trPr>
        <w:tc>
          <w:tcPr>
            <w:tcW w:w="9017" w:type="dxa"/>
            <w:gridSpan w:val="5"/>
          </w:tcPr>
          <w:p w:rsidR="0022612C" w:rsidRPr="00AC6C6F" w:rsidRDefault="0022612C" w:rsidP="002A3034">
            <w:pPr>
              <w:pStyle w:val="In-tableHeading"/>
              <w:keepLines/>
              <w:widowControl w:val="0"/>
              <w:rPr>
                <w:b w:val="0"/>
                <w:bCs/>
                <w:vertAlign w:val="superscript"/>
                <w:lang w:val="en-AU"/>
              </w:rPr>
            </w:pPr>
            <w:r w:rsidRPr="00AC6C6F">
              <w:rPr>
                <w:bCs/>
                <w:lang w:val="en-AU"/>
              </w:rPr>
              <w:t>Post-progression costs (base case per the submission; methotrexate 60% of use)</w:t>
            </w:r>
            <w:r w:rsidR="00AB55FB" w:rsidRPr="00AC6C6F">
              <w:rPr>
                <w:bCs/>
                <w:vertAlign w:val="superscript"/>
                <w:lang w:val="en-AU"/>
              </w:rPr>
              <w:t>a</w:t>
            </w:r>
          </w:p>
        </w:tc>
      </w:tr>
      <w:tr w:rsidR="0022612C" w:rsidRPr="00AC6C6F" w:rsidTr="0022612C">
        <w:trPr>
          <w:trHeight w:val="252"/>
        </w:trPr>
        <w:tc>
          <w:tcPr>
            <w:tcW w:w="4248" w:type="dxa"/>
          </w:tcPr>
          <w:p w:rsidR="0022612C" w:rsidRPr="00AC6C6F" w:rsidDel="00116ABA" w:rsidRDefault="0022612C" w:rsidP="002A3034">
            <w:pPr>
              <w:pStyle w:val="In-tableHeading"/>
              <w:keepLines/>
              <w:widowControl w:val="0"/>
              <w:numPr>
                <w:ilvl w:val="0"/>
                <w:numId w:val="20"/>
              </w:numPr>
              <w:rPr>
                <w:b w:val="0"/>
                <w:bCs/>
                <w:lang w:val="en-AU"/>
              </w:rPr>
            </w:pPr>
            <w:r w:rsidRPr="00AC6C6F">
              <w:rPr>
                <w:b w:val="0"/>
                <w:bCs/>
                <w:lang w:val="en-AU"/>
              </w:rPr>
              <w:t xml:space="preserve">Methotrexate 5% </w:t>
            </w:r>
            <w:r w:rsidR="002A3034" w:rsidRPr="00AC6C6F">
              <w:rPr>
                <w:b w:val="0"/>
                <w:bCs/>
                <w:vertAlign w:val="superscript"/>
                <w:lang w:val="en-AU"/>
              </w:rPr>
              <w:t>c</w:t>
            </w:r>
            <w:r w:rsidRPr="00AC6C6F">
              <w:rPr>
                <w:b w:val="0"/>
                <w:bCs/>
                <w:lang w:val="en-AU"/>
              </w:rPr>
              <w:t xml:space="preserve"> </w:t>
            </w:r>
          </w:p>
        </w:tc>
        <w:tc>
          <w:tcPr>
            <w:tcW w:w="1276" w:type="dxa"/>
          </w:tcPr>
          <w:p w:rsidR="0022612C" w:rsidRPr="00AC6C6F" w:rsidRDefault="0022612C" w:rsidP="002A3034">
            <w:pPr>
              <w:pStyle w:val="In-tableHeading"/>
              <w:keepLines/>
              <w:widowControl w:val="0"/>
              <w:jc w:val="center"/>
              <w:rPr>
                <w:b w:val="0"/>
                <w:bCs/>
                <w:lang w:val="en-AU"/>
              </w:rPr>
            </w:pPr>
            <w:r w:rsidRPr="00AC6C6F">
              <w:rPr>
                <w:b w:val="0"/>
                <w:bCs/>
                <w:lang w:val="en-AU"/>
              </w:rPr>
              <w:t>$</w:t>
            </w:r>
            <w:r w:rsidR="00B21624">
              <w:rPr>
                <w:b w:val="0"/>
                <w:bCs/>
                <w:noProof/>
                <w:color w:val="000000"/>
                <w:highlight w:val="black"/>
                <w:lang w:val="en-AU"/>
              </w:rPr>
              <w:t>'''''''''''''''''''''</w:t>
            </w:r>
          </w:p>
        </w:tc>
        <w:tc>
          <w:tcPr>
            <w:tcW w:w="1275" w:type="dxa"/>
          </w:tcPr>
          <w:p w:rsidR="0022612C" w:rsidRPr="00AC6C6F" w:rsidRDefault="0022612C" w:rsidP="002A3034">
            <w:pPr>
              <w:pStyle w:val="In-tableHeading"/>
              <w:keepLines/>
              <w:widowControl w:val="0"/>
              <w:jc w:val="center"/>
              <w:rPr>
                <w:b w:val="0"/>
                <w:bCs/>
                <w:lang w:val="en-AU"/>
              </w:rPr>
            </w:pPr>
            <w:r w:rsidRPr="00AC6C6F">
              <w:rPr>
                <w:b w:val="0"/>
                <w:bCs/>
                <w:lang w:val="en-AU"/>
              </w:rPr>
              <w:t>1.6128</w:t>
            </w:r>
          </w:p>
        </w:tc>
        <w:tc>
          <w:tcPr>
            <w:tcW w:w="1134" w:type="dxa"/>
          </w:tcPr>
          <w:p w:rsidR="0022612C" w:rsidRPr="00AC6C6F" w:rsidRDefault="0022612C" w:rsidP="002A3034">
            <w:pPr>
              <w:pStyle w:val="In-tableHeading"/>
              <w:keepLines/>
              <w:widowControl w:val="0"/>
              <w:jc w:val="center"/>
              <w:rPr>
                <w:b w:val="0"/>
                <w:bCs/>
                <w:lang w:val="en-AU"/>
              </w:rPr>
            </w:pPr>
            <w:r w:rsidRPr="00AC6C6F">
              <w:rPr>
                <w:b w:val="0"/>
                <w:bCs/>
                <w:lang w:val="en-AU"/>
              </w:rPr>
              <w:t>$</w:t>
            </w:r>
            <w:r w:rsidR="00B21624">
              <w:rPr>
                <w:b w:val="0"/>
                <w:bCs/>
                <w:noProof/>
                <w:color w:val="000000"/>
                <w:highlight w:val="black"/>
                <w:lang w:val="en-AU"/>
              </w:rPr>
              <w:t>'''''''''''''''</w:t>
            </w:r>
          </w:p>
        </w:tc>
        <w:tc>
          <w:tcPr>
            <w:tcW w:w="1084" w:type="dxa"/>
          </w:tcPr>
          <w:p w:rsidR="0022612C" w:rsidRPr="00AC6C6F" w:rsidRDefault="0022612C" w:rsidP="002A3034">
            <w:pPr>
              <w:pStyle w:val="In-tableHeading"/>
              <w:keepLines/>
              <w:widowControl w:val="0"/>
              <w:jc w:val="center"/>
              <w:rPr>
                <w:b w:val="0"/>
                <w:bCs/>
                <w:lang w:val="en-AU"/>
              </w:rPr>
            </w:pPr>
            <w:r w:rsidRPr="00AC6C6F">
              <w:rPr>
                <w:b w:val="0"/>
                <w:bCs/>
                <w:lang w:val="en-AU"/>
              </w:rPr>
              <w:t>+13%</w:t>
            </w:r>
          </w:p>
        </w:tc>
      </w:tr>
      <w:tr w:rsidR="0022612C" w:rsidRPr="00AC6C6F" w:rsidTr="002742E9">
        <w:tc>
          <w:tcPr>
            <w:tcW w:w="9017" w:type="dxa"/>
            <w:gridSpan w:val="5"/>
          </w:tcPr>
          <w:p w:rsidR="0022612C" w:rsidRPr="00AC6C6F" w:rsidRDefault="007B1498" w:rsidP="002A3034">
            <w:pPr>
              <w:pStyle w:val="In-tableHeading"/>
              <w:keepLines/>
              <w:widowControl w:val="0"/>
              <w:rPr>
                <w:lang w:val="en-AU"/>
              </w:rPr>
            </w:pPr>
            <w:r w:rsidRPr="00AC6C6F">
              <w:rPr>
                <w:lang w:val="en-AU"/>
              </w:rPr>
              <w:t>Multivariate</w:t>
            </w:r>
            <w:r w:rsidR="0022612C" w:rsidRPr="00AC6C6F">
              <w:rPr>
                <w:lang w:val="en-AU"/>
              </w:rPr>
              <w:t xml:space="preserve"> analyses</w:t>
            </w:r>
          </w:p>
        </w:tc>
      </w:tr>
      <w:tr w:rsidR="0022612C" w:rsidRPr="00AC6C6F" w:rsidTr="00A9162A">
        <w:trPr>
          <w:trHeight w:val="161"/>
        </w:trPr>
        <w:tc>
          <w:tcPr>
            <w:tcW w:w="4248" w:type="dxa"/>
          </w:tcPr>
          <w:p w:rsidR="0022612C" w:rsidRPr="00AC6C6F" w:rsidRDefault="0022612C" w:rsidP="002A3034">
            <w:pPr>
              <w:pStyle w:val="TableText0"/>
              <w:keepLines/>
              <w:widowControl w:val="0"/>
              <w:numPr>
                <w:ilvl w:val="0"/>
                <w:numId w:val="8"/>
              </w:numPr>
            </w:pPr>
            <w:r w:rsidRPr="00AC6C6F">
              <w:t>TSEM + 15-year time horizon</w:t>
            </w:r>
            <w:r w:rsidR="00AB55FB" w:rsidRPr="00AC6C6F">
              <w:rPr>
                <w:vertAlign w:val="superscript"/>
              </w:rPr>
              <w:t>a</w:t>
            </w:r>
          </w:p>
        </w:tc>
        <w:tc>
          <w:tcPr>
            <w:tcW w:w="1276" w:type="dxa"/>
          </w:tcPr>
          <w:p w:rsidR="0022612C" w:rsidRPr="00AC6C6F" w:rsidRDefault="0022612C" w:rsidP="002A3034">
            <w:pPr>
              <w:pStyle w:val="TableText0"/>
              <w:keepLines/>
              <w:widowControl w:val="0"/>
              <w:jc w:val="center"/>
            </w:pPr>
            <w:r w:rsidRPr="00AC6C6F">
              <w:t>$</w:t>
            </w:r>
            <w:r w:rsidR="00B21624">
              <w:rPr>
                <w:noProof/>
                <w:color w:val="000000"/>
                <w:highlight w:val="black"/>
              </w:rPr>
              <w:t>'''''''''''''''''''</w:t>
            </w:r>
          </w:p>
        </w:tc>
        <w:tc>
          <w:tcPr>
            <w:tcW w:w="1275" w:type="dxa"/>
          </w:tcPr>
          <w:p w:rsidR="0022612C" w:rsidRPr="00AC6C6F" w:rsidRDefault="0022612C" w:rsidP="002A3034">
            <w:pPr>
              <w:pStyle w:val="TableText0"/>
              <w:keepLines/>
              <w:widowControl w:val="0"/>
              <w:jc w:val="center"/>
            </w:pPr>
            <w:r w:rsidRPr="00AC6C6F">
              <w:t>0.6963</w:t>
            </w:r>
          </w:p>
        </w:tc>
        <w:tc>
          <w:tcPr>
            <w:tcW w:w="1134" w:type="dxa"/>
          </w:tcPr>
          <w:p w:rsidR="0022612C" w:rsidRPr="00AC6C6F" w:rsidRDefault="0022612C" w:rsidP="002A3034">
            <w:pPr>
              <w:pStyle w:val="TableText0"/>
              <w:keepLines/>
              <w:widowControl w:val="0"/>
              <w:jc w:val="center"/>
            </w:pPr>
            <w:r w:rsidRPr="00AC6C6F">
              <w:t>$</w:t>
            </w:r>
            <w:r w:rsidR="00B21624">
              <w:rPr>
                <w:noProof/>
                <w:color w:val="000000"/>
                <w:highlight w:val="black"/>
              </w:rPr>
              <w:t>'''''''''''''''''''</w:t>
            </w:r>
          </w:p>
        </w:tc>
        <w:tc>
          <w:tcPr>
            <w:tcW w:w="1084" w:type="dxa"/>
          </w:tcPr>
          <w:p w:rsidR="0022612C" w:rsidRPr="00AC6C6F" w:rsidRDefault="0022612C" w:rsidP="002A3034">
            <w:pPr>
              <w:pStyle w:val="TableText0"/>
              <w:keepLines/>
              <w:widowControl w:val="0"/>
              <w:jc w:val="center"/>
            </w:pPr>
            <w:r w:rsidRPr="00AC6C6F">
              <w:t>+105%</w:t>
            </w:r>
          </w:p>
        </w:tc>
      </w:tr>
      <w:tr w:rsidR="00A9162A" w:rsidRPr="00AC6C6F" w:rsidTr="00A9162A">
        <w:trPr>
          <w:trHeight w:val="233"/>
        </w:trPr>
        <w:tc>
          <w:tcPr>
            <w:tcW w:w="4248" w:type="dxa"/>
          </w:tcPr>
          <w:p w:rsidR="00A9162A" w:rsidRPr="00AC6C6F" w:rsidRDefault="00A9162A" w:rsidP="002A3034">
            <w:pPr>
              <w:pStyle w:val="TableText0"/>
              <w:keepLines/>
              <w:widowControl w:val="0"/>
              <w:numPr>
                <w:ilvl w:val="0"/>
                <w:numId w:val="8"/>
              </w:numPr>
            </w:pPr>
            <w:r w:rsidRPr="00AC6C6F">
              <w:t xml:space="preserve">TSEM + convergence median OS </w:t>
            </w:r>
            <w:r w:rsidR="00613E23" w:rsidRPr="00AC6C6F">
              <w:t>mogamulizumab</w:t>
            </w:r>
            <w:r w:rsidR="00AB55FB" w:rsidRPr="00AC6C6F">
              <w:rPr>
                <w:vertAlign w:val="superscript"/>
              </w:rPr>
              <w:t>a</w:t>
            </w:r>
          </w:p>
        </w:tc>
        <w:tc>
          <w:tcPr>
            <w:tcW w:w="1276" w:type="dxa"/>
          </w:tcPr>
          <w:p w:rsidR="00A9162A" w:rsidRPr="00AC6C6F" w:rsidRDefault="00A9162A" w:rsidP="002A3034">
            <w:pPr>
              <w:pStyle w:val="TableText0"/>
              <w:keepLines/>
              <w:widowControl w:val="0"/>
              <w:jc w:val="center"/>
            </w:pPr>
            <w:r w:rsidRPr="00AC6C6F">
              <w:t>$</w:t>
            </w:r>
            <w:r w:rsidR="00B21624">
              <w:rPr>
                <w:noProof/>
                <w:color w:val="000000"/>
                <w:highlight w:val="black"/>
              </w:rPr>
              <w:t>'''''''''''''''''</w:t>
            </w:r>
          </w:p>
        </w:tc>
        <w:tc>
          <w:tcPr>
            <w:tcW w:w="1275" w:type="dxa"/>
          </w:tcPr>
          <w:p w:rsidR="00A9162A" w:rsidRPr="00AC6C6F" w:rsidRDefault="00A9162A" w:rsidP="002A3034">
            <w:pPr>
              <w:pStyle w:val="TableText0"/>
              <w:keepLines/>
              <w:widowControl w:val="0"/>
              <w:jc w:val="center"/>
            </w:pPr>
            <w:r w:rsidRPr="00AC6C6F">
              <w:t>0.4429</w:t>
            </w:r>
          </w:p>
        </w:tc>
        <w:tc>
          <w:tcPr>
            <w:tcW w:w="1134" w:type="dxa"/>
          </w:tcPr>
          <w:p w:rsidR="00A9162A" w:rsidRPr="00AC6C6F" w:rsidRDefault="00A9162A" w:rsidP="002A3034">
            <w:pPr>
              <w:pStyle w:val="TableText0"/>
              <w:keepLines/>
              <w:widowControl w:val="0"/>
              <w:jc w:val="center"/>
            </w:pPr>
            <w:r w:rsidRPr="00AC6C6F">
              <w:t>$</w:t>
            </w:r>
            <w:r w:rsidR="00B21624">
              <w:rPr>
                <w:noProof/>
                <w:color w:val="000000"/>
                <w:highlight w:val="black"/>
              </w:rPr>
              <w:t>'''''''''''''''''</w:t>
            </w:r>
          </w:p>
        </w:tc>
        <w:tc>
          <w:tcPr>
            <w:tcW w:w="1084" w:type="dxa"/>
          </w:tcPr>
          <w:p w:rsidR="00A9162A" w:rsidRPr="00AC6C6F" w:rsidRDefault="00A9162A" w:rsidP="002A3034">
            <w:pPr>
              <w:pStyle w:val="TableText0"/>
              <w:keepLines/>
              <w:widowControl w:val="0"/>
              <w:jc w:val="center"/>
            </w:pPr>
            <w:r w:rsidRPr="00AC6C6F">
              <w:t>+212%</w:t>
            </w:r>
          </w:p>
        </w:tc>
      </w:tr>
      <w:tr w:rsidR="00A9162A" w:rsidRPr="00AC6C6F" w:rsidTr="00A9162A">
        <w:trPr>
          <w:trHeight w:val="445"/>
        </w:trPr>
        <w:tc>
          <w:tcPr>
            <w:tcW w:w="4248" w:type="dxa"/>
          </w:tcPr>
          <w:p w:rsidR="00A9162A" w:rsidRPr="00AC6C6F" w:rsidRDefault="00A9162A" w:rsidP="002A3034">
            <w:pPr>
              <w:pStyle w:val="TableText0"/>
              <w:keepLines/>
              <w:widowControl w:val="0"/>
              <w:numPr>
                <w:ilvl w:val="0"/>
                <w:numId w:val="8"/>
              </w:numPr>
            </w:pPr>
            <w:r w:rsidRPr="00AC6C6F">
              <w:t>Weibull for vorinostat OS, and Gompertz for mogamulizumab OS</w:t>
            </w:r>
            <w:r w:rsidR="00AB55FB" w:rsidRPr="00AC6C6F">
              <w:rPr>
                <w:vertAlign w:val="superscript"/>
              </w:rPr>
              <w:t>a</w:t>
            </w:r>
          </w:p>
        </w:tc>
        <w:tc>
          <w:tcPr>
            <w:tcW w:w="1276" w:type="dxa"/>
          </w:tcPr>
          <w:p w:rsidR="00A9162A" w:rsidRPr="00AC6C6F" w:rsidRDefault="00A9162A" w:rsidP="002A3034">
            <w:pPr>
              <w:pStyle w:val="TableText0"/>
              <w:keepLines/>
              <w:widowControl w:val="0"/>
              <w:jc w:val="center"/>
            </w:pPr>
            <w:r w:rsidRPr="00AC6C6F">
              <w:t>$</w:t>
            </w:r>
            <w:r w:rsidR="00B21624">
              <w:rPr>
                <w:noProof/>
                <w:color w:val="000000"/>
                <w:highlight w:val="black"/>
              </w:rPr>
              <w:t>'''''''''''''''''''''</w:t>
            </w:r>
          </w:p>
        </w:tc>
        <w:tc>
          <w:tcPr>
            <w:tcW w:w="1275" w:type="dxa"/>
          </w:tcPr>
          <w:p w:rsidR="00A9162A" w:rsidRPr="00AC6C6F" w:rsidRDefault="00A9162A" w:rsidP="002A3034">
            <w:pPr>
              <w:pStyle w:val="TableText0"/>
              <w:keepLines/>
              <w:widowControl w:val="0"/>
              <w:jc w:val="center"/>
            </w:pPr>
            <w:r w:rsidRPr="00AC6C6F">
              <w:t>0.6962</w:t>
            </w:r>
          </w:p>
        </w:tc>
        <w:tc>
          <w:tcPr>
            <w:tcW w:w="1134" w:type="dxa"/>
          </w:tcPr>
          <w:p w:rsidR="00A9162A" w:rsidRPr="00AC6C6F" w:rsidRDefault="00A9162A" w:rsidP="002A3034">
            <w:pPr>
              <w:pStyle w:val="TableText0"/>
              <w:keepLines/>
              <w:widowControl w:val="0"/>
              <w:jc w:val="center"/>
            </w:pPr>
            <w:r w:rsidRPr="00AC6C6F">
              <w:t>$</w:t>
            </w:r>
            <w:r w:rsidR="00B21624">
              <w:rPr>
                <w:noProof/>
                <w:color w:val="000000"/>
                <w:highlight w:val="black"/>
              </w:rPr>
              <w:t>''''''''''''''''''''</w:t>
            </w:r>
          </w:p>
        </w:tc>
        <w:tc>
          <w:tcPr>
            <w:tcW w:w="1084" w:type="dxa"/>
          </w:tcPr>
          <w:p w:rsidR="00A9162A" w:rsidRPr="00AC6C6F" w:rsidRDefault="00A9162A" w:rsidP="002A3034">
            <w:pPr>
              <w:pStyle w:val="TableText0"/>
              <w:keepLines/>
              <w:widowControl w:val="0"/>
              <w:jc w:val="center"/>
            </w:pPr>
            <w:r w:rsidRPr="00AC6C6F">
              <w:t>+105%</w:t>
            </w:r>
          </w:p>
        </w:tc>
      </w:tr>
      <w:tr w:rsidR="00EF1805" w:rsidRPr="00AC6C6F" w:rsidTr="0081589E">
        <w:trPr>
          <w:trHeight w:val="215"/>
        </w:trPr>
        <w:tc>
          <w:tcPr>
            <w:tcW w:w="4248" w:type="dxa"/>
          </w:tcPr>
          <w:p w:rsidR="00EF1805" w:rsidRPr="00AC6C6F" w:rsidRDefault="00EF1805" w:rsidP="00EF1805">
            <w:pPr>
              <w:pStyle w:val="TableText0"/>
              <w:keepLines/>
              <w:widowControl w:val="0"/>
              <w:numPr>
                <w:ilvl w:val="0"/>
                <w:numId w:val="8"/>
              </w:numPr>
            </w:pPr>
            <w:r w:rsidRPr="00AC6C6F">
              <w:t>TSEM + Weibull for vorinostat OS</w:t>
            </w:r>
            <w:r w:rsidR="001D5903" w:rsidRPr="00AC6C6F">
              <w:rPr>
                <w:vertAlign w:val="superscript"/>
              </w:rPr>
              <w:t>d</w:t>
            </w:r>
          </w:p>
        </w:tc>
        <w:tc>
          <w:tcPr>
            <w:tcW w:w="1276" w:type="dxa"/>
          </w:tcPr>
          <w:p w:rsidR="00EF1805" w:rsidRPr="00AC6C6F" w:rsidRDefault="00EF1805" w:rsidP="00EF1805">
            <w:pPr>
              <w:pStyle w:val="TableText0"/>
              <w:keepLines/>
              <w:widowControl w:val="0"/>
              <w:jc w:val="center"/>
            </w:pPr>
            <w:r w:rsidRPr="00AC6C6F">
              <w:t>$</w:t>
            </w:r>
            <w:r w:rsidR="00B21624">
              <w:rPr>
                <w:noProof/>
                <w:color w:val="000000"/>
                <w:highlight w:val="black"/>
              </w:rPr>
              <w:t>'''''''''''''''''''''</w:t>
            </w:r>
          </w:p>
        </w:tc>
        <w:tc>
          <w:tcPr>
            <w:tcW w:w="1275" w:type="dxa"/>
          </w:tcPr>
          <w:p w:rsidR="00EF1805" w:rsidRPr="00AC6C6F" w:rsidRDefault="00EF1805" w:rsidP="00EF1805">
            <w:pPr>
              <w:pStyle w:val="TableText0"/>
              <w:keepLines/>
              <w:widowControl w:val="0"/>
              <w:jc w:val="center"/>
            </w:pPr>
            <w:r w:rsidRPr="00AC6C6F">
              <w:t>0.7732</w:t>
            </w:r>
          </w:p>
        </w:tc>
        <w:tc>
          <w:tcPr>
            <w:tcW w:w="1134" w:type="dxa"/>
          </w:tcPr>
          <w:p w:rsidR="00EF1805" w:rsidRPr="00AC6C6F" w:rsidRDefault="00EF1805" w:rsidP="00EF1805">
            <w:pPr>
              <w:pStyle w:val="TableText0"/>
              <w:keepLines/>
              <w:widowControl w:val="0"/>
              <w:jc w:val="center"/>
            </w:pPr>
            <w:r w:rsidRPr="00AC6C6F">
              <w:t>$</w:t>
            </w:r>
            <w:r w:rsidR="00B21624">
              <w:rPr>
                <w:noProof/>
                <w:color w:val="000000"/>
                <w:highlight w:val="black"/>
              </w:rPr>
              <w:t>'''''''''''''''''</w:t>
            </w:r>
          </w:p>
        </w:tc>
        <w:tc>
          <w:tcPr>
            <w:tcW w:w="1084" w:type="dxa"/>
          </w:tcPr>
          <w:p w:rsidR="00EF1805" w:rsidRPr="00AC6C6F" w:rsidRDefault="00EF1805" w:rsidP="00EF1805">
            <w:pPr>
              <w:pStyle w:val="TableText0"/>
              <w:keepLines/>
              <w:widowControl w:val="0"/>
              <w:jc w:val="center"/>
            </w:pPr>
            <w:r w:rsidRPr="00AC6C6F">
              <w:t>+86%</w:t>
            </w:r>
          </w:p>
        </w:tc>
      </w:tr>
      <w:tr w:rsidR="00EF1805" w:rsidRPr="00AC6C6F" w:rsidTr="00A9162A">
        <w:trPr>
          <w:trHeight w:val="445"/>
        </w:trPr>
        <w:tc>
          <w:tcPr>
            <w:tcW w:w="4248" w:type="dxa"/>
          </w:tcPr>
          <w:p w:rsidR="00EF1805" w:rsidRPr="00AC6C6F" w:rsidRDefault="00EF1805" w:rsidP="00EF1805">
            <w:pPr>
              <w:pStyle w:val="TableText0"/>
              <w:keepLines/>
              <w:widowControl w:val="0"/>
              <w:numPr>
                <w:ilvl w:val="0"/>
                <w:numId w:val="8"/>
              </w:numPr>
            </w:pPr>
            <w:r w:rsidRPr="00AC6C6F">
              <w:t>TSEM + Weibull for vorinostat OS + increased post-progression costs (methotrexate 5% not 60%)</w:t>
            </w:r>
            <w:r w:rsidR="001D5903" w:rsidRPr="00AC6C6F">
              <w:rPr>
                <w:vertAlign w:val="superscript"/>
              </w:rPr>
              <w:t>d</w:t>
            </w:r>
          </w:p>
        </w:tc>
        <w:tc>
          <w:tcPr>
            <w:tcW w:w="1276" w:type="dxa"/>
          </w:tcPr>
          <w:p w:rsidR="00EF1805" w:rsidRPr="00AC6C6F" w:rsidRDefault="00EF1805" w:rsidP="00EF1805">
            <w:pPr>
              <w:pStyle w:val="TableText0"/>
              <w:keepLines/>
              <w:widowControl w:val="0"/>
              <w:jc w:val="center"/>
            </w:pPr>
            <w:r w:rsidRPr="00AC6C6F">
              <w:t>$</w:t>
            </w:r>
            <w:r w:rsidR="00B21624">
              <w:rPr>
                <w:noProof/>
                <w:color w:val="000000"/>
                <w:highlight w:val="black"/>
              </w:rPr>
              <w:t>'''''''''''''''''</w:t>
            </w:r>
          </w:p>
        </w:tc>
        <w:tc>
          <w:tcPr>
            <w:tcW w:w="1275" w:type="dxa"/>
          </w:tcPr>
          <w:p w:rsidR="00EF1805" w:rsidRPr="00AC6C6F" w:rsidRDefault="00EF1805" w:rsidP="00EF1805">
            <w:pPr>
              <w:pStyle w:val="TableText0"/>
              <w:keepLines/>
              <w:widowControl w:val="0"/>
              <w:jc w:val="center"/>
            </w:pPr>
            <w:r w:rsidRPr="00AC6C6F">
              <w:t>0.7732</w:t>
            </w:r>
          </w:p>
        </w:tc>
        <w:tc>
          <w:tcPr>
            <w:tcW w:w="1134" w:type="dxa"/>
          </w:tcPr>
          <w:p w:rsidR="00EF1805" w:rsidRPr="00AC6C6F" w:rsidRDefault="00EF1805" w:rsidP="00EF1805">
            <w:pPr>
              <w:pStyle w:val="TableText0"/>
              <w:keepLines/>
              <w:widowControl w:val="0"/>
              <w:jc w:val="center"/>
            </w:pPr>
            <w:r w:rsidRPr="00AC6C6F">
              <w:t>$</w:t>
            </w:r>
            <w:r w:rsidR="00B21624">
              <w:rPr>
                <w:noProof/>
                <w:color w:val="000000"/>
                <w:highlight w:val="black"/>
              </w:rPr>
              <w:t>''''''''''''''''''''</w:t>
            </w:r>
          </w:p>
        </w:tc>
        <w:tc>
          <w:tcPr>
            <w:tcW w:w="1084" w:type="dxa"/>
          </w:tcPr>
          <w:p w:rsidR="00EF1805" w:rsidRPr="00AC6C6F" w:rsidRDefault="00EF1805" w:rsidP="00EF1805">
            <w:pPr>
              <w:pStyle w:val="TableText0"/>
              <w:keepLines/>
              <w:widowControl w:val="0"/>
              <w:jc w:val="center"/>
            </w:pPr>
            <w:r w:rsidRPr="00AC6C6F">
              <w:t>+90%</w:t>
            </w:r>
          </w:p>
        </w:tc>
      </w:tr>
      <w:tr w:rsidR="00EF1805" w:rsidRPr="00AC6C6F" w:rsidTr="00A9162A">
        <w:trPr>
          <w:trHeight w:val="445"/>
        </w:trPr>
        <w:tc>
          <w:tcPr>
            <w:tcW w:w="4248" w:type="dxa"/>
          </w:tcPr>
          <w:p w:rsidR="00EF1805" w:rsidRPr="00AC6C6F" w:rsidRDefault="00EF1805" w:rsidP="00EF1805">
            <w:pPr>
              <w:pStyle w:val="TableText0"/>
              <w:keepLines/>
              <w:widowControl w:val="0"/>
              <w:numPr>
                <w:ilvl w:val="0"/>
                <w:numId w:val="8"/>
              </w:numPr>
            </w:pPr>
            <w:r w:rsidRPr="00AC6C6F">
              <w:t>TSEM + Weibull for vorinostat OS + increased post-progression costs (methotrexate 5%) + equal utilities in DCOT health state (mogamulizumab based)</w:t>
            </w:r>
            <w:r w:rsidR="001D5903" w:rsidRPr="00AC6C6F">
              <w:rPr>
                <w:vertAlign w:val="superscript"/>
              </w:rPr>
              <w:t>d</w:t>
            </w:r>
          </w:p>
        </w:tc>
        <w:tc>
          <w:tcPr>
            <w:tcW w:w="1276" w:type="dxa"/>
          </w:tcPr>
          <w:p w:rsidR="00EF1805" w:rsidRPr="00AC6C6F" w:rsidRDefault="00EF1805" w:rsidP="00EF1805">
            <w:pPr>
              <w:pStyle w:val="TableText0"/>
              <w:keepLines/>
              <w:widowControl w:val="0"/>
              <w:jc w:val="center"/>
            </w:pPr>
            <w:r w:rsidRPr="00AC6C6F">
              <w:t>$</w:t>
            </w:r>
            <w:r w:rsidR="00B21624">
              <w:rPr>
                <w:noProof/>
                <w:color w:val="000000"/>
                <w:highlight w:val="black"/>
              </w:rPr>
              <w:t>'''''''''''''''''''</w:t>
            </w:r>
          </w:p>
        </w:tc>
        <w:tc>
          <w:tcPr>
            <w:tcW w:w="1275" w:type="dxa"/>
          </w:tcPr>
          <w:p w:rsidR="00EF1805" w:rsidRPr="00AC6C6F" w:rsidRDefault="00EF1805" w:rsidP="00EF1805">
            <w:pPr>
              <w:pStyle w:val="TableText0"/>
              <w:keepLines/>
              <w:widowControl w:val="0"/>
              <w:jc w:val="center"/>
            </w:pPr>
            <w:r w:rsidRPr="00AC6C6F">
              <w:t>0.7420</w:t>
            </w:r>
          </w:p>
        </w:tc>
        <w:tc>
          <w:tcPr>
            <w:tcW w:w="1134" w:type="dxa"/>
          </w:tcPr>
          <w:p w:rsidR="00EF1805" w:rsidRPr="00AC6C6F" w:rsidRDefault="00EF1805" w:rsidP="00EF1805">
            <w:pPr>
              <w:pStyle w:val="TableText0"/>
              <w:keepLines/>
              <w:widowControl w:val="0"/>
              <w:jc w:val="center"/>
            </w:pPr>
            <w:r w:rsidRPr="00AC6C6F">
              <w:t>$</w:t>
            </w:r>
            <w:r w:rsidR="00B21624">
              <w:rPr>
                <w:noProof/>
                <w:color w:val="000000"/>
                <w:highlight w:val="black"/>
              </w:rPr>
              <w:t>'''''''''''''''''''</w:t>
            </w:r>
          </w:p>
        </w:tc>
        <w:tc>
          <w:tcPr>
            <w:tcW w:w="1084" w:type="dxa"/>
          </w:tcPr>
          <w:p w:rsidR="00EF1805" w:rsidRPr="00AC6C6F" w:rsidRDefault="00EF1805" w:rsidP="00EF1805">
            <w:pPr>
              <w:pStyle w:val="TableText0"/>
              <w:keepLines/>
              <w:widowControl w:val="0"/>
              <w:jc w:val="center"/>
            </w:pPr>
            <w:r w:rsidRPr="00AC6C6F">
              <w:t>+98%</w:t>
            </w:r>
          </w:p>
        </w:tc>
      </w:tr>
      <w:tr w:rsidR="00EF1805" w:rsidRPr="00AC6C6F" w:rsidTr="00A9162A">
        <w:trPr>
          <w:trHeight w:val="445"/>
        </w:trPr>
        <w:tc>
          <w:tcPr>
            <w:tcW w:w="4248" w:type="dxa"/>
          </w:tcPr>
          <w:p w:rsidR="00EF1805" w:rsidRPr="00AC6C6F" w:rsidRDefault="00EF1805" w:rsidP="00EF1805">
            <w:pPr>
              <w:pStyle w:val="TableText0"/>
              <w:keepLines/>
              <w:widowControl w:val="0"/>
              <w:numPr>
                <w:ilvl w:val="0"/>
                <w:numId w:val="8"/>
              </w:numPr>
            </w:pPr>
            <w:r w:rsidRPr="00AC6C6F">
              <w:t>TSEM + Weibull for vorinostat OS + increased post-progression costs (methotrexate 5%) + equal utilities in DCOT health state (vorinostat based)</w:t>
            </w:r>
            <w:r w:rsidR="001D5903" w:rsidRPr="00AC6C6F">
              <w:rPr>
                <w:vertAlign w:val="superscript"/>
              </w:rPr>
              <w:t>d</w:t>
            </w:r>
          </w:p>
        </w:tc>
        <w:tc>
          <w:tcPr>
            <w:tcW w:w="1276" w:type="dxa"/>
          </w:tcPr>
          <w:p w:rsidR="00EF1805" w:rsidRPr="00AC6C6F" w:rsidRDefault="00EF1805" w:rsidP="00EF1805">
            <w:pPr>
              <w:pStyle w:val="TableText0"/>
              <w:keepLines/>
              <w:widowControl w:val="0"/>
              <w:jc w:val="center"/>
            </w:pPr>
            <w:r w:rsidRPr="00AC6C6F">
              <w:t>$</w:t>
            </w:r>
            <w:r w:rsidR="00B21624">
              <w:rPr>
                <w:noProof/>
                <w:color w:val="000000"/>
                <w:highlight w:val="black"/>
              </w:rPr>
              <w:t>''''''''''''''''''''</w:t>
            </w:r>
          </w:p>
        </w:tc>
        <w:tc>
          <w:tcPr>
            <w:tcW w:w="1275" w:type="dxa"/>
          </w:tcPr>
          <w:p w:rsidR="00EF1805" w:rsidRPr="00AC6C6F" w:rsidRDefault="00EF1805" w:rsidP="00EF1805">
            <w:pPr>
              <w:pStyle w:val="TableText0"/>
              <w:keepLines/>
              <w:widowControl w:val="0"/>
              <w:jc w:val="center"/>
            </w:pPr>
            <w:r w:rsidRPr="00AC6C6F">
              <w:t>0.6855</w:t>
            </w:r>
          </w:p>
        </w:tc>
        <w:tc>
          <w:tcPr>
            <w:tcW w:w="1134" w:type="dxa"/>
          </w:tcPr>
          <w:p w:rsidR="00EF1805" w:rsidRPr="00AC6C6F" w:rsidRDefault="00EF1805" w:rsidP="00EF1805">
            <w:pPr>
              <w:pStyle w:val="TableText0"/>
              <w:keepLines/>
              <w:widowControl w:val="0"/>
              <w:jc w:val="center"/>
            </w:pPr>
            <w:r w:rsidRPr="00AC6C6F">
              <w:t>$</w:t>
            </w:r>
            <w:r w:rsidR="00B21624">
              <w:rPr>
                <w:noProof/>
                <w:color w:val="000000"/>
                <w:highlight w:val="black"/>
              </w:rPr>
              <w:t>''''''''''''''''''''</w:t>
            </w:r>
          </w:p>
        </w:tc>
        <w:tc>
          <w:tcPr>
            <w:tcW w:w="1084" w:type="dxa"/>
          </w:tcPr>
          <w:p w:rsidR="00EF1805" w:rsidRPr="00AC6C6F" w:rsidRDefault="00EF1805" w:rsidP="00EF1805">
            <w:pPr>
              <w:pStyle w:val="TableText0"/>
              <w:keepLines/>
              <w:widowControl w:val="0"/>
              <w:jc w:val="center"/>
            </w:pPr>
            <w:r w:rsidRPr="00AC6C6F">
              <w:t>+114%</w:t>
            </w:r>
          </w:p>
        </w:tc>
      </w:tr>
    </w:tbl>
    <w:p w:rsidR="0099652A" w:rsidRPr="00AC6C6F" w:rsidRDefault="0099652A" w:rsidP="0099652A">
      <w:pPr>
        <w:pStyle w:val="TableFigureFooter"/>
        <w:rPr>
          <w:szCs w:val="18"/>
        </w:rPr>
      </w:pPr>
      <w:r w:rsidRPr="00AC6C6F">
        <w:rPr>
          <w:szCs w:val="18"/>
        </w:rPr>
        <w:t>Source: developed using the economic excel model provided by the submission</w:t>
      </w:r>
      <w:r w:rsidR="00121BA6" w:rsidRPr="00AC6C6F">
        <w:rPr>
          <w:szCs w:val="18"/>
        </w:rPr>
        <w:t xml:space="preserve"> (the submission reported the ICER for 10-year time horizon, TSEM,</w:t>
      </w:r>
      <w:r w:rsidR="001270D2" w:rsidRPr="00AC6C6F">
        <w:rPr>
          <w:szCs w:val="18"/>
        </w:rPr>
        <w:t xml:space="preserve"> and ITT (crossover)</w:t>
      </w:r>
      <w:r w:rsidR="00121BA6" w:rsidRPr="00AC6C6F">
        <w:rPr>
          <w:szCs w:val="18"/>
        </w:rPr>
        <w:t xml:space="preserve"> but did not report incremental costs and QALY and %change).</w:t>
      </w:r>
    </w:p>
    <w:p w:rsidR="0099652A" w:rsidRPr="00AC6C6F" w:rsidRDefault="0099652A" w:rsidP="0099652A">
      <w:pPr>
        <w:pStyle w:val="TableFigureFooter"/>
        <w:rPr>
          <w:szCs w:val="18"/>
        </w:rPr>
      </w:pPr>
      <w:r w:rsidRPr="00AC6C6F">
        <w:rPr>
          <w:rStyle w:val="FontBold"/>
          <w:rFonts w:ascii="Arial Narrow" w:hAnsi="Arial Narrow"/>
          <w:b w:val="0"/>
          <w:bCs/>
          <w:sz w:val="18"/>
          <w:szCs w:val="18"/>
        </w:rPr>
        <w:t xml:space="preserve">Abbreviations: DCOT = </w:t>
      </w:r>
      <w:r w:rsidRPr="00AC6C6F">
        <w:rPr>
          <w:szCs w:val="18"/>
          <w:lang w:bidi="th-TH"/>
        </w:rPr>
        <w:t>Disease control on treatment</w:t>
      </w:r>
      <w:r w:rsidRPr="00AC6C6F">
        <w:rPr>
          <w:bCs/>
          <w:szCs w:val="18"/>
        </w:rPr>
        <w:t>; ICER= incremental cost effectiveness ratio</w:t>
      </w:r>
      <w:r w:rsidRPr="00AC6C6F">
        <w:rPr>
          <w:szCs w:val="18"/>
        </w:rPr>
        <w:t>; IPCW = inverse probability of censoring weighted;</w:t>
      </w:r>
      <w:r w:rsidR="001270D2" w:rsidRPr="00AC6C6F">
        <w:rPr>
          <w:szCs w:val="18"/>
        </w:rPr>
        <w:t xml:space="preserve"> ITT = intention-to-treat;</w:t>
      </w:r>
      <w:r w:rsidRPr="00AC6C6F">
        <w:rPr>
          <w:szCs w:val="18"/>
        </w:rPr>
        <w:t xml:space="preserve"> KM = Kaplan-Meier; QALYs = Quality Adjusted Life Years gained; OS = overall survival; TOT = time on treatment; TSEM = two-stage methods; TTNT = time to next treatment</w:t>
      </w:r>
      <w:r w:rsidRPr="00AC6C6F" w:rsidDel="007F18FB">
        <w:rPr>
          <w:rStyle w:val="FontBold"/>
          <w:rFonts w:ascii="Arial Narrow" w:hAnsi="Arial Narrow"/>
          <w:b w:val="0"/>
          <w:bCs/>
          <w:sz w:val="18"/>
          <w:szCs w:val="18"/>
        </w:rPr>
        <w:t xml:space="preserve"> </w:t>
      </w:r>
    </w:p>
    <w:p w:rsidR="0099652A" w:rsidRDefault="0099652A" w:rsidP="0099652A">
      <w:pPr>
        <w:pStyle w:val="TableFigureFooter"/>
        <w:rPr>
          <w:szCs w:val="18"/>
        </w:rPr>
      </w:pPr>
      <w:r w:rsidRPr="00AC6C6F">
        <w:rPr>
          <w:szCs w:val="18"/>
        </w:rPr>
        <w:t xml:space="preserve">Note: </w:t>
      </w:r>
      <w:r w:rsidRPr="00AC6C6F">
        <w:rPr>
          <w:szCs w:val="18"/>
          <w:vertAlign w:val="superscript"/>
        </w:rPr>
        <w:t xml:space="preserve">a </w:t>
      </w:r>
      <w:r w:rsidR="002A3034" w:rsidRPr="00AC6C6F">
        <w:rPr>
          <w:szCs w:val="18"/>
        </w:rPr>
        <w:t xml:space="preserve">conducted during the evaluation, </w:t>
      </w:r>
      <w:r w:rsidR="002A3034" w:rsidRPr="00AC6C6F">
        <w:rPr>
          <w:szCs w:val="18"/>
          <w:vertAlign w:val="superscript"/>
        </w:rPr>
        <w:t>b</w:t>
      </w:r>
      <w:r w:rsidRPr="00AC6C6F">
        <w:rPr>
          <w:szCs w:val="18"/>
        </w:rPr>
        <w:t>used median OS of mogamulizumab was 51.7 months that was approximated to 223 weeks (median OS of vorinostat was 58.37 months), Table 2.70, p145 of the submission;</w:t>
      </w:r>
      <w:r w:rsidR="00ED3B85" w:rsidRPr="00AC6C6F">
        <w:rPr>
          <w:szCs w:val="18"/>
        </w:rPr>
        <w:t xml:space="preserve"> </w:t>
      </w:r>
      <w:r w:rsidR="002A3034" w:rsidRPr="00AC6C6F">
        <w:rPr>
          <w:szCs w:val="18"/>
          <w:vertAlign w:val="superscript"/>
        </w:rPr>
        <w:t>c</w:t>
      </w:r>
      <w:r w:rsidR="00ED3B85" w:rsidRPr="00AC6C6F">
        <w:rPr>
          <w:szCs w:val="18"/>
        </w:rPr>
        <w:t xml:space="preserve"> </w:t>
      </w:r>
      <w:r w:rsidR="00A57200" w:rsidRPr="00AC6C6F">
        <w:rPr>
          <w:szCs w:val="18"/>
        </w:rPr>
        <w:t xml:space="preserve">The </w:t>
      </w:r>
      <w:r w:rsidR="0022612C" w:rsidRPr="00AC6C6F">
        <w:rPr>
          <w:szCs w:val="18"/>
        </w:rPr>
        <w:t>5% was used to reflect the use of methotrexate in MAVORIC (4.3%)</w:t>
      </w:r>
      <w:r w:rsidR="004A0644" w:rsidRPr="00AC6C6F">
        <w:rPr>
          <w:szCs w:val="18"/>
        </w:rPr>
        <w:t xml:space="preserve">. The rest of methotrexate used in the model (55%) was </w:t>
      </w:r>
      <w:r w:rsidR="0022612C" w:rsidRPr="00AC6C6F">
        <w:rPr>
          <w:szCs w:val="18"/>
        </w:rPr>
        <w:t>a</w:t>
      </w:r>
      <w:r w:rsidR="00ED3B85" w:rsidRPr="00AC6C6F">
        <w:rPr>
          <w:szCs w:val="18"/>
        </w:rPr>
        <w:t>rbitrarily redistributed to other five post-progression treatments (11% for each treatment</w:t>
      </w:r>
      <w:r w:rsidR="001D5903" w:rsidRPr="00AC6C6F">
        <w:rPr>
          <w:szCs w:val="18"/>
        </w:rPr>
        <w:t xml:space="preserve">), </w:t>
      </w:r>
      <w:r w:rsidR="001D5903" w:rsidRPr="00AC6C6F">
        <w:rPr>
          <w:szCs w:val="18"/>
          <w:vertAlign w:val="superscript"/>
        </w:rPr>
        <w:t xml:space="preserve">d </w:t>
      </w:r>
      <w:r w:rsidR="007021A8" w:rsidRPr="00AC6C6F">
        <w:rPr>
          <w:szCs w:val="18"/>
        </w:rPr>
        <w:t xml:space="preserve">Calculated during the </w:t>
      </w:r>
      <w:r w:rsidR="007B1498" w:rsidRPr="00AC6C6F">
        <w:rPr>
          <w:szCs w:val="18"/>
        </w:rPr>
        <w:t>preparation</w:t>
      </w:r>
      <w:r w:rsidR="007021A8" w:rsidRPr="00AC6C6F">
        <w:rPr>
          <w:szCs w:val="18"/>
        </w:rPr>
        <w:t xml:space="preserve"> of the ESC Advice. </w:t>
      </w:r>
    </w:p>
    <w:p w:rsidR="00EB5C59" w:rsidRDefault="00EB5C59" w:rsidP="0099652A">
      <w:pPr>
        <w:pStyle w:val="TableFigureFooter"/>
        <w:rPr>
          <w:szCs w:val="18"/>
        </w:rPr>
      </w:pPr>
    </w:p>
    <w:p w:rsidR="00EB5C59" w:rsidRPr="00EB5C59" w:rsidRDefault="00EB5C59" w:rsidP="0099652A">
      <w:pPr>
        <w:pStyle w:val="TableFigureFooter"/>
        <w:rPr>
          <w:rFonts w:asciiTheme="minorHAnsi" w:hAnsiTheme="minorHAnsi" w:cstheme="minorHAnsi"/>
          <w:i/>
          <w:sz w:val="24"/>
          <w:szCs w:val="24"/>
        </w:rPr>
      </w:pPr>
      <w:r>
        <w:rPr>
          <w:rFonts w:asciiTheme="minorHAnsi" w:hAnsiTheme="minorHAnsi" w:cstheme="minorHAnsi"/>
          <w:i/>
          <w:sz w:val="24"/>
          <w:szCs w:val="24"/>
        </w:rPr>
        <w:t xml:space="preserve">The redacted table shows ICERs in the range of $55,000 to &lt; $75,000 per QALY, to $155,000 to &lt; $255,000 per QALY. </w:t>
      </w:r>
    </w:p>
    <w:p w:rsidR="007021A8" w:rsidRPr="00AC6C6F" w:rsidRDefault="00765EBD" w:rsidP="008972CF">
      <w:pPr>
        <w:pStyle w:val="3-BodyText"/>
        <w:rPr>
          <w:color w:val="000000" w:themeColor="text1"/>
        </w:rPr>
      </w:pPr>
      <w:r w:rsidRPr="00AC6C6F">
        <w:t xml:space="preserve">Overall, the results were </w:t>
      </w:r>
      <w:r w:rsidR="0029145E" w:rsidRPr="00AC6C6F">
        <w:t>most sensitive to changes in the t</w:t>
      </w:r>
      <w:r w:rsidRPr="00AC6C6F">
        <w:t>ime horizon,</w:t>
      </w:r>
      <w:r w:rsidR="0029145E" w:rsidRPr="00AC6C6F">
        <w:t xml:space="preserve"> method of adjusting for crossover</w:t>
      </w:r>
      <w:r w:rsidRPr="00AC6C6F">
        <w:t>, convergence</w:t>
      </w:r>
      <w:r w:rsidR="0029145E" w:rsidRPr="00AC6C6F">
        <w:t xml:space="preserve"> of </w:t>
      </w:r>
      <w:r w:rsidR="00134471" w:rsidRPr="00AC6C6F">
        <w:t xml:space="preserve">the </w:t>
      </w:r>
      <w:r w:rsidR="0029145E" w:rsidRPr="00AC6C6F">
        <w:t>extrapolation functions</w:t>
      </w:r>
      <w:r w:rsidRPr="00AC6C6F">
        <w:t xml:space="preserve">, </w:t>
      </w:r>
      <w:r w:rsidR="0029145E" w:rsidRPr="00AC6C6F">
        <w:t xml:space="preserve">the </w:t>
      </w:r>
      <w:r w:rsidRPr="00AC6C6F">
        <w:t>extrapolation</w:t>
      </w:r>
      <w:r w:rsidR="0029145E" w:rsidRPr="00AC6C6F">
        <w:t xml:space="preserve"> function applied to OS for</w:t>
      </w:r>
      <w:r w:rsidRPr="00AC6C6F">
        <w:t xml:space="preserve"> vorinostat and post-progression </w:t>
      </w:r>
      <w:r w:rsidR="0029145E" w:rsidRPr="00AC6C6F">
        <w:t>costs</w:t>
      </w:r>
      <w:r w:rsidR="008972CF" w:rsidRPr="00AC6C6F">
        <w:t xml:space="preserve">. </w:t>
      </w:r>
    </w:p>
    <w:p w:rsidR="009450DF" w:rsidRPr="00AC6C6F" w:rsidRDefault="009450DF" w:rsidP="008972CF">
      <w:pPr>
        <w:pStyle w:val="3-BodyText"/>
        <w:rPr>
          <w:color w:val="000000" w:themeColor="text1"/>
        </w:rPr>
      </w:pPr>
      <w:r w:rsidRPr="00AC6C6F">
        <w:t xml:space="preserve">The ESC noted that multivariate analysis using TSEM to adjust for treatment switching, the Weibull function as the basis for extrapolation of </w:t>
      </w:r>
      <w:r w:rsidR="00BA6E8E" w:rsidRPr="00AC6C6F">
        <w:t xml:space="preserve">OS for vorinostat, </w:t>
      </w:r>
      <w:r w:rsidRPr="00AC6C6F">
        <w:t xml:space="preserve">decreasing </w:t>
      </w:r>
      <w:r w:rsidR="00BA6E8E" w:rsidRPr="00AC6C6F">
        <w:t>the use of methotr</w:t>
      </w:r>
      <w:r w:rsidR="00EB01E7" w:rsidRPr="00AC6C6F">
        <w:t>exate to 5%</w:t>
      </w:r>
      <w:r w:rsidR="00BA6E8E" w:rsidRPr="00AC6C6F">
        <w:t xml:space="preserve"> and equal utilities in DCOT health state (mogamulizumab based) i</w:t>
      </w:r>
      <w:r w:rsidR="00EB01E7" w:rsidRPr="00AC6C6F">
        <w:t xml:space="preserve">ncreased the </w:t>
      </w:r>
      <w:r w:rsidR="008972CF" w:rsidRPr="00AC6C6F">
        <w:t xml:space="preserve">base case </w:t>
      </w:r>
      <w:r w:rsidR="00EB01E7" w:rsidRPr="00AC6C6F">
        <w:t>ICER by 98</w:t>
      </w:r>
      <w:r w:rsidRPr="00AC6C6F">
        <w:t xml:space="preserve">%. </w:t>
      </w:r>
    </w:p>
    <w:p w:rsidR="004C7F8C" w:rsidRPr="00AC6C6F" w:rsidRDefault="004C7F8C" w:rsidP="004C7F8C">
      <w:pPr>
        <w:pStyle w:val="4-SubsectionHeading"/>
      </w:pPr>
      <w:bookmarkStart w:id="20" w:name="_Toc40177097"/>
      <w:r w:rsidRPr="00AC6C6F">
        <w:t>Drug cost/patient/year $</w:t>
      </w:r>
      <w:bookmarkEnd w:id="20"/>
      <w:r w:rsidR="00B21624">
        <w:rPr>
          <w:noProof/>
          <w:color w:val="000000"/>
          <w:highlight w:val="black"/>
        </w:rPr>
        <w:t>''''''''''''''''''''</w:t>
      </w:r>
    </w:p>
    <w:p w:rsidR="007B708C" w:rsidRPr="00AC6C6F" w:rsidRDefault="004C7F8C" w:rsidP="00124743">
      <w:pPr>
        <w:pStyle w:val="3-BodyText"/>
        <w:rPr>
          <w:color w:val="0066FF"/>
        </w:rPr>
      </w:pPr>
      <w:r w:rsidRPr="00AC6C6F">
        <w:t>The average time o</w:t>
      </w:r>
      <w:r w:rsidR="00134471" w:rsidRPr="00AC6C6F">
        <w:t>n</w:t>
      </w:r>
      <w:r w:rsidRPr="00AC6C6F">
        <w:t xml:space="preserve"> treatment estimated from the model was 45 weeks which translated </w:t>
      </w:r>
      <w:r w:rsidR="0029145E" w:rsidRPr="00AC6C6F">
        <w:t>in</w:t>
      </w:r>
      <w:r w:rsidRPr="00AC6C6F">
        <w:t>to 2</w:t>
      </w:r>
      <w:r w:rsidR="00B81BFF" w:rsidRPr="00AC6C6F">
        <w:t>4.89</w:t>
      </w:r>
      <w:r w:rsidRPr="00AC6C6F">
        <w:t xml:space="preserve"> infusions</w:t>
      </w:r>
      <w:r w:rsidR="0029145E" w:rsidRPr="00AC6C6F">
        <w:t xml:space="preserve"> of moga</w:t>
      </w:r>
      <w:r w:rsidR="008804D0" w:rsidRPr="00AC6C6F">
        <w:t>mu</w:t>
      </w:r>
      <w:r w:rsidR="0029145E" w:rsidRPr="00AC6C6F">
        <w:t>lizumab</w:t>
      </w:r>
      <w:r w:rsidRPr="00AC6C6F">
        <w:t>.</w:t>
      </w:r>
      <w:r w:rsidR="00B90B7A" w:rsidRPr="00AC6C6F">
        <w:t xml:space="preserve"> Th</w:t>
      </w:r>
      <w:r w:rsidR="0029145E" w:rsidRPr="00AC6C6F">
        <w:t xml:space="preserve">is resulted in a </w:t>
      </w:r>
      <w:r w:rsidR="00B90B7A" w:rsidRPr="00AC6C6F">
        <w:t xml:space="preserve">drug cost/patient/year for mogamulizumab </w:t>
      </w:r>
      <w:r w:rsidR="0029145E" w:rsidRPr="00AC6C6F">
        <w:t>of</w:t>
      </w:r>
      <w:r w:rsidR="00B90B7A" w:rsidRPr="00AC6C6F">
        <w:t xml:space="preserve"> $</w:t>
      </w:r>
      <w:r w:rsidR="00B21624">
        <w:rPr>
          <w:noProof/>
          <w:color w:val="000000"/>
          <w:highlight w:val="black"/>
        </w:rPr>
        <w:t>''''''''''''''''''''</w:t>
      </w:r>
      <w:r w:rsidR="00B90B7A" w:rsidRPr="00AC6C6F">
        <w:t xml:space="preserve">. </w:t>
      </w:r>
      <w:r w:rsidR="002E7996" w:rsidRPr="00AC6C6F">
        <w:t xml:space="preserve">The cost per patient for </w:t>
      </w:r>
      <w:r w:rsidR="008972CF" w:rsidRPr="00AC6C6F">
        <w:t>mogamulizumab</w:t>
      </w:r>
      <w:r w:rsidR="00134471" w:rsidRPr="00AC6C6F">
        <w:t xml:space="preserve"> and </w:t>
      </w:r>
      <w:r w:rsidR="008972CF" w:rsidRPr="00AC6C6F">
        <w:t>vorinostat</w:t>
      </w:r>
      <w:r w:rsidR="00134471" w:rsidRPr="00AC6C6F">
        <w:t xml:space="preserve"> </w:t>
      </w:r>
      <w:r w:rsidR="002E7996" w:rsidRPr="00AC6C6F">
        <w:t xml:space="preserve">are summarised </w:t>
      </w:r>
      <w:r w:rsidR="00E7652A" w:rsidRPr="00AC6C6F">
        <w:t xml:space="preserve">in Table </w:t>
      </w:r>
      <w:r w:rsidR="00A72F8F" w:rsidRPr="00AC6C6F">
        <w:t>17</w:t>
      </w:r>
      <w:r w:rsidR="002E7996" w:rsidRPr="00AC6C6F">
        <w:t>.</w:t>
      </w:r>
    </w:p>
    <w:p w:rsidR="00124743" w:rsidRPr="00AC6C6F" w:rsidRDefault="00124743" w:rsidP="00124743">
      <w:pPr>
        <w:pStyle w:val="TableFigureHeading"/>
        <w:rPr>
          <w:rStyle w:val="CommentReference"/>
          <w:b/>
        </w:rPr>
      </w:pPr>
      <w:r w:rsidRPr="00AC6C6F">
        <w:rPr>
          <w:rStyle w:val="CommentReference"/>
          <w:b/>
        </w:rPr>
        <w:t xml:space="preserve">Table </w:t>
      </w:r>
      <w:r w:rsidR="00A72F8F" w:rsidRPr="00AC6C6F">
        <w:rPr>
          <w:rStyle w:val="CommentReference"/>
          <w:b/>
        </w:rPr>
        <w:t>17</w:t>
      </w:r>
      <w:r w:rsidRPr="00AC6C6F">
        <w:rPr>
          <w:rStyle w:val="CommentReference"/>
          <w:b/>
        </w:rPr>
        <w:t xml:space="preserve">: Drug cost per patient for </w:t>
      </w:r>
      <w:r w:rsidR="001F5673" w:rsidRPr="00AC6C6F">
        <w:rPr>
          <w:rStyle w:val="CommentReference"/>
          <w:b/>
        </w:rPr>
        <w:t xml:space="preserve">mogamulizumab </w:t>
      </w:r>
      <w:r w:rsidRPr="00AC6C6F">
        <w:rPr>
          <w:rStyle w:val="CommentReference"/>
          <w:b/>
        </w:rPr>
        <w:t xml:space="preserve">and </w:t>
      </w:r>
      <w:r w:rsidR="001F5673" w:rsidRPr="00AC6C6F">
        <w:rPr>
          <w:rStyle w:val="CommentReference"/>
          <w:b/>
        </w:rPr>
        <w:t>vorinostat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8"/>
        <w:gridCol w:w="1419"/>
        <w:gridCol w:w="1434"/>
        <w:gridCol w:w="1401"/>
        <w:gridCol w:w="1113"/>
        <w:gridCol w:w="1261"/>
        <w:gridCol w:w="1261"/>
      </w:tblGrid>
      <w:tr w:rsidR="00124743" w:rsidRPr="0081589E" w:rsidTr="00AB55FB">
        <w:trPr>
          <w:cantSplit/>
          <w:tblHeader/>
          <w:jc w:val="center"/>
        </w:trPr>
        <w:tc>
          <w:tcPr>
            <w:tcW w:w="625" w:type="pct"/>
            <w:shd w:val="clear" w:color="auto" w:fill="auto"/>
            <w:vAlign w:val="center"/>
          </w:tcPr>
          <w:p w:rsidR="00124743" w:rsidRPr="0081589E" w:rsidRDefault="00124743" w:rsidP="000332CC">
            <w:pPr>
              <w:pStyle w:val="In-tableHeading"/>
              <w:jc w:val="center"/>
              <w:rPr>
                <w:lang w:val="en-AU"/>
              </w:rPr>
            </w:pPr>
          </w:p>
        </w:tc>
        <w:tc>
          <w:tcPr>
            <w:tcW w:w="787" w:type="pct"/>
            <w:shd w:val="clear" w:color="auto" w:fill="auto"/>
            <w:vAlign w:val="center"/>
          </w:tcPr>
          <w:p w:rsidR="00124743" w:rsidRPr="0081589E" w:rsidRDefault="001F5673" w:rsidP="00FA63A3">
            <w:pPr>
              <w:pStyle w:val="In-tableHeading"/>
              <w:jc w:val="center"/>
              <w:rPr>
                <w:lang w:val="en-AU"/>
              </w:rPr>
            </w:pPr>
            <w:r w:rsidRPr="0081589E">
              <w:rPr>
                <w:lang w:val="en-AU"/>
              </w:rPr>
              <w:t>Mogamulizumab</w:t>
            </w:r>
            <w:r w:rsidR="00FA63A3" w:rsidRPr="0081589E">
              <w:rPr>
                <w:lang w:val="en-AU"/>
              </w:rPr>
              <w:t xml:space="preserve"> </w:t>
            </w:r>
            <w:r w:rsidR="00124743" w:rsidRPr="0081589E">
              <w:rPr>
                <w:lang w:val="en-AU"/>
              </w:rPr>
              <w:t>Trial dose and duration</w:t>
            </w:r>
          </w:p>
        </w:tc>
        <w:tc>
          <w:tcPr>
            <w:tcW w:w="795" w:type="pct"/>
            <w:shd w:val="clear" w:color="auto" w:fill="auto"/>
            <w:vAlign w:val="center"/>
          </w:tcPr>
          <w:p w:rsidR="00124743" w:rsidRPr="0081589E" w:rsidRDefault="001F5673" w:rsidP="000332CC">
            <w:pPr>
              <w:pStyle w:val="In-tableHeading"/>
              <w:jc w:val="center"/>
              <w:rPr>
                <w:lang w:val="en-AU"/>
              </w:rPr>
            </w:pPr>
            <w:r w:rsidRPr="0081589E">
              <w:rPr>
                <w:lang w:val="en-AU"/>
              </w:rPr>
              <w:t>Mogamulizumab</w:t>
            </w:r>
            <w:r w:rsidR="00FA63A3" w:rsidRPr="0081589E">
              <w:rPr>
                <w:lang w:val="en-AU"/>
              </w:rPr>
              <w:t xml:space="preserve"> </w:t>
            </w:r>
            <w:r w:rsidR="00124743" w:rsidRPr="0081589E">
              <w:rPr>
                <w:lang w:val="en-AU"/>
              </w:rPr>
              <w:t>Model</w:t>
            </w:r>
          </w:p>
        </w:tc>
        <w:tc>
          <w:tcPr>
            <w:tcW w:w="777" w:type="pct"/>
            <w:shd w:val="clear" w:color="auto" w:fill="auto"/>
            <w:vAlign w:val="center"/>
          </w:tcPr>
          <w:p w:rsidR="00124743" w:rsidRPr="0081589E" w:rsidRDefault="001F5673" w:rsidP="000332CC">
            <w:pPr>
              <w:pStyle w:val="In-tableHeading"/>
              <w:jc w:val="center"/>
              <w:rPr>
                <w:lang w:val="en-AU"/>
              </w:rPr>
            </w:pPr>
            <w:r w:rsidRPr="0081589E">
              <w:rPr>
                <w:lang w:val="en-AU"/>
              </w:rPr>
              <w:t>Mogamulizumab</w:t>
            </w:r>
            <w:r w:rsidR="00FA63A3" w:rsidRPr="0081589E">
              <w:rPr>
                <w:lang w:val="en-AU"/>
              </w:rPr>
              <w:t xml:space="preserve"> </w:t>
            </w:r>
            <w:r w:rsidR="00124743" w:rsidRPr="0081589E">
              <w:rPr>
                <w:lang w:val="en-AU"/>
              </w:rPr>
              <w:t>Financial estimates</w:t>
            </w:r>
          </w:p>
        </w:tc>
        <w:tc>
          <w:tcPr>
            <w:tcW w:w="617" w:type="pct"/>
            <w:shd w:val="clear" w:color="auto" w:fill="auto"/>
            <w:vAlign w:val="center"/>
          </w:tcPr>
          <w:p w:rsidR="00124743" w:rsidRPr="0081589E" w:rsidRDefault="001F5673" w:rsidP="000332CC">
            <w:pPr>
              <w:pStyle w:val="In-tableHeading"/>
              <w:jc w:val="center"/>
              <w:rPr>
                <w:lang w:val="en-AU"/>
              </w:rPr>
            </w:pPr>
            <w:r w:rsidRPr="0081589E">
              <w:rPr>
                <w:lang w:val="en-AU"/>
              </w:rPr>
              <w:t>Vorinostat</w:t>
            </w:r>
          </w:p>
          <w:p w:rsidR="00124743" w:rsidRPr="0081589E" w:rsidRDefault="00124743" w:rsidP="000332CC">
            <w:pPr>
              <w:pStyle w:val="In-tableHeading"/>
              <w:jc w:val="center"/>
              <w:rPr>
                <w:lang w:val="en-AU"/>
              </w:rPr>
            </w:pPr>
            <w:r w:rsidRPr="0081589E">
              <w:rPr>
                <w:lang w:val="en-AU"/>
              </w:rPr>
              <w:t>Trial dose and duration</w:t>
            </w:r>
          </w:p>
        </w:tc>
        <w:tc>
          <w:tcPr>
            <w:tcW w:w="699" w:type="pct"/>
            <w:shd w:val="clear" w:color="auto" w:fill="auto"/>
            <w:vAlign w:val="center"/>
          </w:tcPr>
          <w:p w:rsidR="00124743" w:rsidRPr="0081589E" w:rsidRDefault="001F5673" w:rsidP="000332CC">
            <w:pPr>
              <w:pStyle w:val="In-tableHeading"/>
              <w:jc w:val="center"/>
              <w:rPr>
                <w:lang w:val="en-AU"/>
              </w:rPr>
            </w:pPr>
            <w:r w:rsidRPr="0081589E">
              <w:rPr>
                <w:lang w:val="en-AU"/>
              </w:rPr>
              <w:t>Vorinostat</w:t>
            </w:r>
            <w:r w:rsidR="00FA63A3" w:rsidRPr="0081589E">
              <w:rPr>
                <w:lang w:val="en-AU"/>
              </w:rPr>
              <w:t xml:space="preserve"> </w:t>
            </w:r>
            <w:r w:rsidR="00124743" w:rsidRPr="0081589E">
              <w:rPr>
                <w:lang w:val="en-AU"/>
              </w:rPr>
              <w:t>Model</w:t>
            </w:r>
          </w:p>
        </w:tc>
        <w:tc>
          <w:tcPr>
            <w:tcW w:w="699" w:type="pct"/>
          </w:tcPr>
          <w:p w:rsidR="00124743" w:rsidRPr="0081589E" w:rsidRDefault="001F5673" w:rsidP="000332CC">
            <w:pPr>
              <w:pStyle w:val="In-tableHeading"/>
              <w:jc w:val="center"/>
              <w:rPr>
                <w:lang w:val="en-AU"/>
              </w:rPr>
            </w:pPr>
            <w:r w:rsidRPr="0081589E">
              <w:rPr>
                <w:lang w:val="en-AU"/>
              </w:rPr>
              <w:t>Vorinostat</w:t>
            </w:r>
            <w:r w:rsidR="00FA63A3" w:rsidRPr="0081589E">
              <w:rPr>
                <w:lang w:val="en-AU"/>
              </w:rPr>
              <w:t xml:space="preserve"> </w:t>
            </w:r>
            <w:r w:rsidR="00124743" w:rsidRPr="0081589E">
              <w:rPr>
                <w:lang w:val="en-AU"/>
              </w:rPr>
              <w:t>Financial estimates</w:t>
            </w:r>
          </w:p>
        </w:tc>
      </w:tr>
      <w:tr w:rsidR="00124743" w:rsidRPr="0081589E" w:rsidTr="00AB55FB">
        <w:trPr>
          <w:cantSplit/>
          <w:jc w:val="center"/>
        </w:trPr>
        <w:tc>
          <w:tcPr>
            <w:tcW w:w="625" w:type="pct"/>
            <w:shd w:val="clear" w:color="auto" w:fill="auto"/>
            <w:vAlign w:val="center"/>
          </w:tcPr>
          <w:p w:rsidR="00124743" w:rsidRPr="0081589E" w:rsidRDefault="00124743" w:rsidP="000332CC">
            <w:pPr>
              <w:pStyle w:val="TableText0"/>
            </w:pPr>
            <w:r w:rsidRPr="0081589E">
              <w:t>Mean dose</w:t>
            </w:r>
            <w:r w:rsidR="0029145E" w:rsidRPr="0081589E">
              <w:t xml:space="preserve"> intensity</w:t>
            </w:r>
          </w:p>
        </w:tc>
        <w:tc>
          <w:tcPr>
            <w:tcW w:w="787" w:type="pct"/>
            <w:shd w:val="clear" w:color="auto" w:fill="auto"/>
            <w:vAlign w:val="center"/>
          </w:tcPr>
          <w:p w:rsidR="00124743" w:rsidRPr="0081589E" w:rsidRDefault="00014913" w:rsidP="000332CC">
            <w:pPr>
              <w:pStyle w:val="TableText0"/>
              <w:jc w:val="center"/>
            </w:pPr>
            <w:r w:rsidRPr="0081589E">
              <w:t>94.41%</w:t>
            </w:r>
          </w:p>
        </w:tc>
        <w:tc>
          <w:tcPr>
            <w:tcW w:w="795" w:type="pct"/>
            <w:shd w:val="clear" w:color="auto" w:fill="auto"/>
            <w:vAlign w:val="center"/>
          </w:tcPr>
          <w:p w:rsidR="00124743" w:rsidRPr="0081589E" w:rsidRDefault="00F11881" w:rsidP="000332CC">
            <w:pPr>
              <w:pStyle w:val="TableText0"/>
              <w:jc w:val="center"/>
            </w:pPr>
            <w:r w:rsidRPr="0081589E">
              <w:t>94.41%</w:t>
            </w:r>
          </w:p>
        </w:tc>
        <w:tc>
          <w:tcPr>
            <w:tcW w:w="777" w:type="pct"/>
            <w:shd w:val="clear" w:color="auto" w:fill="auto"/>
            <w:vAlign w:val="center"/>
          </w:tcPr>
          <w:p w:rsidR="00124743" w:rsidRPr="0081589E" w:rsidRDefault="00BA2868" w:rsidP="00BA2868">
            <w:pPr>
              <w:pStyle w:val="TableText0"/>
              <w:jc w:val="center"/>
            </w:pPr>
            <w:r w:rsidRPr="0081589E">
              <w:t>95</w:t>
            </w:r>
            <w:r w:rsidR="00171806" w:rsidRPr="0081589E">
              <w:t>.00</w:t>
            </w:r>
            <w:r w:rsidRPr="0081589E">
              <w:t>%</w:t>
            </w:r>
          </w:p>
        </w:tc>
        <w:tc>
          <w:tcPr>
            <w:tcW w:w="617" w:type="pct"/>
            <w:shd w:val="clear" w:color="auto" w:fill="auto"/>
            <w:vAlign w:val="center"/>
          </w:tcPr>
          <w:p w:rsidR="00124743" w:rsidRPr="0081589E" w:rsidRDefault="00FB0153" w:rsidP="000332CC">
            <w:pPr>
              <w:pStyle w:val="TableText0"/>
              <w:jc w:val="center"/>
            </w:pPr>
            <w:r w:rsidRPr="0081589E">
              <w:t>88.96%</w:t>
            </w:r>
          </w:p>
        </w:tc>
        <w:tc>
          <w:tcPr>
            <w:tcW w:w="699" w:type="pct"/>
            <w:shd w:val="clear" w:color="auto" w:fill="auto"/>
            <w:vAlign w:val="center"/>
          </w:tcPr>
          <w:p w:rsidR="00124743" w:rsidRPr="0081589E" w:rsidRDefault="00681984" w:rsidP="000332CC">
            <w:pPr>
              <w:pStyle w:val="TableText0"/>
              <w:jc w:val="center"/>
            </w:pPr>
            <w:r w:rsidRPr="0081589E">
              <w:t>88.91%</w:t>
            </w:r>
          </w:p>
        </w:tc>
        <w:tc>
          <w:tcPr>
            <w:tcW w:w="699" w:type="pct"/>
            <w:vAlign w:val="center"/>
          </w:tcPr>
          <w:p w:rsidR="00124743" w:rsidRPr="0081589E" w:rsidRDefault="00AE4CAC" w:rsidP="00C379C1">
            <w:pPr>
              <w:pStyle w:val="TableText0"/>
              <w:jc w:val="center"/>
            </w:pPr>
            <w:r w:rsidRPr="0081589E">
              <w:t>89</w:t>
            </w:r>
            <w:r w:rsidR="00171806" w:rsidRPr="0081589E">
              <w:t>.00</w:t>
            </w:r>
            <w:r w:rsidRPr="0081589E">
              <w:t>%</w:t>
            </w:r>
          </w:p>
        </w:tc>
      </w:tr>
      <w:tr w:rsidR="00124743" w:rsidRPr="0081589E" w:rsidTr="00AB55FB">
        <w:trPr>
          <w:cantSplit/>
          <w:jc w:val="center"/>
        </w:trPr>
        <w:tc>
          <w:tcPr>
            <w:tcW w:w="625" w:type="pct"/>
            <w:shd w:val="clear" w:color="auto" w:fill="auto"/>
            <w:vAlign w:val="center"/>
          </w:tcPr>
          <w:p w:rsidR="00124743" w:rsidRPr="0081589E" w:rsidRDefault="00124743" w:rsidP="000332CC">
            <w:pPr>
              <w:pStyle w:val="TableText0"/>
            </w:pPr>
            <w:r w:rsidRPr="0081589E">
              <w:t>Mean duration</w:t>
            </w:r>
          </w:p>
        </w:tc>
        <w:tc>
          <w:tcPr>
            <w:tcW w:w="787" w:type="pct"/>
            <w:shd w:val="clear" w:color="auto" w:fill="auto"/>
            <w:vAlign w:val="center"/>
          </w:tcPr>
          <w:p w:rsidR="00124743" w:rsidRPr="0081589E" w:rsidRDefault="004867E1" w:rsidP="000332CC">
            <w:pPr>
              <w:pStyle w:val="TableText0"/>
              <w:jc w:val="center"/>
            </w:pPr>
            <w:r w:rsidRPr="0081589E">
              <w:t>19.1</w:t>
            </w:r>
            <w:r w:rsidR="00171806" w:rsidRPr="0081589E">
              <w:t>0</w:t>
            </w:r>
            <w:r w:rsidRPr="0081589E">
              <w:t xml:space="preserve"> infusion</w:t>
            </w:r>
            <w:r w:rsidR="004C7F8C" w:rsidRPr="0081589E">
              <w:t>s</w:t>
            </w:r>
          </w:p>
        </w:tc>
        <w:tc>
          <w:tcPr>
            <w:tcW w:w="795" w:type="pct"/>
            <w:shd w:val="clear" w:color="auto" w:fill="auto"/>
            <w:vAlign w:val="center"/>
          </w:tcPr>
          <w:p w:rsidR="00124743" w:rsidRPr="0081589E" w:rsidRDefault="00567F02" w:rsidP="00567F02">
            <w:pPr>
              <w:pStyle w:val="TableText0"/>
              <w:jc w:val="center"/>
            </w:pPr>
            <w:r w:rsidRPr="0081589E">
              <w:rPr>
                <w:iCs/>
              </w:rPr>
              <w:t>24</w:t>
            </w:r>
            <w:r w:rsidR="001E78AF" w:rsidRPr="0081589E">
              <w:rPr>
                <w:iCs/>
              </w:rPr>
              <w:t>.</w:t>
            </w:r>
            <w:r w:rsidRPr="0081589E">
              <w:rPr>
                <w:iCs/>
              </w:rPr>
              <w:t>89</w:t>
            </w:r>
            <w:r w:rsidR="00FB2EFD" w:rsidRPr="0081589E">
              <w:t xml:space="preserve"> infusion</w:t>
            </w:r>
            <w:r w:rsidR="004C7F8C" w:rsidRPr="0081589E">
              <w:t>s</w:t>
            </w:r>
          </w:p>
        </w:tc>
        <w:tc>
          <w:tcPr>
            <w:tcW w:w="777" w:type="pct"/>
            <w:shd w:val="clear" w:color="auto" w:fill="auto"/>
            <w:vAlign w:val="center"/>
          </w:tcPr>
          <w:p w:rsidR="00124743" w:rsidRPr="0081589E" w:rsidRDefault="00A33465" w:rsidP="004867E1">
            <w:pPr>
              <w:pStyle w:val="TableText0"/>
              <w:jc w:val="center"/>
            </w:pPr>
            <w:r w:rsidRPr="0081589E">
              <w:rPr>
                <w:iCs/>
              </w:rPr>
              <w:t>24.8</w:t>
            </w:r>
            <w:r w:rsidR="00171806" w:rsidRPr="0081589E">
              <w:rPr>
                <w:iCs/>
              </w:rPr>
              <w:t>0</w:t>
            </w:r>
            <w:r w:rsidR="004867E1" w:rsidRPr="0081589E">
              <w:t xml:space="preserve"> </w:t>
            </w:r>
            <w:r w:rsidR="00BA2868" w:rsidRPr="0081589E">
              <w:t>infusion</w:t>
            </w:r>
            <w:r w:rsidR="004C7F8C" w:rsidRPr="0081589E">
              <w:t>s</w:t>
            </w:r>
            <w:r w:rsidRPr="0081589E">
              <w:t xml:space="preserve"> </w:t>
            </w:r>
          </w:p>
        </w:tc>
        <w:tc>
          <w:tcPr>
            <w:tcW w:w="617" w:type="pct"/>
            <w:shd w:val="clear" w:color="auto" w:fill="auto"/>
            <w:vAlign w:val="center"/>
          </w:tcPr>
          <w:p w:rsidR="00124743" w:rsidRPr="0081589E" w:rsidRDefault="00493D65" w:rsidP="004867E1">
            <w:pPr>
              <w:pStyle w:val="TableText0"/>
              <w:jc w:val="center"/>
            </w:pPr>
            <w:r w:rsidRPr="0081589E">
              <w:rPr>
                <w:iCs/>
              </w:rPr>
              <w:t>20.6</w:t>
            </w:r>
            <w:r w:rsidR="00171806" w:rsidRPr="0081589E">
              <w:rPr>
                <w:iCs/>
              </w:rPr>
              <w:t>0</w:t>
            </w:r>
            <w:r w:rsidRPr="0081589E">
              <w:t xml:space="preserve"> </w:t>
            </w:r>
            <w:r w:rsidR="004867E1" w:rsidRPr="0081589E">
              <w:t>weeks</w:t>
            </w:r>
          </w:p>
        </w:tc>
        <w:tc>
          <w:tcPr>
            <w:tcW w:w="699" w:type="pct"/>
            <w:shd w:val="clear" w:color="auto" w:fill="auto"/>
            <w:vAlign w:val="center"/>
          </w:tcPr>
          <w:p w:rsidR="00124743" w:rsidRPr="0081589E" w:rsidRDefault="00681984" w:rsidP="000332CC">
            <w:pPr>
              <w:pStyle w:val="TableText0"/>
              <w:jc w:val="center"/>
            </w:pPr>
            <w:r w:rsidRPr="0081589E">
              <w:rPr>
                <w:iCs/>
              </w:rPr>
              <w:t>2</w:t>
            </w:r>
            <w:r w:rsidR="004867E1" w:rsidRPr="0081589E">
              <w:rPr>
                <w:iCs/>
              </w:rPr>
              <w:t>4</w:t>
            </w:r>
            <w:r w:rsidR="00363738" w:rsidRPr="0081589E">
              <w:rPr>
                <w:iCs/>
              </w:rPr>
              <w:t>.15</w:t>
            </w:r>
            <w:r w:rsidR="004867E1" w:rsidRPr="0081589E">
              <w:t xml:space="preserve"> weeks</w:t>
            </w:r>
          </w:p>
        </w:tc>
        <w:tc>
          <w:tcPr>
            <w:tcW w:w="699" w:type="pct"/>
          </w:tcPr>
          <w:p w:rsidR="00AE4CAC" w:rsidRPr="0081589E" w:rsidRDefault="00AE4CAC" w:rsidP="00AE4CAC">
            <w:pPr>
              <w:pStyle w:val="TableText0"/>
              <w:jc w:val="center"/>
            </w:pPr>
            <w:r w:rsidRPr="0081589E">
              <w:rPr>
                <w:iCs/>
              </w:rPr>
              <w:t>4.8</w:t>
            </w:r>
            <w:r w:rsidR="00171806" w:rsidRPr="0081589E">
              <w:rPr>
                <w:iCs/>
              </w:rPr>
              <w:t>0</w:t>
            </w:r>
            <w:r w:rsidR="004867E1" w:rsidRPr="0081589E">
              <w:t xml:space="preserve"> 30-day scripts</w:t>
            </w:r>
          </w:p>
        </w:tc>
      </w:tr>
      <w:tr w:rsidR="00BA2868" w:rsidRPr="0081589E" w:rsidTr="00AB55FB">
        <w:trPr>
          <w:cantSplit/>
          <w:jc w:val="center"/>
        </w:trPr>
        <w:tc>
          <w:tcPr>
            <w:tcW w:w="625" w:type="pct"/>
            <w:shd w:val="clear" w:color="auto" w:fill="auto"/>
            <w:vAlign w:val="center"/>
          </w:tcPr>
          <w:p w:rsidR="00BA2868" w:rsidRPr="0081589E" w:rsidRDefault="00BA2868" w:rsidP="00D9757E">
            <w:pPr>
              <w:pStyle w:val="TableText0"/>
            </w:pPr>
            <w:r w:rsidRPr="0081589E">
              <w:t>Cost</w:t>
            </w:r>
          </w:p>
        </w:tc>
        <w:tc>
          <w:tcPr>
            <w:tcW w:w="787" w:type="pct"/>
            <w:shd w:val="clear" w:color="auto" w:fill="auto"/>
            <w:vAlign w:val="center"/>
          </w:tcPr>
          <w:p w:rsidR="00BA2868" w:rsidRPr="0081589E" w:rsidRDefault="00BA2868" w:rsidP="00034844">
            <w:pPr>
              <w:pStyle w:val="TableText0"/>
              <w:jc w:val="center"/>
            </w:pPr>
            <w:r w:rsidRPr="0081589E">
              <w:t>$</w:t>
            </w:r>
            <w:r w:rsidR="00B21624">
              <w:rPr>
                <w:noProof/>
                <w:color w:val="000000"/>
                <w:highlight w:val="black"/>
              </w:rPr>
              <w:t>''''''''''''''''''''''</w:t>
            </w:r>
            <w:r w:rsidR="00034844" w:rsidRPr="0081589E">
              <w:t xml:space="preserve"> </w:t>
            </w:r>
            <w:r w:rsidRPr="0081589E">
              <w:t>(per infusion)</w:t>
            </w:r>
          </w:p>
        </w:tc>
        <w:tc>
          <w:tcPr>
            <w:tcW w:w="795" w:type="pct"/>
            <w:shd w:val="clear" w:color="auto" w:fill="auto"/>
            <w:vAlign w:val="center"/>
          </w:tcPr>
          <w:p w:rsidR="00BA2868" w:rsidRPr="0081589E" w:rsidRDefault="00BA2868" w:rsidP="00034844">
            <w:pPr>
              <w:pStyle w:val="TableText0"/>
              <w:jc w:val="center"/>
            </w:pPr>
            <w:r w:rsidRPr="0081589E">
              <w:t>$</w:t>
            </w:r>
            <w:r w:rsidR="00B21624">
              <w:rPr>
                <w:noProof/>
                <w:color w:val="000000"/>
                <w:highlight w:val="black"/>
              </w:rPr>
              <w:t>''''''''''''''''</w:t>
            </w:r>
            <w:r w:rsidR="00034844" w:rsidRPr="0081589E">
              <w:t xml:space="preserve"> </w:t>
            </w:r>
            <w:r w:rsidRPr="0081589E">
              <w:t>(per infusion)</w:t>
            </w:r>
          </w:p>
        </w:tc>
        <w:tc>
          <w:tcPr>
            <w:tcW w:w="777" w:type="pct"/>
            <w:shd w:val="clear" w:color="auto" w:fill="auto"/>
            <w:vAlign w:val="center"/>
          </w:tcPr>
          <w:p w:rsidR="00BA2868" w:rsidRPr="0081589E" w:rsidRDefault="00BA2868" w:rsidP="00034844">
            <w:pPr>
              <w:pStyle w:val="TableText0"/>
              <w:jc w:val="center"/>
            </w:pPr>
            <w:r w:rsidRPr="0081589E">
              <w:t>$</w:t>
            </w:r>
            <w:r w:rsidR="00B21624">
              <w:rPr>
                <w:noProof/>
                <w:color w:val="000000"/>
                <w:highlight w:val="black"/>
              </w:rPr>
              <w:t>'''''''''''''''''''''</w:t>
            </w:r>
            <w:r w:rsidRPr="0081589E">
              <w:t xml:space="preserve"> (per infusion)</w:t>
            </w:r>
          </w:p>
        </w:tc>
        <w:tc>
          <w:tcPr>
            <w:tcW w:w="617" w:type="pct"/>
            <w:shd w:val="clear" w:color="auto" w:fill="auto"/>
            <w:vAlign w:val="center"/>
          </w:tcPr>
          <w:p w:rsidR="00BA2868" w:rsidRPr="0081589E" w:rsidRDefault="00493D65" w:rsidP="00C241C9">
            <w:pPr>
              <w:pStyle w:val="TableText0"/>
              <w:jc w:val="center"/>
            </w:pPr>
            <w:r w:rsidRPr="0081589E">
              <w:t>$</w:t>
            </w:r>
            <w:r w:rsidR="00C241C9" w:rsidRPr="0081589E">
              <w:t>1,039.32</w:t>
            </w:r>
            <w:r w:rsidRPr="0081589E">
              <w:t xml:space="preserve"> (per week)</w:t>
            </w:r>
          </w:p>
        </w:tc>
        <w:tc>
          <w:tcPr>
            <w:tcW w:w="699" w:type="pct"/>
            <w:shd w:val="clear" w:color="auto" w:fill="auto"/>
            <w:vAlign w:val="center"/>
          </w:tcPr>
          <w:p w:rsidR="00BA2868" w:rsidRPr="0081589E" w:rsidRDefault="00FE7744" w:rsidP="00C241C9">
            <w:pPr>
              <w:pStyle w:val="TableText0"/>
              <w:jc w:val="center"/>
            </w:pPr>
            <w:r w:rsidRPr="0081589E">
              <w:t>$</w:t>
            </w:r>
            <w:r w:rsidR="00C241C9" w:rsidRPr="0081589E">
              <w:t>1,039.32</w:t>
            </w:r>
            <w:r w:rsidRPr="0081589E">
              <w:t xml:space="preserve"> </w:t>
            </w:r>
            <w:r w:rsidR="008E1AF7" w:rsidRPr="0081589E">
              <w:t>(per week)</w:t>
            </w:r>
          </w:p>
        </w:tc>
        <w:tc>
          <w:tcPr>
            <w:tcW w:w="699" w:type="pct"/>
          </w:tcPr>
          <w:p w:rsidR="00BA2868" w:rsidRPr="0081589E" w:rsidRDefault="00AE4CAC" w:rsidP="00171806">
            <w:pPr>
              <w:pStyle w:val="TableText0"/>
              <w:jc w:val="center"/>
            </w:pPr>
            <w:r w:rsidRPr="0081589E">
              <w:t>$4,</w:t>
            </w:r>
            <w:r w:rsidR="00171806" w:rsidRPr="0081589E">
              <w:t>454</w:t>
            </w:r>
            <w:r w:rsidRPr="0081589E">
              <w:t>.</w:t>
            </w:r>
            <w:r w:rsidR="00171806" w:rsidRPr="0081589E">
              <w:t>24</w:t>
            </w:r>
            <w:r w:rsidRPr="0081589E">
              <w:t xml:space="preserve"> (per 30-day script)</w:t>
            </w:r>
          </w:p>
        </w:tc>
      </w:tr>
      <w:tr w:rsidR="004C7F8C" w:rsidRPr="0081589E" w:rsidTr="00AB55FB">
        <w:trPr>
          <w:cantSplit/>
          <w:jc w:val="center"/>
        </w:trPr>
        <w:tc>
          <w:tcPr>
            <w:tcW w:w="625" w:type="pct"/>
            <w:shd w:val="clear" w:color="auto" w:fill="auto"/>
            <w:vAlign w:val="center"/>
          </w:tcPr>
          <w:p w:rsidR="004C7F8C" w:rsidRPr="0081589E" w:rsidRDefault="004C7F8C" w:rsidP="00D9757E">
            <w:pPr>
              <w:pStyle w:val="TableText0"/>
              <w:rPr>
                <w:vertAlign w:val="superscript"/>
              </w:rPr>
            </w:pPr>
            <w:r w:rsidRPr="0081589E">
              <w:t>Cost/patient</w:t>
            </w:r>
          </w:p>
        </w:tc>
        <w:tc>
          <w:tcPr>
            <w:tcW w:w="787" w:type="pct"/>
            <w:shd w:val="clear" w:color="auto" w:fill="auto"/>
            <w:vAlign w:val="center"/>
          </w:tcPr>
          <w:p w:rsidR="004C7F8C" w:rsidRPr="0081589E" w:rsidRDefault="004C7F8C" w:rsidP="004C7F8C">
            <w:pPr>
              <w:pStyle w:val="TableText0"/>
              <w:jc w:val="center"/>
              <w:rPr>
                <w:iCs/>
              </w:rPr>
            </w:pPr>
            <w:r w:rsidRPr="0081589E">
              <w:rPr>
                <w:rFonts w:cs="Calibri"/>
                <w:iCs/>
                <w:color w:val="000000"/>
                <w:szCs w:val="20"/>
              </w:rPr>
              <w:t>$</w:t>
            </w:r>
            <w:r w:rsidR="00B21624">
              <w:rPr>
                <w:rFonts w:cs="Calibri"/>
                <w:iCs/>
                <w:noProof/>
                <w:color w:val="000000"/>
                <w:szCs w:val="20"/>
                <w:highlight w:val="black"/>
              </w:rPr>
              <w:t>''''''''''''''''''''''</w:t>
            </w:r>
          </w:p>
        </w:tc>
        <w:tc>
          <w:tcPr>
            <w:tcW w:w="795" w:type="pct"/>
            <w:shd w:val="clear" w:color="auto" w:fill="auto"/>
            <w:vAlign w:val="center"/>
          </w:tcPr>
          <w:p w:rsidR="004C7F8C" w:rsidRPr="0081589E" w:rsidRDefault="004C7F8C" w:rsidP="00567F02">
            <w:pPr>
              <w:pStyle w:val="TableText0"/>
              <w:jc w:val="center"/>
              <w:rPr>
                <w:iCs/>
              </w:rPr>
            </w:pPr>
            <w:r w:rsidRPr="0081589E">
              <w:rPr>
                <w:rFonts w:cs="Calibri"/>
                <w:iCs/>
                <w:color w:val="000000"/>
                <w:szCs w:val="20"/>
              </w:rPr>
              <w:t>$</w:t>
            </w:r>
            <w:r w:rsidR="00B21624">
              <w:rPr>
                <w:rFonts w:cs="Calibri"/>
                <w:iCs/>
                <w:noProof/>
                <w:color w:val="000000"/>
                <w:szCs w:val="20"/>
                <w:highlight w:val="black"/>
              </w:rPr>
              <w:t>'''''''''''''''''''''''''''</w:t>
            </w:r>
          </w:p>
        </w:tc>
        <w:tc>
          <w:tcPr>
            <w:tcW w:w="777" w:type="pct"/>
            <w:shd w:val="clear" w:color="auto" w:fill="auto"/>
            <w:vAlign w:val="center"/>
          </w:tcPr>
          <w:p w:rsidR="004C7F8C" w:rsidRPr="0081589E" w:rsidRDefault="004C7F8C" w:rsidP="00E36D70">
            <w:pPr>
              <w:pStyle w:val="TableText0"/>
              <w:jc w:val="center"/>
              <w:rPr>
                <w:iCs/>
              </w:rPr>
            </w:pPr>
            <w:r w:rsidRPr="0081589E">
              <w:rPr>
                <w:rFonts w:cs="Calibri"/>
                <w:iCs/>
                <w:color w:val="000000"/>
                <w:szCs w:val="20"/>
              </w:rPr>
              <w:t>$</w:t>
            </w:r>
            <w:r w:rsidR="00B21624">
              <w:rPr>
                <w:rFonts w:cs="Calibri"/>
                <w:iCs/>
                <w:noProof/>
                <w:color w:val="000000"/>
                <w:szCs w:val="20"/>
                <w:highlight w:val="black"/>
              </w:rPr>
              <w:t>'''''''''''''''''''''''''''''</w:t>
            </w:r>
          </w:p>
        </w:tc>
        <w:tc>
          <w:tcPr>
            <w:tcW w:w="617" w:type="pct"/>
            <w:shd w:val="clear" w:color="auto" w:fill="auto"/>
            <w:vAlign w:val="center"/>
          </w:tcPr>
          <w:p w:rsidR="004C7F8C" w:rsidRPr="0081589E" w:rsidRDefault="004C7F8C" w:rsidP="006914D9">
            <w:pPr>
              <w:pStyle w:val="TableText0"/>
              <w:jc w:val="center"/>
              <w:rPr>
                <w:iCs/>
              </w:rPr>
            </w:pPr>
            <w:r w:rsidRPr="0081589E">
              <w:rPr>
                <w:rFonts w:cs="Calibri"/>
                <w:iCs/>
                <w:color w:val="000000"/>
                <w:szCs w:val="20"/>
              </w:rPr>
              <w:t>$1</w:t>
            </w:r>
            <w:r w:rsidR="00C241C9" w:rsidRPr="0081589E">
              <w:rPr>
                <w:rFonts w:cs="Calibri"/>
                <w:iCs/>
                <w:color w:val="000000"/>
                <w:szCs w:val="20"/>
              </w:rPr>
              <w:t>9,0</w:t>
            </w:r>
            <w:r w:rsidR="00DB7497" w:rsidRPr="0081589E">
              <w:rPr>
                <w:rFonts w:cs="Calibri"/>
                <w:iCs/>
                <w:color w:val="000000"/>
                <w:szCs w:val="20"/>
              </w:rPr>
              <w:t>46.33</w:t>
            </w:r>
          </w:p>
        </w:tc>
        <w:tc>
          <w:tcPr>
            <w:tcW w:w="699" w:type="pct"/>
            <w:shd w:val="clear" w:color="auto" w:fill="auto"/>
            <w:vAlign w:val="center"/>
          </w:tcPr>
          <w:p w:rsidR="004C7F8C" w:rsidRPr="0081589E" w:rsidRDefault="004C7F8C" w:rsidP="00106678">
            <w:pPr>
              <w:pStyle w:val="TableText0"/>
              <w:jc w:val="center"/>
              <w:rPr>
                <w:iCs/>
              </w:rPr>
            </w:pPr>
            <w:r w:rsidRPr="0081589E">
              <w:rPr>
                <w:rFonts w:cs="Calibri"/>
                <w:iCs/>
                <w:color w:val="000000"/>
                <w:szCs w:val="20"/>
              </w:rPr>
              <w:t>$2</w:t>
            </w:r>
            <w:r w:rsidR="006914D9" w:rsidRPr="0081589E">
              <w:rPr>
                <w:rFonts w:cs="Calibri"/>
                <w:iCs/>
                <w:color w:val="000000"/>
                <w:szCs w:val="20"/>
              </w:rPr>
              <w:t>2,</w:t>
            </w:r>
            <w:r w:rsidR="00363738" w:rsidRPr="0081589E">
              <w:rPr>
                <w:rFonts w:cs="Calibri"/>
                <w:iCs/>
                <w:color w:val="000000"/>
                <w:szCs w:val="20"/>
              </w:rPr>
              <w:t>316</w:t>
            </w:r>
            <w:r w:rsidR="006914D9" w:rsidRPr="0081589E">
              <w:rPr>
                <w:rFonts w:cs="Calibri"/>
                <w:iCs/>
                <w:color w:val="000000"/>
                <w:szCs w:val="20"/>
              </w:rPr>
              <w:t>.</w:t>
            </w:r>
            <w:r w:rsidR="00363738" w:rsidRPr="0081589E">
              <w:rPr>
                <w:rFonts w:cs="Calibri"/>
                <w:iCs/>
                <w:color w:val="000000"/>
                <w:szCs w:val="20"/>
              </w:rPr>
              <w:t>0</w:t>
            </w:r>
            <w:r w:rsidR="00DB7497" w:rsidRPr="0081589E">
              <w:rPr>
                <w:rFonts w:cs="Calibri"/>
                <w:iCs/>
                <w:color w:val="000000"/>
                <w:szCs w:val="20"/>
              </w:rPr>
              <w:t>3</w:t>
            </w:r>
          </w:p>
        </w:tc>
        <w:tc>
          <w:tcPr>
            <w:tcW w:w="699" w:type="pct"/>
            <w:vAlign w:val="center"/>
          </w:tcPr>
          <w:p w:rsidR="004C7F8C" w:rsidRPr="0081589E" w:rsidRDefault="004C7F8C" w:rsidP="00BF67E7">
            <w:pPr>
              <w:pStyle w:val="TableText0"/>
              <w:jc w:val="center"/>
              <w:rPr>
                <w:iCs/>
              </w:rPr>
            </w:pPr>
            <w:r w:rsidRPr="0081589E">
              <w:rPr>
                <w:rFonts w:cs="Calibri"/>
                <w:iCs/>
                <w:color w:val="000000"/>
                <w:szCs w:val="20"/>
              </w:rPr>
              <w:t>$1</w:t>
            </w:r>
            <w:r w:rsidR="00171806" w:rsidRPr="0081589E">
              <w:rPr>
                <w:rFonts w:cs="Calibri"/>
                <w:iCs/>
                <w:color w:val="000000"/>
                <w:szCs w:val="20"/>
              </w:rPr>
              <w:t>9,0</w:t>
            </w:r>
            <w:r w:rsidR="00BF67E7" w:rsidRPr="0081589E">
              <w:rPr>
                <w:rFonts w:cs="Calibri"/>
                <w:iCs/>
                <w:color w:val="000000"/>
                <w:szCs w:val="20"/>
              </w:rPr>
              <w:t>28</w:t>
            </w:r>
            <w:r w:rsidR="00171806" w:rsidRPr="0081589E">
              <w:rPr>
                <w:rFonts w:cs="Calibri"/>
                <w:iCs/>
                <w:color w:val="000000"/>
                <w:szCs w:val="20"/>
              </w:rPr>
              <w:t>.</w:t>
            </w:r>
            <w:r w:rsidR="00BF67E7" w:rsidRPr="0081589E">
              <w:rPr>
                <w:rFonts w:cs="Calibri"/>
                <w:iCs/>
                <w:color w:val="000000"/>
                <w:szCs w:val="20"/>
              </w:rPr>
              <w:t>51</w:t>
            </w:r>
          </w:p>
        </w:tc>
      </w:tr>
    </w:tbl>
    <w:p w:rsidR="00124743" w:rsidRPr="00AC6C6F" w:rsidRDefault="00124743" w:rsidP="00124743">
      <w:pPr>
        <w:pStyle w:val="TableFigureFooter"/>
      </w:pPr>
      <w:r w:rsidRPr="00AC6C6F">
        <w:t xml:space="preserve">Source: </w:t>
      </w:r>
      <w:r w:rsidR="00FC4808" w:rsidRPr="00AC6C6F">
        <w:t>Table 12.1.1-1 p</w:t>
      </w:r>
      <w:r w:rsidR="001E79E7" w:rsidRPr="00AC6C6F">
        <w:t xml:space="preserve">167-168 of the CSR; </w:t>
      </w:r>
      <w:r w:rsidR="00156C32" w:rsidRPr="00AC6C6F">
        <w:t>Section 3 workbook</w:t>
      </w:r>
      <w:r w:rsidR="00355DF1" w:rsidRPr="00AC6C6F">
        <w:t xml:space="preserve">; Section 4 workbook; </w:t>
      </w:r>
    </w:p>
    <w:p w:rsidR="000E7DFE" w:rsidRPr="00AC6C6F" w:rsidRDefault="00CD2472" w:rsidP="00124743">
      <w:pPr>
        <w:pStyle w:val="TableFigureFooter"/>
      </w:pPr>
      <w:r w:rsidRPr="00AC6C6F">
        <w:t xml:space="preserve">Note: </w:t>
      </w:r>
      <w:r w:rsidR="00194855" w:rsidRPr="00AC6C6F">
        <w:t xml:space="preserve">cost/patient/year = mean dose </w:t>
      </w:r>
      <w:r w:rsidR="00E7652A" w:rsidRPr="00AC6C6F">
        <w:t xml:space="preserve">intensity </w:t>
      </w:r>
      <w:r w:rsidR="00194855" w:rsidRPr="00AC6C6F">
        <w:t>x mean duration x cost/patient</w:t>
      </w:r>
      <w:r w:rsidR="003F695D" w:rsidRPr="00AC6C6F">
        <w:t xml:space="preserve"> (per infusion or per week or per 30-day script)</w:t>
      </w:r>
      <w:r w:rsidR="00A36B7C" w:rsidRPr="00AC6C6F">
        <w:t xml:space="preserve"> </w:t>
      </w:r>
    </w:p>
    <w:p w:rsidR="000E7DFE" w:rsidRPr="00AC6C6F" w:rsidRDefault="000E7DFE" w:rsidP="00124743">
      <w:pPr>
        <w:pStyle w:val="TableFigureFooter"/>
      </w:pPr>
    </w:p>
    <w:p w:rsidR="00124743" w:rsidRPr="00AC6C6F" w:rsidRDefault="00124743" w:rsidP="00124743">
      <w:pPr>
        <w:pStyle w:val="4-SubsectionHeading"/>
      </w:pPr>
      <w:bookmarkStart w:id="21" w:name="_Toc22897647"/>
      <w:bookmarkStart w:id="22" w:name="_Toc22898859"/>
      <w:bookmarkStart w:id="23" w:name="_Toc40177098"/>
      <w:r w:rsidRPr="00AC6C6F">
        <w:t>Estimated PBS usage &amp; financial implications</w:t>
      </w:r>
      <w:bookmarkEnd w:id="21"/>
      <w:bookmarkEnd w:id="22"/>
      <w:bookmarkEnd w:id="23"/>
    </w:p>
    <w:p w:rsidR="00596129" w:rsidRPr="00AC6C6F" w:rsidRDefault="004C564E" w:rsidP="006A23C5">
      <w:pPr>
        <w:pStyle w:val="3-BodyText"/>
        <w:rPr>
          <w:color w:val="0066FF"/>
        </w:rPr>
      </w:pPr>
      <w:r w:rsidRPr="00AC6C6F">
        <w:t xml:space="preserve">This submission was not </w:t>
      </w:r>
      <w:r w:rsidR="00124743" w:rsidRPr="00AC6C6F">
        <w:t>considered by DUSC</w:t>
      </w:r>
      <w:r w:rsidR="00124743" w:rsidRPr="00AC6C6F">
        <w:rPr>
          <w:color w:val="0070C0"/>
        </w:rPr>
        <w:t xml:space="preserve">. </w:t>
      </w:r>
      <w:r w:rsidR="002E7996" w:rsidRPr="00AC6C6F">
        <w:t>The submission used an epidemiological approach, applying both Australian and international data to estimate the prevalence of the disease</w:t>
      </w:r>
      <w:r w:rsidR="00DE5991" w:rsidRPr="00AC6C6F">
        <w:t xml:space="preserve"> </w:t>
      </w:r>
      <w:r w:rsidR="008E5F57" w:rsidRPr="00AC6C6F">
        <w:t xml:space="preserve">as </w:t>
      </w:r>
      <w:r w:rsidR="00DE5991" w:rsidRPr="00AC6C6F">
        <w:t xml:space="preserve">outlined in </w:t>
      </w:r>
      <w:r w:rsidR="00E7652A" w:rsidRPr="00AC6C6F">
        <w:t xml:space="preserve">Table </w:t>
      </w:r>
      <w:r w:rsidR="00A72F8F" w:rsidRPr="00AC6C6F">
        <w:t>18</w:t>
      </w:r>
      <w:r w:rsidR="002E7996" w:rsidRPr="00AC6C6F">
        <w:t xml:space="preserve">. </w:t>
      </w:r>
      <w:r w:rsidR="002E7996" w:rsidRPr="00AC6C6F">
        <w:rPr>
          <w:iCs/>
        </w:rPr>
        <w:t xml:space="preserve">Applying an epidemiological approach may have been justified given that the submission </w:t>
      </w:r>
      <w:r w:rsidR="00E7652A" w:rsidRPr="00AC6C6F">
        <w:rPr>
          <w:iCs/>
        </w:rPr>
        <w:t>sought</w:t>
      </w:r>
      <w:r w:rsidR="002E7996" w:rsidRPr="00AC6C6F">
        <w:rPr>
          <w:iCs/>
        </w:rPr>
        <w:t xml:space="preserve"> a listing broader than that of vorinostat and brentuximab</w:t>
      </w:r>
      <w:r w:rsidR="00E7652A" w:rsidRPr="00AC6C6F">
        <w:rPr>
          <w:iCs/>
        </w:rPr>
        <w:t>. H</w:t>
      </w:r>
      <w:r w:rsidR="002B3820" w:rsidRPr="00AC6C6F">
        <w:rPr>
          <w:iCs/>
        </w:rPr>
        <w:t>owever</w:t>
      </w:r>
      <w:r w:rsidR="00E7652A" w:rsidRPr="00AC6C6F">
        <w:rPr>
          <w:iCs/>
        </w:rPr>
        <w:t>,</w:t>
      </w:r>
      <w:r w:rsidR="002B3820" w:rsidRPr="00AC6C6F">
        <w:rPr>
          <w:iCs/>
        </w:rPr>
        <w:t xml:space="preserve"> </w:t>
      </w:r>
      <w:r w:rsidR="00E7652A" w:rsidRPr="00AC6C6F">
        <w:rPr>
          <w:iCs/>
        </w:rPr>
        <w:t>the submission</w:t>
      </w:r>
      <w:r w:rsidR="006935CB" w:rsidRPr="00AC6C6F">
        <w:t xml:space="preserve"> </w:t>
      </w:r>
      <w:r w:rsidR="00E7652A" w:rsidRPr="00AC6C6F">
        <w:t>applied</w:t>
      </w:r>
      <w:r w:rsidR="00A8038F" w:rsidRPr="00AC6C6F">
        <w:t xml:space="preserve"> oversimplified assumptions</w:t>
      </w:r>
      <w:r w:rsidR="00E7652A" w:rsidRPr="00AC6C6F">
        <w:t xml:space="preserve"> regarding</w:t>
      </w:r>
      <w:r w:rsidR="00596129" w:rsidRPr="00AC6C6F">
        <w:t xml:space="preserve"> </w:t>
      </w:r>
      <w:r w:rsidR="00B265EA" w:rsidRPr="00AC6C6F">
        <w:t xml:space="preserve">the </w:t>
      </w:r>
      <w:r w:rsidR="00BE4708" w:rsidRPr="00AC6C6F">
        <w:t>eligible patient population</w:t>
      </w:r>
      <w:r w:rsidR="00596129" w:rsidRPr="00AC6C6F">
        <w:t>, inputs that could not be verified with respect to patients’ progression on prior therapies</w:t>
      </w:r>
      <w:r w:rsidR="00D7123B" w:rsidRPr="00AC6C6F">
        <w:t xml:space="preserve"> </w:t>
      </w:r>
      <w:r w:rsidR="00D67525" w:rsidRPr="00AC6C6F">
        <w:t xml:space="preserve">and </w:t>
      </w:r>
      <w:r w:rsidR="00E7652A" w:rsidRPr="00AC6C6F">
        <w:t>did not adequately</w:t>
      </w:r>
      <w:r w:rsidR="00D67525" w:rsidRPr="00AC6C6F">
        <w:t xml:space="preserve"> account</w:t>
      </w:r>
      <w:r w:rsidR="00E7652A" w:rsidRPr="00AC6C6F">
        <w:t xml:space="preserve"> for differences in t</w:t>
      </w:r>
      <w:r w:rsidR="00D67525" w:rsidRPr="00AC6C6F">
        <w:t>he current PBS population</w:t>
      </w:r>
      <w:r w:rsidR="00E7652A" w:rsidRPr="00AC6C6F">
        <w:t>s</w:t>
      </w:r>
      <w:r w:rsidR="003872AB" w:rsidRPr="00AC6C6F">
        <w:t xml:space="preserve"> </w:t>
      </w:r>
      <w:r w:rsidR="004E16F3" w:rsidRPr="00AC6C6F">
        <w:t xml:space="preserve">for vorinostat </w:t>
      </w:r>
      <w:r w:rsidR="00E7652A" w:rsidRPr="00AC6C6F">
        <w:t xml:space="preserve">(SCT ineligible) </w:t>
      </w:r>
      <w:r w:rsidR="004E16F3" w:rsidRPr="00AC6C6F">
        <w:t xml:space="preserve">and brentuximab </w:t>
      </w:r>
      <w:r w:rsidR="00E7652A" w:rsidRPr="00AC6C6F">
        <w:t xml:space="preserve">(CD30+) </w:t>
      </w:r>
      <w:r w:rsidR="004E16F3" w:rsidRPr="00AC6C6F">
        <w:t>that were likely to be different from the proposed mogamulizumab population.</w:t>
      </w:r>
      <w:r w:rsidR="000442B5" w:rsidRPr="00AC6C6F">
        <w:t xml:space="preserve"> </w:t>
      </w:r>
      <w:r w:rsidR="00596129" w:rsidRPr="00AC6C6F">
        <w:t xml:space="preserve">On balance, </w:t>
      </w:r>
      <w:r w:rsidR="008E5F57" w:rsidRPr="00AC6C6F">
        <w:t xml:space="preserve">during the evaluation </w:t>
      </w:r>
      <w:r w:rsidR="00596129" w:rsidRPr="00AC6C6F">
        <w:t xml:space="preserve">it </w:t>
      </w:r>
      <w:r w:rsidR="008E5F57" w:rsidRPr="00AC6C6F">
        <w:t>wa</w:t>
      </w:r>
      <w:r w:rsidR="00596129" w:rsidRPr="00AC6C6F">
        <w:t>s</w:t>
      </w:r>
      <w:r w:rsidR="008E5F57" w:rsidRPr="00AC6C6F">
        <w:t xml:space="preserve"> considered</w:t>
      </w:r>
      <w:r w:rsidR="00596129" w:rsidRPr="00AC6C6F">
        <w:t xml:space="preserve"> unclear whether the resulting utilisation estimates were under</w:t>
      </w:r>
      <w:r w:rsidR="00B265EA" w:rsidRPr="00AC6C6F">
        <w:t xml:space="preserve"> or o</w:t>
      </w:r>
      <w:r w:rsidR="00596129" w:rsidRPr="00AC6C6F">
        <w:t>ver</w:t>
      </w:r>
      <w:r w:rsidR="00B265EA" w:rsidRPr="00AC6C6F">
        <w:t>-</w:t>
      </w:r>
      <w:r w:rsidR="00596129" w:rsidRPr="00AC6C6F">
        <w:t>estimated.</w:t>
      </w:r>
    </w:p>
    <w:p w:rsidR="00124743" w:rsidRPr="00AC6C6F" w:rsidRDefault="00DE5991" w:rsidP="00124743">
      <w:pPr>
        <w:pStyle w:val="TableFigureHeading"/>
        <w:rPr>
          <w:rStyle w:val="CommentReference"/>
          <w:b/>
        </w:rPr>
      </w:pPr>
      <w:r w:rsidRPr="00AC6C6F">
        <w:rPr>
          <w:rStyle w:val="CommentReference"/>
          <w:b/>
        </w:rPr>
        <w:t xml:space="preserve">Table </w:t>
      </w:r>
      <w:r w:rsidR="00A72F8F" w:rsidRPr="00AC6C6F">
        <w:rPr>
          <w:rStyle w:val="CommentReference"/>
          <w:b/>
        </w:rPr>
        <w:t>18</w:t>
      </w:r>
      <w:r w:rsidR="00124743" w:rsidRPr="00AC6C6F">
        <w:rPr>
          <w:rStyle w:val="CommentReference"/>
          <w:b/>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124743" w:rsidRPr="00AC6C6F" w:rsidTr="000332CC">
        <w:trPr>
          <w:tblHeader/>
        </w:trPr>
        <w:tc>
          <w:tcPr>
            <w:tcW w:w="950" w:type="pct"/>
            <w:shd w:val="clear" w:color="auto" w:fill="auto"/>
            <w:vAlign w:val="center"/>
          </w:tcPr>
          <w:p w:rsidR="00124743" w:rsidRPr="00AC6C6F" w:rsidRDefault="00124743" w:rsidP="000332CC">
            <w:pPr>
              <w:pStyle w:val="In-tableHeading"/>
              <w:rPr>
                <w:lang w:val="en-AU"/>
              </w:rPr>
            </w:pPr>
            <w:r w:rsidRPr="00AC6C6F">
              <w:rPr>
                <w:lang w:val="en-AU"/>
              </w:rPr>
              <w:t>Parameter</w:t>
            </w:r>
          </w:p>
        </w:tc>
        <w:tc>
          <w:tcPr>
            <w:tcW w:w="2270" w:type="pct"/>
            <w:shd w:val="clear" w:color="auto" w:fill="auto"/>
            <w:vAlign w:val="center"/>
          </w:tcPr>
          <w:p w:rsidR="00124743" w:rsidRPr="00AC6C6F" w:rsidRDefault="00124743" w:rsidP="000332CC">
            <w:pPr>
              <w:pStyle w:val="In-tableHeading"/>
              <w:rPr>
                <w:lang w:val="en-AU"/>
              </w:rPr>
            </w:pPr>
            <w:r w:rsidRPr="00AC6C6F">
              <w:rPr>
                <w:lang w:val="en-AU"/>
              </w:rPr>
              <w:t>Value applied and source</w:t>
            </w:r>
          </w:p>
        </w:tc>
        <w:tc>
          <w:tcPr>
            <w:tcW w:w="1780" w:type="pct"/>
            <w:shd w:val="clear" w:color="auto" w:fill="auto"/>
            <w:vAlign w:val="center"/>
          </w:tcPr>
          <w:p w:rsidR="00124743" w:rsidRPr="00AC6C6F" w:rsidRDefault="00124743" w:rsidP="000332CC">
            <w:pPr>
              <w:pStyle w:val="In-tableHeading"/>
              <w:rPr>
                <w:lang w:val="en-AU"/>
              </w:rPr>
            </w:pPr>
            <w:r w:rsidRPr="00AC6C6F">
              <w:rPr>
                <w:lang w:val="en-AU"/>
              </w:rPr>
              <w:t>Comment</w:t>
            </w:r>
          </w:p>
        </w:tc>
      </w:tr>
      <w:tr w:rsidR="00124743" w:rsidRPr="00AC6C6F" w:rsidTr="000332CC">
        <w:tc>
          <w:tcPr>
            <w:tcW w:w="950" w:type="pct"/>
            <w:shd w:val="clear" w:color="auto" w:fill="auto"/>
            <w:vAlign w:val="center"/>
          </w:tcPr>
          <w:p w:rsidR="00124743" w:rsidRPr="00AC6C6F" w:rsidRDefault="00EC25A6" w:rsidP="000332CC">
            <w:pPr>
              <w:pStyle w:val="TableText0"/>
            </w:pPr>
            <w:r w:rsidRPr="00AC6C6F">
              <w:t>P</w:t>
            </w:r>
            <w:r w:rsidR="00124743" w:rsidRPr="00AC6C6F">
              <w:t>revalent population</w:t>
            </w:r>
          </w:p>
        </w:tc>
        <w:tc>
          <w:tcPr>
            <w:tcW w:w="2270" w:type="pct"/>
            <w:shd w:val="clear" w:color="auto" w:fill="auto"/>
            <w:vAlign w:val="center"/>
          </w:tcPr>
          <w:p w:rsidR="00E67D63" w:rsidRPr="00AC6C6F" w:rsidRDefault="00E67D63" w:rsidP="00E67D63">
            <w:pPr>
              <w:pStyle w:val="TableText0"/>
            </w:pPr>
            <w:r w:rsidRPr="00AC6C6F">
              <w:t>Using reported 33-year prevalence of NHL reported by AIHW in 2014 (44,783 patients), the submission projected 51,442 patients with NHL in 2021</w:t>
            </w:r>
            <w:r w:rsidR="005845B4" w:rsidRPr="00AC6C6F">
              <w:t xml:space="preserve"> (assuming 2% growth of the Australian population</w:t>
            </w:r>
            <w:r w:rsidR="00EF0099" w:rsidRPr="00AC6C6F">
              <w:t>; ABS</w:t>
            </w:r>
            <w:r w:rsidR="005845B4" w:rsidRPr="00AC6C6F">
              <w:t>)</w:t>
            </w:r>
            <w:r w:rsidRPr="00AC6C6F">
              <w:t xml:space="preserve">. The submission assumed 3% of NHL was CTCL based on </w:t>
            </w:r>
            <w:r w:rsidR="000F7E12" w:rsidRPr="00AC6C6F">
              <w:t>LRC 2019</w:t>
            </w:r>
            <w:r w:rsidR="00D27977" w:rsidRPr="00AC6C6F">
              <w:t xml:space="preserve"> and Huhes et al. 2016</w:t>
            </w:r>
            <w:r w:rsidRPr="00AC6C6F">
              <w:t>. This resulted in</w:t>
            </w:r>
            <w:r w:rsidR="005845B4" w:rsidRPr="00AC6C6F">
              <w:t xml:space="preserve"> the</w:t>
            </w:r>
            <w:r w:rsidRPr="00AC6C6F">
              <w:t xml:space="preserve"> estimated</w:t>
            </w:r>
            <w:r w:rsidR="005845B4" w:rsidRPr="00AC6C6F">
              <w:t xml:space="preserve"> number</w:t>
            </w:r>
            <w:r w:rsidRPr="00AC6C6F">
              <w:t xml:space="preserve"> patients with CTCL of 1,543 in 2021. </w:t>
            </w:r>
          </w:p>
        </w:tc>
        <w:tc>
          <w:tcPr>
            <w:tcW w:w="1780" w:type="pct"/>
            <w:shd w:val="clear" w:color="auto" w:fill="auto"/>
            <w:vAlign w:val="center"/>
          </w:tcPr>
          <w:p w:rsidR="00124743" w:rsidRPr="00AC6C6F" w:rsidRDefault="00C920C6" w:rsidP="000332CC">
            <w:pPr>
              <w:pStyle w:val="TableText0"/>
            </w:pPr>
            <w:r w:rsidRPr="00AC6C6F">
              <w:t>May</w:t>
            </w:r>
            <w:r w:rsidR="00AC6C6F">
              <w:t xml:space="preserve"> </w:t>
            </w:r>
            <w:r w:rsidRPr="00AC6C6F">
              <w:t xml:space="preserve">be reasonable </w:t>
            </w:r>
          </w:p>
        </w:tc>
      </w:tr>
      <w:tr w:rsidR="008D1CFF" w:rsidRPr="00AC6C6F" w:rsidTr="000332CC">
        <w:tc>
          <w:tcPr>
            <w:tcW w:w="950" w:type="pct"/>
            <w:shd w:val="clear" w:color="auto" w:fill="auto"/>
            <w:vAlign w:val="center"/>
          </w:tcPr>
          <w:p w:rsidR="008D1CFF" w:rsidRPr="00AC6C6F" w:rsidRDefault="008D1CFF" w:rsidP="008D1CFF">
            <w:pPr>
              <w:pStyle w:val="TableText0"/>
            </w:pPr>
            <w:r w:rsidRPr="00AC6C6F">
              <w:t>Total patients</w:t>
            </w:r>
          </w:p>
        </w:tc>
        <w:tc>
          <w:tcPr>
            <w:tcW w:w="2270" w:type="pct"/>
            <w:shd w:val="clear" w:color="auto" w:fill="auto"/>
            <w:vAlign w:val="center"/>
          </w:tcPr>
          <w:p w:rsidR="008D1CFF" w:rsidRPr="00AC6C6F" w:rsidRDefault="008D1CFF" w:rsidP="004A37B7">
            <w:pPr>
              <w:pStyle w:val="TableText0"/>
              <w:numPr>
                <w:ilvl w:val="0"/>
                <w:numId w:val="7"/>
              </w:numPr>
              <w:ind w:left="165" w:hanging="165"/>
            </w:pPr>
            <w:r w:rsidRPr="00AC6C6F">
              <w:t>20% of patients have RR after ≥ 1 prior systemic therapy (assumption)</w:t>
            </w:r>
          </w:p>
          <w:p w:rsidR="008D1CFF" w:rsidRPr="00AC6C6F" w:rsidRDefault="008D1CFF" w:rsidP="004A37B7">
            <w:pPr>
              <w:pStyle w:val="TableText0"/>
              <w:numPr>
                <w:ilvl w:val="0"/>
                <w:numId w:val="7"/>
              </w:numPr>
              <w:ind w:left="165" w:hanging="165"/>
            </w:pPr>
            <w:r w:rsidRPr="00AC6C6F">
              <w:t xml:space="preserve">50% </w:t>
            </w:r>
            <w:r w:rsidR="00B234AF" w:rsidRPr="00AC6C6F">
              <w:t>of</w:t>
            </w:r>
            <w:r w:rsidR="0017147A" w:rsidRPr="00AC6C6F">
              <w:t xml:space="preserve"> eligible </w:t>
            </w:r>
            <w:r w:rsidRPr="00AC6C6F">
              <w:t xml:space="preserve">patients </w:t>
            </w:r>
            <w:r w:rsidR="0017147A" w:rsidRPr="00AC6C6F">
              <w:t>elect</w:t>
            </w:r>
            <w:r w:rsidRPr="00AC6C6F">
              <w:t xml:space="preserve"> </w:t>
            </w:r>
            <w:r w:rsidR="00A7777B" w:rsidRPr="00AC6C6F">
              <w:t>further pharmacotherapy</w:t>
            </w:r>
            <w:r w:rsidR="00B234AF" w:rsidRPr="00AC6C6F">
              <w:t xml:space="preserve"> (</w:t>
            </w:r>
            <w:r w:rsidRPr="00AC6C6F">
              <w:t>assumption)</w:t>
            </w:r>
          </w:p>
        </w:tc>
        <w:tc>
          <w:tcPr>
            <w:tcW w:w="1780" w:type="pct"/>
            <w:shd w:val="clear" w:color="auto" w:fill="auto"/>
            <w:vAlign w:val="center"/>
          </w:tcPr>
          <w:p w:rsidR="008D1CFF" w:rsidRPr="00AC6C6F" w:rsidRDefault="008D1CFF" w:rsidP="008D1CFF">
            <w:pPr>
              <w:pStyle w:val="TableText0"/>
            </w:pPr>
            <w:r w:rsidRPr="00AC6C6F">
              <w:rPr>
                <w:iCs/>
              </w:rPr>
              <w:t>Uncertain and unjustified in the submission.</w:t>
            </w:r>
          </w:p>
        </w:tc>
      </w:tr>
      <w:tr w:rsidR="00EC4487" w:rsidRPr="00AC6C6F" w:rsidTr="000332CC">
        <w:tc>
          <w:tcPr>
            <w:tcW w:w="950" w:type="pct"/>
            <w:shd w:val="clear" w:color="auto" w:fill="auto"/>
            <w:vAlign w:val="center"/>
          </w:tcPr>
          <w:p w:rsidR="00EC4487" w:rsidRPr="00AC6C6F" w:rsidRDefault="00EC4487" w:rsidP="00EC4487">
            <w:pPr>
              <w:pStyle w:val="TableText0"/>
            </w:pPr>
            <w:r w:rsidRPr="00AC6C6F">
              <w:t>Uptake rate</w:t>
            </w:r>
          </w:p>
        </w:tc>
        <w:tc>
          <w:tcPr>
            <w:tcW w:w="2270" w:type="pct"/>
            <w:shd w:val="clear" w:color="auto" w:fill="auto"/>
            <w:vAlign w:val="center"/>
          </w:tcPr>
          <w:p w:rsidR="00EC4487" w:rsidRPr="00AC6C6F" w:rsidRDefault="00EC4487" w:rsidP="00EC4487">
            <w:pPr>
              <w:pStyle w:val="TableText0"/>
            </w:pPr>
            <w:r w:rsidRPr="00AC6C6F">
              <w:t>14% in Year 1 increasing to 40% in Year 4-6. Based on overseas experience and local market research</w:t>
            </w:r>
          </w:p>
        </w:tc>
        <w:tc>
          <w:tcPr>
            <w:tcW w:w="1780" w:type="pct"/>
            <w:shd w:val="clear" w:color="auto" w:fill="auto"/>
            <w:vAlign w:val="center"/>
          </w:tcPr>
          <w:p w:rsidR="00EC4487" w:rsidRPr="00AC6C6F" w:rsidRDefault="00EC4487" w:rsidP="00EC4487">
            <w:pPr>
              <w:pStyle w:val="TableText0"/>
            </w:pPr>
            <w:r w:rsidRPr="00AC6C6F">
              <w:rPr>
                <w:iCs/>
              </w:rPr>
              <w:t>Appears reasonable based on the available data</w:t>
            </w:r>
          </w:p>
        </w:tc>
      </w:tr>
      <w:tr w:rsidR="008D1CFF" w:rsidRPr="00AC6C6F" w:rsidTr="00BA4063">
        <w:tc>
          <w:tcPr>
            <w:tcW w:w="950" w:type="pct"/>
            <w:shd w:val="clear" w:color="auto" w:fill="auto"/>
            <w:vAlign w:val="center"/>
          </w:tcPr>
          <w:p w:rsidR="008D1CFF" w:rsidRPr="00AC6C6F" w:rsidRDefault="008D1CFF" w:rsidP="008D1CFF">
            <w:pPr>
              <w:pStyle w:val="TableText0"/>
            </w:pPr>
            <w:r w:rsidRPr="00AC6C6F">
              <w:t>Compliance rate</w:t>
            </w:r>
          </w:p>
          <w:p w:rsidR="008D1CFF" w:rsidRPr="00AC6C6F" w:rsidRDefault="008D1CFF" w:rsidP="008D1CFF">
            <w:pPr>
              <w:pStyle w:val="TableText0"/>
            </w:pPr>
          </w:p>
        </w:tc>
        <w:tc>
          <w:tcPr>
            <w:tcW w:w="2270" w:type="pct"/>
            <w:shd w:val="clear" w:color="auto" w:fill="auto"/>
          </w:tcPr>
          <w:p w:rsidR="008D1CFF" w:rsidRPr="00AC6C6F" w:rsidRDefault="005C3251" w:rsidP="00EF0099">
            <w:pPr>
              <w:pStyle w:val="TableText0"/>
            </w:pPr>
            <w:r w:rsidRPr="00AC6C6F">
              <w:t>95% compliance rate based on MAVORIC</w:t>
            </w:r>
          </w:p>
        </w:tc>
        <w:tc>
          <w:tcPr>
            <w:tcW w:w="1780" w:type="pct"/>
            <w:shd w:val="clear" w:color="auto" w:fill="auto"/>
            <w:vAlign w:val="center"/>
          </w:tcPr>
          <w:p w:rsidR="008D1CFF" w:rsidRPr="00AC6C6F" w:rsidRDefault="005C3251" w:rsidP="008D1CFF">
            <w:pPr>
              <w:pStyle w:val="TableText0"/>
            </w:pPr>
            <w:r w:rsidRPr="00AC6C6F">
              <w:t xml:space="preserve">Reasonable </w:t>
            </w:r>
          </w:p>
        </w:tc>
      </w:tr>
      <w:tr w:rsidR="008D1CFF" w:rsidRPr="00AC6C6F" w:rsidTr="000332CC">
        <w:tc>
          <w:tcPr>
            <w:tcW w:w="950" w:type="pct"/>
            <w:shd w:val="clear" w:color="auto" w:fill="auto"/>
            <w:vAlign w:val="center"/>
          </w:tcPr>
          <w:p w:rsidR="008D1CFF" w:rsidRPr="00AC6C6F" w:rsidRDefault="008D1CFF" w:rsidP="008D1CFF">
            <w:pPr>
              <w:pStyle w:val="TableText0"/>
            </w:pPr>
            <w:r w:rsidRPr="00AC6C6F">
              <w:t>Dose/duration</w:t>
            </w:r>
          </w:p>
        </w:tc>
        <w:tc>
          <w:tcPr>
            <w:tcW w:w="2270" w:type="pct"/>
            <w:shd w:val="clear" w:color="auto" w:fill="auto"/>
            <w:vAlign w:val="center"/>
          </w:tcPr>
          <w:p w:rsidR="008D1CFF" w:rsidRPr="00AC6C6F" w:rsidRDefault="000723AF" w:rsidP="008D1CFF">
            <w:pPr>
              <w:pStyle w:val="TableText0"/>
            </w:pPr>
            <w:r w:rsidRPr="00AC6C6F">
              <w:t>24.8 scripts</w:t>
            </w:r>
            <w:r w:rsidR="003F4BAC" w:rsidRPr="00AC6C6F">
              <w:t xml:space="preserve"> a year</w:t>
            </w:r>
            <w:r w:rsidR="00D34138" w:rsidRPr="00AC6C6F">
              <w:t xml:space="preserve">; </w:t>
            </w:r>
            <w:r w:rsidR="00EE6D13" w:rsidRPr="00AC6C6F">
              <w:t>8 scripts for initial treatment</w:t>
            </w:r>
            <w:r w:rsidR="00884619" w:rsidRPr="00AC6C6F">
              <w:t>;</w:t>
            </w:r>
            <w:r w:rsidR="00EE6D13" w:rsidRPr="00AC6C6F">
              <w:t xml:space="preserve"> 24 scripts for continuing treatment</w:t>
            </w:r>
            <w:r w:rsidR="00884619" w:rsidRPr="00AC6C6F">
              <w:t xml:space="preserve"> (70% of </w:t>
            </w:r>
            <w:r w:rsidRPr="00AC6C6F">
              <w:t>initial patients</w:t>
            </w:r>
            <w:r w:rsidR="00EF0099" w:rsidRPr="00AC6C6F">
              <w:t xml:space="preserve"> based on MAVORIC</w:t>
            </w:r>
            <w:r w:rsidRPr="00AC6C6F">
              <w:t>)</w:t>
            </w:r>
          </w:p>
        </w:tc>
        <w:tc>
          <w:tcPr>
            <w:tcW w:w="1780" w:type="pct"/>
            <w:shd w:val="clear" w:color="auto" w:fill="auto"/>
            <w:vAlign w:val="center"/>
          </w:tcPr>
          <w:p w:rsidR="008D1CFF" w:rsidRPr="00AC6C6F" w:rsidRDefault="00D34138" w:rsidP="008D1CFF">
            <w:pPr>
              <w:pStyle w:val="TableText0"/>
            </w:pPr>
            <w:r w:rsidRPr="00AC6C6F">
              <w:t>C</w:t>
            </w:r>
            <w:r w:rsidR="008D1CFF" w:rsidRPr="00AC6C6F">
              <w:t>onsistent with the dose/duration in the economic evaluation</w:t>
            </w:r>
          </w:p>
        </w:tc>
      </w:tr>
      <w:tr w:rsidR="008D1CFF" w:rsidRPr="00AC6C6F" w:rsidTr="000332CC">
        <w:tc>
          <w:tcPr>
            <w:tcW w:w="950" w:type="pct"/>
            <w:shd w:val="clear" w:color="auto" w:fill="auto"/>
            <w:vAlign w:val="center"/>
          </w:tcPr>
          <w:p w:rsidR="008D1CFF" w:rsidRPr="00AC6C6F" w:rsidRDefault="002131FC" w:rsidP="008D1CFF">
            <w:pPr>
              <w:pStyle w:val="TableText0"/>
            </w:pPr>
            <w:r w:rsidRPr="00AC6C6F">
              <w:t>O</w:t>
            </w:r>
            <w:r w:rsidR="008D1CFF" w:rsidRPr="00AC6C6F">
              <w:t>ffsets for comparator/ subsequent therapies</w:t>
            </w:r>
          </w:p>
        </w:tc>
        <w:tc>
          <w:tcPr>
            <w:tcW w:w="2270" w:type="pct"/>
            <w:shd w:val="clear" w:color="auto" w:fill="auto"/>
            <w:vAlign w:val="center"/>
          </w:tcPr>
          <w:p w:rsidR="008D1CFF" w:rsidRPr="00AC6C6F" w:rsidRDefault="002131FC" w:rsidP="008D1CFF">
            <w:pPr>
              <w:pStyle w:val="TableText0"/>
            </w:pPr>
            <w:r w:rsidRPr="00AC6C6F">
              <w:t>50%</w:t>
            </w:r>
            <w:r w:rsidR="004449A6" w:rsidRPr="00AC6C6F">
              <w:t xml:space="preserve"> of mogamulizumab use will be as a replacement </w:t>
            </w:r>
            <w:r w:rsidR="005B323E" w:rsidRPr="00AC6C6F">
              <w:t xml:space="preserve">for </w:t>
            </w:r>
            <w:r w:rsidR="004449A6" w:rsidRPr="00AC6C6F">
              <w:t>vorinostat and brentuximab (</w:t>
            </w:r>
            <w:r w:rsidR="00BA5F60" w:rsidRPr="00AC6C6F">
              <w:t xml:space="preserve">70% </w:t>
            </w:r>
            <w:r w:rsidR="001637D3" w:rsidRPr="00AC6C6F">
              <w:t xml:space="preserve">of replacement is </w:t>
            </w:r>
            <w:r w:rsidR="00BA5F60" w:rsidRPr="00AC6C6F">
              <w:t>for vorinostat</w:t>
            </w:r>
            <w:r w:rsidR="001637D3" w:rsidRPr="00AC6C6F">
              <w:t xml:space="preserve"> and </w:t>
            </w:r>
            <w:r w:rsidR="00BA5F60" w:rsidRPr="00AC6C6F">
              <w:t>30% for brentuximab</w:t>
            </w:r>
            <w:r w:rsidR="004449A6" w:rsidRPr="00AC6C6F">
              <w:t>)</w:t>
            </w:r>
          </w:p>
        </w:tc>
        <w:tc>
          <w:tcPr>
            <w:tcW w:w="1780" w:type="pct"/>
            <w:shd w:val="clear" w:color="auto" w:fill="auto"/>
            <w:vAlign w:val="center"/>
          </w:tcPr>
          <w:p w:rsidR="008D1CFF" w:rsidRPr="00AC6C6F" w:rsidRDefault="005846DD" w:rsidP="0023421B">
            <w:pPr>
              <w:pStyle w:val="TableText0"/>
              <w:rPr>
                <w:iCs/>
              </w:rPr>
            </w:pPr>
            <w:r w:rsidRPr="00AC6C6F">
              <w:rPr>
                <w:iCs/>
              </w:rPr>
              <w:t xml:space="preserve">Unjustified. </w:t>
            </w:r>
            <w:r w:rsidR="006D6503" w:rsidRPr="00AC6C6F">
              <w:rPr>
                <w:iCs/>
              </w:rPr>
              <w:t xml:space="preserve">Brentuximab was not included in </w:t>
            </w:r>
            <w:r w:rsidR="0023421B" w:rsidRPr="00AC6C6F">
              <w:rPr>
                <w:iCs/>
              </w:rPr>
              <w:t>the economic evaluation</w:t>
            </w:r>
          </w:p>
        </w:tc>
      </w:tr>
      <w:tr w:rsidR="00355973" w:rsidRPr="00AC6C6F" w:rsidTr="000332CC">
        <w:tc>
          <w:tcPr>
            <w:tcW w:w="950" w:type="pct"/>
            <w:shd w:val="clear" w:color="auto" w:fill="auto"/>
            <w:vAlign w:val="center"/>
          </w:tcPr>
          <w:p w:rsidR="00355973" w:rsidRPr="00AC6C6F" w:rsidRDefault="00355973" w:rsidP="008D1CFF">
            <w:pPr>
              <w:pStyle w:val="TableText0"/>
            </w:pPr>
            <w:r w:rsidRPr="00AC6C6F">
              <w:t>MBS</w:t>
            </w:r>
          </w:p>
        </w:tc>
        <w:tc>
          <w:tcPr>
            <w:tcW w:w="2270" w:type="pct"/>
            <w:shd w:val="clear" w:color="auto" w:fill="auto"/>
            <w:vAlign w:val="center"/>
          </w:tcPr>
          <w:p w:rsidR="00355973" w:rsidRPr="00AC6C6F" w:rsidRDefault="00355973" w:rsidP="008D1CFF">
            <w:pPr>
              <w:pStyle w:val="TableText0"/>
            </w:pPr>
            <w:r w:rsidRPr="00AC6C6F">
              <w:t>None</w:t>
            </w:r>
          </w:p>
        </w:tc>
        <w:tc>
          <w:tcPr>
            <w:tcW w:w="1780" w:type="pct"/>
            <w:shd w:val="clear" w:color="auto" w:fill="auto"/>
            <w:vAlign w:val="center"/>
          </w:tcPr>
          <w:p w:rsidR="00355973" w:rsidRPr="00AC6C6F" w:rsidRDefault="00355973" w:rsidP="002B350A">
            <w:pPr>
              <w:pStyle w:val="TableText0"/>
              <w:rPr>
                <w:iCs/>
              </w:rPr>
            </w:pPr>
            <w:r w:rsidRPr="00AC6C6F">
              <w:t>Administration cost ($99.50 per infusion) while included in the economic model, it was not included in the financial estimate.</w:t>
            </w:r>
            <w:r w:rsidR="00410987" w:rsidRPr="00AC6C6F">
              <w:t xml:space="preserve"> </w:t>
            </w:r>
          </w:p>
        </w:tc>
      </w:tr>
    </w:tbl>
    <w:p w:rsidR="00254B85" w:rsidRPr="00AC6C6F" w:rsidRDefault="00254B85" w:rsidP="00254B85">
      <w:pPr>
        <w:pStyle w:val="TableFigureFooter"/>
      </w:pPr>
      <w:r w:rsidRPr="00AC6C6F">
        <w:t xml:space="preserve">Source: Developed </w:t>
      </w:r>
      <w:r w:rsidR="00B6175E" w:rsidRPr="00AC6C6F">
        <w:t>for the Commentary</w:t>
      </w:r>
      <w:r w:rsidRPr="00AC6C6F">
        <w:t xml:space="preserve"> during the evaluation.</w:t>
      </w:r>
    </w:p>
    <w:p w:rsidR="002B350A" w:rsidRPr="00AC6C6F" w:rsidRDefault="00254B85" w:rsidP="007A0074">
      <w:pPr>
        <w:pStyle w:val="TableFigureFooter"/>
        <w:spacing w:after="0"/>
      </w:pPr>
      <w:r w:rsidRPr="00AC6C6F">
        <w:t>Abbreviations: ABS = Australia Bureau of Statistics;</w:t>
      </w:r>
      <w:r w:rsidR="00D97929" w:rsidRPr="00AC6C6F">
        <w:t xml:space="preserve"> AIHW = Australia Institute of Health and Welfare;</w:t>
      </w:r>
      <w:r w:rsidRPr="00AC6C6F">
        <w:t xml:space="preserve"> CTCL = Cutaneous T-cell lymphoma; </w:t>
      </w:r>
      <w:r w:rsidR="007A0074" w:rsidRPr="00AC6C6F">
        <w:t xml:space="preserve">MBS = </w:t>
      </w:r>
      <w:r w:rsidR="007A0074" w:rsidRPr="00AC6C6F">
        <w:rPr>
          <w:szCs w:val="18"/>
        </w:rPr>
        <w:t>Medical Benefits Schedule</w:t>
      </w:r>
      <w:r w:rsidR="007A0074" w:rsidRPr="00AC6C6F">
        <w:t xml:space="preserve">; </w:t>
      </w:r>
      <w:r w:rsidRPr="00AC6C6F">
        <w:t>NHL = Non-Hodgkin’s Lymphoma; PBS = Pharmaceutical Benefits Scheme; RR = relapsed or refractory</w:t>
      </w:r>
      <w:r w:rsidR="002B350A" w:rsidRPr="00AC6C6F">
        <w:t>.</w:t>
      </w:r>
    </w:p>
    <w:p w:rsidR="00254B85" w:rsidRPr="00AC6C6F" w:rsidRDefault="00254B85" w:rsidP="007A0074">
      <w:pPr>
        <w:pStyle w:val="TableFigureFooter"/>
        <w:spacing w:after="0"/>
      </w:pPr>
      <w:r w:rsidRPr="00AC6C6F">
        <w:t xml:space="preserve"> </w:t>
      </w:r>
    </w:p>
    <w:p w:rsidR="00596129" w:rsidRPr="00AC6C6F" w:rsidRDefault="009C0AD9" w:rsidP="00596129">
      <w:pPr>
        <w:pStyle w:val="3-BodyText"/>
      </w:pPr>
      <w:r w:rsidRPr="00AC6C6F">
        <w:t xml:space="preserve">The submission used the </w:t>
      </w:r>
      <w:r w:rsidR="00596129" w:rsidRPr="00AC6C6F">
        <w:t xml:space="preserve">prevalence of Non-Hodgkin Lymphoma NHL (AIHW 2014) and assumed that 3% </w:t>
      </w:r>
      <w:r w:rsidR="002B350A" w:rsidRPr="00AC6C6F">
        <w:t>of patients had</w:t>
      </w:r>
      <w:r w:rsidRPr="00AC6C6F">
        <w:t xml:space="preserve"> </w:t>
      </w:r>
      <w:r w:rsidR="00596129" w:rsidRPr="00AC6C6F">
        <w:t>CTCL based on published literature (LCR 2019</w:t>
      </w:r>
      <w:r w:rsidR="00D27977" w:rsidRPr="00AC6C6F">
        <w:t>, and Hughes et al. 2016</w:t>
      </w:r>
      <w:r w:rsidR="00596129" w:rsidRPr="00AC6C6F">
        <w:t xml:space="preserve">). </w:t>
      </w:r>
      <w:r w:rsidR="00D27977" w:rsidRPr="00AC6C6F">
        <w:t xml:space="preserve">The </w:t>
      </w:r>
      <w:r w:rsidR="002B350A" w:rsidRPr="00AC6C6F">
        <w:t xml:space="preserve">value of </w:t>
      </w:r>
      <w:r w:rsidR="00D27977" w:rsidRPr="00AC6C6F">
        <w:t xml:space="preserve">3% </w:t>
      </w:r>
      <w:r w:rsidR="0023418E" w:rsidRPr="00AC6C6F">
        <w:t>could</w:t>
      </w:r>
      <w:r w:rsidR="00D27977" w:rsidRPr="00AC6C6F">
        <w:t xml:space="preserve"> not</w:t>
      </w:r>
      <w:r w:rsidR="0023418E" w:rsidRPr="00AC6C6F">
        <w:t xml:space="preserve"> be</w:t>
      </w:r>
      <w:r w:rsidR="00D27977" w:rsidRPr="00AC6C6F">
        <w:t xml:space="preserve"> located in the literature </w:t>
      </w:r>
      <w:r w:rsidR="00F073B7" w:rsidRPr="00AC6C6F">
        <w:t>referred to by the submission, but appears to be supported by Smith et al. 2015</w:t>
      </w:r>
      <w:r w:rsidRPr="00AC6C6F">
        <w:rPr>
          <w:rStyle w:val="FootnoteReference"/>
        </w:rPr>
        <w:footnoteReference w:id="12"/>
      </w:r>
      <w:r w:rsidR="00F073B7" w:rsidRPr="00AC6C6F">
        <w:t xml:space="preserve"> who report that </w:t>
      </w:r>
      <w:r w:rsidR="00D27977" w:rsidRPr="00AC6C6F">
        <w:t xml:space="preserve">3.5% of NHL </w:t>
      </w:r>
      <w:r w:rsidR="00F073B7" w:rsidRPr="00AC6C6F">
        <w:t>cases had</w:t>
      </w:r>
      <w:r w:rsidRPr="00AC6C6F">
        <w:t xml:space="preserve"> CTCL</w:t>
      </w:r>
      <w:r w:rsidR="00D27977" w:rsidRPr="00AC6C6F">
        <w:t xml:space="preserve">. </w:t>
      </w:r>
    </w:p>
    <w:p w:rsidR="00596129" w:rsidRPr="00AC6C6F" w:rsidRDefault="00596129" w:rsidP="00596129">
      <w:pPr>
        <w:pStyle w:val="3-BodyText"/>
      </w:pPr>
      <w:r w:rsidRPr="00AC6C6F">
        <w:t xml:space="preserve">The submission assumed that 20% of the estimated prevalent </w:t>
      </w:r>
      <w:r w:rsidR="002B350A" w:rsidRPr="00AC6C6F">
        <w:t xml:space="preserve">CTCL </w:t>
      </w:r>
      <w:r w:rsidRPr="00AC6C6F">
        <w:t xml:space="preserve">patients would progress on prior systemic therapies, and further assumed that 50% of the progressed patients would </w:t>
      </w:r>
      <w:r w:rsidR="001E2113" w:rsidRPr="00AC6C6F">
        <w:t>elect further pharmacotherapy including</w:t>
      </w:r>
      <w:r w:rsidRPr="00AC6C6F">
        <w:t xml:space="preserve"> the proposed and current PBS medicines for CTCL. Th</w:t>
      </w:r>
      <w:r w:rsidR="005B323E" w:rsidRPr="00AC6C6F">
        <w:t>e</w:t>
      </w:r>
      <w:r w:rsidR="002B350A" w:rsidRPr="00AC6C6F">
        <w:t>se</w:t>
      </w:r>
      <w:r w:rsidR="005B323E" w:rsidRPr="00AC6C6F">
        <w:t xml:space="preserve"> proportion</w:t>
      </w:r>
      <w:r w:rsidR="00567721" w:rsidRPr="00AC6C6F">
        <w:t>s</w:t>
      </w:r>
      <w:r w:rsidR="005B323E" w:rsidRPr="00AC6C6F">
        <w:t xml:space="preserve"> were </w:t>
      </w:r>
      <w:r w:rsidRPr="00AC6C6F">
        <w:t>unverified</w:t>
      </w:r>
      <w:r w:rsidR="00567721" w:rsidRPr="00AC6C6F">
        <w:t>.</w:t>
      </w:r>
      <w:r w:rsidR="005B323E" w:rsidRPr="00AC6C6F">
        <w:t xml:space="preserve"> </w:t>
      </w:r>
      <w:r w:rsidR="00567721" w:rsidRPr="00AC6C6F">
        <w:t>T</w:t>
      </w:r>
      <w:r w:rsidR="005B323E" w:rsidRPr="00AC6C6F">
        <w:t>he proportion electing further pharmacotherapies may have been underestimated</w:t>
      </w:r>
      <w:r w:rsidR="00567721" w:rsidRPr="00AC6C6F">
        <w:t xml:space="preserve">, </w:t>
      </w:r>
      <w:r w:rsidR="002B350A" w:rsidRPr="00AC6C6F">
        <w:t>given</w:t>
      </w:r>
      <w:r w:rsidR="005B323E" w:rsidRPr="00AC6C6F">
        <w:t xml:space="preserve"> that 73.1% of vorinostat patients in MAVORIC (more heavily pre-treated </w:t>
      </w:r>
      <w:r w:rsidR="002B350A" w:rsidRPr="00AC6C6F">
        <w:t xml:space="preserve">patients </w:t>
      </w:r>
      <w:r w:rsidR="005B323E" w:rsidRPr="00AC6C6F">
        <w:t>than those likely to commence PBS eligible treat</w:t>
      </w:r>
      <w:r w:rsidR="004C454F" w:rsidRPr="00AC6C6F">
        <w:t>ment</w:t>
      </w:r>
      <w:r w:rsidR="005B323E" w:rsidRPr="00AC6C6F">
        <w:t>) elected to commence mogamulizumab therapy as crossover patients.</w:t>
      </w:r>
      <w:r w:rsidRPr="00AC6C6F">
        <w:t xml:space="preserve"> </w:t>
      </w:r>
    </w:p>
    <w:p w:rsidR="00596129" w:rsidRPr="00AC6C6F" w:rsidRDefault="00596129" w:rsidP="00596129">
      <w:pPr>
        <w:pStyle w:val="3-BodyText"/>
      </w:pPr>
      <w:r w:rsidRPr="00AC6C6F">
        <w:t>The submission assumed that 50% of mogamulizumab will replace vorinostat and brentuximab. The submission further assumed that 70% of the replacement will be in place of vorinostat and 30% for brentuximab. The remain</w:t>
      </w:r>
      <w:r w:rsidR="002422EC" w:rsidRPr="00AC6C6F">
        <w:t>in</w:t>
      </w:r>
      <w:r w:rsidRPr="00AC6C6F">
        <w:t xml:space="preserve">g 50% of the assumed mogamulizumab use was assumed to </w:t>
      </w:r>
      <w:r w:rsidR="002422EC" w:rsidRPr="00AC6C6F">
        <w:t>occur</w:t>
      </w:r>
      <w:r w:rsidRPr="00AC6C6F">
        <w:t xml:space="preserve"> before or after vorinostat and brentuximab (displacement). This was unjustified and oversimplified given that the interchangeability across the medicines is limited: </w:t>
      </w:r>
    </w:p>
    <w:p w:rsidR="00596129" w:rsidRPr="00AC6C6F" w:rsidRDefault="00596129" w:rsidP="0081589E">
      <w:pPr>
        <w:pStyle w:val="3-BodyText"/>
        <w:numPr>
          <w:ilvl w:val="0"/>
          <w:numId w:val="13"/>
        </w:numPr>
        <w:ind w:left="1077" w:hanging="357"/>
      </w:pPr>
      <w:r w:rsidRPr="00AC6C6F">
        <w:t>Not all of the proposed CTCL patients who progress on mogamulizumab will be eligible for vorinostat and brentuximab, as the use of vori</w:t>
      </w:r>
      <w:r w:rsidR="0098283B" w:rsidRPr="00AC6C6F">
        <w:t>no</w:t>
      </w:r>
      <w:r w:rsidRPr="00AC6C6F">
        <w:t>stat and brentuximab will be limited to patients who are SCT ineligible (vorinostat) and those who are CD30+ (brentuximab).</w:t>
      </w:r>
    </w:p>
    <w:p w:rsidR="00596129" w:rsidRPr="00AC6C6F" w:rsidRDefault="00596129" w:rsidP="0081589E">
      <w:pPr>
        <w:pStyle w:val="3-BodyText"/>
        <w:numPr>
          <w:ilvl w:val="0"/>
          <w:numId w:val="13"/>
        </w:numPr>
        <w:ind w:left="1077" w:hanging="357"/>
      </w:pPr>
      <w:r w:rsidRPr="00AC6C6F">
        <w:t>All patients who progress on vorinostat and brentuximab will be eligible for mogamulizumab. However, these patients represent only part of the proposed CTCL patient</w:t>
      </w:r>
      <w:r w:rsidR="002422EC" w:rsidRPr="00AC6C6F">
        <w:t xml:space="preserve"> population</w:t>
      </w:r>
      <w:r w:rsidRPr="00AC6C6F">
        <w:t>.</w:t>
      </w:r>
    </w:p>
    <w:p w:rsidR="00596129" w:rsidRPr="00AC6C6F" w:rsidRDefault="00596129" w:rsidP="00596129">
      <w:pPr>
        <w:pStyle w:val="3-BodyText"/>
        <w:numPr>
          <w:ilvl w:val="0"/>
          <w:numId w:val="0"/>
        </w:numPr>
        <w:ind w:left="720"/>
      </w:pPr>
      <w:r w:rsidRPr="00AC6C6F">
        <w:t>These differences were not well accounted for in the submission</w:t>
      </w:r>
      <w:r w:rsidR="00BF1293" w:rsidRPr="00AC6C6F">
        <w:t>. However</w:t>
      </w:r>
      <w:r w:rsidRPr="00AC6C6F">
        <w:t xml:space="preserve">, </w:t>
      </w:r>
      <w:r w:rsidR="00BF1293" w:rsidRPr="00AC6C6F">
        <w:t xml:space="preserve">it is </w:t>
      </w:r>
      <w:r w:rsidRPr="00AC6C6F">
        <w:t>acknowledg</w:t>
      </w:r>
      <w:r w:rsidR="00BF1293" w:rsidRPr="00AC6C6F">
        <w:t>ed</w:t>
      </w:r>
      <w:r w:rsidRPr="00AC6C6F">
        <w:t xml:space="preserve"> that quantifying such use would be complicated given an absence of information on the prevalence of patients eligible for CTCL medicines. </w:t>
      </w:r>
    </w:p>
    <w:p w:rsidR="00596129" w:rsidRPr="00AC6C6F" w:rsidRDefault="00596129" w:rsidP="00596129">
      <w:pPr>
        <w:pStyle w:val="3-BodyText"/>
      </w:pPr>
      <w:r w:rsidRPr="00AC6C6F">
        <w:rPr>
          <w:iCs/>
        </w:rPr>
        <w:t xml:space="preserve">The </w:t>
      </w:r>
      <w:r w:rsidR="002422EC" w:rsidRPr="00AC6C6F">
        <w:rPr>
          <w:iCs/>
        </w:rPr>
        <w:t xml:space="preserve">expected </w:t>
      </w:r>
      <w:r w:rsidRPr="00AC6C6F">
        <w:rPr>
          <w:iCs/>
        </w:rPr>
        <w:t xml:space="preserve">vorinostat use was </w:t>
      </w:r>
      <w:r w:rsidR="00582F56" w:rsidRPr="00AC6C6F">
        <w:rPr>
          <w:iCs/>
        </w:rPr>
        <w:t xml:space="preserve">estimated </w:t>
      </w:r>
      <w:r w:rsidRPr="00AC6C6F">
        <w:rPr>
          <w:iCs/>
        </w:rPr>
        <w:t xml:space="preserve">based on data from MAVORIC (compliance and mean TOT). This might </w:t>
      </w:r>
      <w:r w:rsidR="00B976CA" w:rsidRPr="00AC6C6F">
        <w:rPr>
          <w:iCs/>
        </w:rPr>
        <w:t xml:space="preserve">not reflect </w:t>
      </w:r>
      <w:r w:rsidRPr="00AC6C6F">
        <w:rPr>
          <w:iCs/>
        </w:rPr>
        <w:t xml:space="preserve">the current use of vorinostat given that PBS patients (who are SCT ineligible) might have poorer health than those in MAVORIC. </w:t>
      </w:r>
    </w:p>
    <w:p w:rsidR="00484251" w:rsidRPr="00AC6C6F" w:rsidRDefault="001D2F37" w:rsidP="00124743">
      <w:pPr>
        <w:pStyle w:val="3-BodyText"/>
        <w:rPr>
          <w:color w:val="0066FF"/>
        </w:rPr>
      </w:pPr>
      <w:r w:rsidRPr="00AC6C6F">
        <w:t>The estimated number of patients treated, scripts dispensed and financial implication</w:t>
      </w:r>
      <w:r w:rsidR="00E7652A" w:rsidRPr="00AC6C6F">
        <w:t>s of the proposed listing</w:t>
      </w:r>
      <w:r w:rsidRPr="00AC6C6F">
        <w:t xml:space="preserve"> are summarised in </w:t>
      </w:r>
      <w:r w:rsidR="00E7652A" w:rsidRPr="00AC6C6F">
        <w:t xml:space="preserve">Table </w:t>
      </w:r>
      <w:r w:rsidR="00A72F8F" w:rsidRPr="00AC6C6F">
        <w:t>19</w:t>
      </w:r>
      <w:r w:rsidR="00042728" w:rsidRPr="00AC6C6F">
        <w:t>.</w:t>
      </w:r>
      <w:r w:rsidR="001A54F7" w:rsidRPr="00AC6C6F">
        <w:t xml:space="preserve"> </w:t>
      </w:r>
      <w:r w:rsidR="001A54F7" w:rsidRPr="00AC6C6F">
        <w:rPr>
          <w:iCs/>
        </w:rPr>
        <w:t xml:space="preserve">In forming these estimates, the submission has assumed that all patients commence on the first day of each year, allowing the maximum possible number of scripts for initiation and continuation to occur in each year. Adjusting for the </w:t>
      </w:r>
      <w:r w:rsidR="003B5D15" w:rsidRPr="00AC6C6F">
        <w:rPr>
          <w:iCs/>
        </w:rPr>
        <w:t xml:space="preserve">timing of treatment commencement </w:t>
      </w:r>
      <w:r w:rsidR="001A54F7" w:rsidRPr="00AC6C6F">
        <w:rPr>
          <w:iCs/>
        </w:rPr>
        <w:t>would be anticipated to reduce the script volume in year 1, with negligible effect thereafter</w:t>
      </w:r>
      <w:r w:rsidR="00AC6C6F">
        <w:rPr>
          <w:iCs/>
        </w:rPr>
        <w:t xml:space="preserve">. </w:t>
      </w:r>
    </w:p>
    <w:p w:rsidR="00124743" w:rsidRPr="00AC6C6F" w:rsidRDefault="00124743" w:rsidP="00124743">
      <w:pPr>
        <w:pStyle w:val="TableFigureHeading"/>
        <w:rPr>
          <w:rStyle w:val="CommentReference"/>
        </w:rPr>
      </w:pPr>
      <w:r w:rsidRPr="00AC6C6F">
        <w:rPr>
          <w:rStyle w:val="CommentReference"/>
          <w:b/>
        </w:rPr>
        <w:t xml:space="preserve">Table </w:t>
      </w:r>
      <w:r w:rsidR="00A72F8F" w:rsidRPr="00AC6C6F">
        <w:rPr>
          <w:rStyle w:val="CommentReference"/>
          <w:b/>
        </w:rPr>
        <w:t>19</w:t>
      </w:r>
      <w:r w:rsidRPr="00AC6C6F">
        <w:rPr>
          <w:rStyle w:val="CommentReference"/>
          <w:b/>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124743" w:rsidRPr="00AC6C6F" w:rsidTr="000B337C">
        <w:trPr>
          <w:tblHeader/>
        </w:trPr>
        <w:tc>
          <w:tcPr>
            <w:tcW w:w="1116" w:type="pct"/>
            <w:shd w:val="clear" w:color="auto" w:fill="auto"/>
            <w:vAlign w:val="center"/>
          </w:tcPr>
          <w:p w:rsidR="00124743" w:rsidRPr="00AC6C6F" w:rsidRDefault="00124743" w:rsidP="000332CC">
            <w:pPr>
              <w:pStyle w:val="In-tableHeading"/>
              <w:jc w:val="center"/>
              <w:rPr>
                <w:lang w:val="en-AU"/>
              </w:rPr>
            </w:pPr>
          </w:p>
        </w:tc>
        <w:tc>
          <w:tcPr>
            <w:tcW w:w="647" w:type="pct"/>
            <w:shd w:val="clear" w:color="auto" w:fill="auto"/>
            <w:vAlign w:val="center"/>
          </w:tcPr>
          <w:p w:rsidR="00124743" w:rsidRPr="00AC6C6F" w:rsidRDefault="00124743" w:rsidP="000332CC">
            <w:pPr>
              <w:pStyle w:val="In-tableHeading"/>
              <w:jc w:val="center"/>
              <w:rPr>
                <w:lang w:val="en-AU"/>
              </w:rPr>
            </w:pPr>
            <w:r w:rsidRPr="00AC6C6F">
              <w:rPr>
                <w:lang w:val="en-AU"/>
              </w:rPr>
              <w:t>Year 1</w:t>
            </w:r>
          </w:p>
        </w:tc>
        <w:tc>
          <w:tcPr>
            <w:tcW w:w="647" w:type="pct"/>
            <w:shd w:val="clear" w:color="auto" w:fill="auto"/>
            <w:vAlign w:val="center"/>
          </w:tcPr>
          <w:p w:rsidR="00124743" w:rsidRPr="00AC6C6F" w:rsidRDefault="00124743" w:rsidP="000332CC">
            <w:pPr>
              <w:pStyle w:val="In-tableHeading"/>
              <w:jc w:val="center"/>
              <w:rPr>
                <w:lang w:val="en-AU"/>
              </w:rPr>
            </w:pPr>
            <w:r w:rsidRPr="00AC6C6F">
              <w:rPr>
                <w:lang w:val="en-AU"/>
              </w:rPr>
              <w:t>Year 2</w:t>
            </w:r>
          </w:p>
        </w:tc>
        <w:tc>
          <w:tcPr>
            <w:tcW w:w="647" w:type="pct"/>
            <w:shd w:val="clear" w:color="auto" w:fill="auto"/>
            <w:vAlign w:val="center"/>
          </w:tcPr>
          <w:p w:rsidR="00124743" w:rsidRPr="00AC6C6F" w:rsidRDefault="00124743" w:rsidP="000332CC">
            <w:pPr>
              <w:pStyle w:val="In-tableHeading"/>
              <w:jc w:val="center"/>
              <w:rPr>
                <w:lang w:val="en-AU"/>
              </w:rPr>
            </w:pPr>
            <w:r w:rsidRPr="00AC6C6F">
              <w:rPr>
                <w:lang w:val="en-AU"/>
              </w:rPr>
              <w:t>Year 3</w:t>
            </w:r>
          </w:p>
        </w:tc>
        <w:tc>
          <w:tcPr>
            <w:tcW w:w="647" w:type="pct"/>
            <w:shd w:val="clear" w:color="auto" w:fill="auto"/>
            <w:vAlign w:val="center"/>
          </w:tcPr>
          <w:p w:rsidR="00124743" w:rsidRPr="00AC6C6F" w:rsidRDefault="00124743" w:rsidP="000332CC">
            <w:pPr>
              <w:pStyle w:val="In-tableHeading"/>
              <w:jc w:val="center"/>
              <w:rPr>
                <w:lang w:val="en-AU"/>
              </w:rPr>
            </w:pPr>
            <w:r w:rsidRPr="00AC6C6F">
              <w:rPr>
                <w:lang w:val="en-AU"/>
              </w:rPr>
              <w:t>Year 4</w:t>
            </w:r>
          </w:p>
        </w:tc>
        <w:tc>
          <w:tcPr>
            <w:tcW w:w="647" w:type="pct"/>
            <w:shd w:val="clear" w:color="auto" w:fill="auto"/>
            <w:vAlign w:val="center"/>
          </w:tcPr>
          <w:p w:rsidR="00124743" w:rsidRPr="00AC6C6F" w:rsidRDefault="00124743" w:rsidP="000332CC">
            <w:pPr>
              <w:pStyle w:val="In-tableHeading"/>
              <w:jc w:val="center"/>
              <w:rPr>
                <w:lang w:val="en-AU"/>
              </w:rPr>
            </w:pPr>
            <w:r w:rsidRPr="00AC6C6F">
              <w:rPr>
                <w:lang w:val="en-AU"/>
              </w:rPr>
              <w:t>Year 5</w:t>
            </w:r>
          </w:p>
        </w:tc>
        <w:tc>
          <w:tcPr>
            <w:tcW w:w="649" w:type="pct"/>
          </w:tcPr>
          <w:p w:rsidR="00124743" w:rsidRPr="00AC6C6F" w:rsidRDefault="00124743" w:rsidP="000332CC">
            <w:pPr>
              <w:pStyle w:val="In-tableHeading"/>
              <w:jc w:val="center"/>
              <w:rPr>
                <w:lang w:val="en-AU"/>
              </w:rPr>
            </w:pPr>
            <w:r w:rsidRPr="00AC6C6F">
              <w:rPr>
                <w:lang w:val="en-AU"/>
              </w:rPr>
              <w:t>Year 6</w:t>
            </w:r>
          </w:p>
        </w:tc>
      </w:tr>
      <w:tr w:rsidR="00124743" w:rsidRPr="00AC6C6F" w:rsidTr="000332CC">
        <w:tc>
          <w:tcPr>
            <w:tcW w:w="5000" w:type="pct"/>
            <w:gridSpan w:val="7"/>
            <w:shd w:val="clear" w:color="auto" w:fill="auto"/>
            <w:vAlign w:val="center"/>
          </w:tcPr>
          <w:p w:rsidR="00124743" w:rsidRPr="00AC6C6F" w:rsidRDefault="00124743" w:rsidP="000332CC">
            <w:pPr>
              <w:pStyle w:val="In-tableHeading"/>
              <w:rPr>
                <w:bCs/>
                <w:color w:val="000000"/>
                <w:lang w:val="en-AU"/>
              </w:rPr>
            </w:pPr>
            <w:r w:rsidRPr="00AC6C6F">
              <w:rPr>
                <w:bCs/>
                <w:color w:val="000000"/>
                <w:lang w:val="en-AU"/>
              </w:rPr>
              <w:t>Estimated extent of use</w:t>
            </w:r>
          </w:p>
        </w:tc>
      </w:tr>
      <w:tr w:rsidR="001E3ABB" w:rsidRPr="00AC6C6F" w:rsidTr="000B337C">
        <w:tc>
          <w:tcPr>
            <w:tcW w:w="1116" w:type="pct"/>
            <w:shd w:val="clear" w:color="auto" w:fill="auto"/>
            <w:vAlign w:val="center"/>
          </w:tcPr>
          <w:p w:rsidR="001E3ABB" w:rsidRPr="00AC6C6F" w:rsidRDefault="001E3ABB" w:rsidP="001E3ABB">
            <w:pPr>
              <w:pStyle w:val="TableText0"/>
              <w:rPr>
                <w:rFonts w:ascii="Times" w:hAnsi="Times"/>
              </w:rPr>
            </w:pPr>
            <w:r w:rsidRPr="00AC6C6F">
              <w:t>Number of patients treated</w:t>
            </w:r>
          </w:p>
        </w:tc>
        <w:tc>
          <w:tcPr>
            <w:tcW w:w="647" w:type="pct"/>
            <w:shd w:val="clear" w:color="auto" w:fill="auto"/>
          </w:tcPr>
          <w:p w:rsidR="001E3ABB" w:rsidRPr="00B21624" w:rsidRDefault="00B21624" w:rsidP="001E3ABB">
            <w:pPr>
              <w:pStyle w:val="TableText0"/>
              <w:jc w:val="center"/>
              <w:rPr>
                <w:color w:val="000000"/>
                <w:highlight w:val="black"/>
              </w:rPr>
            </w:pPr>
            <w:r>
              <w:rPr>
                <w:noProof/>
                <w:color w:val="000000"/>
                <w:highlight w:val="black"/>
              </w:rPr>
              <w:t>''''''</w:t>
            </w:r>
          </w:p>
        </w:tc>
        <w:tc>
          <w:tcPr>
            <w:tcW w:w="647" w:type="pct"/>
            <w:shd w:val="clear" w:color="auto" w:fill="auto"/>
          </w:tcPr>
          <w:p w:rsidR="001E3ABB" w:rsidRPr="00B21624" w:rsidRDefault="00B21624" w:rsidP="001E3ABB">
            <w:pPr>
              <w:pStyle w:val="TableText0"/>
              <w:jc w:val="center"/>
              <w:rPr>
                <w:color w:val="000000"/>
                <w:highlight w:val="black"/>
              </w:rPr>
            </w:pPr>
            <w:r>
              <w:rPr>
                <w:noProof/>
                <w:color w:val="000000"/>
                <w:highlight w:val="black"/>
              </w:rPr>
              <w:t>''''''</w:t>
            </w:r>
          </w:p>
        </w:tc>
        <w:tc>
          <w:tcPr>
            <w:tcW w:w="647" w:type="pct"/>
            <w:shd w:val="clear" w:color="auto" w:fill="auto"/>
          </w:tcPr>
          <w:p w:rsidR="001E3ABB" w:rsidRPr="00B21624" w:rsidRDefault="00B21624" w:rsidP="001E3ABB">
            <w:pPr>
              <w:pStyle w:val="TableText0"/>
              <w:jc w:val="center"/>
              <w:rPr>
                <w:color w:val="000000"/>
                <w:highlight w:val="black"/>
              </w:rPr>
            </w:pPr>
            <w:r>
              <w:rPr>
                <w:noProof/>
                <w:color w:val="000000"/>
                <w:highlight w:val="black"/>
              </w:rPr>
              <w:t>''''''</w:t>
            </w:r>
          </w:p>
        </w:tc>
        <w:tc>
          <w:tcPr>
            <w:tcW w:w="647" w:type="pct"/>
            <w:shd w:val="clear" w:color="auto" w:fill="auto"/>
          </w:tcPr>
          <w:p w:rsidR="001E3ABB" w:rsidRPr="00B21624" w:rsidRDefault="00B21624" w:rsidP="001E3ABB">
            <w:pPr>
              <w:pStyle w:val="TableText0"/>
              <w:jc w:val="center"/>
              <w:rPr>
                <w:color w:val="000000"/>
                <w:highlight w:val="black"/>
              </w:rPr>
            </w:pPr>
            <w:r>
              <w:rPr>
                <w:noProof/>
                <w:color w:val="000000"/>
                <w:highlight w:val="black"/>
              </w:rPr>
              <w:t>'''''</w:t>
            </w:r>
          </w:p>
        </w:tc>
        <w:tc>
          <w:tcPr>
            <w:tcW w:w="647" w:type="pct"/>
            <w:shd w:val="clear" w:color="auto" w:fill="auto"/>
          </w:tcPr>
          <w:p w:rsidR="001E3ABB" w:rsidRPr="00B21624" w:rsidRDefault="00B21624" w:rsidP="001E3ABB">
            <w:pPr>
              <w:pStyle w:val="TableText0"/>
              <w:jc w:val="center"/>
              <w:rPr>
                <w:color w:val="000000"/>
                <w:highlight w:val="black"/>
              </w:rPr>
            </w:pPr>
            <w:r>
              <w:rPr>
                <w:noProof/>
                <w:color w:val="000000"/>
                <w:highlight w:val="black"/>
              </w:rPr>
              <w:t>''''''</w:t>
            </w:r>
          </w:p>
        </w:tc>
        <w:tc>
          <w:tcPr>
            <w:tcW w:w="649" w:type="pct"/>
          </w:tcPr>
          <w:p w:rsidR="001E3ABB" w:rsidRPr="00B21624" w:rsidRDefault="00B21624" w:rsidP="001E3ABB">
            <w:pPr>
              <w:pStyle w:val="TableText0"/>
              <w:jc w:val="center"/>
              <w:rPr>
                <w:color w:val="000000"/>
                <w:highlight w:val="black"/>
              </w:rPr>
            </w:pPr>
            <w:r>
              <w:rPr>
                <w:noProof/>
                <w:color w:val="000000"/>
                <w:highlight w:val="black"/>
              </w:rPr>
              <w:t>''''''</w:t>
            </w:r>
          </w:p>
        </w:tc>
      </w:tr>
      <w:tr w:rsidR="00E1576D" w:rsidRPr="00AC6C6F" w:rsidTr="000B337C">
        <w:tc>
          <w:tcPr>
            <w:tcW w:w="1116" w:type="pct"/>
            <w:shd w:val="clear" w:color="auto" w:fill="auto"/>
            <w:vAlign w:val="center"/>
          </w:tcPr>
          <w:p w:rsidR="00E1576D" w:rsidRPr="00AC6C6F" w:rsidRDefault="00E1576D" w:rsidP="00E1576D">
            <w:pPr>
              <w:pStyle w:val="TableText0"/>
              <w:rPr>
                <w:rFonts w:ascii="Times" w:hAnsi="Times"/>
              </w:rPr>
            </w:pPr>
            <w:r w:rsidRPr="00AC6C6F">
              <w:t>Number of scripts dispensed</w:t>
            </w:r>
          </w:p>
        </w:tc>
        <w:tc>
          <w:tcPr>
            <w:tcW w:w="647" w:type="pct"/>
            <w:shd w:val="clear" w:color="auto" w:fill="auto"/>
          </w:tcPr>
          <w:p w:rsidR="00E1576D" w:rsidRPr="00B21624" w:rsidRDefault="00B21624" w:rsidP="00E1576D">
            <w:pPr>
              <w:pStyle w:val="TableText0"/>
              <w:jc w:val="center"/>
              <w:rPr>
                <w:color w:val="000000"/>
                <w:highlight w:val="black"/>
              </w:rPr>
            </w:pPr>
            <w:r>
              <w:rPr>
                <w:noProof/>
                <w:color w:val="000000"/>
                <w:highlight w:val="black"/>
              </w:rPr>
              <w:t>''''''''''</w:t>
            </w:r>
          </w:p>
        </w:tc>
        <w:tc>
          <w:tcPr>
            <w:tcW w:w="647" w:type="pct"/>
            <w:shd w:val="clear" w:color="auto" w:fill="auto"/>
          </w:tcPr>
          <w:p w:rsidR="00E1576D" w:rsidRPr="00B21624" w:rsidRDefault="00B21624" w:rsidP="00E1576D">
            <w:pPr>
              <w:pStyle w:val="TableText0"/>
              <w:jc w:val="center"/>
              <w:rPr>
                <w:color w:val="000000"/>
                <w:highlight w:val="black"/>
              </w:rPr>
            </w:pPr>
            <w:r>
              <w:rPr>
                <w:noProof/>
                <w:color w:val="000000"/>
                <w:highlight w:val="black"/>
              </w:rPr>
              <w:t>''''''''''''''</w:t>
            </w:r>
          </w:p>
        </w:tc>
        <w:tc>
          <w:tcPr>
            <w:tcW w:w="647" w:type="pct"/>
            <w:shd w:val="clear" w:color="auto" w:fill="auto"/>
          </w:tcPr>
          <w:p w:rsidR="00E1576D" w:rsidRPr="00B21624" w:rsidRDefault="00B21624" w:rsidP="00E1576D">
            <w:pPr>
              <w:pStyle w:val="TableText0"/>
              <w:jc w:val="center"/>
              <w:rPr>
                <w:color w:val="000000"/>
                <w:highlight w:val="black"/>
              </w:rPr>
            </w:pPr>
            <w:r>
              <w:rPr>
                <w:noProof/>
                <w:color w:val="000000"/>
                <w:highlight w:val="black"/>
              </w:rPr>
              <w:t>'''''''''''''''</w:t>
            </w:r>
          </w:p>
        </w:tc>
        <w:tc>
          <w:tcPr>
            <w:tcW w:w="647" w:type="pct"/>
            <w:shd w:val="clear" w:color="auto" w:fill="auto"/>
          </w:tcPr>
          <w:p w:rsidR="00E1576D" w:rsidRPr="00B21624" w:rsidRDefault="00B21624" w:rsidP="00E1576D">
            <w:pPr>
              <w:pStyle w:val="TableText0"/>
              <w:jc w:val="center"/>
              <w:rPr>
                <w:color w:val="000000"/>
                <w:highlight w:val="black"/>
              </w:rPr>
            </w:pPr>
            <w:r>
              <w:rPr>
                <w:noProof/>
                <w:color w:val="000000"/>
                <w:highlight w:val="black"/>
              </w:rPr>
              <w:t>''''''''''''</w:t>
            </w:r>
          </w:p>
        </w:tc>
        <w:tc>
          <w:tcPr>
            <w:tcW w:w="647" w:type="pct"/>
            <w:shd w:val="clear" w:color="auto" w:fill="auto"/>
          </w:tcPr>
          <w:p w:rsidR="00E1576D" w:rsidRPr="00B21624" w:rsidRDefault="00B21624" w:rsidP="00E1576D">
            <w:pPr>
              <w:pStyle w:val="TableText0"/>
              <w:jc w:val="center"/>
              <w:rPr>
                <w:color w:val="000000"/>
                <w:highlight w:val="black"/>
              </w:rPr>
            </w:pPr>
            <w:r>
              <w:rPr>
                <w:noProof/>
                <w:color w:val="000000"/>
                <w:highlight w:val="black"/>
              </w:rPr>
              <w:t>'''''''''''''</w:t>
            </w:r>
          </w:p>
        </w:tc>
        <w:tc>
          <w:tcPr>
            <w:tcW w:w="649" w:type="pct"/>
          </w:tcPr>
          <w:p w:rsidR="00E1576D" w:rsidRPr="00B21624" w:rsidRDefault="00B21624" w:rsidP="00E1576D">
            <w:pPr>
              <w:pStyle w:val="TableText0"/>
              <w:jc w:val="center"/>
              <w:rPr>
                <w:color w:val="000000"/>
                <w:highlight w:val="black"/>
              </w:rPr>
            </w:pPr>
            <w:r>
              <w:rPr>
                <w:noProof/>
                <w:color w:val="000000"/>
                <w:highlight w:val="black"/>
              </w:rPr>
              <w:t>''''''''''''''</w:t>
            </w:r>
          </w:p>
        </w:tc>
      </w:tr>
      <w:tr w:rsidR="00124743" w:rsidRPr="00AC6C6F" w:rsidTr="000332CC">
        <w:tc>
          <w:tcPr>
            <w:tcW w:w="5000" w:type="pct"/>
            <w:gridSpan w:val="7"/>
            <w:shd w:val="clear" w:color="auto" w:fill="auto"/>
            <w:vAlign w:val="center"/>
          </w:tcPr>
          <w:p w:rsidR="00124743" w:rsidRPr="00AC6C6F" w:rsidRDefault="00124743" w:rsidP="000332CC">
            <w:pPr>
              <w:pStyle w:val="In-tableHeading"/>
              <w:rPr>
                <w:lang w:val="en-AU"/>
              </w:rPr>
            </w:pPr>
            <w:r w:rsidRPr="00AC6C6F">
              <w:rPr>
                <w:lang w:val="en-AU"/>
              </w:rPr>
              <w:t xml:space="preserve">Estimated financial implications of </w:t>
            </w:r>
            <w:r w:rsidR="00A94347" w:rsidRPr="00AC6C6F">
              <w:rPr>
                <w:lang w:val="en-AU"/>
              </w:rPr>
              <w:t>mogamulizumab</w:t>
            </w:r>
          </w:p>
        </w:tc>
      </w:tr>
      <w:tr w:rsidR="000B337C" w:rsidRPr="00AC6C6F" w:rsidTr="000B337C">
        <w:tc>
          <w:tcPr>
            <w:tcW w:w="1116" w:type="pct"/>
            <w:shd w:val="clear" w:color="auto" w:fill="auto"/>
            <w:vAlign w:val="center"/>
          </w:tcPr>
          <w:p w:rsidR="000B337C" w:rsidRPr="00AC6C6F" w:rsidRDefault="000B337C" w:rsidP="000B337C">
            <w:pPr>
              <w:pStyle w:val="TableText0"/>
              <w:rPr>
                <w:sz w:val="19"/>
                <w:szCs w:val="19"/>
              </w:rPr>
            </w:pPr>
            <w:r w:rsidRPr="00AC6C6F">
              <w:rPr>
                <w:sz w:val="19"/>
                <w:szCs w:val="19"/>
              </w:rPr>
              <w:t>Cost to PBS/RPBS less copayments</w:t>
            </w:r>
          </w:p>
        </w:tc>
        <w:tc>
          <w:tcPr>
            <w:tcW w:w="647" w:type="pct"/>
            <w:shd w:val="clear" w:color="auto" w:fill="auto"/>
          </w:tcPr>
          <w:p w:rsidR="000B337C" w:rsidRPr="00AC6C6F" w:rsidRDefault="000B337C" w:rsidP="000B337C">
            <w:pPr>
              <w:pStyle w:val="TableText0"/>
              <w:jc w:val="center"/>
            </w:pPr>
            <w:r w:rsidRPr="00AC6C6F">
              <w:rPr>
                <w:szCs w:val="20"/>
              </w:rPr>
              <w:t>$</w:t>
            </w:r>
            <w:r w:rsidR="00B21624">
              <w:rPr>
                <w:noProof/>
                <w:color w:val="000000"/>
                <w:szCs w:val="20"/>
                <w:highlight w:val="black"/>
              </w:rPr>
              <w:t>''''''''''''''''''''''''</w:t>
            </w:r>
            <w:r w:rsidRPr="00AC6C6F">
              <w:rPr>
                <w:szCs w:val="20"/>
              </w:rPr>
              <w:t xml:space="preserve"> </w:t>
            </w:r>
          </w:p>
        </w:tc>
        <w:tc>
          <w:tcPr>
            <w:tcW w:w="647" w:type="pct"/>
            <w:shd w:val="clear" w:color="auto" w:fill="auto"/>
          </w:tcPr>
          <w:p w:rsidR="000B337C" w:rsidRPr="00AC6C6F" w:rsidRDefault="000B337C" w:rsidP="000B337C">
            <w:pPr>
              <w:pStyle w:val="TableText0"/>
              <w:jc w:val="center"/>
            </w:pPr>
            <w:r w:rsidRPr="00AC6C6F">
              <w:rPr>
                <w:szCs w:val="20"/>
              </w:rPr>
              <w:t>$</w:t>
            </w:r>
            <w:r w:rsidR="00B21624">
              <w:rPr>
                <w:noProof/>
                <w:color w:val="000000"/>
                <w:szCs w:val="20"/>
                <w:highlight w:val="black"/>
              </w:rPr>
              <w:t>'''''''''''''''''''''''''</w:t>
            </w:r>
            <w:r w:rsidRPr="00AC6C6F">
              <w:rPr>
                <w:szCs w:val="20"/>
              </w:rPr>
              <w:t xml:space="preserve"> </w:t>
            </w:r>
          </w:p>
        </w:tc>
        <w:tc>
          <w:tcPr>
            <w:tcW w:w="647" w:type="pct"/>
            <w:shd w:val="clear" w:color="auto" w:fill="auto"/>
          </w:tcPr>
          <w:p w:rsidR="000B337C" w:rsidRPr="00AC6C6F" w:rsidRDefault="000B337C" w:rsidP="000B337C">
            <w:pPr>
              <w:pStyle w:val="TableText0"/>
              <w:jc w:val="center"/>
            </w:pPr>
            <w:r w:rsidRPr="00AC6C6F">
              <w:rPr>
                <w:szCs w:val="20"/>
              </w:rPr>
              <w:t>$</w:t>
            </w:r>
            <w:r w:rsidR="00B21624">
              <w:rPr>
                <w:noProof/>
                <w:color w:val="000000"/>
                <w:szCs w:val="20"/>
                <w:highlight w:val="black"/>
              </w:rPr>
              <w:t>'''''''''''''''''''''''</w:t>
            </w:r>
            <w:r w:rsidRPr="00AC6C6F">
              <w:rPr>
                <w:szCs w:val="20"/>
              </w:rPr>
              <w:t xml:space="preserve"> </w:t>
            </w:r>
          </w:p>
        </w:tc>
        <w:tc>
          <w:tcPr>
            <w:tcW w:w="647" w:type="pct"/>
            <w:shd w:val="clear" w:color="auto" w:fill="auto"/>
          </w:tcPr>
          <w:p w:rsidR="000B337C" w:rsidRPr="00AC6C6F" w:rsidRDefault="000B337C" w:rsidP="000B337C">
            <w:pPr>
              <w:pStyle w:val="TableText0"/>
              <w:jc w:val="center"/>
            </w:pPr>
            <w:r w:rsidRPr="00AC6C6F">
              <w:rPr>
                <w:szCs w:val="20"/>
              </w:rPr>
              <w:t>$</w:t>
            </w:r>
            <w:r w:rsidR="00B21624">
              <w:rPr>
                <w:noProof/>
                <w:color w:val="000000"/>
                <w:szCs w:val="20"/>
                <w:highlight w:val="black"/>
              </w:rPr>
              <w:t>'''''''''''''''''''''''''</w:t>
            </w:r>
            <w:r w:rsidRPr="00AC6C6F">
              <w:rPr>
                <w:szCs w:val="20"/>
              </w:rPr>
              <w:t xml:space="preserve"> </w:t>
            </w:r>
          </w:p>
        </w:tc>
        <w:tc>
          <w:tcPr>
            <w:tcW w:w="647" w:type="pct"/>
            <w:shd w:val="clear" w:color="auto" w:fill="auto"/>
          </w:tcPr>
          <w:p w:rsidR="000B337C" w:rsidRPr="00AC6C6F" w:rsidRDefault="000B337C" w:rsidP="000B337C">
            <w:pPr>
              <w:pStyle w:val="TableText0"/>
              <w:jc w:val="center"/>
            </w:pPr>
            <w:r w:rsidRPr="00AC6C6F">
              <w:rPr>
                <w:szCs w:val="20"/>
              </w:rPr>
              <w:t>$</w:t>
            </w:r>
            <w:r w:rsidR="00B21624">
              <w:rPr>
                <w:noProof/>
                <w:color w:val="000000"/>
                <w:szCs w:val="20"/>
                <w:highlight w:val="black"/>
              </w:rPr>
              <w:t>'''''''''''''''''''''''''</w:t>
            </w:r>
            <w:r w:rsidRPr="00AC6C6F">
              <w:rPr>
                <w:szCs w:val="20"/>
              </w:rPr>
              <w:t xml:space="preserve"> </w:t>
            </w:r>
          </w:p>
        </w:tc>
        <w:tc>
          <w:tcPr>
            <w:tcW w:w="649" w:type="pct"/>
          </w:tcPr>
          <w:p w:rsidR="000B337C" w:rsidRPr="00AC6C6F" w:rsidRDefault="000B337C" w:rsidP="000B337C">
            <w:pPr>
              <w:pStyle w:val="TableText0"/>
              <w:jc w:val="center"/>
            </w:pPr>
            <w:r w:rsidRPr="00AC6C6F">
              <w:rPr>
                <w:szCs w:val="20"/>
              </w:rPr>
              <w:t>$</w:t>
            </w:r>
            <w:r w:rsidR="00B21624">
              <w:rPr>
                <w:noProof/>
                <w:color w:val="000000"/>
                <w:szCs w:val="20"/>
                <w:highlight w:val="black"/>
              </w:rPr>
              <w:t>'''''''''''''''''''''''''</w:t>
            </w:r>
            <w:r w:rsidRPr="00AC6C6F">
              <w:rPr>
                <w:szCs w:val="20"/>
              </w:rPr>
              <w:t xml:space="preserve"> </w:t>
            </w:r>
          </w:p>
        </w:tc>
      </w:tr>
      <w:tr w:rsidR="00124743" w:rsidRPr="00AC6C6F" w:rsidTr="000332CC">
        <w:tc>
          <w:tcPr>
            <w:tcW w:w="5000" w:type="pct"/>
            <w:gridSpan w:val="7"/>
            <w:shd w:val="clear" w:color="auto" w:fill="auto"/>
            <w:vAlign w:val="center"/>
          </w:tcPr>
          <w:p w:rsidR="00124743" w:rsidRPr="00AC6C6F" w:rsidRDefault="00124743" w:rsidP="000332CC">
            <w:pPr>
              <w:pStyle w:val="TableText0"/>
            </w:pPr>
            <w:r w:rsidRPr="00AC6C6F">
              <w:t xml:space="preserve">Estimated financial implications for </w:t>
            </w:r>
            <w:r w:rsidR="00A94347" w:rsidRPr="00AC6C6F">
              <w:t>vorinostat and brentuximab</w:t>
            </w:r>
          </w:p>
        </w:tc>
      </w:tr>
      <w:tr w:rsidR="002D6BEC" w:rsidRPr="00AC6C6F" w:rsidTr="00196CCB">
        <w:tc>
          <w:tcPr>
            <w:tcW w:w="1116" w:type="pct"/>
            <w:shd w:val="clear" w:color="auto" w:fill="auto"/>
            <w:vAlign w:val="center"/>
          </w:tcPr>
          <w:p w:rsidR="002D6BEC" w:rsidRPr="00AC6C6F" w:rsidRDefault="002D6BEC" w:rsidP="002D6BEC">
            <w:pPr>
              <w:pStyle w:val="TableText0"/>
              <w:rPr>
                <w:sz w:val="19"/>
                <w:szCs w:val="19"/>
              </w:rPr>
            </w:pPr>
            <w:r w:rsidRPr="00AC6C6F">
              <w:rPr>
                <w:sz w:val="19"/>
                <w:szCs w:val="19"/>
              </w:rPr>
              <w:t>Cost to PBS/RPBS less copayments</w:t>
            </w:r>
          </w:p>
        </w:tc>
        <w:tc>
          <w:tcPr>
            <w:tcW w:w="647" w:type="pct"/>
            <w:shd w:val="clear" w:color="auto" w:fill="auto"/>
          </w:tcPr>
          <w:p w:rsidR="002D6BEC" w:rsidRPr="00AC6C6F" w:rsidRDefault="002D6BEC" w:rsidP="002D6BEC">
            <w:pPr>
              <w:pStyle w:val="TableText0"/>
              <w:jc w:val="center"/>
            </w:pPr>
            <w:r w:rsidRPr="00AC6C6F">
              <w:t>($</w:t>
            </w:r>
            <w:r w:rsidR="00B21624">
              <w:rPr>
                <w:noProof/>
                <w:color w:val="000000"/>
                <w:highlight w:val="black"/>
              </w:rPr>
              <w:t>''''''''''''''''''''''</w:t>
            </w:r>
            <w:r w:rsidRPr="00AC6C6F">
              <w:t>)</w:t>
            </w:r>
          </w:p>
        </w:tc>
        <w:tc>
          <w:tcPr>
            <w:tcW w:w="647" w:type="pct"/>
            <w:shd w:val="clear" w:color="auto" w:fill="auto"/>
          </w:tcPr>
          <w:p w:rsidR="002D6BEC" w:rsidRPr="00AC6C6F" w:rsidRDefault="002D6BEC" w:rsidP="002D6BEC">
            <w:pPr>
              <w:pStyle w:val="TableText0"/>
              <w:jc w:val="center"/>
            </w:pPr>
            <w:r w:rsidRPr="00AC6C6F">
              <w:t>($</w:t>
            </w:r>
            <w:r w:rsidR="00B21624">
              <w:rPr>
                <w:noProof/>
                <w:color w:val="000000"/>
                <w:highlight w:val="black"/>
              </w:rPr>
              <w:t>'''''''''''''''''''''''</w:t>
            </w:r>
            <w:r w:rsidRPr="00AC6C6F">
              <w:t>)</w:t>
            </w:r>
          </w:p>
        </w:tc>
        <w:tc>
          <w:tcPr>
            <w:tcW w:w="647" w:type="pct"/>
            <w:shd w:val="clear" w:color="auto" w:fill="auto"/>
          </w:tcPr>
          <w:p w:rsidR="002D6BEC" w:rsidRPr="00AC6C6F" w:rsidRDefault="002D6BEC" w:rsidP="002D6BEC">
            <w:pPr>
              <w:pStyle w:val="TableText0"/>
              <w:jc w:val="center"/>
            </w:pPr>
            <w:r w:rsidRPr="00AC6C6F">
              <w:t>($</w:t>
            </w:r>
            <w:r w:rsidR="00B21624">
              <w:rPr>
                <w:noProof/>
                <w:color w:val="000000"/>
                <w:highlight w:val="black"/>
              </w:rPr>
              <w:t>''''''''''''''''''''''''</w:t>
            </w:r>
            <w:r w:rsidRPr="00AC6C6F">
              <w:t>)</w:t>
            </w:r>
          </w:p>
        </w:tc>
        <w:tc>
          <w:tcPr>
            <w:tcW w:w="647" w:type="pct"/>
            <w:shd w:val="clear" w:color="auto" w:fill="auto"/>
          </w:tcPr>
          <w:p w:rsidR="002D6BEC" w:rsidRPr="00AC6C6F" w:rsidRDefault="002D6BEC" w:rsidP="002D6BEC">
            <w:pPr>
              <w:pStyle w:val="TableText0"/>
              <w:jc w:val="center"/>
            </w:pPr>
            <w:r w:rsidRPr="00AC6C6F">
              <w:t>($</w:t>
            </w:r>
            <w:r w:rsidR="00B21624">
              <w:rPr>
                <w:noProof/>
                <w:color w:val="000000"/>
                <w:highlight w:val="black"/>
              </w:rPr>
              <w:t>'''''''''''''''''''''''''</w:t>
            </w:r>
            <w:r w:rsidRPr="00AC6C6F">
              <w:t>)</w:t>
            </w:r>
          </w:p>
        </w:tc>
        <w:tc>
          <w:tcPr>
            <w:tcW w:w="647" w:type="pct"/>
            <w:shd w:val="clear" w:color="auto" w:fill="auto"/>
          </w:tcPr>
          <w:p w:rsidR="002D6BEC" w:rsidRPr="00AC6C6F" w:rsidRDefault="002D6BEC" w:rsidP="002D6BEC">
            <w:pPr>
              <w:pStyle w:val="TableText0"/>
              <w:jc w:val="center"/>
            </w:pPr>
            <w:r w:rsidRPr="00AC6C6F">
              <w:t>($</w:t>
            </w:r>
            <w:r w:rsidR="00B21624">
              <w:rPr>
                <w:noProof/>
                <w:color w:val="000000"/>
                <w:highlight w:val="black"/>
              </w:rPr>
              <w:t>''''''''''''''''''''''</w:t>
            </w:r>
            <w:r w:rsidRPr="00AC6C6F">
              <w:t>)</w:t>
            </w:r>
          </w:p>
        </w:tc>
        <w:tc>
          <w:tcPr>
            <w:tcW w:w="649" w:type="pct"/>
          </w:tcPr>
          <w:p w:rsidR="002D6BEC" w:rsidRPr="00AC6C6F" w:rsidRDefault="002D6BEC" w:rsidP="002D6BEC">
            <w:pPr>
              <w:pStyle w:val="TableText0"/>
              <w:jc w:val="center"/>
            </w:pPr>
            <w:r w:rsidRPr="00AC6C6F">
              <w:t>($</w:t>
            </w:r>
            <w:r w:rsidR="00B21624">
              <w:rPr>
                <w:noProof/>
                <w:color w:val="000000"/>
                <w:highlight w:val="black"/>
              </w:rPr>
              <w:t>'''''''''''''''''''''''</w:t>
            </w:r>
            <w:r w:rsidRPr="00AC6C6F">
              <w:t>)</w:t>
            </w:r>
          </w:p>
        </w:tc>
      </w:tr>
      <w:tr w:rsidR="00124743" w:rsidRPr="00AC6C6F" w:rsidTr="000332CC">
        <w:tc>
          <w:tcPr>
            <w:tcW w:w="5000" w:type="pct"/>
            <w:gridSpan w:val="7"/>
            <w:shd w:val="clear" w:color="auto" w:fill="auto"/>
            <w:vAlign w:val="center"/>
          </w:tcPr>
          <w:p w:rsidR="00124743" w:rsidRPr="00AC6C6F" w:rsidRDefault="00124743" w:rsidP="000332CC">
            <w:pPr>
              <w:pStyle w:val="In-tableHeading"/>
              <w:rPr>
                <w:lang w:val="en-AU"/>
              </w:rPr>
            </w:pPr>
            <w:r w:rsidRPr="00AC6C6F">
              <w:rPr>
                <w:lang w:val="en-AU"/>
              </w:rPr>
              <w:t>Net financial implications</w:t>
            </w:r>
          </w:p>
        </w:tc>
      </w:tr>
      <w:tr w:rsidR="00417A95" w:rsidRPr="00AC6C6F" w:rsidTr="00196CCB">
        <w:tc>
          <w:tcPr>
            <w:tcW w:w="1116" w:type="pct"/>
            <w:shd w:val="clear" w:color="auto" w:fill="auto"/>
            <w:vAlign w:val="center"/>
          </w:tcPr>
          <w:p w:rsidR="00417A95" w:rsidRPr="00AC6C6F" w:rsidRDefault="00417A95" w:rsidP="00417A95">
            <w:pPr>
              <w:pStyle w:val="TableText0"/>
              <w:rPr>
                <w:sz w:val="19"/>
                <w:szCs w:val="19"/>
              </w:rPr>
            </w:pPr>
            <w:r w:rsidRPr="00AC6C6F">
              <w:rPr>
                <w:sz w:val="19"/>
                <w:szCs w:val="19"/>
              </w:rPr>
              <w:t>Net cost to PBS/RPBS</w:t>
            </w:r>
          </w:p>
        </w:tc>
        <w:tc>
          <w:tcPr>
            <w:tcW w:w="647" w:type="pct"/>
            <w:shd w:val="clear" w:color="auto" w:fill="auto"/>
          </w:tcPr>
          <w:p w:rsidR="00417A95" w:rsidRPr="00AC6C6F" w:rsidRDefault="00417A95" w:rsidP="00417A95">
            <w:pPr>
              <w:pStyle w:val="TableText0"/>
              <w:jc w:val="center"/>
            </w:pPr>
            <w:r w:rsidRPr="00AC6C6F">
              <w:rPr>
                <w:szCs w:val="20"/>
              </w:rPr>
              <w:t>$</w:t>
            </w:r>
            <w:r w:rsidR="00B21624">
              <w:rPr>
                <w:noProof/>
                <w:color w:val="000000"/>
                <w:szCs w:val="20"/>
                <w:highlight w:val="black"/>
              </w:rPr>
              <w:t>''''''''''''''''''''''''</w:t>
            </w:r>
            <w:r w:rsidRPr="00AC6C6F">
              <w:rPr>
                <w:szCs w:val="20"/>
              </w:rPr>
              <w:t xml:space="preserve"> </w:t>
            </w:r>
          </w:p>
        </w:tc>
        <w:tc>
          <w:tcPr>
            <w:tcW w:w="647" w:type="pct"/>
            <w:shd w:val="clear" w:color="auto" w:fill="auto"/>
          </w:tcPr>
          <w:p w:rsidR="00417A95" w:rsidRPr="00AC6C6F" w:rsidRDefault="00417A95" w:rsidP="00417A95">
            <w:pPr>
              <w:pStyle w:val="TableText0"/>
              <w:jc w:val="center"/>
            </w:pPr>
            <w:r w:rsidRPr="00AC6C6F">
              <w:rPr>
                <w:szCs w:val="20"/>
              </w:rPr>
              <w:t>$</w:t>
            </w:r>
            <w:r w:rsidR="00B21624">
              <w:rPr>
                <w:noProof/>
                <w:color w:val="000000"/>
                <w:szCs w:val="20"/>
                <w:highlight w:val="black"/>
              </w:rPr>
              <w:t>'''''''''''''''''''''''</w:t>
            </w:r>
            <w:r w:rsidRPr="00AC6C6F">
              <w:rPr>
                <w:szCs w:val="20"/>
              </w:rPr>
              <w:t xml:space="preserve"> </w:t>
            </w:r>
          </w:p>
        </w:tc>
        <w:tc>
          <w:tcPr>
            <w:tcW w:w="647" w:type="pct"/>
            <w:shd w:val="clear" w:color="auto" w:fill="auto"/>
          </w:tcPr>
          <w:p w:rsidR="00417A95" w:rsidRPr="00AC6C6F" w:rsidRDefault="00417A95" w:rsidP="00417A95">
            <w:pPr>
              <w:pStyle w:val="TableText0"/>
              <w:jc w:val="center"/>
            </w:pPr>
            <w:r w:rsidRPr="00AC6C6F">
              <w:rPr>
                <w:szCs w:val="20"/>
              </w:rPr>
              <w:t>$</w:t>
            </w:r>
            <w:r w:rsidR="00B21624">
              <w:rPr>
                <w:noProof/>
                <w:color w:val="000000"/>
                <w:szCs w:val="20"/>
                <w:highlight w:val="black"/>
              </w:rPr>
              <w:t>''''''''''''''''''''''</w:t>
            </w:r>
            <w:r w:rsidRPr="00AC6C6F">
              <w:rPr>
                <w:szCs w:val="20"/>
              </w:rPr>
              <w:t xml:space="preserve"> </w:t>
            </w:r>
          </w:p>
        </w:tc>
        <w:tc>
          <w:tcPr>
            <w:tcW w:w="647" w:type="pct"/>
            <w:shd w:val="clear" w:color="auto" w:fill="auto"/>
          </w:tcPr>
          <w:p w:rsidR="00417A95" w:rsidRPr="00AC6C6F" w:rsidRDefault="00417A95" w:rsidP="00417A95">
            <w:pPr>
              <w:pStyle w:val="TableText0"/>
              <w:jc w:val="center"/>
            </w:pPr>
            <w:r w:rsidRPr="00AC6C6F">
              <w:rPr>
                <w:szCs w:val="20"/>
              </w:rPr>
              <w:t>$</w:t>
            </w:r>
            <w:r w:rsidR="00B21624">
              <w:rPr>
                <w:noProof/>
                <w:color w:val="000000"/>
                <w:szCs w:val="20"/>
                <w:highlight w:val="black"/>
              </w:rPr>
              <w:t>'''''''''''''''''''''''</w:t>
            </w:r>
            <w:r w:rsidRPr="00AC6C6F">
              <w:rPr>
                <w:szCs w:val="20"/>
              </w:rPr>
              <w:t xml:space="preserve"> </w:t>
            </w:r>
          </w:p>
        </w:tc>
        <w:tc>
          <w:tcPr>
            <w:tcW w:w="647" w:type="pct"/>
            <w:shd w:val="clear" w:color="auto" w:fill="auto"/>
          </w:tcPr>
          <w:p w:rsidR="00417A95" w:rsidRPr="00AC6C6F" w:rsidRDefault="00417A95" w:rsidP="00417A95">
            <w:pPr>
              <w:pStyle w:val="TableText0"/>
              <w:jc w:val="center"/>
            </w:pPr>
            <w:r w:rsidRPr="00AC6C6F">
              <w:rPr>
                <w:szCs w:val="20"/>
              </w:rPr>
              <w:t>$</w:t>
            </w:r>
            <w:r w:rsidR="00B21624">
              <w:rPr>
                <w:noProof/>
                <w:color w:val="000000"/>
                <w:szCs w:val="20"/>
                <w:highlight w:val="black"/>
              </w:rPr>
              <w:t>'''''''''''''''''''''''</w:t>
            </w:r>
            <w:r w:rsidRPr="00AC6C6F">
              <w:rPr>
                <w:szCs w:val="20"/>
              </w:rPr>
              <w:t xml:space="preserve"> </w:t>
            </w:r>
          </w:p>
        </w:tc>
        <w:tc>
          <w:tcPr>
            <w:tcW w:w="649" w:type="pct"/>
          </w:tcPr>
          <w:p w:rsidR="00417A95" w:rsidRPr="00AC6C6F" w:rsidRDefault="00417A95" w:rsidP="00417A95">
            <w:pPr>
              <w:pStyle w:val="TableText0"/>
              <w:jc w:val="center"/>
            </w:pPr>
            <w:r w:rsidRPr="00AC6C6F">
              <w:rPr>
                <w:szCs w:val="20"/>
              </w:rPr>
              <w:t>$</w:t>
            </w:r>
            <w:r w:rsidR="00B21624">
              <w:rPr>
                <w:noProof/>
                <w:color w:val="000000"/>
                <w:szCs w:val="20"/>
                <w:highlight w:val="black"/>
              </w:rPr>
              <w:t>''''''''''''''''''''''''</w:t>
            </w:r>
            <w:r w:rsidRPr="00AC6C6F">
              <w:rPr>
                <w:szCs w:val="20"/>
              </w:rPr>
              <w:t xml:space="preserve"> </w:t>
            </w:r>
          </w:p>
        </w:tc>
      </w:tr>
      <w:tr w:rsidR="00EE11B6" w:rsidRPr="00AC6C6F" w:rsidTr="00085528">
        <w:tc>
          <w:tcPr>
            <w:tcW w:w="1116" w:type="pct"/>
            <w:shd w:val="clear" w:color="auto" w:fill="auto"/>
            <w:vAlign w:val="center"/>
          </w:tcPr>
          <w:p w:rsidR="00EE11B6" w:rsidRPr="00AC6C6F" w:rsidRDefault="00EE11B6" w:rsidP="00EE11B6">
            <w:pPr>
              <w:pStyle w:val="TableText0"/>
              <w:rPr>
                <w:rFonts w:ascii="Times" w:hAnsi="Times"/>
              </w:rPr>
            </w:pPr>
            <w:r w:rsidRPr="00AC6C6F">
              <w:rPr>
                <w:sz w:val="19"/>
                <w:szCs w:val="19"/>
              </w:rPr>
              <w:t>Net cost to MBS/</w:t>
            </w:r>
            <w:r w:rsidRPr="00AC6C6F" w:rsidDel="00D244B6">
              <w:rPr>
                <w:sz w:val="19"/>
                <w:szCs w:val="19"/>
              </w:rPr>
              <w:t xml:space="preserve"> </w:t>
            </w:r>
            <w:r w:rsidRPr="00AC6C6F">
              <w:rPr>
                <w:sz w:val="19"/>
                <w:szCs w:val="19"/>
              </w:rPr>
              <w:t>Services Australia/other</w:t>
            </w:r>
          </w:p>
        </w:tc>
        <w:tc>
          <w:tcPr>
            <w:tcW w:w="647" w:type="pct"/>
            <w:shd w:val="clear" w:color="auto" w:fill="auto"/>
            <w:vAlign w:val="center"/>
          </w:tcPr>
          <w:p w:rsidR="00EE11B6" w:rsidRPr="00AC6C6F" w:rsidRDefault="00EE11B6" w:rsidP="00EE11B6">
            <w:pPr>
              <w:pStyle w:val="TableText0"/>
              <w:jc w:val="center"/>
            </w:pPr>
            <w:r w:rsidRPr="00AC6C6F">
              <w:rPr>
                <w:rFonts w:cs="Arial"/>
                <w:iCs/>
                <w:color w:val="000000"/>
                <w:szCs w:val="20"/>
              </w:rPr>
              <w:t>$</w:t>
            </w:r>
            <w:r w:rsidR="00B21624">
              <w:rPr>
                <w:rFonts w:cs="Arial"/>
                <w:iCs/>
                <w:noProof/>
                <w:color w:val="000000"/>
                <w:szCs w:val="20"/>
                <w:highlight w:val="black"/>
              </w:rPr>
              <w:t>'''''''''''''''</w:t>
            </w:r>
          </w:p>
        </w:tc>
        <w:tc>
          <w:tcPr>
            <w:tcW w:w="647" w:type="pct"/>
            <w:shd w:val="clear" w:color="auto" w:fill="auto"/>
            <w:vAlign w:val="center"/>
          </w:tcPr>
          <w:p w:rsidR="00EE11B6" w:rsidRPr="00AC6C6F" w:rsidRDefault="00EE11B6" w:rsidP="00EE11B6">
            <w:pPr>
              <w:pStyle w:val="TableText0"/>
              <w:jc w:val="center"/>
            </w:pPr>
            <w:r w:rsidRPr="00AC6C6F">
              <w:rPr>
                <w:rFonts w:cs="Arial"/>
                <w:iCs/>
                <w:color w:val="000000"/>
                <w:szCs w:val="20"/>
              </w:rPr>
              <w:t>$</w:t>
            </w:r>
            <w:r w:rsidR="00B21624">
              <w:rPr>
                <w:rFonts w:cs="Arial"/>
                <w:iCs/>
                <w:noProof/>
                <w:color w:val="000000"/>
                <w:szCs w:val="20"/>
                <w:highlight w:val="black"/>
              </w:rPr>
              <w:t>'''''''''''''''''''''</w:t>
            </w:r>
          </w:p>
        </w:tc>
        <w:tc>
          <w:tcPr>
            <w:tcW w:w="647" w:type="pct"/>
            <w:shd w:val="clear" w:color="auto" w:fill="auto"/>
            <w:vAlign w:val="center"/>
          </w:tcPr>
          <w:p w:rsidR="00EE11B6" w:rsidRPr="00AC6C6F" w:rsidRDefault="00EE11B6" w:rsidP="00EE11B6">
            <w:pPr>
              <w:pStyle w:val="TableText0"/>
              <w:jc w:val="center"/>
            </w:pPr>
            <w:r w:rsidRPr="00AC6C6F">
              <w:rPr>
                <w:rFonts w:cs="Arial"/>
                <w:iCs/>
                <w:color w:val="000000"/>
                <w:szCs w:val="20"/>
              </w:rPr>
              <w:t>$</w:t>
            </w:r>
            <w:r w:rsidR="00B21624">
              <w:rPr>
                <w:rFonts w:cs="Arial"/>
                <w:iCs/>
                <w:noProof/>
                <w:color w:val="000000"/>
                <w:szCs w:val="20"/>
                <w:highlight w:val="black"/>
              </w:rPr>
              <w:t>'''''''''''''''''''</w:t>
            </w:r>
          </w:p>
        </w:tc>
        <w:tc>
          <w:tcPr>
            <w:tcW w:w="647" w:type="pct"/>
            <w:shd w:val="clear" w:color="auto" w:fill="auto"/>
            <w:vAlign w:val="center"/>
          </w:tcPr>
          <w:p w:rsidR="00EE11B6" w:rsidRPr="00AC6C6F" w:rsidRDefault="00EE11B6" w:rsidP="00EE11B6">
            <w:pPr>
              <w:pStyle w:val="TableText0"/>
              <w:jc w:val="center"/>
            </w:pPr>
            <w:r w:rsidRPr="00AC6C6F">
              <w:rPr>
                <w:rFonts w:cs="Arial"/>
                <w:iCs/>
                <w:color w:val="000000"/>
                <w:szCs w:val="20"/>
              </w:rPr>
              <w:t>$</w:t>
            </w:r>
            <w:r w:rsidR="00B21624">
              <w:rPr>
                <w:rFonts w:cs="Arial"/>
                <w:iCs/>
                <w:noProof/>
                <w:color w:val="000000"/>
                <w:szCs w:val="20"/>
                <w:highlight w:val="black"/>
              </w:rPr>
              <w:t>''''''''''''''''''</w:t>
            </w:r>
          </w:p>
        </w:tc>
        <w:tc>
          <w:tcPr>
            <w:tcW w:w="647" w:type="pct"/>
            <w:shd w:val="clear" w:color="auto" w:fill="auto"/>
            <w:vAlign w:val="center"/>
          </w:tcPr>
          <w:p w:rsidR="00EE11B6" w:rsidRPr="00AC6C6F" w:rsidRDefault="00EE11B6" w:rsidP="00EE11B6">
            <w:pPr>
              <w:pStyle w:val="TableText0"/>
              <w:jc w:val="center"/>
            </w:pPr>
            <w:r w:rsidRPr="00AC6C6F">
              <w:rPr>
                <w:rFonts w:cs="Arial"/>
                <w:iCs/>
                <w:color w:val="000000"/>
                <w:szCs w:val="20"/>
              </w:rPr>
              <w:t>$</w:t>
            </w:r>
            <w:r w:rsidR="00B21624">
              <w:rPr>
                <w:rFonts w:cs="Arial"/>
                <w:iCs/>
                <w:noProof/>
                <w:color w:val="000000"/>
                <w:szCs w:val="20"/>
                <w:highlight w:val="black"/>
              </w:rPr>
              <w:t>''''''''''''''''''''''</w:t>
            </w:r>
          </w:p>
        </w:tc>
        <w:tc>
          <w:tcPr>
            <w:tcW w:w="649" w:type="pct"/>
            <w:vAlign w:val="center"/>
          </w:tcPr>
          <w:p w:rsidR="00EE11B6" w:rsidRPr="00AC6C6F" w:rsidRDefault="00EE11B6" w:rsidP="00EE11B6">
            <w:pPr>
              <w:pStyle w:val="TableText0"/>
              <w:jc w:val="center"/>
            </w:pPr>
            <w:r w:rsidRPr="00AC6C6F">
              <w:rPr>
                <w:rFonts w:cs="Arial"/>
                <w:iCs/>
                <w:color w:val="000000"/>
                <w:szCs w:val="20"/>
              </w:rPr>
              <w:t>$</w:t>
            </w:r>
            <w:r w:rsidR="00B21624">
              <w:rPr>
                <w:rFonts w:cs="Arial"/>
                <w:iCs/>
                <w:noProof/>
                <w:color w:val="000000"/>
                <w:szCs w:val="20"/>
                <w:highlight w:val="black"/>
              </w:rPr>
              <w:t>'''''''''''''''''''</w:t>
            </w:r>
          </w:p>
        </w:tc>
      </w:tr>
      <w:tr w:rsidR="00EE11B6" w:rsidRPr="00AC6C6F" w:rsidTr="004C454F">
        <w:tc>
          <w:tcPr>
            <w:tcW w:w="1116" w:type="pct"/>
            <w:shd w:val="clear" w:color="auto" w:fill="auto"/>
            <w:vAlign w:val="center"/>
          </w:tcPr>
          <w:p w:rsidR="00EE11B6" w:rsidRPr="00AC6C6F" w:rsidRDefault="00EE11B6" w:rsidP="00EE11B6">
            <w:pPr>
              <w:pStyle w:val="TableText0"/>
              <w:rPr>
                <w:sz w:val="19"/>
                <w:szCs w:val="19"/>
              </w:rPr>
            </w:pPr>
            <w:r w:rsidRPr="00AC6C6F">
              <w:rPr>
                <w:sz w:val="19"/>
                <w:szCs w:val="19"/>
              </w:rPr>
              <w:t>Net cost to PBS/RPBS/MBS/Services Australia</w:t>
            </w:r>
            <w:r w:rsidR="00567721" w:rsidRPr="00AC6C6F">
              <w:rPr>
                <w:sz w:val="19"/>
                <w:szCs w:val="19"/>
                <w:vertAlign w:val="superscript"/>
              </w:rPr>
              <w:t>a</w:t>
            </w:r>
          </w:p>
        </w:tc>
        <w:tc>
          <w:tcPr>
            <w:tcW w:w="647" w:type="pct"/>
            <w:shd w:val="clear" w:color="auto" w:fill="auto"/>
            <w:vAlign w:val="center"/>
          </w:tcPr>
          <w:p w:rsidR="00EE11B6" w:rsidRPr="00AC6C6F" w:rsidRDefault="00EE11B6" w:rsidP="00EE11B6">
            <w:pPr>
              <w:pStyle w:val="TableText0"/>
              <w:jc w:val="center"/>
            </w:pPr>
            <w:r w:rsidRPr="00AC6C6F">
              <w:rPr>
                <w:rFonts w:cs="Arial"/>
                <w:iCs/>
                <w:color w:val="000000"/>
                <w:szCs w:val="20"/>
              </w:rPr>
              <w:t>$</w:t>
            </w:r>
            <w:r w:rsidR="00B21624">
              <w:rPr>
                <w:rFonts w:cs="Arial"/>
                <w:iCs/>
                <w:noProof/>
                <w:color w:val="000000"/>
                <w:szCs w:val="20"/>
                <w:highlight w:val="black"/>
              </w:rPr>
              <w:t>'''''''''''''''''''''''</w:t>
            </w:r>
          </w:p>
        </w:tc>
        <w:tc>
          <w:tcPr>
            <w:tcW w:w="647" w:type="pct"/>
            <w:shd w:val="clear" w:color="auto" w:fill="auto"/>
            <w:vAlign w:val="center"/>
          </w:tcPr>
          <w:p w:rsidR="00EE11B6" w:rsidRPr="00AC6C6F" w:rsidRDefault="00EE11B6" w:rsidP="00EE11B6">
            <w:pPr>
              <w:pStyle w:val="TableText0"/>
              <w:jc w:val="center"/>
            </w:pPr>
            <w:r w:rsidRPr="00AC6C6F">
              <w:rPr>
                <w:rFonts w:cs="Arial"/>
                <w:iCs/>
                <w:color w:val="000000"/>
                <w:szCs w:val="20"/>
              </w:rPr>
              <w:t>$</w:t>
            </w:r>
            <w:r w:rsidR="00B21624">
              <w:rPr>
                <w:rFonts w:cs="Arial"/>
                <w:iCs/>
                <w:noProof/>
                <w:color w:val="000000"/>
                <w:szCs w:val="20"/>
                <w:highlight w:val="black"/>
              </w:rPr>
              <w:t>'''''''''''''''''''''''</w:t>
            </w:r>
          </w:p>
        </w:tc>
        <w:tc>
          <w:tcPr>
            <w:tcW w:w="647" w:type="pct"/>
            <w:shd w:val="clear" w:color="auto" w:fill="auto"/>
            <w:vAlign w:val="center"/>
          </w:tcPr>
          <w:p w:rsidR="00EE11B6" w:rsidRPr="00AC6C6F" w:rsidRDefault="00EE11B6" w:rsidP="00EE11B6">
            <w:pPr>
              <w:pStyle w:val="TableText0"/>
              <w:jc w:val="center"/>
            </w:pPr>
            <w:r w:rsidRPr="00AC6C6F">
              <w:rPr>
                <w:rFonts w:cs="Arial"/>
                <w:iCs/>
                <w:color w:val="000000"/>
                <w:szCs w:val="20"/>
              </w:rPr>
              <w:t>$</w:t>
            </w:r>
            <w:r w:rsidR="00B21624">
              <w:rPr>
                <w:rFonts w:cs="Arial"/>
                <w:iCs/>
                <w:noProof/>
                <w:color w:val="000000"/>
                <w:szCs w:val="20"/>
                <w:highlight w:val="black"/>
              </w:rPr>
              <w:t>'''''''''''''''''''''''</w:t>
            </w:r>
          </w:p>
        </w:tc>
        <w:tc>
          <w:tcPr>
            <w:tcW w:w="647" w:type="pct"/>
            <w:shd w:val="clear" w:color="auto" w:fill="auto"/>
            <w:vAlign w:val="center"/>
          </w:tcPr>
          <w:p w:rsidR="00EE11B6" w:rsidRPr="00AC6C6F" w:rsidRDefault="00EE11B6" w:rsidP="00EE11B6">
            <w:pPr>
              <w:pStyle w:val="TableText0"/>
              <w:jc w:val="center"/>
            </w:pPr>
            <w:r w:rsidRPr="00AC6C6F">
              <w:rPr>
                <w:rFonts w:cs="Arial"/>
                <w:iCs/>
                <w:color w:val="000000"/>
                <w:szCs w:val="20"/>
              </w:rPr>
              <w:t>$</w:t>
            </w:r>
            <w:r w:rsidR="00B21624">
              <w:rPr>
                <w:rFonts w:cs="Arial"/>
                <w:iCs/>
                <w:noProof/>
                <w:color w:val="000000"/>
                <w:szCs w:val="20"/>
                <w:highlight w:val="black"/>
              </w:rPr>
              <w:t>'''''''''''''''''''''</w:t>
            </w:r>
          </w:p>
        </w:tc>
        <w:tc>
          <w:tcPr>
            <w:tcW w:w="647" w:type="pct"/>
            <w:shd w:val="clear" w:color="auto" w:fill="auto"/>
            <w:vAlign w:val="center"/>
          </w:tcPr>
          <w:p w:rsidR="00EE11B6" w:rsidRPr="00AC6C6F" w:rsidRDefault="00EE11B6" w:rsidP="00EE11B6">
            <w:pPr>
              <w:pStyle w:val="TableText0"/>
              <w:jc w:val="center"/>
            </w:pPr>
            <w:r w:rsidRPr="00AC6C6F">
              <w:rPr>
                <w:rFonts w:cs="Arial"/>
                <w:iCs/>
                <w:color w:val="000000"/>
                <w:szCs w:val="20"/>
              </w:rPr>
              <w:t>$</w:t>
            </w:r>
            <w:r w:rsidR="00B21624">
              <w:rPr>
                <w:rFonts w:cs="Arial"/>
                <w:iCs/>
                <w:noProof/>
                <w:color w:val="000000"/>
                <w:szCs w:val="20"/>
                <w:highlight w:val="black"/>
              </w:rPr>
              <w:t>''''''''''''''''''''''''''</w:t>
            </w:r>
          </w:p>
        </w:tc>
        <w:tc>
          <w:tcPr>
            <w:tcW w:w="649" w:type="pct"/>
            <w:vAlign w:val="center"/>
          </w:tcPr>
          <w:p w:rsidR="00EE11B6" w:rsidRPr="00AC6C6F" w:rsidRDefault="00EE11B6" w:rsidP="00EE11B6">
            <w:pPr>
              <w:pStyle w:val="TableText0"/>
              <w:jc w:val="center"/>
            </w:pPr>
            <w:r w:rsidRPr="00AC6C6F">
              <w:rPr>
                <w:rFonts w:cs="Arial"/>
                <w:iCs/>
                <w:color w:val="000000"/>
                <w:szCs w:val="20"/>
              </w:rPr>
              <w:t>$</w:t>
            </w:r>
            <w:r w:rsidR="00B21624">
              <w:rPr>
                <w:rFonts w:cs="Arial"/>
                <w:iCs/>
                <w:noProof/>
                <w:color w:val="000000"/>
                <w:szCs w:val="20"/>
                <w:highlight w:val="black"/>
              </w:rPr>
              <w:t>''''''''''''''''''''''''</w:t>
            </w:r>
          </w:p>
        </w:tc>
      </w:tr>
    </w:tbl>
    <w:p w:rsidR="00D97929" w:rsidRPr="00AC6C6F" w:rsidRDefault="00D97929" w:rsidP="00D97929">
      <w:pPr>
        <w:pStyle w:val="TableFigureFooter"/>
        <w:spacing w:after="0"/>
      </w:pPr>
      <w:r w:rsidRPr="00AC6C6F">
        <w:t>Source: Table 4-2, p199; Table 4-4, p200 of the submission</w:t>
      </w:r>
    </w:p>
    <w:p w:rsidR="00D97929" w:rsidRPr="00AC6C6F" w:rsidRDefault="00D97929" w:rsidP="007A0074">
      <w:pPr>
        <w:pStyle w:val="TableFigureFooter"/>
        <w:spacing w:after="0"/>
        <w:rPr>
          <w:bCs/>
        </w:rPr>
      </w:pPr>
      <w:r w:rsidRPr="00AC6C6F">
        <w:rPr>
          <w:bCs/>
        </w:rPr>
        <w:t xml:space="preserve">Abbreviations: </w:t>
      </w:r>
      <w:r w:rsidR="007A0074" w:rsidRPr="00AC6C6F">
        <w:t xml:space="preserve">MBS = </w:t>
      </w:r>
      <w:r w:rsidR="007A0074" w:rsidRPr="00AC6C6F">
        <w:rPr>
          <w:szCs w:val="18"/>
        </w:rPr>
        <w:t>Medical Benefits Schedule;</w:t>
      </w:r>
      <w:r w:rsidR="007A0074" w:rsidRPr="00AC6C6F">
        <w:rPr>
          <w:bCs/>
        </w:rPr>
        <w:t xml:space="preserve"> </w:t>
      </w:r>
      <w:r w:rsidRPr="00AC6C6F">
        <w:rPr>
          <w:bCs/>
        </w:rPr>
        <w:t>PBS = Pharmaceutical Benefits Scheme; RPBS = Repatriation Schedule of Pharmaceutical Benefits</w:t>
      </w:r>
    </w:p>
    <w:p w:rsidR="00E955A4" w:rsidRPr="00037EB7" w:rsidRDefault="00567721" w:rsidP="00037EB7">
      <w:pPr>
        <w:pStyle w:val="TableFigureFooter"/>
        <w:spacing w:after="0"/>
        <w:rPr>
          <w:bCs/>
        </w:rPr>
      </w:pPr>
      <w:r w:rsidRPr="00AC6C6F">
        <w:rPr>
          <w:bCs/>
          <w:vertAlign w:val="superscript"/>
        </w:rPr>
        <w:t>a</w:t>
      </w:r>
      <w:r w:rsidRPr="00AC6C6F">
        <w:rPr>
          <w:bCs/>
        </w:rPr>
        <w:t xml:space="preserve"> Update to the net cost is due to the addition of the impact on MBS services.</w:t>
      </w:r>
    </w:p>
    <w:p w:rsidR="000442B5" w:rsidRPr="00AC6C6F" w:rsidRDefault="00D57F20" w:rsidP="00D97929">
      <w:pPr>
        <w:pStyle w:val="3-BodyText"/>
        <w:rPr>
          <w:iCs/>
        </w:rPr>
      </w:pPr>
      <w:r w:rsidRPr="00AC6C6F">
        <w:rPr>
          <w:iCs/>
        </w:rPr>
        <w:t xml:space="preserve">At Year 6 the estimated number of patients was </w:t>
      </w:r>
      <w:r w:rsidR="00B72651">
        <w:rPr>
          <w:iCs/>
        </w:rPr>
        <w:t>&lt; </w:t>
      </w:r>
      <w:r w:rsidR="00037EB7">
        <w:rPr>
          <w:iCs/>
        </w:rPr>
        <w:t>500</w:t>
      </w:r>
      <w:r w:rsidRPr="00AC6C6F">
        <w:rPr>
          <w:iCs/>
        </w:rPr>
        <w:t xml:space="preserve"> and the net </w:t>
      </w:r>
      <w:r w:rsidR="00E955A4" w:rsidRPr="00AC6C6F">
        <w:rPr>
          <w:iCs/>
        </w:rPr>
        <w:t xml:space="preserve">cost to the PBS/RPBS of listing mogamulizumab was estimated to be </w:t>
      </w:r>
      <w:r w:rsidR="002D307F" w:rsidRPr="00AC6C6F">
        <w:rPr>
          <w:iCs/>
        </w:rPr>
        <w:t>$</w:t>
      </w:r>
      <w:r w:rsidR="00037EB7">
        <w:rPr>
          <w:iCs/>
        </w:rPr>
        <w:t>0 to &lt; $10</w:t>
      </w:r>
      <w:r w:rsidR="002D307F" w:rsidRPr="00AC6C6F">
        <w:rPr>
          <w:iCs/>
        </w:rPr>
        <w:t xml:space="preserve"> million</w:t>
      </w:r>
      <w:r w:rsidR="00E955A4" w:rsidRPr="00AC6C6F">
        <w:rPr>
          <w:iCs/>
        </w:rPr>
        <w:t xml:space="preserve">, and a total of </w:t>
      </w:r>
      <w:r w:rsidR="002D307F" w:rsidRPr="00AC6C6F">
        <w:rPr>
          <w:iCs/>
        </w:rPr>
        <w:t>$</w:t>
      </w:r>
      <w:r w:rsidR="00037EB7">
        <w:rPr>
          <w:iCs/>
        </w:rPr>
        <w:t>30</w:t>
      </w:r>
      <w:r w:rsidR="002D307F" w:rsidRPr="00AC6C6F">
        <w:rPr>
          <w:iCs/>
        </w:rPr>
        <w:t xml:space="preserve"> million</w:t>
      </w:r>
      <w:r w:rsidR="00037EB7">
        <w:rPr>
          <w:iCs/>
        </w:rPr>
        <w:t xml:space="preserve"> to &lt; $40 million</w:t>
      </w:r>
      <w:r w:rsidR="00E955A4" w:rsidRPr="00AC6C6F">
        <w:rPr>
          <w:iCs/>
        </w:rPr>
        <w:t xml:space="preserve"> in the first 6 years of listing.</w:t>
      </w:r>
      <w:r w:rsidRPr="00AC6C6F">
        <w:rPr>
          <w:iCs/>
        </w:rPr>
        <w:t xml:space="preserve"> </w:t>
      </w:r>
    </w:p>
    <w:p w:rsidR="00124743" w:rsidRPr="00AC6C6F" w:rsidRDefault="00124743" w:rsidP="00124743">
      <w:pPr>
        <w:pStyle w:val="4-SubsectionHeading"/>
      </w:pPr>
      <w:bookmarkStart w:id="24" w:name="_Toc22897649"/>
      <w:bookmarkStart w:id="25" w:name="_Toc22898861"/>
      <w:bookmarkStart w:id="26" w:name="_Toc40177100"/>
      <w:r w:rsidRPr="00AC6C6F">
        <w:t>Financial Management – Risk Sharing Arrangements</w:t>
      </w:r>
      <w:bookmarkEnd w:id="24"/>
      <w:bookmarkEnd w:id="25"/>
      <w:bookmarkEnd w:id="26"/>
    </w:p>
    <w:p w:rsidR="00274A26" w:rsidRPr="00AC6C6F" w:rsidRDefault="003768E5" w:rsidP="00870588">
      <w:pPr>
        <w:pStyle w:val="3-BodyText"/>
      </w:pPr>
      <w:r w:rsidRPr="00AC6C6F">
        <w:t>No risk-sharing arrangement</w:t>
      </w:r>
      <w:r w:rsidR="002422EC" w:rsidRPr="00AC6C6F">
        <w:t>s</w:t>
      </w:r>
      <w:r w:rsidRPr="00AC6C6F">
        <w:t xml:space="preserve"> (RSA) w</w:t>
      </w:r>
      <w:r w:rsidR="002422EC" w:rsidRPr="00AC6C6F">
        <w:t>ere</w:t>
      </w:r>
      <w:r w:rsidRPr="00AC6C6F">
        <w:t xml:space="preserve"> proposed. The submission </w:t>
      </w:r>
      <w:r w:rsidR="00582F56" w:rsidRPr="00AC6C6F">
        <w:t xml:space="preserve">noted </w:t>
      </w:r>
      <w:r w:rsidRPr="00AC6C6F">
        <w:t>that the sponsor is in principle supportive of the development of an appropriate RSA as part of any PBS listing for mogamulizumab.</w:t>
      </w:r>
    </w:p>
    <w:p w:rsidR="0093681E" w:rsidRPr="00AC6C6F" w:rsidRDefault="0093681E" w:rsidP="004C1457">
      <w:pPr>
        <w:pStyle w:val="3-BodyText"/>
        <w:numPr>
          <w:ilvl w:val="0"/>
          <w:numId w:val="0"/>
        </w:numPr>
        <w:ind w:left="720"/>
        <w:rPr>
          <w:i/>
        </w:rPr>
      </w:pPr>
      <w:r w:rsidRPr="00AC6C6F">
        <w:rPr>
          <w:i/>
        </w:rPr>
        <w:t>For more detail on PBAC’s view, see section 7 PBAC outcome.</w:t>
      </w:r>
    </w:p>
    <w:p w:rsidR="004C1457" w:rsidRPr="00AC6C6F" w:rsidRDefault="004C1457" w:rsidP="004C1457">
      <w:pPr>
        <w:pStyle w:val="2-SectionHeading"/>
        <w:numPr>
          <w:ilvl w:val="0"/>
          <w:numId w:val="1"/>
        </w:numPr>
      </w:pPr>
      <w:r w:rsidRPr="00AC6C6F">
        <w:t>PBAC Outcome</w:t>
      </w:r>
    </w:p>
    <w:p w:rsidR="00F43738" w:rsidRPr="00AC6C6F" w:rsidRDefault="00F43738" w:rsidP="00F43738">
      <w:pPr>
        <w:pStyle w:val="3-BodyText"/>
        <w:rPr>
          <w:iCs/>
        </w:rPr>
      </w:pPr>
      <w:r w:rsidRPr="00AC6C6F">
        <w:rPr>
          <w:iCs/>
        </w:rPr>
        <w:t>The PBAC did not recommend the listing of mogamulizumab for the treatment of patients with relapsed or refractory cutaneous T cell</w:t>
      </w:r>
      <w:r w:rsidR="00041EB7" w:rsidRPr="00AC6C6F">
        <w:rPr>
          <w:iCs/>
        </w:rPr>
        <w:t xml:space="preserve"> lymphoma (CTCL)</w:t>
      </w:r>
      <w:r w:rsidRPr="00AC6C6F">
        <w:rPr>
          <w:iCs/>
        </w:rPr>
        <w:t>. The PBAC considered that the extent of benefit for mogamulizumab in terms of progression free survival (PFS) and overall survival (OS) was uncertain. In addition, the PBAC considered the incremental cost-effectiveness ratio (ICER) was unacceptably high and uncertain at the proposed price, and the estimated financial impact was uncertain.</w:t>
      </w:r>
    </w:p>
    <w:p w:rsidR="00F43738" w:rsidRPr="00AC6C6F" w:rsidRDefault="000805F6" w:rsidP="004C1457">
      <w:pPr>
        <w:pStyle w:val="3-BodyText"/>
        <w:rPr>
          <w:iCs/>
        </w:rPr>
      </w:pPr>
      <w:r w:rsidRPr="00AC6C6F">
        <w:rPr>
          <w:iCs/>
        </w:rPr>
        <w:t xml:space="preserve">The PBAC welcomed the input from individuals, health care professionals and organisations which highlighted the need for new treatment options for patients with relapsed or refractory CTCL. </w:t>
      </w:r>
    </w:p>
    <w:p w:rsidR="004C1457" w:rsidRPr="00AC6C6F" w:rsidRDefault="00854299" w:rsidP="004C1457">
      <w:pPr>
        <w:pStyle w:val="3-BodyText"/>
        <w:rPr>
          <w:iCs/>
        </w:rPr>
      </w:pPr>
      <w:r w:rsidRPr="00AC6C6F">
        <w:rPr>
          <w:iCs/>
        </w:rPr>
        <w:t xml:space="preserve">The PBAC accepted the nomination of vorinostat as the main comparator and brentuximab vedotin (hereafter referred to as brentuximab) as the secondary comparator. </w:t>
      </w:r>
    </w:p>
    <w:p w:rsidR="005D3655" w:rsidRPr="00AC6C6F" w:rsidRDefault="00F57265" w:rsidP="004C1457">
      <w:pPr>
        <w:pStyle w:val="3-BodyText"/>
        <w:rPr>
          <w:iCs/>
        </w:rPr>
      </w:pPr>
      <w:r w:rsidRPr="00AC6C6F">
        <w:rPr>
          <w:iCs/>
        </w:rPr>
        <w:t xml:space="preserve">The PBAC considered the key trial (MAVORIC) to have a high risk of bias due to </w:t>
      </w:r>
      <w:r w:rsidRPr="00AC6C6F">
        <w:rPr>
          <w:rFonts w:cs="Times New Roman"/>
          <w:snapToGrid/>
        </w:rPr>
        <w:t xml:space="preserve">the </w:t>
      </w:r>
      <w:r w:rsidR="00272626" w:rsidRPr="00AC6C6F">
        <w:rPr>
          <w:rFonts w:cs="Times New Roman"/>
          <w:snapToGrid/>
        </w:rPr>
        <w:t xml:space="preserve">open label design and </w:t>
      </w:r>
      <w:r w:rsidRPr="00AC6C6F">
        <w:rPr>
          <w:rFonts w:cs="Times New Roman"/>
          <w:snapToGrid/>
        </w:rPr>
        <w:t xml:space="preserve">level of crossover. The PBAC noted </w:t>
      </w:r>
      <w:r w:rsidRPr="00AC6C6F">
        <w:rPr>
          <w:iCs/>
        </w:rPr>
        <w:t xml:space="preserve">the </w:t>
      </w:r>
      <w:r w:rsidRPr="00AC6C6F">
        <w:rPr>
          <w:rFonts w:cs="Calibri"/>
          <w:iCs/>
        </w:rPr>
        <w:t>large proportion of patients in the vorinostat arm who crossed over to mogamulizumab</w:t>
      </w:r>
      <w:r w:rsidR="000065D8" w:rsidRPr="00AC6C6F">
        <w:rPr>
          <w:rFonts w:cs="Calibri"/>
          <w:iCs/>
        </w:rPr>
        <w:t xml:space="preserve"> </w:t>
      </w:r>
      <w:r w:rsidR="00CA218E" w:rsidRPr="00AC6C6F">
        <w:rPr>
          <w:rFonts w:cs="Calibri"/>
          <w:iCs/>
        </w:rPr>
        <w:br/>
      </w:r>
      <w:r w:rsidR="000065D8" w:rsidRPr="00AC6C6F">
        <w:rPr>
          <w:rFonts w:cs="Calibri"/>
          <w:iCs/>
        </w:rPr>
        <w:t>(</w:t>
      </w:r>
      <w:r w:rsidR="005D3655" w:rsidRPr="00AC6C6F">
        <w:rPr>
          <w:rFonts w:cs="Calibri"/>
          <w:iCs/>
        </w:rPr>
        <w:t>n = 136</w:t>
      </w:r>
      <w:r w:rsidR="000065D8" w:rsidRPr="00AC6C6F">
        <w:rPr>
          <w:rFonts w:cs="Calibri"/>
          <w:iCs/>
        </w:rPr>
        <w:t xml:space="preserve">; 73.1%) based </w:t>
      </w:r>
      <w:r w:rsidRPr="00AC6C6F">
        <w:rPr>
          <w:rFonts w:cs="Calibri"/>
          <w:iCs/>
        </w:rPr>
        <w:t>on investigator assessed disease progression</w:t>
      </w:r>
      <w:r w:rsidR="005D3655" w:rsidRPr="00AC6C6F">
        <w:rPr>
          <w:rFonts w:cs="Calibri"/>
          <w:iCs/>
        </w:rPr>
        <w:t xml:space="preserve"> (n = 109) or vorinostat intolerance (n=27)</w:t>
      </w:r>
      <w:r w:rsidR="00AC6C6F">
        <w:rPr>
          <w:rFonts w:cs="Calibri"/>
          <w:iCs/>
        </w:rPr>
        <w:t xml:space="preserve">. </w:t>
      </w:r>
      <w:r w:rsidRPr="00AC6C6F">
        <w:rPr>
          <w:rFonts w:cs="Calibri"/>
          <w:iCs/>
          <w:color w:val="000000" w:themeColor="text1"/>
        </w:rPr>
        <w:t xml:space="preserve">The PBAC </w:t>
      </w:r>
      <w:r w:rsidR="005D3655" w:rsidRPr="00AC6C6F">
        <w:rPr>
          <w:rFonts w:cs="Calibri"/>
          <w:iCs/>
          <w:color w:val="000000" w:themeColor="text1"/>
        </w:rPr>
        <w:t>considered the use of the</w:t>
      </w:r>
      <w:r w:rsidR="00296095" w:rsidRPr="00AC6C6F">
        <w:rPr>
          <w:rFonts w:cs="Calibri"/>
          <w:iCs/>
          <w:color w:val="000000" w:themeColor="text1"/>
        </w:rPr>
        <w:t xml:space="preserve"> potentially subjective</w:t>
      </w:r>
      <w:r w:rsidR="005D3655" w:rsidRPr="00AC6C6F">
        <w:rPr>
          <w:rFonts w:cs="Calibri"/>
          <w:iCs/>
          <w:color w:val="000000" w:themeColor="text1"/>
        </w:rPr>
        <w:t xml:space="preserve"> </w:t>
      </w:r>
      <w:r w:rsidR="00296095" w:rsidRPr="00AC6C6F">
        <w:rPr>
          <w:rFonts w:ascii="Calibri" w:hAnsi="Calibri" w:cs="Calibri"/>
          <w:iCs/>
        </w:rPr>
        <w:t xml:space="preserve">modified Severity Weighted Assessment Tool </w:t>
      </w:r>
      <w:r w:rsidR="00296095" w:rsidRPr="00AC6C6F">
        <w:rPr>
          <w:rFonts w:cs="Calibri"/>
          <w:iCs/>
          <w:color w:val="000000" w:themeColor="text1"/>
        </w:rPr>
        <w:t xml:space="preserve">(mSWAT) in the assessment of disease progression may have influenced the determination of crossover eligibility in this open label trial. </w:t>
      </w:r>
      <w:r w:rsidR="00616E7B" w:rsidRPr="00AC6C6F">
        <w:rPr>
          <w:rFonts w:cs="Calibri"/>
          <w:iCs/>
          <w:color w:val="000000" w:themeColor="text1"/>
        </w:rPr>
        <w:t xml:space="preserve">The PBAC noted that </w:t>
      </w:r>
      <w:r w:rsidR="00A23A35" w:rsidRPr="00AC6C6F">
        <w:rPr>
          <w:rFonts w:cs="Calibri"/>
          <w:iCs/>
          <w:color w:val="000000" w:themeColor="text1"/>
        </w:rPr>
        <w:t>independent review (IR) assessment of PFS also relied on the investigator assessment of mSWAT. In addition, the PBAC</w:t>
      </w:r>
      <w:r w:rsidR="00616E7B" w:rsidRPr="00AC6C6F">
        <w:rPr>
          <w:rFonts w:cs="Calibri"/>
          <w:iCs/>
          <w:color w:val="000000" w:themeColor="text1"/>
        </w:rPr>
        <w:t xml:space="preserve"> </w:t>
      </w:r>
      <w:r w:rsidR="003277DC" w:rsidRPr="00AC6C6F">
        <w:rPr>
          <w:rFonts w:cs="Calibri"/>
          <w:iCs/>
          <w:color w:val="000000" w:themeColor="text1"/>
        </w:rPr>
        <w:t xml:space="preserve">noted that the trial </w:t>
      </w:r>
      <w:r w:rsidR="003277DC" w:rsidRPr="00AC6C6F">
        <w:rPr>
          <w:iCs/>
          <w:snapToGrid/>
        </w:rPr>
        <w:t xml:space="preserve">protocol allowed patients to crossover after receiving two full cycles of vorinostat </w:t>
      </w:r>
      <w:r w:rsidR="005C2AB3" w:rsidRPr="00AC6C6F">
        <w:rPr>
          <w:iCs/>
          <w:snapToGrid/>
        </w:rPr>
        <w:t>and considered that the</w:t>
      </w:r>
      <w:r w:rsidR="003277DC" w:rsidRPr="00AC6C6F">
        <w:rPr>
          <w:iCs/>
          <w:snapToGrid/>
        </w:rPr>
        <w:t xml:space="preserve"> median </w:t>
      </w:r>
      <w:r w:rsidR="00616E7B" w:rsidRPr="00AC6C6F">
        <w:rPr>
          <w:iCs/>
          <w:snapToGrid/>
        </w:rPr>
        <w:t xml:space="preserve">number of cycles </w:t>
      </w:r>
      <w:r w:rsidR="00C31194" w:rsidRPr="00AC6C6F">
        <w:rPr>
          <w:iCs/>
          <w:snapToGrid/>
        </w:rPr>
        <w:t>initiated</w:t>
      </w:r>
      <w:r w:rsidR="00616E7B" w:rsidRPr="00AC6C6F">
        <w:rPr>
          <w:iCs/>
          <w:snapToGrid/>
        </w:rPr>
        <w:t xml:space="preserve"> for patients allocated to this arm (</w:t>
      </w:r>
      <w:r w:rsidR="003277DC" w:rsidRPr="00AC6C6F">
        <w:rPr>
          <w:iCs/>
          <w:snapToGrid/>
        </w:rPr>
        <w:t>3.0 cycles</w:t>
      </w:r>
      <w:r w:rsidR="00616E7B" w:rsidRPr="00AC6C6F">
        <w:rPr>
          <w:iCs/>
          <w:snapToGrid/>
        </w:rPr>
        <w:t xml:space="preserve">) </w:t>
      </w:r>
      <w:r w:rsidR="00E53B4B" w:rsidRPr="00AC6C6F">
        <w:rPr>
          <w:iCs/>
          <w:snapToGrid/>
        </w:rPr>
        <w:t>indicated that cross</w:t>
      </w:r>
      <w:r w:rsidR="00616E7B" w:rsidRPr="00AC6C6F">
        <w:rPr>
          <w:iCs/>
          <w:snapToGrid/>
        </w:rPr>
        <w:t>over occurred early</w:t>
      </w:r>
      <w:r w:rsidR="003277DC" w:rsidRPr="00AC6C6F">
        <w:rPr>
          <w:iCs/>
          <w:snapToGrid/>
        </w:rPr>
        <w:t xml:space="preserve">. </w:t>
      </w:r>
    </w:p>
    <w:p w:rsidR="00DD07A0" w:rsidRPr="00AC6C6F" w:rsidRDefault="00616E7B" w:rsidP="004C1457">
      <w:pPr>
        <w:pStyle w:val="3-BodyText"/>
        <w:rPr>
          <w:iCs/>
        </w:rPr>
      </w:pPr>
      <w:r w:rsidRPr="00AC6C6F">
        <w:rPr>
          <w:iCs/>
        </w:rPr>
        <w:t>The PBAC n</w:t>
      </w:r>
      <w:r w:rsidR="00542EDD" w:rsidRPr="00AC6C6F">
        <w:rPr>
          <w:iCs/>
        </w:rPr>
        <w:t>oted that a statistically significant</w:t>
      </w:r>
      <w:r w:rsidRPr="00AC6C6F">
        <w:rPr>
          <w:iCs/>
        </w:rPr>
        <w:t xml:space="preserve"> difference in favour of </w:t>
      </w:r>
      <w:r w:rsidR="00C31194" w:rsidRPr="00AC6C6F">
        <w:rPr>
          <w:iCs/>
        </w:rPr>
        <w:t>mogamulizumab</w:t>
      </w:r>
      <w:r w:rsidRPr="00AC6C6F">
        <w:rPr>
          <w:iCs/>
        </w:rPr>
        <w:t xml:space="preserve"> was reported for both investigator</w:t>
      </w:r>
      <w:r w:rsidR="00A23A35" w:rsidRPr="00AC6C6F">
        <w:rPr>
          <w:iCs/>
        </w:rPr>
        <w:t xml:space="preserve"> (HR = 0.53, 95% CI</w:t>
      </w:r>
      <w:r w:rsidR="00E53B4B" w:rsidRPr="00AC6C6F">
        <w:rPr>
          <w:iCs/>
        </w:rPr>
        <w:t>:</w:t>
      </w:r>
      <w:r w:rsidR="00A23A35" w:rsidRPr="00AC6C6F">
        <w:rPr>
          <w:iCs/>
        </w:rPr>
        <w:t xml:space="preserve"> 0.41, 0.69)</w:t>
      </w:r>
      <w:r w:rsidRPr="00AC6C6F">
        <w:rPr>
          <w:iCs/>
        </w:rPr>
        <w:t xml:space="preserve"> and </w:t>
      </w:r>
      <w:r w:rsidR="00A23A35" w:rsidRPr="00AC6C6F">
        <w:rPr>
          <w:rFonts w:cs="Calibri"/>
          <w:iCs/>
          <w:color w:val="000000" w:themeColor="text1"/>
        </w:rPr>
        <w:t>IR</w:t>
      </w:r>
      <w:r w:rsidRPr="00AC6C6F">
        <w:rPr>
          <w:rFonts w:cs="Calibri"/>
          <w:iCs/>
          <w:color w:val="000000" w:themeColor="text1"/>
        </w:rPr>
        <w:t xml:space="preserve"> </w:t>
      </w:r>
      <w:r w:rsidR="00A23A35" w:rsidRPr="00AC6C6F">
        <w:rPr>
          <w:rFonts w:cs="Calibri"/>
          <w:iCs/>
          <w:color w:val="000000" w:themeColor="text1"/>
        </w:rPr>
        <w:t>(HR = 0.64, 95% CI</w:t>
      </w:r>
      <w:r w:rsidR="00E53B4B" w:rsidRPr="00AC6C6F">
        <w:rPr>
          <w:rFonts w:cs="Calibri"/>
          <w:iCs/>
          <w:color w:val="000000" w:themeColor="text1"/>
        </w:rPr>
        <w:t>:</w:t>
      </w:r>
      <w:r w:rsidR="00A23A35" w:rsidRPr="00AC6C6F">
        <w:rPr>
          <w:rFonts w:cs="Calibri"/>
          <w:iCs/>
          <w:color w:val="000000" w:themeColor="text1"/>
        </w:rPr>
        <w:t xml:space="preserve"> 0.49, 0.84) </w:t>
      </w:r>
      <w:r w:rsidRPr="00AC6C6F">
        <w:rPr>
          <w:rFonts w:cs="Calibri"/>
          <w:iCs/>
          <w:color w:val="000000" w:themeColor="text1"/>
        </w:rPr>
        <w:t xml:space="preserve">assessed PFS. </w:t>
      </w:r>
      <w:r w:rsidR="00A23A35" w:rsidRPr="00AC6C6F">
        <w:rPr>
          <w:rFonts w:cs="Calibri"/>
          <w:iCs/>
          <w:color w:val="000000" w:themeColor="text1"/>
        </w:rPr>
        <w:t>The PBAC noted a high number of patients in both arms were censored from the primary analysis f</w:t>
      </w:r>
      <w:r w:rsidR="00E53B4B" w:rsidRPr="00AC6C6F">
        <w:rPr>
          <w:rFonts w:cs="Calibri"/>
          <w:iCs/>
          <w:color w:val="000000" w:themeColor="text1"/>
        </w:rPr>
        <w:t>or PFS (40.9% of mogamulizumab arm and 29.6% of vorinostat arm, see paragraph 6.17</w:t>
      </w:r>
      <w:r w:rsidR="00A23A35" w:rsidRPr="00AC6C6F">
        <w:rPr>
          <w:rFonts w:cs="Calibri"/>
          <w:iCs/>
          <w:color w:val="000000" w:themeColor="text1"/>
        </w:rPr>
        <w:t>)</w:t>
      </w:r>
      <w:r w:rsidR="00E53B4B" w:rsidRPr="00AC6C6F">
        <w:rPr>
          <w:rFonts w:cs="Calibri"/>
          <w:iCs/>
          <w:color w:val="000000" w:themeColor="text1"/>
        </w:rPr>
        <w:t xml:space="preserve">. The PBAC considered that due to </w:t>
      </w:r>
      <w:r w:rsidR="00A23A35" w:rsidRPr="00AC6C6F">
        <w:rPr>
          <w:rFonts w:cs="Times New Roman"/>
          <w:snapToGrid/>
        </w:rPr>
        <w:t xml:space="preserve">the level of crossover and the extent of censoring that occurred in MAVORIC </w:t>
      </w:r>
      <w:r w:rsidR="00E53B4B" w:rsidRPr="00AC6C6F">
        <w:rPr>
          <w:rFonts w:cs="Times New Roman"/>
          <w:snapToGrid/>
        </w:rPr>
        <w:t xml:space="preserve">it was uncertain as to whether the effects on PFS were predominantly the results from the </w:t>
      </w:r>
      <w:r w:rsidR="00C31194" w:rsidRPr="00AC6C6F">
        <w:rPr>
          <w:rFonts w:cs="Times New Roman"/>
          <w:snapToGrid/>
        </w:rPr>
        <w:t>individual</w:t>
      </w:r>
      <w:r w:rsidR="00E53B4B" w:rsidRPr="00AC6C6F">
        <w:rPr>
          <w:rFonts w:cs="Times New Roman"/>
          <w:snapToGrid/>
        </w:rPr>
        <w:t xml:space="preserve"> treatments or the crossover design. The PBAC also noted that the median PFS was longer for the crossover population (8.9 months, 95% CI: 5.4, 14.8) than the observed PFS in either the mogamulizumab or vorinostat arms (7.7 months, 95% CI:</w:t>
      </w:r>
      <w:r w:rsidR="00542EDD" w:rsidRPr="00AC6C6F">
        <w:rPr>
          <w:rFonts w:cs="Times New Roman"/>
          <w:snapToGrid/>
        </w:rPr>
        <w:t xml:space="preserve"> 5.7, 10.3 vs 3.1 months; 95% CI: 2.9, 4.1) and considered that there was some indication that crossover patients </w:t>
      </w:r>
      <w:r w:rsidR="00B84B04" w:rsidRPr="00AC6C6F">
        <w:rPr>
          <w:rFonts w:cs="Times New Roman"/>
          <w:snapToGrid/>
        </w:rPr>
        <w:t>may perform</w:t>
      </w:r>
      <w:r w:rsidR="00542EDD" w:rsidRPr="00AC6C6F">
        <w:rPr>
          <w:rFonts w:cs="Times New Roman"/>
          <w:snapToGrid/>
        </w:rPr>
        <w:t xml:space="preserve"> better</w:t>
      </w:r>
      <w:r w:rsidR="00AC6C6F">
        <w:rPr>
          <w:rFonts w:cs="Times New Roman"/>
          <w:snapToGrid/>
        </w:rPr>
        <w:t xml:space="preserve">. </w:t>
      </w:r>
    </w:p>
    <w:p w:rsidR="004F1C26" w:rsidRPr="00AC6C6F" w:rsidRDefault="004F1C26" w:rsidP="004F1C26">
      <w:pPr>
        <w:pStyle w:val="3-BodyText"/>
        <w:rPr>
          <w:iCs/>
          <w:snapToGrid/>
        </w:rPr>
      </w:pPr>
      <w:r w:rsidRPr="00AC6C6F">
        <w:rPr>
          <w:iCs/>
          <w:snapToGrid/>
        </w:rPr>
        <w:t xml:space="preserve">The PBAC noted that none of the methods applied to adjust OS for treatment switching within the MAVORIC trial resulted in statistically significant hazard ratios for OS for mogamulizumab compared with vorinostat. </w:t>
      </w:r>
      <w:r w:rsidR="00D8517B" w:rsidRPr="00AC6C6F">
        <w:rPr>
          <w:iCs/>
          <w:snapToGrid/>
        </w:rPr>
        <w:t>The</w:t>
      </w:r>
      <w:r w:rsidR="00174E0E" w:rsidRPr="00AC6C6F">
        <w:rPr>
          <w:iCs/>
          <w:snapToGrid/>
        </w:rPr>
        <w:t xml:space="preserve"> PBAC recalled that 73.1%</w:t>
      </w:r>
      <w:r w:rsidR="00D8517B" w:rsidRPr="00AC6C6F">
        <w:rPr>
          <w:iCs/>
          <w:snapToGrid/>
        </w:rPr>
        <w:t xml:space="preserve"> of </w:t>
      </w:r>
      <w:r w:rsidR="00D8517B" w:rsidRPr="00AC6C6F">
        <w:rPr>
          <w:rFonts w:cs="Calibri"/>
          <w:iCs/>
        </w:rPr>
        <w:t>patients in the vorinostat arm crossed over to mogamulizumab and did so early</w:t>
      </w:r>
      <w:r w:rsidR="00174E0E" w:rsidRPr="00AC6C6F">
        <w:rPr>
          <w:rFonts w:cs="Calibri"/>
          <w:iCs/>
        </w:rPr>
        <w:t xml:space="preserve"> in the trial (see paragraph 7.</w:t>
      </w:r>
      <w:r w:rsidR="006C07D2">
        <w:rPr>
          <w:rFonts w:cs="Calibri"/>
          <w:iCs/>
        </w:rPr>
        <w:t>4</w:t>
      </w:r>
      <w:r w:rsidR="00D8517B" w:rsidRPr="00AC6C6F">
        <w:rPr>
          <w:rFonts w:cs="Calibri"/>
          <w:iCs/>
        </w:rPr>
        <w:t>). As such, the PBAC considere</w:t>
      </w:r>
      <w:r w:rsidR="00A53EEB" w:rsidRPr="00AC6C6F">
        <w:rPr>
          <w:rFonts w:cs="Calibri"/>
          <w:iCs/>
        </w:rPr>
        <w:t>d it unlikely that any</w:t>
      </w:r>
      <w:r w:rsidR="00D8517B" w:rsidRPr="00AC6C6F">
        <w:rPr>
          <w:rFonts w:cs="Calibri"/>
          <w:iCs/>
        </w:rPr>
        <w:t xml:space="preserve"> of the methods applied to adjust OS for treatment switching could obtain valid estimates for the incremental benefit of </w:t>
      </w:r>
      <w:r w:rsidR="00D8517B" w:rsidRPr="00AC6C6F">
        <w:rPr>
          <w:iCs/>
          <w:snapToGrid/>
        </w:rPr>
        <w:t xml:space="preserve">mogamulizumab over vorinostat. </w:t>
      </w:r>
    </w:p>
    <w:p w:rsidR="00041EB7" w:rsidRPr="00AC6C6F" w:rsidRDefault="00041EB7" w:rsidP="00041EB7">
      <w:pPr>
        <w:pStyle w:val="3-BodyText"/>
        <w:rPr>
          <w:rFonts w:ascii="Calibri" w:hAnsi="Calibri" w:cs="Calibri"/>
          <w:iCs/>
        </w:rPr>
      </w:pPr>
      <w:r w:rsidRPr="00AC6C6F">
        <w:t>The PBAC considered the extent of benefit, if any, for mogamulizumab versus vorinostat could not be determined from the available evidence, and therefore did not consider the claim of superior comparative effectiveness to be adequately supported.</w:t>
      </w:r>
      <w:r w:rsidRPr="00AC6C6F">
        <w:rPr>
          <w:rFonts w:ascii="Calibri" w:hAnsi="Calibri" w:cs="Calibri"/>
          <w:iCs/>
        </w:rPr>
        <w:t xml:space="preserve"> </w:t>
      </w:r>
    </w:p>
    <w:p w:rsidR="00854299" w:rsidRPr="00AC6C6F" w:rsidRDefault="00A53EEB" w:rsidP="004C1457">
      <w:pPr>
        <w:pStyle w:val="3-BodyText"/>
        <w:rPr>
          <w:iCs/>
          <w:snapToGrid/>
        </w:rPr>
      </w:pPr>
      <w:r w:rsidRPr="00AC6C6F">
        <w:rPr>
          <w:rFonts w:ascii="Calibri" w:hAnsi="Calibri" w:cs="Calibri"/>
        </w:rPr>
        <w:t>The PBAC noted that drug-related AEs and drug-related Grade ≥ 3 AEs were lower in the mogamulizumab arm compared to vorinostat</w:t>
      </w:r>
      <w:r w:rsidR="000B1D98" w:rsidRPr="00AC6C6F">
        <w:rPr>
          <w:rFonts w:ascii="Calibri" w:hAnsi="Calibri" w:cs="Calibri"/>
        </w:rPr>
        <w:t>. T</w:t>
      </w:r>
      <w:r w:rsidRPr="00AC6C6F">
        <w:rPr>
          <w:rFonts w:ascii="Calibri" w:hAnsi="Calibri" w:cs="Calibri"/>
        </w:rPr>
        <w:t xml:space="preserve">he PBAC </w:t>
      </w:r>
      <w:r w:rsidR="000B1D98" w:rsidRPr="00AC6C6F">
        <w:rPr>
          <w:rFonts w:ascii="Calibri" w:hAnsi="Calibri" w:cs="Calibri"/>
        </w:rPr>
        <w:t xml:space="preserve">also </w:t>
      </w:r>
      <w:r w:rsidRPr="00AC6C6F">
        <w:rPr>
          <w:rFonts w:ascii="Calibri" w:hAnsi="Calibri" w:cs="Calibri"/>
        </w:rPr>
        <w:t xml:space="preserve">noted the incidence of any serious adverse events (SAE) </w:t>
      </w:r>
      <w:r w:rsidR="000B1D98" w:rsidRPr="00AC6C6F">
        <w:rPr>
          <w:rFonts w:ascii="Calibri" w:hAnsi="Calibri" w:cs="Calibri"/>
        </w:rPr>
        <w:t xml:space="preserve">and treatment-emergent SAEs </w:t>
      </w:r>
      <w:r w:rsidRPr="00AC6C6F">
        <w:rPr>
          <w:rFonts w:ascii="Calibri" w:hAnsi="Calibri" w:cs="Calibri"/>
        </w:rPr>
        <w:t>was higher in the mogamulizumab arm compar</w:t>
      </w:r>
      <w:r w:rsidR="000B1D98" w:rsidRPr="00AC6C6F">
        <w:rPr>
          <w:rFonts w:ascii="Calibri" w:hAnsi="Calibri" w:cs="Calibri"/>
        </w:rPr>
        <w:t>ed to vorinostat (see paragraph 6.4</w:t>
      </w:r>
      <w:r w:rsidR="00BF35FB" w:rsidRPr="00AC6C6F">
        <w:rPr>
          <w:rFonts w:ascii="Calibri" w:hAnsi="Calibri" w:cs="Calibri"/>
        </w:rPr>
        <w:t>1</w:t>
      </w:r>
      <w:r w:rsidR="000B1D98" w:rsidRPr="00AC6C6F">
        <w:rPr>
          <w:rFonts w:ascii="Calibri" w:hAnsi="Calibri" w:cs="Calibri"/>
        </w:rPr>
        <w:t>)</w:t>
      </w:r>
      <w:r w:rsidR="00AC6C6F">
        <w:rPr>
          <w:rFonts w:ascii="Calibri" w:hAnsi="Calibri" w:cs="Calibri"/>
        </w:rPr>
        <w:t xml:space="preserve">. </w:t>
      </w:r>
      <w:r w:rsidR="00272626" w:rsidRPr="00AC6C6F">
        <w:rPr>
          <w:rFonts w:ascii="Calibri" w:hAnsi="Calibri" w:cs="Calibri"/>
        </w:rPr>
        <w:t xml:space="preserve">Overall, </w:t>
      </w:r>
      <w:r w:rsidR="00272626" w:rsidRPr="00AC6C6F">
        <w:rPr>
          <w:rFonts w:ascii="Calibri" w:hAnsi="Calibri" w:cs="Calibri"/>
          <w:iCs/>
        </w:rPr>
        <w:t>t</w:t>
      </w:r>
      <w:r w:rsidR="000B1D98" w:rsidRPr="00AC6C6F">
        <w:rPr>
          <w:rFonts w:ascii="Calibri" w:hAnsi="Calibri" w:cs="Calibri"/>
          <w:iCs/>
        </w:rPr>
        <w:t>he PBAC considered that the claim of non-inferior comparative safety versus vorinostat was reasonable.</w:t>
      </w:r>
    </w:p>
    <w:p w:rsidR="000B1D98" w:rsidRPr="00AC6C6F" w:rsidRDefault="000B1D98" w:rsidP="000B1D98">
      <w:pPr>
        <w:pStyle w:val="3-BodyText"/>
        <w:rPr>
          <w:rFonts w:ascii="Calibri" w:hAnsi="Calibri" w:cs="Calibri"/>
          <w:iCs/>
        </w:rPr>
      </w:pPr>
      <w:r w:rsidRPr="00AC6C6F">
        <w:rPr>
          <w:rFonts w:ascii="Calibri" w:hAnsi="Calibri" w:cs="Calibri"/>
          <w:iCs/>
        </w:rPr>
        <w:t xml:space="preserve">The PBAC noted the naïve comparison presented between mogamulizumab and brentuximab </w:t>
      </w:r>
      <w:r w:rsidR="00833C6D" w:rsidRPr="00AC6C6F">
        <w:rPr>
          <w:rFonts w:ascii="Calibri" w:hAnsi="Calibri" w:cs="Calibri"/>
          <w:iCs/>
        </w:rPr>
        <w:t xml:space="preserve">and </w:t>
      </w:r>
      <w:r w:rsidRPr="00AC6C6F">
        <w:rPr>
          <w:rFonts w:ascii="Calibri" w:hAnsi="Calibri" w:cs="Calibri"/>
          <w:iCs/>
        </w:rPr>
        <w:t>reaffirmed its July 2018 advice that the comparison was uninformative on the basis that the trials presented – MAVORIC and ALCANZA – lacked a common treatment comparator and had different underlying populations (paragraph 7.7, brentuximab vedotin, PSD, July 2018 PBAC meeting).</w:t>
      </w:r>
    </w:p>
    <w:p w:rsidR="000B1D98" w:rsidRPr="00AC6C6F" w:rsidRDefault="00CC7D90" w:rsidP="00CC7D90">
      <w:pPr>
        <w:pStyle w:val="3-BodyText"/>
        <w:rPr>
          <w:iCs/>
          <w:snapToGrid/>
        </w:rPr>
      </w:pPr>
      <w:r w:rsidRPr="00AC6C6F">
        <w:rPr>
          <w:iCs/>
          <w:snapToGrid/>
        </w:rPr>
        <w:t>T</w:t>
      </w:r>
      <w:r w:rsidR="00AF4515" w:rsidRPr="00AC6C6F">
        <w:rPr>
          <w:iCs/>
          <w:snapToGrid/>
        </w:rPr>
        <w:t>he submission presented a cost-utility analysis comparing mogamulizumab with vorinostat</w:t>
      </w:r>
      <w:r w:rsidR="008F3F69" w:rsidRPr="00AC6C6F">
        <w:rPr>
          <w:iCs/>
          <w:snapToGrid/>
        </w:rPr>
        <w:t xml:space="preserve">. </w:t>
      </w:r>
      <w:r w:rsidR="00DB462A" w:rsidRPr="00AC6C6F">
        <w:rPr>
          <w:iCs/>
          <w:snapToGrid/>
        </w:rPr>
        <w:t xml:space="preserve">The PBAC noted the ICER was highly </w:t>
      </w:r>
      <w:r w:rsidR="00DB462A" w:rsidRPr="00AC6C6F">
        <w:t xml:space="preserve">sensitive to changes in the time horizon, convergence of the extrapolation functions, the extrapolation function applied to OS for vorinostat and post-progression costs. Furthermore, </w:t>
      </w:r>
      <w:r w:rsidR="00DB462A" w:rsidRPr="00AC6C6F">
        <w:rPr>
          <w:iCs/>
          <w:snapToGrid/>
        </w:rPr>
        <w:t>t</w:t>
      </w:r>
      <w:r w:rsidR="008F3F69" w:rsidRPr="00AC6C6F">
        <w:rPr>
          <w:iCs/>
          <w:snapToGrid/>
        </w:rPr>
        <w:t xml:space="preserve">he PBAC noted that </w:t>
      </w:r>
      <w:r w:rsidR="00AF4515" w:rsidRPr="00AC6C6F">
        <w:rPr>
          <w:iCs/>
          <w:snapToGrid/>
        </w:rPr>
        <w:t xml:space="preserve">estimation of OS in the model </w:t>
      </w:r>
      <w:r w:rsidR="008F3F69" w:rsidRPr="00AC6C6F">
        <w:rPr>
          <w:iCs/>
          <w:snapToGrid/>
        </w:rPr>
        <w:t xml:space="preserve">was </w:t>
      </w:r>
      <w:r w:rsidR="00AF4515" w:rsidRPr="00AC6C6F">
        <w:rPr>
          <w:iCs/>
          <w:snapToGrid/>
        </w:rPr>
        <w:t xml:space="preserve">based on the crossover adjusted inverse probability of censoring weighting (IPCW) approach. </w:t>
      </w:r>
      <w:r w:rsidR="008F3F69" w:rsidRPr="00AC6C6F">
        <w:rPr>
          <w:iCs/>
          <w:snapToGrid/>
        </w:rPr>
        <w:t xml:space="preserve">The PBAC also noted that </w:t>
      </w:r>
      <w:r w:rsidRPr="00AC6C6F">
        <w:rPr>
          <w:iCs/>
          <w:snapToGrid/>
        </w:rPr>
        <w:t xml:space="preserve">use of </w:t>
      </w:r>
      <w:r w:rsidR="00E45DD4" w:rsidRPr="00AC6C6F">
        <w:rPr>
          <w:iCs/>
          <w:snapToGrid/>
        </w:rPr>
        <w:t xml:space="preserve">the </w:t>
      </w:r>
      <w:r w:rsidR="008F3F69" w:rsidRPr="00AC6C6F">
        <w:rPr>
          <w:iCs/>
          <w:snapToGrid/>
        </w:rPr>
        <w:t xml:space="preserve">two-stage </w:t>
      </w:r>
      <w:r w:rsidR="00E45DD4" w:rsidRPr="00AC6C6F">
        <w:rPr>
          <w:iCs/>
          <w:snapToGrid/>
        </w:rPr>
        <w:t>method</w:t>
      </w:r>
      <w:r w:rsidR="008F3F69" w:rsidRPr="00AC6C6F">
        <w:rPr>
          <w:iCs/>
          <w:snapToGrid/>
        </w:rPr>
        <w:t xml:space="preserve"> (TSEM) to adjust for the impact of treatment switching on the comparison of </w:t>
      </w:r>
      <w:r w:rsidR="00C31194" w:rsidRPr="00AC6C6F">
        <w:rPr>
          <w:iCs/>
          <w:snapToGrid/>
        </w:rPr>
        <w:t>survival</w:t>
      </w:r>
      <w:r w:rsidR="008F3F69" w:rsidRPr="00AC6C6F">
        <w:rPr>
          <w:iCs/>
          <w:snapToGrid/>
        </w:rPr>
        <w:t xml:space="preserve"> in MAVORIC</w:t>
      </w:r>
      <w:r w:rsidR="00E45DD4" w:rsidRPr="00AC6C6F">
        <w:rPr>
          <w:iCs/>
          <w:snapToGrid/>
        </w:rPr>
        <w:t xml:space="preserve"> </w:t>
      </w:r>
      <w:r w:rsidRPr="00AC6C6F">
        <w:rPr>
          <w:iCs/>
          <w:snapToGrid/>
        </w:rPr>
        <w:t xml:space="preserve">increased the </w:t>
      </w:r>
      <w:r w:rsidR="00D81B56" w:rsidRPr="00AC6C6F">
        <w:rPr>
          <w:iCs/>
          <w:snapToGrid/>
        </w:rPr>
        <w:t xml:space="preserve">base case </w:t>
      </w:r>
      <w:r w:rsidRPr="00AC6C6F">
        <w:rPr>
          <w:iCs/>
          <w:snapToGrid/>
        </w:rPr>
        <w:t>ICER</w:t>
      </w:r>
      <w:r w:rsidR="00D81B56" w:rsidRPr="00AC6C6F">
        <w:rPr>
          <w:iCs/>
          <w:snapToGrid/>
        </w:rPr>
        <w:t xml:space="preserve"> from $</w:t>
      </w:r>
      <w:r w:rsidR="00037EB7">
        <w:rPr>
          <w:iCs/>
          <w:snapToGrid/>
        </w:rPr>
        <w:t>55,000 to &lt; $75,000 per QALY</w:t>
      </w:r>
      <w:r w:rsidR="00D81B56" w:rsidRPr="00AC6C6F">
        <w:rPr>
          <w:iCs/>
          <w:snapToGrid/>
        </w:rPr>
        <w:t xml:space="preserve"> to $</w:t>
      </w:r>
      <w:r w:rsidR="00037EB7">
        <w:rPr>
          <w:iCs/>
          <w:snapToGrid/>
        </w:rPr>
        <w:t>135,000 to &lt; $155,000 per QALY</w:t>
      </w:r>
      <w:r w:rsidRPr="00AC6C6F">
        <w:rPr>
          <w:iCs/>
          <w:snapToGrid/>
        </w:rPr>
        <w:t xml:space="preserve"> (see Table 16)</w:t>
      </w:r>
      <w:r w:rsidR="008F3F69" w:rsidRPr="00AC6C6F">
        <w:rPr>
          <w:iCs/>
          <w:snapToGrid/>
        </w:rPr>
        <w:t>.</w:t>
      </w:r>
      <w:r w:rsidRPr="00AC6C6F">
        <w:rPr>
          <w:iCs/>
          <w:snapToGrid/>
        </w:rPr>
        <w:t xml:space="preserve"> </w:t>
      </w:r>
      <w:r w:rsidR="00E45DD4" w:rsidRPr="00AC6C6F">
        <w:rPr>
          <w:iCs/>
          <w:snapToGrid/>
        </w:rPr>
        <w:t xml:space="preserve">For the reasons </w:t>
      </w:r>
      <w:r w:rsidR="00C31194" w:rsidRPr="00AC6C6F">
        <w:rPr>
          <w:iCs/>
          <w:snapToGrid/>
        </w:rPr>
        <w:t>outlined</w:t>
      </w:r>
      <w:r w:rsidR="00E45DD4" w:rsidRPr="00AC6C6F">
        <w:rPr>
          <w:iCs/>
          <w:snapToGrid/>
        </w:rPr>
        <w:t xml:space="preserve"> </w:t>
      </w:r>
      <w:r w:rsidR="008F3F69" w:rsidRPr="00AC6C6F">
        <w:rPr>
          <w:iCs/>
          <w:snapToGrid/>
        </w:rPr>
        <w:t>paragraph 7.6</w:t>
      </w:r>
      <w:r w:rsidR="00E45DD4" w:rsidRPr="00AC6C6F">
        <w:rPr>
          <w:iCs/>
          <w:snapToGrid/>
        </w:rPr>
        <w:t>,</w:t>
      </w:r>
      <w:r w:rsidR="008F3F69" w:rsidRPr="00AC6C6F">
        <w:rPr>
          <w:iCs/>
          <w:snapToGrid/>
        </w:rPr>
        <w:t xml:space="preserve"> the </w:t>
      </w:r>
      <w:r w:rsidR="008F3F69" w:rsidRPr="00AC6C6F">
        <w:rPr>
          <w:rFonts w:cs="Calibri"/>
          <w:iCs/>
        </w:rPr>
        <w:t>PBAC considered it unlikely that any of the methods applied to adjust OS for treatment switchi</w:t>
      </w:r>
      <w:r w:rsidR="00E45DD4" w:rsidRPr="00AC6C6F">
        <w:rPr>
          <w:rFonts w:cs="Calibri"/>
          <w:iCs/>
        </w:rPr>
        <w:t>ng could obtain valid estimates. As</w:t>
      </w:r>
      <w:r w:rsidR="00DB462A" w:rsidRPr="00AC6C6F">
        <w:rPr>
          <w:rFonts w:cs="Calibri"/>
          <w:iCs/>
        </w:rPr>
        <w:t xml:space="preserve"> such, </w:t>
      </w:r>
      <w:r w:rsidRPr="00AC6C6F">
        <w:rPr>
          <w:rFonts w:cs="Calibri"/>
          <w:iCs/>
        </w:rPr>
        <w:t xml:space="preserve">the PBAC considered the ICER </w:t>
      </w:r>
      <w:r w:rsidRPr="00AC6C6F">
        <w:rPr>
          <w:iCs/>
        </w:rPr>
        <w:t xml:space="preserve">unacceptably high and uncertain and advised that </w:t>
      </w:r>
      <w:r w:rsidR="007B37FE" w:rsidRPr="00AC6C6F">
        <w:rPr>
          <w:rFonts w:cs="Calibri"/>
          <w:iCs/>
        </w:rPr>
        <w:t>a c</w:t>
      </w:r>
      <w:r w:rsidR="00C31194" w:rsidRPr="00AC6C6F">
        <w:rPr>
          <w:rFonts w:cs="Calibri"/>
          <w:iCs/>
        </w:rPr>
        <w:t>ost-utility analysis may not be an</w:t>
      </w:r>
      <w:r w:rsidR="007B37FE" w:rsidRPr="00AC6C6F">
        <w:rPr>
          <w:rFonts w:cs="Calibri"/>
          <w:iCs/>
        </w:rPr>
        <w:t xml:space="preserve"> appropriate method</w:t>
      </w:r>
      <w:r w:rsidR="00F51C9C" w:rsidRPr="00AC6C6F">
        <w:rPr>
          <w:rFonts w:cs="Calibri"/>
          <w:iCs/>
        </w:rPr>
        <w:t xml:space="preserve"> to determine the cost-effectiveness of </w:t>
      </w:r>
      <w:r w:rsidR="00C31194" w:rsidRPr="00AC6C6F">
        <w:rPr>
          <w:rFonts w:cs="Calibri"/>
          <w:iCs/>
        </w:rPr>
        <w:t>mogamulizumab</w:t>
      </w:r>
      <w:r w:rsidR="007B37FE" w:rsidRPr="00AC6C6F">
        <w:rPr>
          <w:rFonts w:cs="Calibri"/>
          <w:iCs/>
        </w:rPr>
        <w:t xml:space="preserve"> based on the data presented</w:t>
      </w:r>
      <w:r w:rsidR="00AC6C6F">
        <w:rPr>
          <w:rFonts w:cs="Calibri"/>
          <w:iCs/>
        </w:rPr>
        <w:t xml:space="preserve">. </w:t>
      </w:r>
    </w:p>
    <w:p w:rsidR="005A6EC9" w:rsidRPr="00AC6C6F" w:rsidRDefault="00CA3D45" w:rsidP="008F2AAF">
      <w:pPr>
        <w:pStyle w:val="3-BodyText"/>
        <w:rPr>
          <w:rFonts w:ascii="Calibri" w:hAnsi="Calibri" w:cs="Calibri"/>
          <w:iCs/>
        </w:rPr>
      </w:pPr>
      <w:r w:rsidRPr="00AC6C6F">
        <w:rPr>
          <w:rFonts w:ascii="Calibri" w:hAnsi="Calibri" w:cs="Calibri"/>
          <w:iCs/>
        </w:rPr>
        <w:t xml:space="preserve">The PBAC </w:t>
      </w:r>
      <w:r w:rsidR="00D81B56" w:rsidRPr="00AC6C6F">
        <w:rPr>
          <w:rFonts w:ascii="Calibri" w:hAnsi="Calibri" w:cs="Calibri"/>
          <w:iCs/>
        </w:rPr>
        <w:t xml:space="preserve">noted </w:t>
      </w:r>
      <w:r w:rsidRPr="00AC6C6F">
        <w:rPr>
          <w:rFonts w:ascii="Calibri" w:hAnsi="Calibri" w:cs="Calibri"/>
          <w:iCs/>
        </w:rPr>
        <w:t>the small number of patients eligible for treatment</w:t>
      </w:r>
      <w:r w:rsidR="00D81B56" w:rsidRPr="00AC6C6F">
        <w:rPr>
          <w:rFonts w:ascii="Calibri" w:hAnsi="Calibri" w:cs="Calibri"/>
          <w:iCs/>
        </w:rPr>
        <w:t xml:space="preserve"> reflected the rarity of CTCL</w:t>
      </w:r>
      <w:r w:rsidRPr="00AC6C6F">
        <w:rPr>
          <w:rFonts w:ascii="Calibri" w:hAnsi="Calibri" w:cs="Calibri"/>
          <w:iCs/>
        </w:rPr>
        <w:t>.</w:t>
      </w:r>
      <w:r w:rsidR="00041EB7" w:rsidRPr="00AC6C6F">
        <w:rPr>
          <w:rFonts w:ascii="Calibri" w:hAnsi="Calibri" w:cs="Calibri"/>
          <w:iCs/>
        </w:rPr>
        <w:t xml:space="preserve"> </w:t>
      </w:r>
      <w:r w:rsidR="00D81B56" w:rsidRPr="00AC6C6F">
        <w:rPr>
          <w:rFonts w:ascii="Calibri" w:hAnsi="Calibri" w:cs="Calibri"/>
          <w:iCs/>
        </w:rPr>
        <w:t>T</w:t>
      </w:r>
      <w:r w:rsidRPr="00AC6C6F">
        <w:rPr>
          <w:rFonts w:ascii="Calibri" w:hAnsi="Calibri" w:cs="Calibri"/>
          <w:iCs/>
        </w:rPr>
        <w:t>he PBAC considered the estimates to be uncertain due to unjustified assumptions regarding the proportion of patients eligible for treatment and the displacement effect from mogamulizumab</w:t>
      </w:r>
      <w:r w:rsidR="008F2AAF" w:rsidRPr="00AC6C6F">
        <w:rPr>
          <w:rFonts w:ascii="Calibri" w:hAnsi="Calibri" w:cs="Calibri"/>
          <w:iCs/>
        </w:rPr>
        <w:t xml:space="preserve">. </w:t>
      </w:r>
    </w:p>
    <w:p w:rsidR="00AC2617" w:rsidRPr="006C07D2" w:rsidRDefault="007B37FE" w:rsidP="006C07D2">
      <w:pPr>
        <w:pStyle w:val="3-BodyText"/>
        <w:rPr>
          <w:iCs/>
        </w:rPr>
      </w:pPr>
      <w:r w:rsidRPr="00AC6C6F">
        <w:rPr>
          <w:iCs/>
        </w:rPr>
        <w:t xml:space="preserve">The PBAC acknowledged the rarity of CTCL and the difficulty of conducting phase 3 trials in this population but considered that the comparison did not provide good evidence of the </w:t>
      </w:r>
      <w:r w:rsidRPr="00AC6C6F">
        <w:rPr>
          <w:rFonts w:ascii="Calibri" w:hAnsi="Calibri" w:cs="Calibri"/>
          <w:iCs/>
        </w:rPr>
        <w:t xml:space="preserve">extent of benefit of mogamulizumab </w:t>
      </w:r>
      <w:r w:rsidR="00AC2617" w:rsidRPr="00AC6C6F">
        <w:rPr>
          <w:rFonts w:ascii="Calibri" w:hAnsi="Calibri" w:cs="Calibri"/>
          <w:iCs/>
        </w:rPr>
        <w:t xml:space="preserve">over vorinostat. </w:t>
      </w:r>
      <w:r w:rsidR="00041EB7" w:rsidRPr="00AC6C6F">
        <w:t xml:space="preserve">The PBAC advised that any resubmission would need to be a major submission with a revised economic evaluation which appropriately accounts for the uncertainty associated with the estimated incremental benefit. </w:t>
      </w:r>
      <w:r w:rsidR="006C07D2" w:rsidRPr="00AC6C6F">
        <w:rPr>
          <w:iCs/>
        </w:rPr>
        <w:t xml:space="preserve">In </w:t>
      </w:r>
      <w:r w:rsidR="006C07D2">
        <w:rPr>
          <w:iCs/>
        </w:rPr>
        <w:t xml:space="preserve">addition, </w:t>
      </w:r>
      <w:r w:rsidR="006C07D2" w:rsidRPr="00AC6C6F">
        <w:rPr>
          <w:iCs/>
        </w:rPr>
        <w:t xml:space="preserve">the PBAC considered it would be appropriate to exclude PBS subsidised access to mogamulizumab for CTCL subtypes such as LyP and pcALCL where </w:t>
      </w:r>
      <w:r w:rsidR="006C07D2" w:rsidRPr="00AC6C6F">
        <w:rPr>
          <w:rFonts w:cstheme="minorHAnsi"/>
          <w:iCs/>
        </w:rPr>
        <w:t>≥</w:t>
      </w:r>
      <w:r w:rsidR="006C07D2" w:rsidRPr="00AC6C6F">
        <w:rPr>
          <w:iCs/>
        </w:rPr>
        <w:t xml:space="preserve"> 95% of patients were alive at 5 years</w:t>
      </w:r>
      <w:r w:rsidR="006C07D2">
        <w:rPr>
          <w:iCs/>
        </w:rPr>
        <w:t xml:space="preserve"> from a resubmission restriction.</w:t>
      </w:r>
    </w:p>
    <w:p w:rsidR="000805F6" w:rsidRPr="00AC6C6F" w:rsidRDefault="004C1457" w:rsidP="000805F6">
      <w:pPr>
        <w:pStyle w:val="3-BodyText"/>
        <w:rPr>
          <w:rFonts w:cstheme="minorHAnsi"/>
          <w:b/>
          <w:bCs/>
        </w:rPr>
      </w:pPr>
      <w:r w:rsidRPr="00AC6C6F">
        <w:rPr>
          <w:iCs/>
        </w:rPr>
        <w:t xml:space="preserve">The PBAC noted that this submission is eligible for an Independent Review. </w:t>
      </w:r>
    </w:p>
    <w:p w:rsidR="004C1457" w:rsidRPr="00AC6C6F" w:rsidRDefault="004C1457" w:rsidP="000805F6">
      <w:pPr>
        <w:pStyle w:val="3-BodyText"/>
        <w:numPr>
          <w:ilvl w:val="0"/>
          <w:numId w:val="0"/>
        </w:numPr>
        <w:rPr>
          <w:rFonts w:cstheme="minorHAnsi"/>
          <w:b/>
          <w:bCs/>
        </w:rPr>
      </w:pPr>
      <w:r w:rsidRPr="00AC6C6F">
        <w:rPr>
          <w:rFonts w:cstheme="minorHAnsi"/>
          <w:b/>
          <w:bCs/>
        </w:rPr>
        <w:t>Outcome:</w:t>
      </w:r>
    </w:p>
    <w:p w:rsidR="00C31194" w:rsidRPr="00AC6C6F" w:rsidRDefault="00041EB7" w:rsidP="004C1457">
      <w:pPr>
        <w:autoSpaceDE w:val="0"/>
        <w:autoSpaceDN w:val="0"/>
        <w:adjustRightInd w:val="0"/>
        <w:spacing w:after="120"/>
        <w:jc w:val="left"/>
        <w:rPr>
          <w:rFonts w:asciiTheme="minorHAnsi" w:hAnsiTheme="minorHAnsi" w:cstheme="minorHAnsi"/>
        </w:rPr>
      </w:pPr>
      <w:r w:rsidRPr="00AC6C6F">
        <w:rPr>
          <w:rFonts w:asciiTheme="minorHAnsi" w:hAnsiTheme="minorHAnsi" w:cstheme="minorHAnsi"/>
        </w:rPr>
        <w:t xml:space="preserve">Rejected </w:t>
      </w:r>
    </w:p>
    <w:p w:rsidR="00FE2216" w:rsidRDefault="00FE2216" w:rsidP="004C564E">
      <w:pPr>
        <w:tabs>
          <w:tab w:val="right" w:pos="9072"/>
        </w:tabs>
        <w:autoSpaceDE w:val="0"/>
        <w:autoSpaceDN w:val="0"/>
        <w:adjustRightInd w:val="0"/>
        <w:rPr>
          <w:rFonts w:cs="Calibri"/>
          <w:i/>
          <w:iCs/>
        </w:rPr>
      </w:pPr>
    </w:p>
    <w:p w:rsidR="00E45E91" w:rsidRDefault="00E45E91" w:rsidP="00E45E91">
      <w:pPr>
        <w:pStyle w:val="2Sections"/>
        <w:numPr>
          <w:ilvl w:val="0"/>
          <w:numId w:val="1"/>
        </w:numPr>
        <w:rPr>
          <w:color w:val="1F497D"/>
        </w:rPr>
      </w:pPr>
      <w:r w:rsidRPr="00C07617">
        <w:t>Context for Decision</w:t>
      </w:r>
    </w:p>
    <w:p w:rsidR="00E45E91" w:rsidRDefault="00E45E91" w:rsidP="00E45E91">
      <w:pPr>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bCs/>
          <w:lang w:val="en-GB"/>
        </w:rPr>
        <w:t>medicines</w:t>
      </w:r>
      <w:r w:rsidRPr="007129F2">
        <w:rPr>
          <w:rFonts w:asciiTheme="minorHAnsi" w:hAnsiTheme="minorHAnsi"/>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E45E91" w:rsidRPr="007129F2" w:rsidRDefault="00E45E91" w:rsidP="00E45E91">
      <w:pPr>
        <w:rPr>
          <w:rFonts w:asciiTheme="minorHAnsi" w:hAnsiTheme="minorHAnsi"/>
          <w:bCs/>
          <w:lang w:val="en-GB"/>
        </w:rPr>
      </w:pPr>
    </w:p>
    <w:p w:rsidR="00E45E91" w:rsidRPr="00C07617" w:rsidRDefault="00E45E91" w:rsidP="00E45E91">
      <w:pPr>
        <w:pStyle w:val="2Sections"/>
        <w:numPr>
          <w:ilvl w:val="0"/>
          <w:numId w:val="1"/>
        </w:numPr>
        <w:rPr>
          <w:b w:val="0"/>
        </w:rPr>
      </w:pPr>
      <w:r>
        <w:t>Sponsor’s Comment</w:t>
      </w:r>
    </w:p>
    <w:p w:rsidR="00E45E91" w:rsidRPr="00AC6C6F" w:rsidRDefault="005C5EFD" w:rsidP="004C564E">
      <w:pPr>
        <w:tabs>
          <w:tab w:val="right" w:pos="9072"/>
        </w:tabs>
        <w:autoSpaceDE w:val="0"/>
        <w:autoSpaceDN w:val="0"/>
        <w:adjustRightInd w:val="0"/>
        <w:rPr>
          <w:rFonts w:cs="Calibri"/>
          <w:i/>
          <w:iCs/>
        </w:rPr>
      </w:pPr>
      <w:r>
        <w:rPr>
          <w:lang w:val="en-SG"/>
        </w:rPr>
        <w:t>While disappointed with the outcome, Kyowa Kirin remains committed to working with the PBAC to provide access to mogamulizumab for Australians living with relapsed or refractory CTCL</w:t>
      </w:r>
      <w:r w:rsidRPr="00C07617" w:rsidDel="005C5EFD">
        <w:rPr>
          <w:rFonts w:asciiTheme="minorHAnsi" w:hAnsiTheme="minorHAnsi"/>
          <w:bCs/>
        </w:rPr>
        <w:t xml:space="preserve"> </w:t>
      </w:r>
    </w:p>
    <w:sectPr w:rsidR="00E45E91" w:rsidRPr="00AC6C6F" w:rsidSect="00870588">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C80F0" w16cex:dateUtc="2020-06-23T03:24:00Z"/>
  <w16cex:commentExtensible w16cex:durableId="229C7EB6" w16cex:dateUtc="2020-06-23T03:14:00Z"/>
  <w16cex:commentExtensible w16cex:durableId="229C7FBA" w16cex:dateUtc="2020-06-23T03:18:00Z"/>
  <w16cex:commentExtensible w16cex:durableId="229C9BBA" w16cex:dateUtc="2020-06-23T0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79CF28" w16cid:durableId="229B5530"/>
  <w16cid:commentId w16cid:paraId="39C8B741" w16cid:durableId="229C80F0"/>
  <w16cid:commentId w16cid:paraId="21CBA306" w16cid:durableId="229C7EB6"/>
  <w16cid:commentId w16cid:paraId="018E8247" w16cid:durableId="229C7FBA"/>
  <w16cid:commentId w16cid:paraId="61397A39" w16cid:durableId="229C9B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624" w:rsidRDefault="00B21624" w:rsidP="00124A51">
      <w:r>
        <w:separator/>
      </w:r>
    </w:p>
    <w:p w:rsidR="00B21624" w:rsidRDefault="00B21624"/>
  </w:endnote>
  <w:endnote w:type="continuationSeparator" w:id="0">
    <w:p w:rsidR="00B21624" w:rsidRDefault="00B21624" w:rsidP="00124A51">
      <w:r>
        <w:continuationSeparator/>
      </w:r>
    </w:p>
    <w:p w:rsidR="00B21624" w:rsidRDefault="00B21624"/>
  </w:endnote>
  <w:endnote w:type="continuationNotice" w:id="1">
    <w:p w:rsidR="00B21624" w:rsidRDefault="00B216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dia New">
    <w:altName w:val="Arial Unicode MS"/>
    <w:panose1 w:val="020B0304020202020204"/>
    <w:charset w:val="00"/>
    <w:family w:val="swiss"/>
    <w:pitch w:val="variable"/>
    <w:sig w:usb0="00000000"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Arial Unicode MS"/>
    <w:panose1 w:val="02020603050405020304"/>
    <w:charset w:val="00"/>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lbertus Medium">
    <w:charset w:val="00"/>
    <w:family w:val="swiss"/>
    <w:pitch w:val="variable"/>
    <w:sig w:usb0="00000003" w:usb1="00000000" w:usb2="00000000" w:usb3="00000000" w:csb0="00000001" w:csb1="00000000"/>
  </w:font>
  <w:font w:name="OTNEJMQuadraat">
    <w:altName w:val="MS Gothic"/>
    <w:panose1 w:val="00000000000000000000"/>
    <w:charset w:val="80"/>
    <w:family w:val="roman"/>
    <w:notTrueType/>
    <w:pitch w:val="default"/>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13" w:rsidRDefault="005C20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F2F" w:rsidRDefault="003B3F2F">
    <w:pPr>
      <w:pStyle w:val="Footer"/>
      <w:jc w:val="center"/>
    </w:pPr>
  </w:p>
  <w:p w:rsidR="003B3F2F" w:rsidRPr="0047264E" w:rsidRDefault="005C2013" w:rsidP="0047264E">
    <w:pPr>
      <w:pStyle w:val="Footer"/>
      <w:jc w:val="center"/>
    </w:pPr>
    <w:sdt>
      <w:sdtPr>
        <w:id w:val="-953864600"/>
        <w:docPartObj>
          <w:docPartGallery w:val="Page Numbers (Bottom of Page)"/>
          <w:docPartUnique/>
        </w:docPartObj>
      </w:sdtPr>
      <w:sdtEndPr>
        <w:rPr>
          <w:noProof/>
        </w:rPr>
      </w:sdtEndPr>
      <w:sdtContent>
        <w:r w:rsidR="003B3F2F" w:rsidRPr="0047264E">
          <w:rPr>
            <w:b/>
          </w:rPr>
          <w:fldChar w:fldCharType="begin"/>
        </w:r>
        <w:r w:rsidR="003B3F2F" w:rsidRPr="0047264E">
          <w:rPr>
            <w:b/>
          </w:rPr>
          <w:instrText xml:space="preserve"> PAGE   \* MERGEFORMAT </w:instrText>
        </w:r>
        <w:r w:rsidR="003B3F2F" w:rsidRPr="0047264E">
          <w:rPr>
            <w:b/>
          </w:rPr>
          <w:fldChar w:fldCharType="separate"/>
        </w:r>
        <w:r>
          <w:rPr>
            <w:b/>
            <w:noProof/>
          </w:rPr>
          <w:t>14</w:t>
        </w:r>
        <w:r w:rsidR="003B3F2F" w:rsidRPr="0047264E">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13" w:rsidRDefault="005C20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624" w:rsidRDefault="00B21624" w:rsidP="00124A51">
      <w:r>
        <w:separator/>
      </w:r>
    </w:p>
    <w:p w:rsidR="00B21624" w:rsidRDefault="00B21624"/>
  </w:footnote>
  <w:footnote w:type="continuationSeparator" w:id="0">
    <w:p w:rsidR="00B21624" w:rsidRDefault="00B21624" w:rsidP="00124A51">
      <w:r>
        <w:continuationSeparator/>
      </w:r>
    </w:p>
    <w:p w:rsidR="00B21624" w:rsidRDefault="00B21624"/>
  </w:footnote>
  <w:footnote w:type="continuationNotice" w:id="1">
    <w:p w:rsidR="00B21624" w:rsidRDefault="00B21624"/>
  </w:footnote>
  <w:footnote w:id="2">
    <w:p w:rsidR="003B3F2F" w:rsidRPr="00D84031" w:rsidRDefault="003B3F2F">
      <w:pPr>
        <w:pStyle w:val="FootnoteText"/>
      </w:pPr>
      <w:r>
        <w:rPr>
          <w:rStyle w:val="FootnoteReference"/>
        </w:rPr>
        <w:footnoteRef/>
      </w:r>
      <w:r>
        <w:t xml:space="preserve"> Willemze RL. et.al. </w:t>
      </w:r>
      <w:r w:rsidRPr="005062E2">
        <w:t>The 2018 update of the WHO-EORTC classification f</w:t>
      </w:r>
      <w:r>
        <w:t xml:space="preserve">or primary cutaneous lymphomas. </w:t>
      </w:r>
      <w:r w:rsidRPr="00D84031">
        <w:t xml:space="preserve">Blood </w:t>
      </w:r>
      <w:r>
        <w:t>2019;133</w:t>
      </w:r>
      <w:r w:rsidRPr="00D84031">
        <w:t>:1703-1714.</w:t>
      </w:r>
    </w:p>
  </w:footnote>
  <w:footnote w:id="3">
    <w:p w:rsidR="003B3F2F" w:rsidRDefault="003B3F2F">
      <w:pPr>
        <w:pStyle w:val="FootnoteText"/>
      </w:pPr>
      <w:r>
        <w:rPr>
          <w:rStyle w:val="FootnoteReference"/>
        </w:rPr>
        <w:footnoteRef/>
      </w:r>
      <w:r>
        <w:t xml:space="preserve"> Medical Services Advisory Committee (MSAC). Application No. 1420.1 – Extracorporeal photopheresis for treatment of cutaneous T-cell lymphoma. MSAC Public Summary Document. April 2020 </w:t>
      </w:r>
    </w:p>
    <w:p w:rsidR="003B3F2F" w:rsidRDefault="003B3F2F">
      <w:pPr>
        <w:pStyle w:val="FootnoteText"/>
      </w:pPr>
      <w:r w:rsidRPr="00A20536">
        <w:t>http://www.msac.gov.au/internet/msac/publishing.nsf/Content/91FE1B55FB6A77E9CA2584EE008194C0/$File/1420.1%20Final%20PSD_Apr2020_redacted.pdf</w:t>
      </w:r>
      <w:r>
        <w:t xml:space="preserve"> </w:t>
      </w:r>
    </w:p>
  </w:footnote>
  <w:footnote w:id="4">
    <w:p w:rsidR="003B3F2F" w:rsidRDefault="003B3F2F" w:rsidP="00493B25">
      <w:pPr>
        <w:pStyle w:val="FootnoteText"/>
      </w:pPr>
      <w:r>
        <w:rPr>
          <w:rStyle w:val="FootnoteReference"/>
        </w:rPr>
        <w:footnoteRef/>
      </w:r>
      <w:r>
        <w:t xml:space="preserve"> </w:t>
      </w:r>
      <w:r w:rsidRPr="00493B25">
        <w:t>Unreported baseline characteristics that could have been informative for assessment of crossover were:  gender, region, body weight, clinical stage, current site of disease, CCR4 expression status, LDH (U/L), type of prior therapy received, systemic therapies, prior radiotherapy</w:t>
      </w:r>
      <w:r>
        <w:t>.</w:t>
      </w:r>
    </w:p>
  </w:footnote>
  <w:footnote w:id="5">
    <w:p w:rsidR="003B3F2F" w:rsidRPr="006A0BAA" w:rsidRDefault="003B3F2F" w:rsidP="006A0BAA">
      <w:pPr>
        <w:pStyle w:val="FootnoteText"/>
      </w:pPr>
      <w:r>
        <w:rPr>
          <w:rStyle w:val="FootnoteReference"/>
        </w:rPr>
        <w:footnoteRef/>
      </w:r>
      <w:r>
        <w:t xml:space="preserve"> Latimer NR, et al. Treatment switching: statistical and decision-making challenges and approaches. Int J Tech Assess Health Care 2016;32:160-166</w:t>
      </w:r>
    </w:p>
  </w:footnote>
  <w:footnote w:id="6">
    <w:p w:rsidR="003B3F2F" w:rsidRDefault="003B3F2F">
      <w:pPr>
        <w:pStyle w:val="FootnoteText"/>
      </w:pPr>
      <w:r w:rsidRPr="00155238">
        <w:rPr>
          <w:rStyle w:val="FootnoteReference"/>
        </w:rPr>
        <w:footnoteRef/>
      </w:r>
      <w:r>
        <w:t xml:space="preserve"> ibid</w:t>
      </w:r>
    </w:p>
  </w:footnote>
  <w:footnote w:id="7">
    <w:p w:rsidR="003B3F2F" w:rsidRPr="001505B0" w:rsidRDefault="003B3F2F" w:rsidP="001112AF">
      <w:pPr>
        <w:pStyle w:val="FootnoteText"/>
        <w:rPr>
          <w:i/>
          <w:iCs/>
          <w:sz w:val="18"/>
          <w:szCs w:val="18"/>
        </w:rPr>
      </w:pPr>
      <w:r w:rsidRPr="00155238">
        <w:rPr>
          <w:vertAlign w:val="superscript"/>
        </w:rPr>
        <w:footnoteRef/>
      </w:r>
      <w:r w:rsidRPr="00155238">
        <w:t xml:space="preserve"> Restricted cubic splines are included to take account of time effects.</w:t>
      </w:r>
    </w:p>
  </w:footnote>
  <w:footnote w:id="8">
    <w:p w:rsidR="003B3F2F" w:rsidRPr="00155238" w:rsidRDefault="003B3F2F" w:rsidP="00155238">
      <w:pPr>
        <w:pStyle w:val="FootnoteText"/>
      </w:pPr>
      <w:r w:rsidRPr="00155238">
        <w:rPr>
          <w:vertAlign w:val="superscript"/>
        </w:rPr>
        <w:footnoteRef/>
      </w:r>
      <w:r w:rsidRPr="00155238">
        <w:t xml:space="preserve"> Other baseline characteristics include intolerance status, race, ethnicity, body weight, time from initial diagnosis, current sites of diseases, CCR4 expression status, LDH, and prior CTCL therapies. </w:t>
      </w:r>
    </w:p>
  </w:footnote>
  <w:footnote w:id="9">
    <w:p w:rsidR="003B3F2F" w:rsidRPr="006A0BAA" w:rsidRDefault="003B3F2F" w:rsidP="00F6528D">
      <w:pPr>
        <w:pStyle w:val="FootnoteText"/>
      </w:pPr>
      <w:r>
        <w:rPr>
          <w:rStyle w:val="FootnoteReference"/>
        </w:rPr>
        <w:footnoteRef/>
      </w:r>
      <w:r>
        <w:t xml:space="preserve"> Latimer NR, et al. Treatment switching: statistical and decision-making challenges and approaches. Int J Tech Assess Health Care 2016;32:160-166</w:t>
      </w:r>
    </w:p>
  </w:footnote>
  <w:footnote w:id="10">
    <w:p w:rsidR="003B3F2F" w:rsidRDefault="003B3F2F">
      <w:pPr>
        <w:pStyle w:val="FootnoteText"/>
      </w:pPr>
      <w:r>
        <w:rPr>
          <w:rStyle w:val="FootnoteReference"/>
        </w:rPr>
        <w:footnoteRef/>
      </w:r>
      <w:r>
        <w:t xml:space="preserve"> Ibid</w:t>
      </w:r>
    </w:p>
  </w:footnote>
  <w:footnote w:id="11">
    <w:p w:rsidR="003B3F2F" w:rsidRDefault="003B3F2F">
      <w:pPr>
        <w:pStyle w:val="FootnoteText"/>
      </w:pPr>
      <w:r>
        <w:rPr>
          <w:rStyle w:val="FootnoteReference"/>
        </w:rPr>
        <w:footnoteRef/>
      </w:r>
      <w:r>
        <w:t xml:space="preserve"> Ibid</w:t>
      </w:r>
    </w:p>
  </w:footnote>
  <w:footnote w:id="12">
    <w:p w:rsidR="003B3F2F" w:rsidRDefault="003B3F2F">
      <w:pPr>
        <w:pStyle w:val="FootnoteText"/>
      </w:pPr>
      <w:r>
        <w:rPr>
          <w:rStyle w:val="FootnoteReference"/>
        </w:rPr>
        <w:footnoteRef/>
      </w:r>
      <w:r>
        <w:t xml:space="preserve"> Smith A</w:t>
      </w:r>
      <w:r w:rsidRPr="005D5B48">
        <w:t xml:space="preserve">, </w:t>
      </w:r>
      <w:r>
        <w:t>et</w:t>
      </w:r>
      <w:r w:rsidRPr="005D5B48">
        <w:t>.</w:t>
      </w:r>
      <w:r>
        <w:t xml:space="preserve">al. </w:t>
      </w:r>
      <w:r w:rsidRPr="005D5B48">
        <w:t>Lymphoma incidence, survival and prevalence 2004–2014: sub-type analyses from the UK’s Haematological Malignancy Rese</w:t>
      </w:r>
      <w:r>
        <w:t>arch Network. Br J C</w:t>
      </w:r>
      <w:r w:rsidRPr="005D5B48">
        <w:t>ancer</w:t>
      </w:r>
      <w:r>
        <w:t xml:space="preserve"> 2015;112: </w:t>
      </w:r>
      <w:r w:rsidRPr="005D5B48">
        <w:t>1575-1584.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13" w:rsidRDefault="005C20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F2F" w:rsidRDefault="003B3F2F" w:rsidP="00E45E91">
    <w:pPr>
      <w:pStyle w:val="Header"/>
      <w:jc w:val="both"/>
      <w:rPr>
        <w:i/>
      </w:rPr>
    </w:pPr>
    <w:r>
      <w:rPr>
        <w:i/>
      </w:rPr>
      <w:tab/>
      <w:t>Public Summary Document</w:t>
    </w:r>
    <w:r w:rsidRPr="00966288">
      <w:rPr>
        <w:i/>
      </w:rPr>
      <w:t xml:space="preserve"> – </w:t>
    </w:r>
    <w:r>
      <w:rPr>
        <w:i/>
      </w:rPr>
      <w:t xml:space="preserve">July </w:t>
    </w:r>
    <w:r w:rsidRPr="00966288">
      <w:rPr>
        <w:i/>
      </w:rPr>
      <w:t>2020 PBAC Meeting</w:t>
    </w:r>
  </w:p>
  <w:p w:rsidR="003B3F2F" w:rsidRDefault="003B3F2F" w:rsidP="00E45E9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13" w:rsidRDefault="005C20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F078C"/>
    <w:multiLevelType w:val="hybridMultilevel"/>
    <w:tmpl w:val="8C10CFBA"/>
    <w:lvl w:ilvl="0" w:tplc="0C4E4756">
      <w:start w:val="1"/>
      <w:numFmt w:val="lowerLetter"/>
      <w:pStyle w:val="NormalLetter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C932005"/>
    <w:multiLevelType w:val="hybridMultilevel"/>
    <w:tmpl w:val="EB1AC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99139E"/>
    <w:multiLevelType w:val="hybridMultilevel"/>
    <w:tmpl w:val="7D6C167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401D76"/>
    <w:multiLevelType w:val="hybridMultilevel"/>
    <w:tmpl w:val="FF5ACF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FB219F8"/>
    <w:multiLevelType w:val="hybridMultilevel"/>
    <w:tmpl w:val="249840A0"/>
    <w:lvl w:ilvl="0" w:tplc="BC22043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B6274A"/>
    <w:multiLevelType w:val="hybridMultilevel"/>
    <w:tmpl w:val="7A0474F4"/>
    <w:lvl w:ilvl="0" w:tplc="E1B6BF4A">
      <w:start w:val="1"/>
      <w:numFmt w:val="decimal"/>
      <w:lvlText w:val="%1."/>
      <w:lvlJc w:val="left"/>
      <w:pPr>
        <w:ind w:left="360" w:hanging="360"/>
      </w:pPr>
      <w:rPr>
        <w:rFonts w:hint="default"/>
        <w:color w:val="auto"/>
      </w:rPr>
    </w:lvl>
    <w:lvl w:ilvl="1" w:tplc="0C090019">
      <w:start w:val="1"/>
      <w:numFmt w:val="lowerLetter"/>
      <w:lvlText w:val="%2."/>
      <w:lvlJc w:val="left"/>
      <w:pPr>
        <w:ind w:left="22" w:hanging="360"/>
      </w:pPr>
    </w:lvl>
    <w:lvl w:ilvl="2" w:tplc="0C09001B" w:tentative="1">
      <w:start w:val="1"/>
      <w:numFmt w:val="lowerRoman"/>
      <w:lvlText w:val="%3."/>
      <w:lvlJc w:val="right"/>
      <w:pPr>
        <w:ind w:left="742" w:hanging="180"/>
      </w:pPr>
    </w:lvl>
    <w:lvl w:ilvl="3" w:tplc="0C09000F" w:tentative="1">
      <w:start w:val="1"/>
      <w:numFmt w:val="decimal"/>
      <w:lvlText w:val="%4."/>
      <w:lvlJc w:val="left"/>
      <w:pPr>
        <w:ind w:left="1462" w:hanging="360"/>
      </w:pPr>
    </w:lvl>
    <w:lvl w:ilvl="4" w:tplc="0C090019" w:tentative="1">
      <w:start w:val="1"/>
      <w:numFmt w:val="lowerLetter"/>
      <w:lvlText w:val="%5."/>
      <w:lvlJc w:val="left"/>
      <w:pPr>
        <w:ind w:left="2182" w:hanging="360"/>
      </w:pPr>
    </w:lvl>
    <w:lvl w:ilvl="5" w:tplc="0C09001B" w:tentative="1">
      <w:start w:val="1"/>
      <w:numFmt w:val="lowerRoman"/>
      <w:lvlText w:val="%6."/>
      <w:lvlJc w:val="right"/>
      <w:pPr>
        <w:ind w:left="2902" w:hanging="180"/>
      </w:pPr>
    </w:lvl>
    <w:lvl w:ilvl="6" w:tplc="0C09000F" w:tentative="1">
      <w:start w:val="1"/>
      <w:numFmt w:val="decimal"/>
      <w:lvlText w:val="%7."/>
      <w:lvlJc w:val="left"/>
      <w:pPr>
        <w:ind w:left="3622" w:hanging="360"/>
      </w:pPr>
    </w:lvl>
    <w:lvl w:ilvl="7" w:tplc="0C090019" w:tentative="1">
      <w:start w:val="1"/>
      <w:numFmt w:val="lowerLetter"/>
      <w:lvlText w:val="%8."/>
      <w:lvlJc w:val="left"/>
      <w:pPr>
        <w:ind w:left="4342" w:hanging="360"/>
      </w:pPr>
    </w:lvl>
    <w:lvl w:ilvl="8" w:tplc="0C09001B" w:tentative="1">
      <w:start w:val="1"/>
      <w:numFmt w:val="lowerRoman"/>
      <w:lvlText w:val="%9."/>
      <w:lvlJc w:val="right"/>
      <w:pPr>
        <w:ind w:left="5062" w:hanging="180"/>
      </w:pPr>
    </w:lvl>
  </w:abstractNum>
  <w:abstractNum w:abstractNumId="6" w15:restartNumberingAfterBreak="0">
    <w:nsid w:val="261F2433"/>
    <w:multiLevelType w:val="hybridMultilevel"/>
    <w:tmpl w:val="E508F91E"/>
    <w:lvl w:ilvl="0" w:tplc="08090001">
      <w:start w:val="1"/>
      <w:numFmt w:val="bullet"/>
      <w:lvlText w:val=""/>
      <w:lvlJc w:val="left"/>
      <w:pPr>
        <w:ind w:left="720" w:hanging="360"/>
      </w:pPr>
      <w:rPr>
        <w:rFonts w:ascii="Symbol" w:hAnsi="Symbol" w:hint="default"/>
      </w:rPr>
    </w:lvl>
    <w:lvl w:ilvl="1" w:tplc="0FA81322">
      <w:start w:val="9"/>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F5CB9"/>
    <w:multiLevelType w:val="hybridMultilevel"/>
    <w:tmpl w:val="E26267C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605CF7"/>
    <w:multiLevelType w:val="hybridMultilevel"/>
    <w:tmpl w:val="8FE4C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720272"/>
    <w:multiLevelType w:val="hybridMultilevel"/>
    <w:tmpl w:val="F92EF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7C5304"/>
    <w:multiLevelType w:val="hybridMultilevel"/>
    <w:tmpl w:val="141CD120"/>
    <w:lvl w:ilvl="0" w:tplc="0C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1666C6"/>
    <w:multiLevelType w:val="hybridMultilevel"/>
    <w:tmpl w:val="299A672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15:restartNumberingAfterBreak="0">
    <w:nsid w:val="676E2EB8"/>
    <w:multiLevelType w:val="hybridMultilevel"/>
    <w:tmpl w:val="CEB8189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70A828DA"/>
    <w:multiLevelType w:val="hybridMultilevel"/>
    <w:tmpl w:val="D61EB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5B45418"/>
    <w:multiLevelType w:val="hybridMultilevel"/>
    <w:tmpl w:val="D6F87C6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77BC3D1C"/>
    <w:multiLevelType w:val="hybridMultilevel"/>
    <w:tmpl w:val="3C307934"/>
    <w:lvl w:ilvl="0" w:tplc="4648899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4D033C"/>
    <w:multiLevelType w:val="multilevel"/>
    <w:tmpl w:val="81749D2A"/>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DC95B7A"/>
    <w:multiLevelType w:val="hybridMultilevel"/>
    <w:tmpl w:val="C32AB40C"/>
    <w:lvl w:ilvl="0" w:tplc="BA20F958">
      <w:numFmt w:val="bullet"/>
      <w:pStyle w:val="Table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8"/>
  </w:num>
  <w:num w:numId="2">
    <w:abstractNumId w:val="10"/>
  </w:num>
  <w:num w:numId="3">
    <w:abstractNumId w:val="18"/>
  </w:num>
  <w:num w:numId="4">
    <w:abstractNumId w:val="9"/>
  </w:num>
  <w:num w:numId="5">
    <w:abstractNumId w:val="12"/>
  </w:num>
  <w:num w:numId="6">
    <w:abstractNumId w:val="16"/>
  </w:num>
  <w:num w:numId="7">
    <w:abstractNumId w:val="7"/>
  </w:num>
  <w:num w:numId="8">
    <w:abstractNumId w:val="14"/>
  </w:num>
  <w:num w:numId="9">
    <w:abstractNumId w:val="0"/>
  </w:num>
  <w:num w:numId="10">
    <w:abstractNumId w:val="6"/>
  </w:num>
  <w:num w:numId="11">
    <w:abstractNumId w:val="19"/>
  </w:num>
  <w:num w:numId="12">
    <w:abstractNumId w:val="4"/>
  </w:num>
  <w:num w:numId="13">
    <w:abstractNumId w:val="3"/>
  </w:num>
  <w:num w:numId="14">
    <w:abstractNumId w:val="17"/>
  </w:num>
  <w:num w:numId="15">
    <w:abstractNumId w:val="11"/>
  </w:num>
  <w:num w:numId="16">
    <w:abstractNumId w:val="2"/>
  </w:num>
  <w:num w:numId="17">
    <w:abstractNumId w:val="13"/>
  </w:num>
  <w:num w:numId="18">
    <w:abstractNumId w:val="1"/>
  </w:num>
  <w:num w:numId="19">
    <w:abstractNumId w:val="8"/>
  </w:num>
  <w:num w:numId="20">
    <w:abstractNumId w:val="15"/>
  </w:num>
  <w:num w:numId="21">
    <w:abstractNumId w:val="5"/>
  </w:num>
  <w:num w:numId="22">
    <w:abstractNumId w:val="20"/>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8"/>
  </w:num>
  <w:num w:numId="43">
    <w:abstractNumId w:val="18"/>
  </w:num>
  <w:num w:numId="44">
    <w:abstractNumId w:val="18"/>
  </w:num>
  <w:num w:numId="4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tqwFAPhBbi8tAAAA"/>
  </w:docVars>
  <w:rsids>
    <w:rsidRoot w:val="00E65E79"/>
    <w:rsid w:val="00000790"/>
    <w:rsid w:val="00000AB1"/>
    <w:rsid w:val="00000E93"/>
    <w:rsid w:val="0000110B"/>
    <w:rsid w:val="000015BE"/>
    <w:rsid w:val="00001F07"/>
    <w:rsid w:val="00002803"/>
    <w:rsid w:val="00002816"/>
    <w:rsid w:val="0000343D"/>
    <w:rsid w:val="00003499"/>
    <w:rsid w:val="000039B7"/>
    <w:rsid w:val="00003D18"/>
    <w:rsid w:val="0000481B"/>
    <w:rsid w:val="00005260"/>
    <w:rsid w:val="00005450"/>
    <w:rsid w:val="00005D2D"/>
    <w:rsid w:val="00005E33"/>
    <w:rsid w:val="0000639A"/>
    <w:rsid w:val="000065D8"/>
    <w:rsid w:val="000069CC"/>
    <w:rsid w:val="00007C7D"/>
    <w:rsid w:val="00007CAD"/>
    <w:rsid w:val="0001063D"/>
    <w:rsid w:val="0001066F"/>
    <w:rsid w:val="00010D2E"/>
    <w:rsid w:val="00010DD9"/>
    <w:rsid w:val="00010FCC"/>
    <w:rsid w:val="00011A60"/>
    <w:rsid w:val="00012488"/>
    <w:rsid w:val="00012BBA"/>
    <w:rsid w:val="00012C1E"/>
    <w:rsid w:val="00013247"/>
    <w:rsid w:val="00014174"/>
    <w:rsid w:val="00014913"/>
    <w:rsid w:val="000153EF"/>
    <w:rsid w:val="000157A7"/>
    <w:rsid w:val="00015886"/>
    <w:rsid w:val="000162EF"/>
    <w:rsid w:val="00016AA6"/>
    <w:rsid w:val="00016B2C"/>
    <w:rsid w:val="00016E93"/>
    <w:rsid w:val="00017022"/>
    <w:rsid w:val="00017A5D"/>
    <w:rsid w:val="0002025D"/>
    <w:rsid w:val="00020517"/>
    <w:rsid w:val="000207C9"/>
    <w:rsid w:val="00020874"/>
    <w:rsid w:val="00020E51"/>
    <w:rsid w:val="00021328"/>
    <w:rsid w:val="00021652"/>
    <w:rsid w:val="0002225F"/>
    <w:rsid w:val="000224BF"/>
    <w:rsid w:val="00022E78"/>
    <w:rsid w:val="0002342A"/>
    <w:rsid w:val="00023722"/>
    <w:rsid w:val="00023763"/>
    <w:rsid w:val="0002383A"/>
    <w:rsid w:val="0002460A"/>
    <w:rsid w:val="0002555D"/>
    <w:rsid w:val="00025973"/>
    <w:rsid w:val="00025F0F"/>
    <w:rsid w:val="0002616A"/>
    <w:rsid w:val="0002662C"/>
    <w:rsid w:val="00027023"/>
    <w:rsid w:val="000270D0"/>
    <w:rsid w:val="00027457"/>
    <w:rsid w:val="000274B8"/>
    <w:rsid w:val="00027703"/>
    <w:rsid w:val="000278E9"/>
    <w:rsid w:val="00027A8F"/>
    <w:rsid w:val="0003008F"/>
    <w:rsid w:val="000304BF"/>
    <w:rsid w:val="0003162E"/>
    <w:rsid w:val="000317AE"/>
    <w:rsid w:val="00031D05"/>
    <w:rsid w:val="00032354"/>
    <w:rsid w:val="000332CC"/>
    <w:rsid w:val="00033863"/>
    <w:rsid w:val="00034016"/>
    <w:rsid w:val="00034423"/>
    <w:rsid w:val="00034844"/>
    <w:rsid w:val="00034ADF"/>
    <w:rsid w:val="00034AE3"/>
    <w:rsid w:val="00034E76"/>
    <w:rsid w:val="00035335"/>
    <w:rsid w:val="00035DC0"/>
    <w:rsid w:val="00035FD1"/>
    <w:rsid w:val="0003634A"/>
    <w:rsid w:val="00036829"/>
    <w:rsid w:val="00036B04"/>
    <w:rsid w:val="00037006"/>
    <w:rsid w:val="00037535"/>
    <w:rsid w:val="00037EB7"/>
    <w:rsid w:val="00037FB8"/>
    <w:rsid w:val="00040262"/>
    <w:rsid w:val="000403A5"/>
    <w:rsid w:val="00040895"/>
    <w:rsid w:val="00040A3E"/>
    <w:rsid w:val="000416AB"/>
    <w:rsid w:val="000418FC"/>
    <w:rsid w:val="00041EB7"/>
    <w:rsid w:val="00042728"/>
    <w:rsid w:val="00042784"/>
    <w:rsid w:val="00042C32"/>
    <w:rsid w:val="000435EE"/>
    <w:rsid w:val="00043981"/>
    <w:rsid w:val="00043C37"/>
    <w:rsid w:val="00043FA9"/>
    <w:rsid w:val="000442B5"/>
    <w:rsid w:val="00044675"/>
    <w:rsid w:val="00044C1C"/>
    <w:rsid w:val="00045017"/>
    <w:rsid w:val="000453D9"/>
    <w:rsid w:val="00045411"/>
    <w:rsid w:val="000456E3"/>
    <w:rsid w:val="00045A2B"/>
    <w:rsid w:val="00046129"/>
    <w:rsid w:val="000462B2"/>
    <w:rsid w:val="0004698F"/>
    <w:rsid w:val="00046AC6"/>
    <w:rsid w:val="00046D2E"/>
    <w:rsid w:val="00047058"/>
    <w:rsid w:val="000471C4"/>
    <w:rsid w:val="0004750E"/>
    <w:rsid w:val="00047837"/>
    <w:rsid w:val="00047B74"/>
    <w:rsid w:val="000503C5"/>
    <w:rsid w:val="00051AA2"/>
    <w:rsid w:val="00051C04"/>
    <w:rsid w:val="00052451"/>
    <w:rsid w:val="00053274"/>
    <w:rsid w:val="00053346"/>
    <w:rsid w:val="000539D0"/>
    <w:rsid w:val="000539FB"/>
    <w:rsid w:val="000540C3"/>
    <w:rsid w:val="0005440D"/>
    <w:rsid w:val="00054621"/>
    <w:rsid w:val="000546D7"/>
    <w:rsid w:val="00054DAF"/>
    <w:rsid w:val="00054E92"/>
    <w:rsid w:val="00054F6D"/>
    <w:rsid w:val="00055E10"/>
    <w:rsid w:val="00055E33"/>
    <w:rsid w:val="00055F3B"/>
    <w:rsid w:val="00055FDD"/>
    <w:rsid w:val="00056ECF"/>
    <w:rsid w:val="00057CC2"/>
    <w:rsid w:val="00057D81"/>
    <w:rsid w:val="00057F25"/>
    <w:rsid w:val="000600CF"/>
    <w:rsid w:val="000602A3"/>
    <w:rsid w:val="000604DF"/>
    <w:rsid w:val="00060B18"/>
    <w:rsid w:val="00060FD1"/>
    <w:rsid w:val="0006107A"/>
    <w:rsid w:val="000611F4"/>
    <w:rsid w:val="0006190A"/>
    <w:rsid w:val="00061D92"/>
    <w:rsid w:val="00061F37"/>
    <w:rsid w:val="00062442"/>
    <w:rsid w:val="000631B6"/>
    <w:rsid w:val="0006375C"/>
    <w:rsid w:val="00063F34"/>
    <w:rsid w:val="00064B4B"/>
    <w:rsid w:val="000653B5"/>
    <w:rsid w:val="00065454"/>
    <w:rsid w:val="00065509"/>
    <w:rsid w:val="000659D6"/>
    <w:rsid w:val="00065B15"/>
    <w:rsid w:val="00065DD4"/>
    <w:rsid w:val="00066188"/>
    <w:rsid w:val="00066202"/>
    <w:rsid w:val="00066360"/>
    <w:rsid w:val="00066602"/>
    <w:rsid w:val="00066883"/>
    <w:rsid w:val="00066AF8"/>
    <w:rsid w:val="00066D92"/>
    <w:rsid w:val="000679F8"/>
    <w:rsid w:val="00070C0E"/>
    <w:rsid w:val="00071248"/>
    <w:rsid w:val="0007174F"/>
    <w:rsid w:val="00071CB6"/>
    <w:rsid w:val="000720B9"/>
    <w:rsid w:val="00072194"/>
    <w:rsid w:val="000723AF"/>
    <w:rsid w:val="00072AC7"/>
    <w:rsid w:val="00072B6D"/>
    <w:rsid w:val="000737F7"/>
    <w:rsid w:val="00073B8A"/>
    <w:rsid w:val="000741E1"/>
    <w:rsid w:val="00074AB4"/>
    <w:rsid w:val="00075134"/>
    <w:rsid w:val="000754A4"/>
    <w:rsid w:val="0007672F"/>
    <w:rsid w:val="00076B54"/>
    <w:rsid w:val="00076EE5"/>
    <w:rsid w:val="00077091"/>
    <w:rsid w:val="000774F0"/>
    <w:rsid w:val="00077782"/>
    <w:rsid w:val="00077B3E"/>
    <w:rsid w:val="00077BA9"/>
    <w:rsid w:val="00077DFF"/>
    <w:rsid w:val="000801CB"/>
    <w:rsid w:val="00080558"/>
    <w:rsid w:val="000805F6"/>
    <w:rsid w:val="000808D2"/>
    <w:rsid w:val="00080909"/>
    <w:rsid w:val="000811F6"/>
    <w:rsid w:val="000812CA"/>
    <w:rsid w:val="00081903"/>
    <w:rsid w:val="00081E63"/>
    <w:rsid w:val="00081FC4"/>
    <w:rsid w:val="0008258D"/>
    <w:rsid w:val="00082A6B"/>
    <w:rsid w:val="00082E06"/>
    <w:rsid w:val="00082F26"/>
    <w:rsid w:val="000830B5"/>
    <w:rsid w:val="00083E99"/>
    <w:rsid w:val="0008492E"/>
    <w:rsid w:val="00084B7B"/>
    <w:rsid w:val="00084FA8"/>
    <w:rsid w:val="0008515F"/>
    <w:rsid w:val="00085374"/>
    <w:rsid w:val="00085528"/>
    <w:rsid w:val="000856C5"/>
    <w:rsid w:val="00085A34"/>
    <w:rsid w:val="00085B06"/>
    <w:rsid w:val="00085C31"/>
    <w:rsid w:val="0008654B"/>
    <w:rsid w:val="000865FB"/>
    <w:rsid w:val="00086616"/>
    <w:rsid w:val="00086CD4"/>
    <w:rsid w:val="00087DD4"/>
    <w:rsid w:val="000902D9"/>
    <w:rsid w:val="00090C7E"/>
    <w:rsid w:val="000915D1"/>
    <w:rsid w:val="00091E1E"/>
    <w:rsid w:val="00092204"/>
    <w:rsid w:val="0009239B"/>
    <w:rsid w:val="00092600"/>
    <w:rsid w:val="0009262B"/>
    <w:rsid w:val="00092A12"/>
    <w:rsid w:val="00093310"/>
    <w:rsid w:val="0009375E"/>
    <w:rsid w:val="00093E7E"/>
    <w:rsid w:val="0009445C"/>
    <w:rsid w:val="000945DD"/>
    <w:rsid w:val="00094643"/>
    <w:rsid w:val="00094A42"/>
    <w:rsid w:val="00094ECE"/>
    <w:rsid w:val="0009511D"/>
    <w:rsid w:val="00095200"/>
    <w:rsid w:val="0009544F"/>
    <w:rsid w:val="00095651"/>
    <w:rsid w:val="00095FE5"/>
    <w:rsid w:val="00096284"/>
    <w:rsid w:val="00096387"/>
    <w:rsid w:val="0009670E"/>
    <w:rsid w:val="00096CE9"/>
    <w:rsid w:val="0009752D"/>
    <w:rsid w:val="00097D90"/>
    <w:rsid w:val="00097F38"/>
    <w:rsid w:val="00097F89"/>
    <w:rsid w:val="000A0051"/>
    <w:rsid w:val="000A0198"/>
    <w:rsid w:val="000A0818"/>
    <w:rsid w:val="000A108F"/>
    <w:rsid w:val="000A1287"/>
    <w:rsid w:val="000A1645"/>
    <w:rsid w:val="000A1695"/>
    <w:rsid w:val="000A16AA"/>
    <w:rsid w:val="000A16C0"/>
    <w:rsid w:val="000A1BC0"/>
    <w:rsid w:val="000A1C0C"/>
    <w:rsid w:val="000A1CB5"/>
    <w:rsid w:val="000A2087"/>
    <w:rsid w:val="000A2205"/>
    <w:rsid w:val="000A24B2"/>
    <w:rsid w:val="000A290C"/>
    <w:rsid w:val="000A34AD"/>
    <w:rsid w:val="000A35B1"/>
    <w:rsid w:val="000A3E86"/>
    <w:rsid w:val="000A48BE"/>
    <w:rsid w:val="000A498C"/>
    <w:rsid w:val="000A5196"/>
    <w:rsid w:val="000A52DE"/>
    <w:rsid w:val="000A5F63"/>
    <w:rsid w:val="000A6039"/>
    <w:rsid w:val="000A64C8"/>
    <w:rsid w:val="000A6BF0"/>
    <w:rsid w:val="000A6CEF"/>
    <w:rsid w:val="000A6EA1"/>
    <w:rsid w:val="000A6EA6"/>
    <w:rsid w:val="000A6F4D"/>
    <w:rsid w:val="000A7453"/>
    <w:rsid w:val="000A7D08"/>
    <w:rsid w:val="000B0121"/>
    <w:rsid w:val="000B0670"/>
    <w:rsid w:val="000B067B"/>
    <w:rsid w:val="000B0E75"/>
    <w:rsid w:val="000B0E95"/>
    <w:rsid w:val="000B1B0A"/>
    <w:rsid w:val="000B1D98"/>
    <w:rsid w:val="000B1E4B"/>
    <w:rsid w:val="000B2178"/>
    <w:rsid w:val="000B2DCB"/>
    <w:rsid w:val="000B2F4C"/>
    <w:rsid w:val="000B337C"/>
    <w:rsid w:val="000B3947"/>
    <w:rsid w:val="000B3E8F"/>
    <w:rsid w:val="000B4089"/>
    <w:rsid w:val="000B494E"/>
    <w:rsid w:val="000B4E8A"/>
    <w:rsid w:val="000B5826"/>
    <w:rsid w:val="000B5838"/>
    <w:rsid w:val="000B5CE0"/>
    <w:rsid w:val="000B5F1E"/>
    <w:rsid w:val="000B6531"/>
    <w:rsid w:val="000B6CAC"/>
    <w:rsid w:val="000B7612"/>
    <w:rsid w:val="000B78AE"/>
    <w:rsid w:val="000C0144"/>
    <w:rsid w:val="000C0BD6"/>
    <w:rsid w:val="000C0CBF"/>
    <w:rsid w:val="000C1E36"/>
    <w:rsid w:val="000C239A"/>
    <w:rsid w:val="000C260B"/>
    <w:rsid w:val="000C2D82"/>
    <w:rsid w:val="000C3DF9"/>
    <w:rsid w:val="000C3FE6"/>
    <w:rsid w:val="000C4181"/>
    <w:rsid w:val="000C43F2"/>
    <w:rsid w:val="000C57D9"/>
    <w:rsid w:val="000C5944"/>
    <w:rsid w:val="000C5B98"/>
    <w:rsid w:val="000C6050"/>
    <w:rsid w:val="000C6713"/>
    <w:rsid w:val="000C6BBD"/>
    <w:rsid w:val="000C7C5C"/>
    <w:rsid w:val="000C7D1A"/>
    <w:rsid w:val="000C7E40"/>
    <w:rsid w:val="000D057E"/>
    <w:rsid w:val="000D0A9D"/>
    <w:rsid w:val="000D0DD7"/>
    <w:rsid w:val="000D0F1A"/>
    <w:rsid w:val="000D1663"/>
    <w:rsid w:val="000D1BFC"/>
    <w:rsid w:val="000D1D5D"/>
    <w:rsid w:val="000D20D1"/>
    <w:rsid w:val="000D2550"/>
    <w:rsid w:val="000D281A"/>
    <w:rsid w:val="000D2848"/>
    <w:rsid w:val="000D28E2"/>
    <w:rsid w:val="000D299F"/>
    <w:rsid w:val="000D326A"/>
    <w:rsid w:val="000D357E"/>
    <w:rsid w:val="000D37F4"/>
    <w:rsid w:val="000D3865"/>
    <w:rsid w:val="000D399F"/>
    <w:rsid w:val="000D3C75"/>
    <w:rsid w:val="000D453D"/>
    <w:rsid w:val="000D47D6"/>
    <w:rsid w:val="000D496D"/>
    <w:rsid w:val="000D4CB7"/>
    <w:rsid w:val="000D51FB"/>
    <w:rsid w:val="000D7237"/>
    <w:rsid w:val="000D72AB"/>
    <w:rsid w:val="000D7AD5"/>
    <w:rsid w:val="000D7AEB"/>
    <w:rsid w:val="000E0640"/>
    <w:rsid w:val="000E06A8"/>
    <w:rsid w:val="000E0CE2"/>
    <w:rsid w:val="000E135D"/>
    <w:rsid w:val="000E14A0"/>
    <w:rsid w:val="000E2245"/>
    <w:rsid w:val="000E299F"/>
    <w:rsid w:val="000E32FF"/>
    <w:rsid w:val="000E3907"/>
    <w:rsid w:val="000E41F2"/>
    <w:rsid w:val="000E4589"/>
    <w:rsid w:val="000E483A"/>
    <w:rsid w:val="000E4B1E"/>
    <w:rsid w:val="000E6613"/>
    <w:rsid w:val="000E682A"/>
    <w:rsid w:val="000E6BA4"/>
    <w:rsid w:val="000E6BB2"/>
    <w:rsid w:val="000E702D"/>
    <w:rsid w:val="000E78FC"/>
    <w:rsid w:val="000E7DFE"/>
    <w:rsid w:val="000F00BA"/>
    <w:rsid w:val="000F065B"/>
    <w:rsid w:val="000F0921"/>
    <w:rsid w:val="000F0A95"/>
    <w:rsid w:val="000F0DD5"/>
    <w:rsid w:val="000F2A22"/>
    <w:rsid w:val="000F2FA0"/>
    <w:rsid w:val="000F3045"/>
    <w:rsid w:val="000F316A"/>
    <w:rsid w:val="000F386A"/>
    <w:rsid w:val="000F3965"/>
    <w:rsid w:val="000F3C74"/>
    <w:rsid w:val="000F4436"/>
    <w:rsid w:val="000F4BB8"/>
    <w:rsid w:val="000F4FA9"/>
    <w:rsid w:val="000F53FB"/>
    <w:rsid w:val="000F5A28"/>
    <w:rsid w:val="000F5FE7"/>
    <w:rsid w:val="000F6471"/>
    <w:rsid w:val="000F6553"/>
    <w:rsid w:val="000F6791"/>
    <w:rsid w:val="000F69B6"/>
    <w:rsid w:val="000F6CDE"/>
    <w:rsid w:val="000F7127"/>
    <w:rsid w:val="000F7B54"/>
    <w:rsid w:val="000F7E12"/>
    <w:rsid w:val="001002CF"/>
    <w:rsid w:val="0010069D"/>
    <w:rsid w:val="00100D9D"/>
    <w:rsid w:val="00100F47"/>
    <w:rsid w:val="00100F8A"/>
    <w:rsid w:val="00101434"/>
    <w:rsid w:val="00101465"/>
    <w:rsid w:val="00101C84"/>
    <w:rsid w:val="0010257A"/>
    <w:rsid w:val="00102A81"/>
    <w:rsid w:val="00102FAC"/>
    <w:rsid w:val="00103423"/>
    <w:rsid w:val="00103D57"/>
    <w:rsid w:val="00104250"/>
    <w:rsid w:val="001042AE"/>
    <w:rsid w:val="001044E5"/>
    <w:rsid w:val="0010452E"/>
    <w:rsid w:val="00105344"/>
    <w:rsid w:val="00105AE2"/>
    <w:rsid w:val="0010605A"/>
    <w:rsid w:val="001060C6"/>
    <w:rsid w:val="0010620F"/>
    <w:rsid w:val="00106678"/>
    <w:rsid w:val="00106821"/>
    <w:rsid w:val="00106B80"/>
    <w:rsid w:val="00106E13"/>
    <w:rsid w:val="00106F5F"/>
    <w:rsid w:val="0010735B"/>
    <w:rsid w:val="001102BA"/>
    <w:rsid w:val="0011032E"/>
    <w:rsid w:val="0011079E"/>
    <w:rsid w:val="001112AF"/>
    <w:rsid w:val="00111CFA"/>
    <w:rsid w:val="001123D1"/>
    <w:rsid w:val="001124FE"/>
    <w:rsid w:val="001125A8"/>
    <w:rsid w:val="001128A8"/>
    <w:rsid w:val="001130EE"/>
    <w:rsid w:val="0011348B"/>
    <w:rsid w:val="0011392D"/>
    <w:rsid w:val="00113F3A"/>
    <w:rsid w:val="0011446E"/>
    <w:rsid w:val="001147EF"/>
    <w:rsid w:val="001148D6"/>
    <w:rsid w:val="00114C48"/>
    <w:rsid w:val="0011531C"/>
    <w:rsid w:val="00115982"/>
    <w:rsid w:val="00116229"/>
    <w:rsid w:val="00116ABA"/>
    <w:rsid w:val="00116AE2"/>
    <w:rsid w:val="00116C53"/>
    <w:rsid w:val="00116DF9"/>
    <w:rsid w:val="00117BA4"/>
    <w:rsid w:val="0012013A"/>
    <w:rsid w:val="00120AA8"/>
    <w:rsid w:val="00120AA9"/>
    <w:rsid w:val="00121164"/>
    <w:rsid w:val="00121200"/>
    <w:rsid w:val="00121799"/>
    <w:rsid w:val="00121BA6"/>
    <w:rsid w:val="00121D89"/>
    <w:rsid w:val="001222FC"/>
    <w:rsid w:val="00123601"/>
    <w:rsid w:val="00123902"/>
    <w:rsid w:val="00123918"/>
    <w:rsid w:val="0012413F"/>
    <w:rsid w:val="0012433D"/>
    <w:rsid w:val="00124743"/>
    <w:rsid w:val="0012479D"/>
    <w:rsid w:val="00124A51"/>
    <w:rsid w:val="00124AEE"/>
    <w:rsid w:val="00124D17"/>
    <w:rsid w:val="001255B7"/>
    <w:rsid w:val="00126621"/>
    <w:rsid w:val="001266A5"/>
    <w:rsid w:val="00126B1D"/>
    <w:rsid w:val="00126B21"/>
    <w:rsid w:val="00126F01"/>
    <w:rsid w:val="001270D2"/>
    <w:rsid w:val="00127572"/>
    <w:rsid w:val="00127E25"/>
    <w:rsid w:val="00127F38"/>
    <w:rsid w:val="001301E9"/>
    <w:rsid w:val="00130542"/>
    <w:rsid w:val="00130945"/>
    <w:rsid w:val="00130D6F"/>
    <w:rsid w:val="00130F44"/>
    <w:rsid w:val="0013142B"/>
    <w:rsid w:val="00131448"/>
    <w:rsid w:val="001315A5"/>
    <w:rsid w:val="0013165A"/>
    <w:rsid w:val="00131BA2"/>
    <w:rsid w:val="00131D82"/>
    <w:rsid w:val="00132B22"/>
    <w:rsid w:val="00132BD9"/>
    <w:rsid w:val="00133D11"/>
    <w:rsid w:val="00133D36"/>
    <w:rsid w:val="001343BB"/>
    <w:rsid w:val="00134471"/>
    <w:rsid w:val="0013461E"/>
    <w:rsid w:val="00134B3E"/>
    <w:rsid w:val="00135DA2"/>
    <w:rsid w:val="001360C9"/>
    <w:rsid w:val="00137645"/>
    <w:rsid w:val="00137822"/>
    <w:rsid w:val="00137ADB"/>
    <w:rsid w:val="0014015A"/>
    <w:rsid w:val="00140596"/>
    <w:rsid w:val="001407DE"/>
    <w:rsid w:val="00140E99"/>
    <w:rsid w:val="0014136E"/>
    <w:rsid w:val="001413ED"/>
    <w:rsid w:val="001414BC"/>
    <w:rsid w:val="00141A2F"/>
    <w:rsid w:val="00141E1E"/>
    <w:rsid w:val="001425CD"/>
    <w:rsid w:val="001437F1"/>
    <w:rsid w:val="00143F67"/>
    <w:rsid w:val="00144B98"/>
    <w:rsid w:val="00145540"/>
    <w:rsid w:val="001456B0"/>
    <w:rsid w:val="001458E6"/>
    <w:rsid w:val="00146117"/>
    <w:rsid w:val="0014634C"/>
    <w:rsid w:val="00146DD6"/>
    <w:rsid w:val="0014714E"/>
    <w:rsid w:val="0014742A"/>
    <w:rsid w:val="00147E46"/>
    <w:rsid w:val="001505B0"/>
    <w:rsid w:val="00150FEC"/>
    <w:rsid w:val="001511A4"/>
    <w:rsid w:val="0015215B"/>
    <w:rsid w:val="00152526"/>
    <w:rsid w:val="00152B60"/>
    <w:rsid w:val="00152D3A"/>
    <w:rsid w:val="0015322D"/>
    <w:rsid w:val="0015329D"/>
    <w:rsid w:val="00153443"/>
    <w:rsid w:val="00153AB3"/>
    <w:rsid w:val="0015435C"/>
    <w:rsid w:val="00154B47"/>
    <w:rsid w:val="00154BC4"/>
    <w:rsid w:val="00155238"/>
    <w:rsid w:val="0015568A"/>
    <w:rsid w:val="00155BC7"/>
    <w:rsid w:val="00155F1F"/>
    <w:rsid w:val="0015607B"/>
    <w:rsid w:val="0015665F"/>
    <w:rsid w:val="00156C32"/>
    <w:rsid w:val="00156EA0"/>
    <w:rsid w:val="00156F8F"/>
    <w:rsid w:val="00157130"/>
    <w:rsid w:val="00157141"/>
    <w:rsid w:val="0015726F"/>
    <w:rsid w:val="001576B1"/>
    <w:rsid w:val="0016047B"/>
    <w:rsid w:val="00160A4C"/>
    <w:rsid w:val="00160D53"/>
    <w:rsid w:val="00160FBF"/>
    <w:rsid w:val="00161180"/>
    <w:rsid w:val="0016143B"/>
    <w:rsid w:val="0016155C"/>
    <w:rsid w:val="00162761"/>
    <w:rsid w:val="00162913"/>
    <w:rsid w:val="00162EA8"/>
    <w:rsid w:val="001630E5"/>
    <w:rsid w:val="00163766"/>
    <w:rsid w:val="001637D3"/>
    <w:rsid w:val="00163EFF"/>
    <w:rsid w:val="00163F66"/>
    <w:rsid w:val="00165015"/>
    <w:rsid w:val="001654FA"/>
    <w:rsid w:val="00165767"/>
    <w:rsid w:val="00165DD5"/>
    <w:rsid w:val="001661FB"/>
    <w:rsid w:val="00166EA8"/>
    <w:rsid w:val="001671A0"/>
    <w:rsid w:val="0016767F"/>
    <w:rsid w:val="001703FF"/>
    <w:rsid w:val="001706B8"/>
    <w:rsid w:val="001712ED"/>
    <w:rsid w:val="0017147A"/>
    <w:rsid w:val="00171565"/>
    <w:rsid w:val="001715F1"/>
    <w:rsid w:val="00171744"/>
    <w:rsid w:val="00171806"/>
    <w:rsid w:val="00171BC1"/>
    <w:rsid w:val="00172B76"/>
    <w:rsid w:val="00172C32"/>
    <w:rsid w:val="00173565"/>
    <w:rsid w:val="00173808"/>
    <w:rsid w:val="00173B07"/>
    <w:rsid w:val="0017432B"/>
    <w:rsid w:val="00174677"/>
    <w:rsid w:val="001746F2"/>
    <w:rsid w:val="00174E0E"/>
    <w:rsid w:val="00174E13"/>
    <w:rsid w:val="001751FA"/>
    <w:rsid w:val="001754D7"/>
    <w:rsid w:val="0017552D"/>
    <w:rsid w:val="00175A44"/>
    <w:rsid w:val="00176191"/>
    <w:rsid w:val="0017649E"/>
    <w:rsid w:val="00176F1B"/>
    <w:rsid w:val="00177283"/>
    <w:rsid w:val="00177B7E"/>
    <w:rsid w:val="00177BF6"/>
    <w:rsid w:val="00180157"/>
    <w:rsid w:val="0018033E"/>
    <w:rsid w:val="00180407"/>
    <w:rsid w:val="00181D9C"/>
    <w:rsid w:val="001824DA"/>
    <w:rsid w:val="001829FD"/>
    <w:rsid w:val="001830AF"/>
    <w:rsid w:val="0018339A"/>
    <w:rsid w:val="00183864"/>
    <w:rsid w:val="001839E1"/>
    <w:rsid w:val="00183B37"/>
    <w:rsid w:val="00183B53"/>
    <w:rsid w:val="00183E62"/>
    <w:rsid w:val="00183EBA"/>
    <w:rsid w:val="00184296"/>
    <w:rsid w:val="00184334"/>
    <w:rsid w:val="00184714"/>
    <w:rsid w:val="00184AF3"/>
    <w:rsid w:val="00184B0E"/>
    <w:rsid w:val="00184B4E"/>
    <w:rsid w:val="00184C85"/>
    <w:rsid w:val="00185594"/>
    <w:rsid w:val="00185DBF"/>
    <w:rsid w:val="00185FE5"/>
    <w:rsid w:val="00186191"/>
    <w:rsid w:val="00186C7E"/>
    <w:rsid w:val="00186D0C"/>
    <w:rsid w:val="00186DA1"/>
    <w:rsid w:val="00186EE9"/>
    <w:rsid w:val="00186FC4"/>
    <w:rsid w:val="0018752F"/>
    <w:rsid w:val="001876B6"/>
    <w:rsid w:val="00187C30"/>
    <w:rsid w:val="00187D2E"/>
    <w:rsid w:val="0019041C"/>
    <w:rsid w:val="00190526"/>
    <w:rsid w:val="00190812"/>
    <w:rsid w:val="001909A6"/>
    <w:rsid w:val="00190A8F"/>
    <w:rsid w:val="00190B37"/>
    <w:rsid w:val="00191714"/>
    <w:rsid w:val="00191BC9"/>
    <w:rsid w:val="001920EE"/>
    <w:rsid w:val="0019215A"/>
    <w:rsid w:val="00192175"/>
    <w:rsid w:val="001923D7"/>
    <w:rsid w:val="00192E0E"/>
    <w:rsid w:val="00193200"/>
    <w:rsid w:val="00193838"/>
    <w:rsid w:val="00194061"/>
    <w:rsid w:val="0019419E"/>
    <w:rsid w:val="0019433B"/>
    <w:rsid w:val="00194855"/>
    <w:rsid w:val="00194AD8"/>
    <w:rsid w:val="00194CC9"/>
    <w:rsid w:val="00195222"/>
    <w:rsid w:val="00195574"/>
    <w:rsid w:val="0019559D"/>
    <w:rsid w:val="00195956"/>
    <w:rsid w:val="00196146"/>
    <w:rsid w:val="001965F2"/>
    <w:rsid w:val="00196CCB"/>
    <w:rsid w:val="00196CD1"/>
    <w:rsid w:val="00196EB0"/>
    <w:rsid w:val="001975D8"/>
    <w:rsid w:val="001976E7"/>
    <w:rsid w:val="00197F19"/>
    <w:rsid w:val="001A01BE"/>
    <w:rsid w:val="001A1256"/>
    <w:rsid w:val="001A178E"/>
    <w:rsid w:val="001A1B87"/>
    <w:rsid w:val="001A1BFA"/>
    <w:rsid w:val="001A219B"/>
    <w:rsid w:val="001A220C"/>
    <w:rsid w:val="001A2E77"/>
    <w:rsid w:val="001A2E82"/>
    <w:rsid w:val="001A32E4"/>
    <w:rsid w:val="001A39B0"/>
    <w:rsid w:val="001A3FBD"/>
    <w:rsid w:val="001A4208"/>
    <w:rsid w:val="001A43A9"/>
    <w:rsid w:val="001A43FA"/>
    <w:rsid w:val="001A46A0"/>
    <w:rsid w:val="001A47C5"/>
    <w:rsid w:val="001A51EB"/>
    <w:rsid w:val="001A54BD"/>
    <w:rsid w:val="001A54F7"/>
    <w:rsid w:val="001A5993"/>
    <w:rsid w:val="001A59FB"/>
    <w:rsid w:val="001A5E9E"/>
    <w:rsid w:val="001A6354"/>
    <w:rsid w:val="001A6366"/>
    <w:rsid w:val="001A6CC6"/>
    <w:rsid w:val="001A705E"/>
    <w:rsid w:val="001A742A"/>
    <w:rsid w:val="001A7477"/>
    <w:rsid w:val="001A7AE8"/>
    <w:rsid w:val="001A7B2E"/>
    <w:rsid w:val="001A7DEE"/>
    <w:rsid w:val="001A7F84"/>
    <w:rsid w:val="001B010D"/>
    <w:rsid w:val="001B0214"/>
    <w:rsid w:val="001B0539"/>
    <w:rsid w:val="001B1111"/>
    <w:rsid w:val="001B1708"/>
    <w:rsid w:val="001B204E"/>
    <w:rsid w:val="001B226B"/>
    <w:rsid w:val="001B2372"/>
    <w:rsid w:val="001B275F"/>
    <w:rsid w:val="001B3333"/>
    <w:rsid w:val="001B3443"/>
    <w:rsid w:val="001B359A"/>
    <w:rsid w:val="001B4B26"/>
    <w:rsid w:val="001B4D20"/>
    <w:rsid w:val="001B4DEB"/>
    <w:rsid w:val="001B5B22"/>
    <w:rsid w:val="001B6425"/>
    <w:rsid w:val="001B647D"/>
    <w:rsid w:val="001B6FB6"/>
    <w:rsid w:val="001C0138"/>
    <w:rsid w:val="001C04DA"/>
    <w:rsid w:val="001C0B2A"/>
    <w:rsid w:val="001C1274"/>
    <w:rsid w:val="001C1499"/>
    <w:rsid w:val="001C1975"/>
    <w:rsid w:val="001C1F98"/>
    <w:rsid w:val="001C2A9B"/>
    <w:rsid w:val="001C2E4E"/>
    <w:rsid w:val="001C30A8"/>
    <w:rsid w:val="001C40A0"/>
    <w:rsid w:val="001C4299"/>
    <w:rsid w:val="001C4874"/>
    <w:rsid w:val="001C4BA5"/>
    <w:rsid w:val="001C5A3D"/>
    <w:rsid w:val="001C5C75"/>
    <w:rsid w:val="001C5F94"/>
    <w:rsid w:val="001C6700"/>
    <w:rsid w:val="001C6A1B"/>
    <w:rsid w:val="001C6C9B"/>
    <w:rsid w:val="001C6E66"/>
    <w:rsid w:val="001C7320"/>
    <w:rsid w:val="001D1100"/>
    <w:rsid w:val="001D1364"/>
    <w:rsid w:val="001D1391"/>
    <w:rsid w:val="001D1746"/>
    <w:rsid w:val="001D25D7"/>
    <w:rsid w:val="001D2F37"/>
    <w:rsid w:val="001D45AC"/>
    <w:rsid w:val="001D49B3"/>
    <w:rsid w:val="001D50B2"/>
    <w:rsid w:val="001D54AC"/>
    <w:rsid w:val="001D56F9"/>
    <w:rsid w:val="001D5903"/>
    <w:rsid w:val="001D5BD3"/>
    <w:rsid w:val="001D5C13"/>
    <w:rsid w:val="001D6363"/>
    <w:rsid w:val="001D66E4"/>
    <w:rsid w:val="001D6C82"/>
    <w:rsid w:val="001D74C4"/>
    <w:rsid w:val="001D7645"/>
    <w:rsid w:val="001D76D9"/>
    <w:rsid w:val="001E00A2"/>
    <w:rsid w:val="001E1757"/>
    <w:rsid w:val="001E1E86"/>
    <w:rsid w:val="001E2113"/>
    <w:rsid w:val="001E238D"/>
    <w:rsid w:val="001E238E"/>
    <w:rsid w:val="001E2483"/>
    <w:rsid w:val="001E2B1E"/>
    <w:rsid w:val="001E2BF6"/>
    <w:rsid w:val="001E2CFF"/>
    <w:rsid w:val="001E2F24"/>
    <w:rsid w:val="001E30D4"/>
    <w:rsid w:val="001E34B4"/>
    <w:rsid w:val="001E34DF"/>
    <w:rsid w:val="001E367D"/>
    <w:rsid w:val="001E375A"/>
    <w:rsid w:val="001E39A9"/>
    <w:rsid w:val="001E3ABB"/>
    <w:rsid w:val="001E3D81"/>
    <w:rsid w:val="001E42B2"/>
    <w:rsid w:val="001E482A"/>
    <w:rsid w:val="001E4972"/>
    <w:rsid w:val="001E4B05"/>
    <w:rsid w:val="001E50A5"/>
    <w:rsid w:val="001E52EB"/>
    <w:rsid w:val="001E5361"/>
    <w:rsid w:val="001E5640"/>
    <w:rsid w:val="001E5F4A"/>
    <w:rsid w:val="001E61D2"/>
    <w:rsid w:val="001E6220"/>
    <w:rsid w:val="001E6810"/>
    <w:rsid w:val="001E6CA8"/>
    <w:rsid w:val="001E7151"/>
    <w:rsid w:val="001E740C"/>
    <w:rsid w:val="001E7579"/>
    <w:rsid w:val="001E78AF"/>
    <w:rsid w:val="001E79E7"/>
    <w:rsid w:val="001E7B05"/>
    <w:rsid w:val="001E7BF2"/>
    <w:rsid w:val="001F1235"/>
    <w:rsid w:val="001F15B0"/>
    <w:rsid w:val="001F1CB3"/>
    <w:rsid w:val="001F23E2"/>
    <w:rsid w:val="001F2888"/>
    <w:rsid w:val="001F38B5"/>
    <w:rsid w:val="001F3D80"/>
    <w:rsid w:val="001F3F3E"/>
    <w:rsid w:val="001F4081"/>
    <w:rsid w:val="001F42EC"/>
    <w:rsid w:val="001F4E78"/>
    <w:rsid w:val="001F5165"/>
    <w:rsid w:val="001F51F9"/>
    <w:rsid w:val="001F5673"/>
    <w:rsid w:val="001F568A"/>
    <w:rsid w:val="001F59F3"/>
    <w:rsid w:val="001F5A32"/>
    <w:rsid w:val="001F5C6F"/>
    <w:rsid w:val="001F6807"/>
    <w:rsid w:val="001F6C85"/>
    <w:rsid w:val="001F7361"/>
    <w:rsid w:val="001F7637"/>
    <w:rsid w:val="001F77A9"/>
    <w:rsid w:val="001F7F4B"/>
    <w:rsid w:val="002011B0"/>
    <w:rsid w:val="002018DE"/>
    <w:rsid w:val="00202D60"/>
    <w:rsid w:val="00203124"/>
    <w:rsid w:val="00203181"/>
    <w:rsid w:val="00203284"/>
    <w:rsid w:val="0020377E"/>
    <w:rsid w:val="00203783"/>
    <w:rsid w:val="0020385F"/>
    <w:rsid w:val="002039F8"/>
    <w:rsid w:val="002044B9"/>
    <w:rsid w:val="00204BC2"/>
    <w:rsid w:val="00205819"/>
    <w:rsid w:val="0020605A"/>
    <w:rsid w:val="002065D4"/>
    <w:rsid w:val="002067DD"/>
    <w:rsid w:val="002068A0"/>
    <w:rsid w:val="00207021"/>
    <w:rsid w:val="0020732F"/>
    <w:rsid w:val="0020764A"/>
    <w:rsid w:val="00207D00"/>
    <w:rsid w:val="002105C1"/>
    <w:rsid w:val="002108C6"/>
    <w:rsid w:val="00211C7A"/>
    <w:rsid w:val="00211CCC"/>
    <w:rsid w:val="00212AF5"/>
    <w:rsid w:val="00212C06"/>
    <w:rsid w:val="00212D1C"/>
    <w:rsid w:val="00212DC8"/>
    <w:rsid w:val="002131FC"/>
    <w:rsid w:val="00213312"/>
    <w:rsid w:val="00213EBC"/>
    <w:rsid w:val="00213EF5"/>
    <w:rsid w:val="00214596"/>
    <w:rsid w:val="00214E68"/>
    <w:rsid w:val="00214EAF"/>
    <w:rsid w:val="002151A0"/>
    <w:rsid w:val="002154E1"/>
    <w:rsid w:val="00215832"/>
    <w:rsid w:val="0021616C"/>
    <w:rsid w:val="0021636B"/>
    <w:rsid w:val="00216BF5"/>
    <w:rsid w:val="00216C9E"/>
    <w:rsid w:val="00216F78"/>
    <w:rsid w:val="00217F4C"/>
    <w:rsid w:val="0022060D"/>
    <w:rsid w:val="0022074E"/>
    <w:rsid w:val="00220E48"/>
    <w:rsid w:val="002214C5"/>
    <w:rsid w:val="0022160A"/>
    <w:rsid w:val="00222479"/>
    <w:rsid w:val="002232B2"/>
    <w:rsid w:val="0022399E"/>
    <w:rsid w:val="00223B49"/>
    <w:rsid w:val="00223D5A"/>
    <w:rsid w:val="00224133"/>
    <w:rsid w:val="00224654"/>
    <w:rsid w:val="00224C34"/>
    <w:rsid w:val="00224DD4"/>
    <w:rsid w:val="00225791"/>
    <w:rsid w:val="0022612C"/>
    <w:rsid w:val="00226A3C"/>
    <w:rsid w:val="00226ADC"/>
    <w:rsid w:val="00226B88"/>
    <w:rsid w:val="0022769D"/>
    <w:rsid w:val="00227823"/>
    <w:rsid w:val="002278A0"/>
    <w:rsid w:val="00227C25"/>
    <w:rsid w:val="00230571"/>
    <w:rsid w:val="002306C4"/>
    <w:rsid w:val="002309CC"/>
    <w:rsid w:val="00230B14"/>
    <w:rsid w:val="00230FBC"/>
    <w:rsid w:val="002311CF"/>
    <w:rsid w:val="0023163B"/>
    <w:rsid w:val="002318D1"/>
    <w:rsid w:val="00231A44"/>
    <w:rsid w:val="00231A8D"/>
    <w:rsid w:val="0023209F"/>
    <w:rsid w:val="00232358"/>
    <w:rsid w:val="0023358B"/>
    <w:rsid w:val="00233C01"/>
    <w:rsid w:val="0023413C"/>
    <w:rsid w:val="0023418E"/>
    <w:rsid w:val="0023421B"/>
    <w:rsid w:val="00234428"/>
    <w:rsid w:val="002346F0"/>
    <w:rsid w:val="00234826"/>
    <w:rsid w:val="00234C91"/>
    <w:rsid w:val="00235079"/>
    <w:rsid w:val="00235945"/>
    <w:rsid w:val="002359CB"/>
    <w:rsid w:val="00236175"/>
    <w:rsid w:val="0023629D"/>
    <w:rsid w:val="002363B4"/>
    <w:rsid w:val="00236AD7"/>
    <w:rsid w:val="00236ECB"/>
    <w:rsid w:val="00237255"/>
    <w:rsid w:val="00237E5F"/>
    <w:rsid w:val="0024014B"/>
    <w:rsid w:val="0024093B"/>
    <w:rsid w:val="00240D3E"/>
    <w:rsid w:val="00240FEF"/>
    <w:rsid w:val="002422EC"/>
    <w:rsid w:val="002424AF"/>
    <w:rsid w:val="002439DC"/>
    <w:rsid w:val="002441D2"/>
    <w:rsid w:val="002448EB"/>
    <w:rsid w:val="00244976"/>
    <w:rsid w:val="00244B6A"/>
    <w:rsid w:val="00244BBB"/>
    <w:rsid w:val="00244DC8"/>
    <w:rsid w:val="00245476"/>
    <w:rsid w:val="002458BA"/>
    <w:rsid w:val="00245CE9"/>
    <w:rsid w:val="00245FCB"/>
    <w:rsid w:val="0024612A"/>
    <w:rsid w:val="0024636C"/>
    <w:rsid w:val="002474F8"/>
    <w:rsid w:val="0024775A"/>
    <w:rsid w:val="0024777A"/>
    <w:rsid w:val="00247925"/>
    <w:rsid w:val="00250006"/>
    <w:rsid w:val="00250D4C"/>
    <w:rsid w:val="00251006"/>
    <w:rsid w:val="002512EE"/>
    <w:rsid w:val="002517BB"/>
    <w:rsid w:val="00251E2E"/>
    <w:rsid w:val="002524D5"/>
    <w:rsid w:val="00253194"/>
    <w:rsid w:val="0025347E"/>
    <w:rsid w:val="00253B1D"/>
    <w:rsid w:val="00254165"/>
    <w:rsid w:val="00254535"/>
    <w:rsid w:val="00254679"/>
    <w:rsid w:val="00254B85"/>
    <w:rsid w:val="00254DCF"/>
    <w:rsid w:val="0025534B"/>
    <w:rsid w:val="002553DA"/>
    <w:rsid w:val="00255BB7"/>
    <w:rsid w:val="00255FE3"/>
    <w:rsid w:val="0025600B"/>
    <w:rsid w:val="00256B1F"/>
    <w:rsid w:val="00257541"/>
    <w:rsid w:val="00257A39"/>
    <w:rsid w:val="00257AC4"/>
    <w:rsid w:val="0026005D"/>
    <w:rsid w:val="00260D05"/>
    <w:rsid w:val="002614A2"/>
    <w:rsid w:val="00261AF5"/>
    <w:rsid w:val="00261EEF"/>
    <w:rsid w:val="002620DF"/>
    <w:rsid w:val="0026251C"/>
    <w:rsid w:val="00262692"/>
    <w:rsid w:val="00262A1A"/>
    <w:rsid w:val="00262A87"/>
    <w:rsid w:val="00262FFD"/>
    <w:rsid w:val="00263317"/>
    <w:rsid w:val="002633ED"/>
    <w:rsid w:val="00263C8C"/>
    <w:rsid w:val="00263F93"/>
    <w:rsid w:val="0026436C"/>
    <w:rsid w:val="00264D26"/>
    <w:rsid w:val="00264FA2"/>
    <w:rsid w:val="002656C8"/>
    <w:rsid w:val="00265716"/>
    <w:rsid w:val="00265822"/>
    <w:rsid w:val="0026617B"/>
    <w:rsid w:val="002661C2"/>
    <w:rsid w:val="002662B4"/>
    <w:rsid w:val="00266375"/>
    <w:rsid w:val="00266519"/>
    <w:rsid w:val="00266E9B"/>
    <w:rsid w:val="00267642"/>
    <w:rsid w:val="00267AEA"/>
    <w:rsid w:val="002700E6"/>
    <w:rsid w:val="00270D65"/>
    <w:rsid w:val="00271CAB"/>
    <w:rsid w:val="00271FA3"/>
    <w:rsid w:val="00272626"/>
    <w:rsid w:val="0027294B"/>
    <w:rsid w:val="00272D9E"/>
    <w:rsid w:val="0027301F"/>
    <w:rsid w:val="0027384B"/>
    <w:rsid w:val="00273CE0"/>
    <w:rsid w:val="00273EB4"/>
    <w:rsid w:val="002742E9"/>
    <w:rsid w:val="00274403"/>
    <w:rsid w:val="00274682"/>
    <w:rsid w:val="00274A26"/>
    <w:rsid w:val="00275C5A"/>
    <w:rsid w:val="00277857"/>
    <w:rsid w:val="00277A9B"/>
    <w:rsid w:val="00277B38"/>
    <w:rsid w:val="0028027A"/>
    <w:rsid w:val="00281014"/>
    <w:rsid w:val="002812A9"/>
    <w:rsid w:val="002814C4"/>
    <w:rsid w:val="00281FB0"/>
    <w:rsid w:val="00282A50"/>
    <w:rsid w:val="00282A73"/>
    <w:rsid w:val="00282DC3"/>
    <w:rsid w:val="002834CA"/>
    <w:rsid w:val="00283596"/>
    <w:rsid w:val="00283712"/>
    <w:rsid w:val="002854C6"/>
    <w:rsid w:val="0028665D"/>
    <w:rsid w:val="00286806"/>
    <w:rsid w:val="0029024A"/>
    <w:rsid w:val="0029145E"/>
    <w:rsid w:val="002927BA"/>
    <w:rsid w:val="0029303C"/>
    <w:rsid w:val="002933DC"/>
    <w:rsid w:val="00293454"/>
    <w:rsid w:val="00293622"/>
    <w:rsid w:val="00293855"/>
    <w:rsid w:val="002939FA"/>
    <w:rsid w:val="00296095"/>
    <w:rsid w:val="00296481"/>
    <w:rsid w:val="002964FF"/>
    <w:rsid w:val="002965E8"/>
    <w:rsid w:val="00296840"/>
    <w:rsid w:val="0029717D"/>
    <w:rsid w:val="002A105B"/>
    <w:rsid w:val="002A14AB"/>
    <w:rsid w:val="002A15C3"/>
    <w:rsid w:val="002A23E6"/>
    <w:rsid w:val="002A270D"/>
    <w:rsid w:val="002A2ADE"/>
    <w:rsid w:val="002A2F50"/>
    <w:rsid w:val="002A3002"/>
    <w:rsid w:val="002A3034"/>
    <w:rsid w:val="002A4A92"/>
    <w:rsid w:val="002A4F0B"/>
    <w:rsid w:val="002A4F5D"/>
    <w:rsid w:val="002A52C3"/>
    <w:rsid w:val="002B05A1"/>
    <w:rsid w:val="002B05EB"/>
    <w:rsid w:val="002B06C0"/>
    <w:rsid w:val="002B09A4"/>
    <w:rsid w:val="002B1C1F"/>
    <w:rsid w:val="002B22C0"/>
    <w:rsid w:val="002B27F1"/>
    <w:rsid w:val="002B2CB2"/>
    <w:rsid w:val="002B2ECC"/>
    <w:rsid w:val="002B2F35"/>
    <w:rsid w:val="002B3304"/>
    <w:rsid w:val="002B3500"/>
    <w:rsid w:val="002B350A"/>
    <w:rsid w:val="002B3820"/>
    <w:rsid w:val="002B3CBA"/>
    <w:rsid w:val="002B3EAA"/>
    <w:rsid w:val="002B40BA"/>
    <w:rsid w:val="002B40E3"/>
    <w:rsid w:val="002B432F"/>
    <w:rsid w:val="002B4FD4"/>
    <w:rsid w:val="002B575C"/>
    <w:rsid w:val="002B57C7"/>
    <w:rsid w:val="002B5B9A"/>
    <w:rsid w:val="002B6107"/>
    <w:rsid w:val="002B62B3"/>
    <w:rsid w:val="002B651D"/>
    <w:rsid w:val="002B66B4"/>
    <w:rsid w:val="002B6754"/>
    <w:rsid w:val="002B6CCE"/>
    <w:rsid w:val="002B744D"/>
    <w:rsid w:val="002B7934"/>
    <w:rsid w:val="002C00E7"/>
    <w:rsid w:val="002C08A7"/>
    <w:rsid w:val="002C1E29"/>
    <w:rsid w:val="002C1F49"/>
    <w:rsid w:val="002C215A"/>
    <w:rsid w:val="002C22ED"/>
    <w:rsid w:val="002C2510"/>
    <w:rsid w:val="002C2775"/>
    <w:rsid w:val="002C27AE"/>
    <w:rsid w:val="002C27C1"/>
    <w:rsid w:val="002C2AF4"/>
    <w:rsid w:val="002C2EEF"/>
    <w:rsid w:val="002C2F9C"/>
    <w:rsid w:val="002C33FF"/>
    <w:rsid w:val="002C37AE"/>
    <w:rsid w:val="002C4493"/>
    <w:rsid w:val="002C4ADB"/>
    <w:rsid w:val="002C4C18"/>
    <w:rsid w:val="002C5099"/>
    <w:rsid w:val="002C50EB"/>
    <w:rsid w:val="002C56F9"/>
    <w:rsid w:val="002C5889"/>
    <w:rsid w:val="002C67E3"/>
    <w:rsid w:val="002C6D3B"/>
    <w:rsid w:val="002C6F2D"/>
    <w:rsid w:val="002C71CE"/>
    <w:rsid w:val="002C7AAA"/>
    <w:rsid w:val="002C7B32"/>
    <w:rsid w:val="002D08F8"/>
    <w:rsid w:val="002D105B"/>
    <w:rsid w:val="002D12AB"/>
    <w:rsid w:val="002D1C8F"/>
    <w:rsid w:val="002D219E"/>
    <w:rsid w:val="002D2369"/>
    <w:rsid w:val="002D261F"/>
    <w:rsid w:val="002D2AAE"/>
    <w:rsid w:val="002D2E37"/>
    <w:rsid w:val="002D3011"/>
    <w:rsid w:val="002D307F"/>
    <w:rsid w:val="002D3142"/>
    <w:rsid w:val="002D577C"/>
    <w:rsid w:val="002D5D0B"/>
    <w:rsid w:val="002D5DAF"/>
    <w:rsid w:val="002D6BEC"/>
    <w:rsid w:val="002D6E7A"/>
    <w:rsid w:val="002D6EF4"/>
    <w:rsid w:val="002D7082"/>
    <w:rsid w:val="002D7995"/>
    <w:rsid w:val="002D7BFA"/>
    <w:rsid w:val="002E0CB3"/>
    <w:rsid w:val="002E0D14"/>
    <w:rsid w:val="002E1071"/>
    <w:rsid w:val="002E1104"/>
    <w:rsid w:val="002E13BE"/>
    <w:rsid w:val="002E15B9"/>
    <w:rsid w:val="002E1B1B"/>
    <w:rsid w:val="002E1C77"/>
    <w:rsid w:val="002E2158"/>
    <w:rsid w:val="002E28A5"/>
    <w:rsid w:val="002E2B7D"/>
    <w:rsid w:val="002E2DD8"/>
    <w:rsid w:val="002E315A"/>
    <w:rsid w:val="002E3161"/>
    <w:rsid w:val="002E38EC"/>
    <w:rsid w:val="002E4ECE"/>
    <w:rsid w:val="002E4F02"/>
    <w:rsid w:val="002E4F6B"/>
    <w:rsid w:val="002E622C"/>
    <w:rsid w:val="002E6BE3"/>
    <w:rsid w:val="002E6E1B"/>
    <w:rsid w:val="002E7722"/>
    <w:rsid w:val="002E7996"/>
    <w:rsid w:val="002E7F6B"/>
    <w:rsid w:val="002F042E"/>
    <w:rsid w:val="002F0456"/>
    <w:rsid w:val="002F07BA"/>
    <w:rsid w:val="002F0DA9"/>
    <w:rsid w:val="002F0EDF"/>
    <w:rsid w:val="002F1014"/>
    <w:rsid w:val="002F1E2C"/>
    <w:rsid w:val="002F2294"/>
    <w:rsid w:val="002F23BC"/>
    <w:rsid w:val="002F2C70"/>
    <w:rsid w:val="002F3C8C"/>
    <w:rsid w:val="002F3CD5"/>
    <w:rsid w:val="002F445A"/>
    <w:rsid w:val="002F45F8"/>
    <w:rsid w:val="002F4AAB"/>
    <w:rsid w:val="002F4D2A"/>
    <w:rsid w:val="002F5A82"/>
    <w:rsid w:val="002F643C"/>
    <w:rsid w:val="002F71C0"/>
    <w:rsid w:val="002F73E0"/>
    <w:rsid w:val="002F74F1"/>
    <w:rsid w:val="002F7736"/>
    <w:rsid w:val="002F7809"/>
    <w:rsid w:val="0030066C"/>
    <w:rsid w:val="00300A30"/>
    <w:rsid w:val="00301017"/>
    <w:rsid w:val="0030101E"/>
    <w:rsid w:val="003014D6"/>
    <w:rsid w:val="0030155F"/>
    <w:rsid w:val="00301A01"/>
    <w:rsid w:val="00301AFF"/>
    <w:rsid w:val="0030206B"/>
    <w:rsid w:val="00302235"/>
    <w:rsid w:val="003040B3"/>
    <w:rsid w:val="00304614"/>
    <w:rsid w:val="00304705"/>
    <w:rsid w:val="00304D09"/>
    <w:rsid w:val="0030587B"/>
    <w:rsid w:val="00305E54"/>
    <w:rsid w:val="00306240"/>
    <w:rsid w:val="003063B6"/>
    <w:rsid w:val="0030650E"/>
    <w:rsid w:val="00306AC5"/>
    <w:rsid w:val="00306D98"/>
    <w:rsid w:val="003077B9"/>
    <w:rsid w:val="0030786C"/>
    <w:rsid w:val="00307C1C"/>
    <w:rsid w:val="0031031A"/>
    <w:rsid w:val="0031033C"/>
    <w:rsid w:val="00310981"/>
    <w:rsid w:val="00310C3C"/>
    <w:rsid w:val="00311067"/>
    <w:rsid w:val="003116A6"/>
    <w:rsid w:val="0031197E"/>
    <w:rsid w:val="003124D9"/>
    <w:rsid w:val="00312594"/>
    <w:rsid w:val="00312D86"/>
    <w:rsid w:val="00313143"/>
    <w:rsid w:val="0031399F"/>
    <w:rsid w:val="00313BDD"/>
    <w:rsid w:val="00314176"/>
    <w:rsid w:val="003144F8"/>
    <w:rsid w:val="00314699"/>
    <w:rsid w:val="00314A30"/>
    <w:rsid w:val="00314DA2"/>
    <w:rsid w:val="003151D9"/>
    <w:rsid w:val="00315498"/>
    <w:rsid w:val="00315C69"/>
    <w:rsid w:val="00315DD2"/>
    <w:rsid w:val="003162B6"/>
    <w:rsid w:val="00316474"/>
    <w:rsid w:val="003169AF"/>
    <w:rsid w:val="00320049"/>
    <w:rsid w:val="00320526"/>
    <w:rsid w:val="00321136"/>
    <w:rsid w:val="00322107"/>
    <w:rsid w:val="00322355"/>
    <w:rsid w:val="003227E8"/>
    <w:rsid w:val="00322846"/>
    <w:rsid w:val="00322898"/>
    <w:rsid w:val="00322C03"/>
    <w:rsid w:val="00322EDF"/>
    <w:rsid w:val="00323F08"/>
    <w:rsid w:val="00324B89"/>
    <w:rsid w:val="00325686"/>
    <w:rsid w:val="00326179"/>
    <w:rsid w:val="0032670B"/>
    <w:rsid w:val="00326BD7"/>
    <w:rsid w:val="00326DA7"/>
    <w:rsid w:val="003270E4"/>
    <w:rsid w:val="003272B8"/>
    <w:rsid w:val="003277DC"/>
    <w:rsid w:val="00327F48"/>
    <w:rsid w:val="003304D5"/>
    <w:rsid w:val="00330BBA"/>
    <w:rsid w:val="00330DAA"/>
    <w:rsid w:val="00330F5C"/>
    <w:rsid w:val="003312F3"/>
    <w:rsid w:val="00331DEC"/>
    <w:rsid w:val="00332A61"/>
    <w:rsid w:val="00333667"/>
    <w:rsid w:val="00333D9C"/>
    <w:rsid w:val="00336149"/>
    <w:rsid w:val="003366C9"/>
    <w:rsid w:val="00336A9B"/>
    <w:rsid w:val="003371B0"/>
    <w:rsid w:val="00337344"/>
    <w:rsid w:val="00337418"/>
    <w:rsid w:val="0033762F"/>
    <w:rsid w:val="00337A03"/>
    <w:rsid w:val="00340040"/>
    <w:rsid w:val="0034073A"/>
    <w:rsid w:val="003408C1"/>
    <w:rsid w:val="00340DF1"/>
    <w:rsid w:val="00341CB9"/>
    <w:rsid w:val="00342D0D"/>
    <w:rsid w:val="003431DC"/>
    <w:rsid w:val="00343230"/>
    <w:rsid w:val="003434E0"/>
    <w:rsid w:val="00343504"/>
    <w:rsid w:val="003436F5"/>
    <w:rsid w:val="00343BBD"/>
    <w:rsid w:val="00343CD7"/>
    <w:rsid w:val="0034422B"/>
    <w:rsid w:val="00344931"/>
    <w:rsid w:val="00345277"/>
    <w:rsid w:val="003455BC"/>
    <w:rsid w:val="00346010"/>
    <w:rsid w:val="003469C1"/>
    <w:rsid w:val="0034747D"/>
    <w:rsid w:val="003476CB"/>
    <w:rsid w:val="0034796F"/>
    <w:rsid w:val="00347CB0"/>
    <w:rsid w:val="003502AB"/>
    <w:rsid w:val="003504CD"/>
    <w:rsid w:val="003517F9"/>
    <w:rsid w:val="00351BA9"/>
    <w:rsid w:val="00351F15"/>
    <w:rsid w:val="0035224D"/>
    <w:rsid w:val="0035258D"/>
    <w:rsid w:val="00352F52"/>
    <w:rsid w:val="003533D9"/>
    <w:rsid w:val="00354F0B"/>
    <w:rsid w:val="00354F64"/>
    <w:rsid w:val="003556AF"/>
    <w:rsid w:val="00355973"/>
    <w:rsid w:val="00355CA6"/>
    <w:rsid w:val="00355CFC"/>
    <w:rsid w:val="00355DF1"/>
    <w:rsid w:val="0035609E"/>
    <w:rsid w:val="0035620E"/>
    <w:rsid w:val="00357277"/>
    <w:rsid w:val="0035742D"/>
    <w:rsid w:val="0035774C"/>
    <w:rsid w:val="00357B1E"/>
    <w:rsid w:val="00357C71"/>
    <w:rsid w:val="0036017B"/>
    <w:rsid w:val="00360345"/>
    <w:rsid w:val="00360534"/>
    <w:rsid w:val="00360FA8"/>
    <w:rsid w:val="00361349"/>
    <w:rsid w:val="003617DA"/>
    <w:rsid w:val="003619FD"/>
    <w:rsid w:val="00361A05"/>
    <w:rsid w:val="00362292"/>
    <w:rsid w:val="003624C4"/>
    <w:rsid w:val="003627AC"/>
    <w:rsid w:val="00363391"/>
    <w:rsid w:val="00363430"/>
    <w:rsid w:val="00363444"/>
    <w:rsid w:val="00363738"/>
    <w:rsid w:val="0036377D"/>
    <w:rsid w:val="00363B00"/>
    <w:rsid w:val="00363EFD"/>
    <w:rsid w:val="00363FF7"/>
    <w:rsid w:val="003642F1"/>
    <w:rsid w:val="003644FA"/>
    <w:rsid w:val="0036474C"/>
    <w:rsid w:val="003650D5"/>
    <w:rsid w:val="003654AC"/>
    <w:rsid w:val="00365C51"/>
    <w:rsid w:val="0036605B"/>
    <w:rsid w:val="00366642"/>
    <w:rsid w:val="00366705"/>
    <w:rsid w:val="0036685B"/>
    <w:rsid w:val="00367A39"/>
    <w:rsid w:val="00367C03"/>
    <w:rsid w:val="00370015"/>
    <w:rsid w:val="00370042"/>
    <w:rsid w:val="00370629"/>
    <w:rsid w:val="003710CF"/>
    <w:rsid w:val="003712A6"/>
    <w:rsid w:val="00371331"/>
    <w:rsid w:val="00371C74"/>
    <w:rsid w:val="00372278"/>
    <w:rsid w:val="00372AE7"/>
    <w:rsid w:val="00373287"/>
    <w:rsid w:val="0037350A"/>
    <w:rsid w:val="0037358A"/>
    <w:rsid w:val="003735AF"/>
    <w:rsid w:val="00373BDD"/>
    <w:rsid w:val="003740F3"/>
    <w:rsid w:val="00374C44"/>
    <w:rsid w:val="00374CC4"/>
    <w:rsid w:val="003750F6"/>
    <w:rsid w:val="0037528A"/>
    <w:rsid w:val="0037595B"/>
    <w:rsid w:val="003760FC"/>
    <w:rsid w:val="00376484"/>
    <w:rsid w:val="003768E5"/>
    <w:rsid w:val="00376AA6"/>
    <w:rsid w:val="00376C39"/>
    <w:rsid w:val="00377160"/>
    <w:rsid w:val="00377237"/>
    <w:rsid w:val="00377A59"/>
    <w:rsid w:val="00377D0B"/>
    <w:rsid w:val="00380635"/>
    <w:rsid w:val="00380775"/>
    <w:rsid w:val="0038190E"/>
    <w:rsid w:val="00381E37"/>
    <w:rsid w:val="00382318"/>
    <w:rsid w:val="003825FC"/>
    <w:rsid w:val="00382D21"/>
    <w:rsid w:val="003830F0"/>
    <w:rsid w:val="0038314F"/>
    <w:rsid w:val="0038365C"/>
    <w:rsid w:val="0038369B"/>
    <w:rsid w:val="00383A62"/>
    <w:rsid w:val="00383B78"/>
    <w:rsid w:val="00383E24"/>
    <w:rsid w:val="00385632"/>
    <w:rsid w:val="00385A9D"/>
    <w:rsid w:val="00385B3D"/>
    <w:rsid w:val="00385C0C"/>
    <w:rsid w:val="003868E6"/>
    <w:rsid w:val="003870FA"/>
    <w:rsid w:val="003872AB"/>
    <w:rsid w:val="003900E8"/>
    <w:rsid w:val="003902B1"/>
    <w:rsid w:val="003909AE"/>
    <w:rsid w:val="00390D2A"/>
    <w:rsid w:val="00391283"/>
    <w:rsid w:val="003916C1"/>
    <w:rsid w:val="0039179C"/>
    <w:rsid w:val="00392712"/>
    <w:rsid w:val="00392890"/>
    <w:rsid w:val="00392F34"/>
    <w:rsid w:val="00395105"/>
    <w:rsid w:val="0039551F"/>
    <w:rsid w:val="003958BA"/>
    <w:rsid w:val="00395D27"/>
    <w:rsid w:val="0039648C"/>
    <w:rsid w:val="00396896"/>
    <w:rsid w:val="00396FD0"/>
    <w:rsid w:val="0039727D"/>
    <w:rsid w:val="00397F42"/>
    <w:rsid w:val="003A0A49"/>
    <w:rsid w:val="003A13C4"/>
    <w:rsid w:val="003A1A7A"/>
    <w:rsid w:val="003A2286"/>
    <w:rsid w:val="003A229C"/>
    <w:rsid w:val="003A2392"/>
    <w:rsid w:val="003A2827"/>
    <w:rsid w:val="003A2831"/>
    <w:rsid w:val="003A28BC"/>
    <w:rsid w:val="003A2AC7"/>
    <w:rsid w:val="003A308D"/>
    <w:rsid w:val="003A31BD"/>
    <w:rsid w:val="003A3CB6"/>
    <w:rsid w:val="003A3ED1"/>
    <w:rsid w:val="003A44DB"/>
    <w:rsid w:val="003A47B2"/>
    <w:rsid w:val="003A5B0C"/>
    <w:rsid w:val="003A5CC5"/>
    <w:rsid w:val="003A718C"/>
    <w:rsid w:val="003A72EC"/>
    <w:rsid w:val="003A766B"/>
    <w:rsid w:val="003A78E5"/>
    <w:rsid w:val="003A7A59"/>
    <w:rsid w:val="003A7F76"/>
    <w:rsid w:val="003A7FCF"/>
    <w:rsid w:val="003B0091"/>
    <w:rsid w:val="003B0251"/>
    <w:rsid w:val="003B0EFD"/>
    <w:rsid w:val="003B1418"/>
    <w:rsid w:val="003B17F6"/>
    <w:rsid w:val="003B210E"/>
    <w:rsid w:val="003B2193"/>
    <w:rsid w:val="003B2537"/>
    <w:rsid w:val="003B25FF"/>
    <w:rsid w:val="003B3474"/>
    <w:rsid w:val="003B3971"/>
    <w:rsid w:val="003B3DAD"/>
    <w:rsid w:val="003B3F2F"/>
    <w:rsid w:val="003B4185"/>
    <w:rsid w:val="003B452C"/>
    <w:rsid w:val="003B4BA7"/>
    <w:rsid w:val="003B5352"/>
    <w:rsid w:val="003B55D1"/>
    <w:rsid w:val="003B5B61"/>
    <w:rsid w:val="003B5D15"/>
    <w:rsid w:val="003B6056"/>
    <w:rsid w:val="003B632B"/>
    <w:rsid w:val="003B6365"/>
    <w:rsid w:val="003B7B66"/>
    <w:rsid w:val="003B7D39"/>
    <w:rsid w:val="003B7DF1"/>
    <w:rsid w:val="003B7F8E"/>
    <w:rsid w:val="003C0437"/>
    <w:rsid w:val="003C0818"/>
    <w:rsid w:val="003C0C75"/>
    <w:rsid w:val="003C111A"/>
    <w:rsid w:val="003C1654"/>
    <w:rsid w:val="003C1C8F"/>
    <w:rsid w:val="003C1E9E"/>
    <w:rsid w:val="003C276D"/>
    <w:rsid w:val="003C2981"/>
    <w:rsid w:val="003C2EED"/>
    <w:rsid w:val="003C3ED4"/>
    <w:rsid w:val="003C413F"/>
    <w:rsid w:val="003C4EDD"/>
    <w:rsid w:val="003C5542"/>
    <w:rsid w:val="003C5690"/>
    <w:rsid w:val="003C5A29"/>
    <w:rsid w:val="003C6077"/>
    <w:rsid w:val="003C66D4"/>
    <w:rsid w:val="003C6C5B"/>
    <w:rsid w:val="003C73BE"/>
    <w:rsid w:val="003C7D19"/>
    <w:rsid w:val="003C7D2F"/>
    <w:rsid w:val="003D0987"/>
    <w:rsid w:val="003D0F35"/>
    <w:rsid w:val="003D1237"/>
    <w:rsid w:val="003D1828"/>
    <w:rsid w:val="003D18D3"/>
    <w:rsid w:val="003D1DE4"/>
    <w:rsid w:val="003D1E2E"/>
    <w:rsid w:val="003D1E9A"/>
    <w:rsid w:val="003D2051"/>
    <w:rsid w:val="003D2422"/>
    <w:rsid w:val="003D284E"/>
    <w:rsid w:val="003D2B7B"/>
    <w:rsid w:val="003D2C45"/>
    <w:rsid w:val="003D3968"/>
    <w:rsid w:val="003D39A1"/>
    <w:rsid w:val="003D3FBF"/>
    <w:rsid w:val="003D42E0"/>
    <w:rsid w:val="003D4A30"/>
    <w:rsid w:val="003D4AB9"/>
    <w:rsid w:val="003D4EED"/>
    <w:rsid w:val="003D5A3E"/>
    <w:rsid w:val="003D6649"/>
    <w:rsid w:val="003D7452"/>
    <w:rsid w:val="003D75DF"/>
    <w:rsid w:val="003D79BB"/>
    <w:rsid w:val="003D7A25"/>
    <w:rsid w:val="003D7C98"/>
    <w:rsid w:val="003D7D9D"/>
    <w:rsid w:val="003E00B2"/>
    <w:rsid w:val="003E0226"/>
    <w:rsid w:val="003E0543"/>
    <w:rsid w:val="003E0846"/>
    <w:rsid w:val="003E0BE6"/>
    <w:rsid w:val="003E19E0"/>
    <w:rsid w:val="003E1A19"/>
    <w:rsid w:val="003E28FE"/>
    <w:rsid w:val="003E2A12"/>
    <w:rsid w:val="003E2B77"/>
    <w:rsid w:val="003E2DEB"/>
    <w:rsid w:val="003E3629"/>
    <w:rsid w:val="003E3A85"/>
    <w:rsid w:val="003E3B17"/>
    <w:rsid w:val="003E3E8F"/>
    <w:rsid w:val="003E503F"/>
    <w:rsid w:val="003E5114"/>
    <w:rsid w:val="003E5287"/>
    <w:rsid w:val="003E53ED"/>
    <w:rsid w:val="003E614E"/>
    <w:rsid w:val="003E7023"/>
    <w:rsid w:val="003E749E"/>
    <w:rsid w:val="003E7C0A"/>
    <w:rsid w:val="003F1096"/>
    <w:rsid w:val="003F1D73"/>
    <w:rsid w:val="003F2A1D"/>
    <w:rsid w:val="003F32BC"/>
    <w:rsid w:val="003F338D"/>
    <w:rsid w:val="003F3FF5"/>
    <w:rsid w:val="003F4000"/>
    <w:rsid w:val="003F4156"/>
    <w:rsid w:val="003F4341"/>
    <w:rsid w:val="003F4BAC"/>
    <w:rsid w:val="003F4D62"/>
    <w:rsid w:val="003F5ADF"/>
    <w:rsid w:val="003F5F70"/>
    <w:rsid w:val="003F6554"/>
    <w:rsid w:val="003F6656"/>
    <w:rsid w:val="003F695D"/>
    <w:rsid w:val="003F6DCF"/>
    <w:rsid w:val="003F7AC8"/>
    <w:rsid w:val="003F7C09"/>
    <w:rsid w:val="00400AAB"/>
    <w:rsid w:val="00400B29"/>
    <w:rsid w:val="00400C79"/>
    <w:rsid w:val="00401AA4"/>
    <w:rsid w:val="00402246"/>
    <w:rsid w:val="00402F06"/>
    <w:rsid w:val="0040504B"/>
    <w:rsid w:val="00405453"/>
    <w:rsid w:val="004059F4"/>
    <w:rsid w:val="00405A61"/>
    <w:rsid w:val="00405BC4"/>
    <w:rsid w:val="00405D95"/>
    <w:rsid w:val="00405FE7"/>
    <w:rsid w:val="004062CD"/>
    <w:rsid w:val="004063AD"/>
    <w:rsid w:val="004068F3"/>
    <w:rsid w:val="00406A41"/>
    <w:rsid w:val="00407686"/>
    <w:rsid w:val="0040770E"/>
    <w:rsid w:val="00407976"/>
    <w:rsid w:val="00407E65"/>
    <w:rsid w:val="00407FE5"/>
    <w:rsid w:val="00410116"/>
    <w:rsid w:val="004101B0"/>
    <w:rsid w:val="00410326"/>
    <w:rsid w:val="004104CB"/>
    <w:rsid w:val="00410708"/>
    <w:rsid w:val="00410987"/>
    <w:rsid w:val="00410DCF"/>
    <w:rsid w:val="00410EC7"/>
    <w:rsid w:val="00411356"/>
    <w:rsid w:val="00411B39"/>
    <w:rsid w:val="00411E61"/>
    <w:rsid w:val="00412328"/>
    <w:rsid w:val="004127A7"/>
    <w:rsid w:val="00412AE8"/>
    <w:rsid w:val="00412B09"/>
    <w:rsid w:val="00413A1E"/>
    <w:rsid w:val="00413C6C"/>
    <w:rsid w:val="0041437F"/>
    <w:rsid w:val="00414476"/>
    <w:rsid w:val="00414C2E"/>
    <w:rsid w:val="00414E3F"/>
    <w:rsid w:val="00414EB1"/>
    <w:rsid w:val="00415023"/>
    <w:rsid w:val="004151CF"/>
    <w:rsid w:val="004152B8"/>
    <w:rsid w:val="00415694"/>
    <w:rsid w:val="0041598A"/>
    <w:rsid w:val="004159D3"/>
    <w:rsid w:val="00415A6E"/>
    <w:rsid w:val="00416364"/>
    <w:rsid w:val="00416596"/>
    <w:rsid w:val="00416C93"/>
    <w:rsid w:val="00417A95"/>
    <w:rsid w:val="00417D76"/>
    <w:rsid w:val="00417DAD"/>
    <w:rsid w:val="00417F04"/>
    <w:rsid w:val="00420429"/>
    <w:rsid w:val="0042047F"/>
    <w:rsid w:val="00420AA6"/>
    <w:rsid w:val="00420B9F"/>
    <w:rsid w:val="0042192C"/>
    <w:rsid w:val="00422260"/>
    <w:rsid w:val="0042235F"/>
    <w:rsid w:val="00422BC5"/>
    <w:rsid w:val="00423B3E"/>
    <w:rsid w:val="00423D48"/>
    <w:rsid w:val="00423E2E"/>
    <w:rsid w:val="004240FD"/>
    <w:rsid w:val="0042413F"/>
    <w:rsid w:val="00424A13"/>
    <w:rsid w:val="00424DB0"/>
    <w:rsid w:val="004252E8"/>
    <w:rsid w:val="0042538A"/>
    <w:rsid w:val="004259BC"/>
    <w:rsid w:val="004268DB"/>
    <w:rsid w:val="00426A4C"/>
    <w:rsid w:val="00426D32"/>
    <w:rsid w:val="004274CE"/>
    <w:rsid w:val="00427E81"/>
    <w:rsid w:val="00430076"/>
    <w:rsid w:val="004300D1"/>
    <w:rsid w:val="00431806"/>
    <w:rsid w:val="004319F8"/>
    <w:rsid w:val="00431E55"/>
    <w:rsid w:val="004321F6"/>
    <w:rsid w:val="0043281E"/>
    <w:rsid w:val="00432DF4"/>
    <w:rsid w:val="00432E6C"/>
    <w:rsid w:val="00433044"/>
    <w:rsid w:val="00434088"/>
    <w:rsid w:val="0043448D"/>
    <w:rsid w:val="004350E3"/>
    <w:rsid w:val="00435B3F"/>
    <w:rsid w:val="00435C3B"/>
    <w:rsid w:val="004361AB"/>
    <w:rsid w:val="00436241"/>
    <w:rsid w:val="00436388"/>
    <w:rsid w:val="00437293"/>
    <w:rsid w:val="004375B9"/>
    <w:rsid w:val="00437788"/>
    <w:rsid w:val="00437A6B"/>
    <w:rsid w:val="004401EE"/>
    <w:rsid w:val="004402CF"/>
    <w:rsid w:val="00440365"/>
    <w:rsid w:val="004403E9"/>
    <w:rsid w:val="00440D50"/>
    <w:rsid w:val="0044138B"/>
    <w:rsid w:val="00441C21"/>
    <w:rsid w:val="00441FB9"/>
    <w:rsid w:val="004428D0"/>
    <w:rsid w:val="00442B3B"/>
    <w:rsid w:val="00443348"/>
    <w:rsid w:val="00443C6D"/>
    <w:rsid w:val="0044408F"/>
    <w:rsid w:val="00444185"/>
    <w:rsid w:val="004443A7"/>
    <w:rsid w:val="0044442C"/>
    <w:rsid w:val="00444546"/>
    <w:rsid w:val="004449A6"/>
    <w:rsid w:val="00445941"/>
    <w:rsid w:val="00445C66"/>
    <w:rsid w:val="00446044"/>
    <w:rsid w:val="0044620D"/>
    <w:rsid w:val="004464EB"/>
    <w:rsid w:val="0044695C"/>
    <w:rsid w:val="00447B83"/>
    <w:rsid w:val="00447D26"/>
    <w:rsid w:val="00447DFC"/>
    <w:rsid w:val="00447F73"/>
    <w:rsid w:val="00450056"/>
    <w:rsid w:val="00450062"/>
    <w:rsid w:val="00450EB3"/>
    <w:rsid w:val="0045197B"/>
    <w:rsid w:val="00451B09"/>
    <w:rsid w:val="00451C05"/>
    <w:rsid w:val="00451C18"/>
    <w:rsid w:val="00451E92"/>
    <w:rsid w:val="00451FB1"/>
    <w:rsid w:val="00452D3E"/>
    <w:rsid w:val="00452E6A"/>
    <w:rsid w:val="00453511"/>
    <w:rsid w:val="0045392F"/>
    <w:rsid w:val="00453A01"/>
    <w:rsid w:val="00453A4E"/>
    <w:rsid w:val="004545CD"/>
    <w:rsid w:val="00454D9C"/>
    <w:rsid w:val="00454EF3"/>
    <w:rsid w:val="004558CA"/>
    <w:rsid w:val="00455D45"/>
    <w:rsid w:val="00456064"/>
    <w:rsid w:val="004561D8"/>
    <w:rsid w:val="004566E5"/>
    <w:rsid w:val="00456A70"/>
    <w:rsid w:val="004574DE"/>
    <w:rsid w:val="00457F5A"/>
    <w:rsid w:val="00460704"/>
    <w:rsid w:val="00460CC9"/>
    <w:rsid w:val="00461D2C"/>
    <w:rsid w:val="00462089"/>
    <w:rsid w:val="0046271C"/>
    <w:rsid w:val="0046288A"/>
    <w:rsid w:val="00462991"/>
    <w:rsid w:val="00464595"/>
    <w:rsid w:val="004647A0"/>
    <w:rsid w:val="00464F85"/>
    <w:rsid w:val="004652E9"/>
    <w:rsid w:val="004658B5"/>
    <w:rsid w:val="00465924"/>
    <w:rsid w:val="0046742F"/>
    <w:rsid w:val="0046776B"/>
    <w:rsid w:val="00467C8D"/>
    <w:rsid w:val="00467CD1"/>
    <w:rsid w:val="00467F1F"/>
    <w:rsid w:val="0047045C"/>
    <w:rsid w:val="00470933"/>
    <w:rsid w:val="00470D8D"/>
    <w:rsid w:val="00471C01"/>
    <w:rsid w:val="00471EA5"/>
    <w:rsid w:val="004722B3"/>
    <w:rsid w:val="004724AC"/>
    <w:rsid w:val="0047264E"/>
    <w:rsid w:val="00472A79"/>
    <w:rsid w:val="00472BF2"/>
    <w:rsid w:val="0047354D"/>
    <w:rsid w:val="004735AC"/>
    <w:rsid w:val="00473DF8"/>
    <w:rsid w:val="00473F19"/>
    <w:rsid w:val="00474ED2"/>
    <w:rsid w:val="0047530A"/>
    <w:rsid w:val="00475C5B"/>
    <w:rsid w:val="00475CE2"/>
    <w:rsid w:val="00475E22"/>
    <w:rsid w:val="0047635E"/>
    <w:rsid w:val="004764F3"/>
    <w:rsid w:val="00476BDA"/>
    <w:rsid w:val="00477510"/>
    <w:rsid w:val="00477923"/>
    <w:rsid w:val="00477A40"/>
    <w:rsid w:val="00477AF1"/>
    <w:rsid w:val="004806E2"/>
    <w:rsid w:val="0048088E"/>
    <w:rsid w:val="004809B7"/>
    <w:rsid w:val="00480F2B"/>
    <w:rsid w:val="0048105F"/>
    <w:rsid w:val="0048176E"/>
    <w:rsid w:val="004817FF"/>
    <w:rsid w:val="004818DA"/>
    <w:rsid w:val="00482720"/>
    <w:rsid w:val="004835E7"/>
    <w:rsid w:val="00484251"/>
    <w:rsid w:val="0048427B"/>
    <w:rsid w:val="00484BA3"/>
    <w:rsid w:val="0048589D"/>
    <w:rsid w:val="00485937"/>
    <w:rsid w:val="00485C30"/>
    <w:rsid w:val="00485FF6"/>
    <w:rsid w:val="004861B1"/>
    <w:rsid w:val="004867E1"/>
    <w:rsid w:val="004867E2"/>
    <w:rsid w:val="00486827"/>
    <w:rsid w:val="00486B00"/>
    <w:rsid w:val="00487064"/>
    <w:rsid w:val="004873D8"/>
    <w:rsid w:val="00490B17"/>
    <w:rsid w:val="00490F46"/>
    <w:rsid w:val="00491445"/>
    <w:rsid w:val="00491B3A"/>
    <w:rsid w:val="00491C3F"/>
    <w:rsid w:val="004920E0"/>
    <w:rsid w:val="00492142"/>
    <w:rsid w:val="00492192"/>
    <w:rsid w:val="0049249A"/>
    <w:rsid w:val="00492A8F"/>
    <w:rsid w:val="00492CFD"/>
    <w:rsid w:val="004934EA"/>
    <w:rsid w:val="0049383A"/>
    <w:rsid w:val="0049394E"/>
    <w:rsid w:val="00493B25"/>
    <w:rsid w:val="00493CD0"/>
    <w:rsid w:val="00493D65"/>
    <w:rsid w:val="00494207"/>
    <w:rsid w:val="004942F2"/>
    <w:rsid w:val="0049483F"/>
    <w:rsid w:val="00494DD5"/>
    <w:rsid w:val="004953A3"/>
    <w:rsid w:val="004959F2"/>
    <w:rsid w:val="00495BD1"/>
    <w:rsid w:val="00495E20"/>
    <w:rsid w:val="004962D2"/>
    <w:rsid w:val="004964E1"/>
    <w:rsid w:val="0049667E"/>
    <w:rsid w:val="004970CB"/>
    <w:rsid w:val="00497CE7"/>
    <w:rsid w:val="004A02AA"/>
    <w:rsid w:val="004A0644"/>
    <w:rsid w:val="004A08DD"/>
    <w:rsid w:val="004A0DA1"/>
    <w:rsid w:val="004A13D6"/>
    <w:rsid w:val="004A152F"/>
    <w:rsid w:val="004A1A35"/>
    <w:rsid w:val="004A250F"/>
    <w:rsid w:val="004A27F5"/>
    <w:rsid w:val="004A328A"/>
    <w:rsid w:val="004A37B7"/>
    <w:rsid w:val="004A37FB"/>
    <w:rsid w:val="004A3E98"/>
    <w:rsid w:val="004A475C"/>
    <w:rsid w:val="004A4BC5"/>
    <w:rsid w:val="004A4EB9"/>
    <w:rsid w:val="004A52E9"/>
    <w:rsid w:val="004A5332"/>
    <w:rsid w:val="004A6040"/>
    <w:rsid w:val="004A60B2"/>
    <w:rsid w:val="004A60EB"/>
    <w:rsid w:val="004A6597"/>
    <w:rsid w:val="004A73F3"/>
    <w:rsid w:val="004A7848"/>
    <w:rsid w:val="004A789A"/>
    <w:rsid w:val="004A7D61"/>
    <w:rsid w:val="004A7DE3"/>
    <w:rsid w:val="004B06B1"/>
    <w:rsid w:val="004B0B42"/>
    <w:rsid w:val="004B14BE"/>
    <w:rsid w:val="004B16EE"/>
    <w:rsid w:val="004B1CB4"/>
    <w:rsid w:val="004B1FA5"/>
    <w:rsid w:val="004B2202"/>
    <w:rsid w:val="004B2A02"/>
    <w:rsid w:val="004B2A6F"/>
    <w:rsid w:val="004B2B5E"/>
    <w:rsid w:val="004B2DC1"/>
    <w:rsid w:val="004B2F18"/>
    <w:rsid w:val="004B2F3E"/>
    <w:rsid w:val="004B305C"/>
    <w:rsid w:val="004B30C6"/>
    <w:rsid w:val="004B3BEC"/>
    <w:rsid w:val="004B3DDB"/>
    <w:rsid w:val="004B420C"/>
    <w:rsid w:val="004B4491"/>
    <w:rsid w:val="004B44FD"/>
    <w:rsid w:val="004B4C08"/>
    <w:rsid w:val="004B537A"/>
    <w:rsid w:val="004B54E8"/>
    <w:rsid w:val="004B572B"/>
    <w:rsid w:val="004B5CFC"/>
    <w:rsid w:val="004B6141"/>
    <w:rsid w:val="004B6221"/>
    <w:rsid w:val="004B66E2"/>
    <w:rsid w:val="004B6F79"/>
    <w:rsid w:val="004B7430"/>
    <w:rsid w:val="004B76EF"/>
    <w:rsid w:val="004B770F"/>
    <w:rsid w:val="004B774D"/>
    <w:rsid w:val="004C0216"/>
    <w:rsid w:val="004C129A"/>
    <w:rsid w:val="004C1457"/>
    <w:rsid w:val="004C172E"/>
    <w:rsid w:val="004C1C43"/>
    <w:rsid w:val="004C202D"/>
    <w:rsid w:val="004C286D"/>
    <w:rsid w:val="004C312C"/>
    <w:rsid w:val="004C334E"/>
    <w:rsid w:val="004C34DC"/>
    <w:rsid w:val="004C3C29"/>
    <w:rsid w:val="004C454F"/>
    <w:rsid w:val="004C4AED"/>
    <w:rsid w:val="004C4D06"/>
    <w:rsid w:val="004C564E"/>
    <w:rsid w:val="004C7F8C"/>
    <w:rsid w:val="004D0001"/>
    <w:rsid w:val="004D058B"/>
    <w:rsid w:val="004D0CA9"/>
    <w:rsid w:val="004D131B"/>
    <w:rsid w:val="004D13B4"/>
    <w:rsid w:val="004D20AE"/>
    <w:rsid w:val="004D240A"/>
    <w:rsid w:val="004D2C2D"/>
    <w:rsid w:val="004D2D98"/>
    <w:rsid w:val="004D32BD"/>
    <w:rsid w:val="004D3324"/>
    <w:rsid w:val="004D3EB8"/>
    <w:rsid w:val="004D4143"/>
    <w:rsid w:val="004D48D0"/>
    <w:rsid w:val="004D5B4D"/>
    <w:rsid w:val="004D6015"/>
    <w:rsid w:val="004D60FA"/>
    <w:rsid w:val="004D630A"/>
    <w:rsid w:val="004D6315"/>
    <w:rsid w:val="004D63CD"/>
    <w:rsid w:val="004D68AF"/>
    <w:rsid w:val="004D69B5"/>
    <w:rsid w:val="004D7227"/>
    <w:rsid w:val="004D72F3"/>
    <w:rsid w:val="004D7778"/>
    <w:rsid w:val="004D7E3C"/>
    <w:rsid w:val="004E01C7"/>
    <w:rsid w:val="004E0E7F"/>
    <w:rsid w:val="004E0EB8"/>
    <w:rsid w:val="004E12BD"/>
    <w:rsid w:val="004E16F3"/>
    <w:rsid w:val="004E18E9"/>
    <w:rsid w:val="004E1932"/>
    <w:rsid w:val="004E1D21"/>
    <w:rsid w:val="004E2ADC"/>
    <w:rsid w:val="004E2ECF"/>
    <w:rsid w:val="004E335A"/>
    <w:rsid w:val="004E376E"/>
    <w:rsid w:val="004E3B1D"/>
    <w:rsid w:val="004E43B2"/>
    <w:rsid w:val="004E44E1"/>
    <w:rsid w:val="004E5247"/>
    <w:rsid w:val="004E5D8F"/>
    <w:rsid w:val="004E637A"/>
    <w:rsid w:val="004E64EE"/>
    <w:rsid w:val="004E68CB"/>
    <w:rsid w:val="004E6AAE"/>
    <w:rsid w:val="004E6BA5"/>
    <w:rsid w:val="004E70B0"/>
    <w:rsid w:val="004E72D4"/>
    <w:rsid w:val="004E79CD"/>
    <w:rsid w:val="004E7B27"/>
    <w:rsid w:val="004F0563"/>
    <w:rsid w:val="004F14FA"/>
    <w:rsid w:val="004F1C26"/>
    <w:rsid w:val="004F1D02"/>
    <w:rsid w:val="004F1D75"/>
    <w:rsid w:val="004F2679"/>
    <w:rsid w:val="004F28F8"/>
    <w:rsid w:val="004F294F"/>
    <w:rsid w:val="004F2B91"/>
    <w:rsid w:val="004F2F21"/>
    <w:rsid w:val="004F3DE5"/>
    <w:rsid w:val="004F3F02"/>
    <w:rsid w:val="004F4261"/>
    <w:rsid w:val="004F4306"/>
    <w:rsid w:val="004F4BE3"/>
    <w:rsid w:val="004F4E95"/>
    <w:rsid w:val="004F534E"/>
    <w:rsid w:val="004F5545"/>
    <w:rsid w:val="004F5E93"/>
    <w:rsid w:val="004F6913"/>
    <w:rsid w:val="004F69C4"/>
    <w:rsid w:val="004F69F6"/>
    <w:rsid w:val="004F6E52"/>
    <w:rsid w:val="004F6F6D"/>
    <w:rsid w:val="004F7838"/>
    <w:rsid w:val="004F7865"/>
    <w:rsid w:val="00500B47"/>
    <w:rsid w:val="0050141D"/>
    <w:rsid w:val="0050174E"/>
    <w:rsid w:val="00501854"/>
    <w:rsid w:val="00501942"/>
    <w:rsid w:val="005019C1"/>
    <w:rsid w:val="00501B9F"/>
    <w:rsid w:val="0050219B"/>
    <w:rsid w:val="0050281F"/>
    <w:rsid w:val="00502F18"/>
    <w:rsid w:val="005032EE"/>
    <w:rsid w:val="00503E07"/>
    <w:rsid w:val="00503F17"/>
    <w:rsid w:val="0050404D"/>
    <w:rsid w:val="00504095"/>
    <w:rsid w:val="005041D5"/>
    <w:rsid w:val="005043D9"/>
    <w:rsid w:val="005044CE"/>
    <w:rsid w:val="00504936"/>
    <w:rsid w:val="00504E22"/>
    <w:rsid w:val="005055DC"/>
    <w:rsid w:val="00505E1F"/>
    <w:rsid w:val="005064B2"/>
    <w:rsid w:val="00506928"/>
    <w:rsid w:val="00506B45"/>
    <w:rsid w:val="00506E6F"/>
    <w:rsid w:val="00507691"/>
    <w:rsid w:val="005077EF"/>
    <w:rsid w:val="0050798A"/>
    <w:rsid w:val="00507B39"/>
    <w:rsid w:val="00510C36"/>
    <w:rsid w:val="00510F5E"/>
    <w:rsid w:val="00511571"/>
    <w:rsid w:val="00511AD5"/>
    <w:rsid w:val="00511DC7"/>
    <w:rsid w:val="00511E31"/>
    <w:rsid w:val="00512363"/>
    <w:rsid w:val="0051372A"/>
    <w:rsid w:val="00513C12"/>
    <w:rsid w:val="0051400B"/>
    <w:rsid w:val="005142C5"/>
    <w:rsid w:val="005142D0"/>
    <w:rsid w:val="00514434"/>
    <w:rsid w:val="00514810"/>
    <w:rsid w:val="0051501B"/>
    <w:rsid w:val="005152B5"/>
    <w:rsid w:val="0051555C"/>
    <w:rsid w:val="005156B8"/>
    <w:rsid w:val="0051737A"/>
    <w:rsid w:val="00517A16"/>
    <w:rsid w:val="00517B11"/>
    <w:rsid w:val="00517CA0"/>
    <w:rsid w:val="0052000F"/>
    <w:rsid w:val="00520394"/>
    <w:rsid w:val="0052093E"/>
    <w:rsid w:val="00520BD3"/>
    <w:rsid w:val="00520E65"/>
    <w:rsid w:val="00520FE4"/>
    <w:rsid w:val="00521132"/>
    <w:rsid w:val="0052123C"/>
    <w:rsid w:val="00521319"/>
    <w:rsid w:val="005218FC"/>
    <w:rsid w:val="00522490"/>
    <w:rsid w:val="005225D5"/>
    <w:rsid w:val="0052276C"/>
    <w:rsid w:val="00522BC8"/>
    <w:rsid w:val="00522D72"/>
    <w:rsid w:val="00522FBD"/>
    <w:rsid w:val="005230CE"/>
    <w:rsid w:val="00523154"/>
    <w:rsid w:val="00523701"/>
    <w:rsid w:val="00523C28"/>
    <w:rsid w:val="00524D97"/>
    <w:rsid w:val="00524E41"/>
    <w:rsid w:val="00525BA7"/>
    <w:rsid w:val="00525BF8"/>
    <w:rsid w:val="00525FC6"/>
    <w:rsid w:val="00526184"/>
    <w:rsid w:val="00530005"/>
    <w:rsid w:val="0053103C"/>
    <w:rsid w:val="00531229"/>
    <w:rsid w:val="0053159D"/>
    <w:rsid w:val="0053176B"/>
    <w:rsid w:val="00531C87"/>
    <w:rsid w:val="00531FF7"/>
    <w:rsid w:val="0053242F"/>
    <w:rsid w:val="0053262D"/>
    <w:rsid w:val="0053330F"/>
    <w:rsid w:val="00533841"/>
    <w:rsid w:val="00533C38"/>
    <w:rsid w:val="00533DF9"/>
    <w:rsid w:val="005341DD"/>
    <w:rsid w:val="00534A83"/>
    <w:rsid w:val="00535109"/>
    <w:rsid w:val="005352A7"/>
    <w:rsid w:val="005357EE"/>
    <w:rsid w:val="00536E18"/>
    <w:rsid w:val="00536F42"/>
    <w:rsid w:val="00537182"/>
    <w:rsid w:val="0053784A"/>
    <w:rsid w:val="005405A6"/>
    <w:rsid w:val="00540BC1"/>
    <w:rsid w:val="00540BDE"/>
    <w:rsid w:val="00541BEE"/>
    <w:rsid w:val="00541EDD"/>
    <w:rsid w:val="00542743"/>
    <w:rsid w:val="00542C2D"/>
    <w:rsid w:val="00542EDD"/>
    <w:rsid w:val="00543CA8"/>
    <w:rsid w:val="005458CE"/>
    <w:rsid w:val="00545FB0"/>
    <w:rsid w:val="005463D7"/>
    <w:rsid w:val="005465A8"/>
    <w:rsid w:val="00546D37"/>
    <w:rsid w:val="005476E3"/>
    <w:rsid w:val="005478BD"/>
    <w:rsid w:val="005478FE"/>
    <w:rsid w:val="005479E3"/>
    <w:rsid w:val="00547FF4"/>
    <w:rsid w:val="0055000C"/>
    <w:rsid w:val="00551985"/>
    <w:rsid w:val="00551DEA"/>
    <w:rsid w:val="0055217A"/>
    <w:rsid w:val="00552BD3"/>
    <w:rsid w:val="005532A0"/>
    <w:rsid w:val="00553AFB"/>
    <w:rsid w:val="00553CE5"/>
    <w:rsid w:val="005540EA"/>
    <w:rsid w:val="00554BAB"/>
    <w:rsid w:val="00555109"/>
    <w:rsid w:val="005551A8"/>
    <w:rsid w:val="005559CC"/>
    <w:rsid w:val="00555D8A"/>
    <w:rsid w:val="00556598"/>
    <w:rsid w:val="00556B35"/>
    <w:rsid w:val="00556EB3"/>
    <w:rsid w:val="00557048"/>
    <w:rsid w:val="0055741A"/>
    <w:rsid w:val="0055774E"/>
    <w:rsid w:val="0055789B"/>
    <w:rsid w:val="0056019D"/>
    <w:rsid w:val="00560EE0"/>
    <w:rsid w:val="005611B7"/>
    <w:rsid w:val="0056127A"/>
    <w:rsid w:val="0056140E"/>
    <w:rsid w:val="005618D4"/>
    <w:rsid w:val="005631C0"/>
    <w:rsid w:val="005632AC"/>
    <w:rsid w:val="00563807"/>
    <w:rsid w:val="0056402B"/>
    <w:rsid w:val="005642E9"/>
    <w:rsid w:val="005645AA"/>
    <w:rsid w:val="00564AF0"/>
    <w:rsid w:val="00565127"/>
    <w:rsid w:val="00565154"/>
    <w:rsid w:val="00565211"/>
    <w:rsid w:val="00565DF0"/>
    <w:rsid w:val="005663F3"/>
    <w:rsid w:val="0056696F"/>
    <w:rsid w:val="00566B28"/>
    <w:rsid w:val="0056737B"/>
    <w:rsid w:val="0056760C"/>
    <w:rsid w:val="00567657"/>
    <w:rsid w:val="00567721"/>
    <w:rsid w:val="0056774B"/>
    <w:rsid w:val="005679EB"/>
    <w:rsid w:val="00567F02"/>
    <w:rsid w:val="00570547"/>
    <w:rsid w:val="00570D2F"/>
    <w:rsid w:val="00572269"/>
    <w:rsid w:val="005723E9"/>
    <w:rsid w:val="0057244A"/>
    <w:rsid w:val="005728E2"/>
    <w:rsid w:val="00572C30"/>
    <w:rsid w:val="00572F26"/>
    <w:rsid w:val="0057335F"/>
    <w:rsid w:val="0057425D"/>
    <w:rsid w:val="005746B5"/>
    <w:rsid w:val="005750C5"/>
    <w:rsid w:val="005750C8"/>
    <w:rsid w:val="005752DE"/>
    <w:rsid w:val="00575A65"/>
    <w:rsid w:val="00575D8D"/>
    <w:rsid w:val="00576149"/>
    <w:rsid w:val="0057614E"/>
    <w:rsid w:val="00576286"/>
    <w:rsid w:val="00576972"/>
    <w:rsid w:val="0057766A"/>
    <w:rsid w:val="00577677"/>
    <w:rsid w:val="00577B6B"/>
    <w:rsid w:val="005807D0"/>
    <w:rsid w:val="00580805"/>
    <w:rsid w:val="00580FEB"/>
    <w:rsid w:val="00581DF5"/>
    <w:rsid w:val="0058224C"/>
    <w:rsid w:val="00582F56"/>
    <w:rsid w:val="0058310A"/>
    <w:rsid w:val="00583448"/>
    <w:rsid w:val="00583699"/>
    <w:rsid w:val="005845B4"/>
    <w:rsid w:val="005846DD"/>
    <w:rsid w:val="005847C0"/>
    <w:rsid w:val="00584AD7"/>
    <w:rsid w:val="005854EE"/>
    <w:rsid w:val="00585CDD"/>
    <w:rsid w:val="00585F8A"/>
    <w:rsid w:val="00586A61"/>
    <w:rsid w:val="00586DC1"/>
    <w:rsid w:val="00587058"/>
    <w:rsid w:val="00587891"/>
    <w:rsid w:val="00590A3F"/>
    <w:rsid w:val="00590A42"/>
    <w:rsid w:val="005915AA"/>
    <w:rsid w:val="00591957"/>
    <w:rsid w:val="005919F9"/>
    <w:rsid w:val="00592661"/>
    <w:rsid w:val="00592A1B"/>
    <w:rsid w:val="0059443B"/>
    <w:rsid w:val="0059458C"/>
    <w:rsid w:val="00594EEE"/>
    <w:rsid w:val="00595122"/>
    <w:rsid w:val="00596129"/>
    <w:rsid w:val="005969E3"/>
    <w:rsid w:val="00597A2F"/>
    <w:rsid w:val="00597BF9"/>
    <w:rsid w:val="00597EB2"/>
    <w:rsid w:val="005A00D6"/>
    <w:rsid w:val="005A07E2"/>
    <w:rsid w:val="005A0EC2"/>
    <w:rsid w:val="005A10AB"/>
    <w:rsid w:val="005A10F1"/>
    <w:rsid w:val="005A1930"/>
    <w:rsid w:val="005A1E6B"/>
    <w:rsid w:val="005A28B8"/>
    <w:rsid w:val="005A309A"/>
    <w:rsid w:val="005A3292"/>
    <w:rsid w:val="005A373D"/>
    <w:rsid w:val="005A37C9"/>
    <w:rsid w:val="005A3930"/>
    <w:rsid w:val="005A3CD2"/>
    <w:rsid w:val="005A49E7"/>
    <w:rsid w:val="005A4D87"/>
    <w:rsid w:val="005A549D"/>
    <w:rsid w:val="005A5AD6"/>
    <w:rsid w:val="005A6CA5"/>
    <w:rsid w:val="005A6EC9"/>
    <w:rsid w:val="005A6F09"/>
    <w:rsid w:val="005A7802"/>
    <w:rsid w:val="005A7DD6"/>
    <w:rsid w:val="005B03FE"/>
    <w:rsid w:val="005B05CA"/>
    <w:rsid w:val="005B061C"/>
    <w:rsid w:val="005B0B58"/>
    <w:rsid w:val="005B0C79"/>
    <w:rsid w:val="005B0DC4"/>
    <w:rsid w:val="005B18A0"/>
    <w:rsid w:val="005B1E6F"/>
    <w:rsid w:val="005B21B4"/>
    <w:rsid w:val="005B23AB"/>
    <w:rsid w:val="005B24DF"/>
    <w:rsid w:val="005B2921"/>
    <w:rsid w:val="005B2B46"/>
    <w:rsid w:val="005B2BB4"/>
    <w:rsid w:val="005B2BDF"/>
    <w:rsid w:val="005B2C03"/>
    <w:rsid w:val="005B3032"/>
    <w:rsid w:val="005B31FC"/>
    <w:rsid w:val="005B323E"/>
    <w:rsid w:val="005B3FE6"/>
    <w:rsid w:val="005B42A6"/>
    <w:rsid w:val="005B4561"/>
    <w:rsid w:val="005B478D"/>
    <w:rsid w:val="005B499B"/>
    <w:rsid w:val="005B49B3"/>
    <w:rsid w:val="005B4B4D"/>
    <w:rsid w:val="005B4D0F"/>
    <w:rsid w:val="005B4E53"/>
    <w:rsid w:val="005B50EA"/>
    <w:rsid w:val="005B5857"/>
    <w:rsid w:val="005B59AE"/>
    <w:rsid w:val="005B5B8B"/>
    <w:rsid w:val="005B5F1A"/>
    <w:rsid w:val="005B6172"/>
    <w:rsid w:val="005B6902"/>
    <w:rsid w:val="005C05CE"/>
    <w:rsid w:val="005C0ADC"/>
    <w:rsid w:val="005C0CCB"/>
    <w:rsid w:val="005C1B79"/>
    <w:rsid w:val="005C1B83"/>
    <w:rsid w:val="005C2013"/>
    <w:rsid w:val="005C22E5"/>
    <w:rsid w:val="005C25FF"/>
    <w:rsid w:val="005C2684"/>
    <w:rsid w:val="005C2775"/>
    <w:rsid w:val="005C2AB3"/>
    <w:rsid w:val="005C2D55"/>
    <w:rsid w:val="005C2F36"/>
    <w:rsid w:val="005C30F7"/>
    <w:rsid w:val="005C317C"/>
    <w:rsid w:val="005C3251"/>
    <w:rsid w:val="005C3423"/>
    <w:rsid w:val="005C346B"/>
    <w:rsid w:val="005C3846"/>
    <w:rsid w:val="005C3CB3"/>
    <w:rsid w:val="005C4037"/>
    <w:rsid w:val="005C5D32"/>
    <w:rsid w:val="005C5EFD"/>
    <w:rsid w:val="005C604E"/>
    <w:rsid w:val="005C61A4"/>
    <w:rsid w:val="005C6251"/>
    <w:rsid w:val="005C6DB3"/>
    <w:rsid w:val="005D0296"/>
    <w:rsid w:val="005D044D"/>
    <w:rsid w:val="005D08D0"/>
    <w:rsid w:val="005D0ABD"/>
    <w:rsid w:val="005D18AD"/>
    <w:rsid w:val="005D1D44"/>
    <w:rsid w:val="005D26B4"/>
    <w:rsid w:val="005D3655"/>
    <w:rsid w:val="005D377F"/>
    <w:rsid w:val="005D473A"/>
    <w:rsid w:val="005D489D"/>
    <w:rsid w:val="005D5182"/>
    <w:rsid w:val="005D5218"/>
    <w:rsid w:val="005D52F6"/>
    <w:rsid w:val="005D551E"/>
    <w:rsid w:val="005D5B48"/>
    <w:rsid w:val="005D6551"/>
    <w:rsid w:val="005D6A8E"/>
    <w:rsid w:val="005D6F4E"/>
    <w:rsid w:val="005D755F"/>
    <w:rsid w:val="005D7D6E"/>
    <w:rsid w:val="005E03C3"/>
    <w:rsid w:val="005E067D"/>
    <w:rsid w:val="005E0C73"/>
    <w:rsid w:val="005E0ECF"/>
    <w:rsid w:val="005E12F1"/>
    <w:rsid w:val="005E170F"/>
    <w:rsid w:val="005E25FB"/>
    <w:rsid w:val="005E2D78"/>
    <w:rsid w:val="005E334B"/>
    <w:rsid w:val="005E3383"/>
    <w:rsid w:val="005E38C1"/>
    <w:rsid w:val="005E3B9A"/>
    <w:rsid w:val="005E3C80"/>
    <w:rsid w:val="005E3DC6"/>
    <w:rsid w:val="005E4638"/>
    <w:rsid w:val="005E4B04"/>
    <w:rsid w:val="005E51AA"/>
    <w:rsid w:val="005E53A1"/>
    <w:rsid w:val="005E53C4"/>
    <w:rsid w:val="005E54CB"/>
    <w:rsid w:val="005E5B1A"/>
    <w:rsid w:val="005E6682"/>
    <w:rsid w:val="005E6CBC"/>
    <w:rsid w:val="005E6FA1"/>
    <w:rsid w:val="005E72FF"/>
    <w:rsid w:val="005E73C0"/>
    <w:rsid w:val="005E7A05"/>
    <w:rsid w:val="005E7A46"/>
    <w:rsid w:val="005E7BFA"/>
    <w:rsid w:val="005F0542"/>
    <w:rsid w:val="005F09F1"/>
    <w:rsid w:val="005F23A3"/>
    <w:rsid w:val="005F2706"/>
    <w:rsid w:val="005F2D7E"/>
    <w:rsid w:val="005F2E16"/>
    <w:rsid w:val="005F3BEC"/>
    <w:rsid w:val="005F4097"/>
    <w:rsid w:val="005F4B3A"/>
    <w:rsid w:val="005F5761"/>
    <w:rsid w:val="005F6564"/>
    <w:rsid w:val="005F67F8"/>
    <w:rsid w:val="005F6A8F"/>
    <w:rsid w:val="005F6BB7"/>
    <w:rsid w:val="005F7011"/>
    <w:rsid w:val="005F7588"/>
    <w:rsid w:val="005F7806"/>
    <w:rsid w:val="005F7B9D"/>
    <w:rsid w:val="00600182"/>
    <w:rsid w:val="006002D4"/>
    <w:rsid w:val="00600403"/>
    <w:rsid w:val="00600505"/>
    <w:rsid w:val="0060126B"/>
    <w:rsid w:val="00601813"/>
    <w:rsid w:val="00601DAB"/>
    <w:rsid w:val="00601FC5"/>
    <w:rsid w:val="006029B7"/>
    <w:rsid w:val="00602BBC"/>
    <w:rsid w:val="006030BA"/>
    <w:rsid w:val="00603282"/>
    <w:rsid w:val="006034F4"/>
    <w:rsid w:val="00603DB9"/>
    <w:rsid w:val="00603FF6"/>
    <w:rsid w:val="00604513"/>
    <w:rsid w:val="00604977"/>
    <w:rsid w:val="00604A0D"/>
    <w:rsid w:val="0060511E"/>
    <w:rsid w:val="006056C0"/>
    <w:rsid w:val="00605973"/>
    <w:rsid w:val="00605A26"/>
    <w:rsid w:val="00605A9C"/>
    <w:rsid w:val="00605EFF"/>
    <w:rsid w:val="006063FD"/>
    <w:rsid w:val="00606CDC"/>
    <w:rsid w:val="00606D46"/>
    <w:rsid w:val="00606F4F"/>
    <w:rsid w:val="00606FBA"/>
    <w:rsid w:val="00607669"/>
    <w:rsid w:val="006076F4"/>
    <w:rsid w:val="00607AFD"/>
    <w:rsid w:val="00610054"/>
    <w:rsid w:val="006103D1"/>
    <w:rsid w:val="006111BF"/>
    <w:rsid w:val="00611A59"/>
    <w:rsid w:val="00611EF2"/>
    <w:rsid w:val="00611F08"/>
    <w:rsid w:val="0061212D"/>
    <w:rsid w:val="00612588"/>
    <w:rsid w:val="006125CC"/>
    <w:rsid w:val="00612839"/>
    <w:rsid w:val="00612F97"/>
    <w:rsid w:val="0061345D"/>
    <w:rsid w:val="00613D7A"/>
    <w:rsid w:val="00613E23"/>
    <w:rsid w:val="006143C0"/>
    <w:rsid w:val="006144AB"/>
    <w:rsid w:val="00614DD1"/>
    <w:rsid w:val="0061535A"/>
    <w:rsid w:val="0061549B"/>
    <w:rsid w:val="0061582D"/>
    <w:rsid w:val="00615BE7"/>
    <w:rsid w:val="00615D08"/>
    <w:rsid w:val="00616802"/>
    <w:rsid w:val="006169A0"/>
    <w:rsid w:val="00616D05"/>
    <w:rsid w:val="00616E7B"/>
    <w:rsid w:val="00616FE9"/>
    <w:rsid w:val="00617811"/>
    <w:rsid w:val="00617833"/>
    <w:rsid w:val="00617AC3"/>
    <w:rsid w:val="00617E12"/>
    <w:rsid w:val="0062036F"/>
    <w:rsid w:val="00620639"/>
    <w:rsid w:val="00620C25"/>
    <w:rsid w:val="006210FC"/>
    <w:rsid w:val="00621477"/>
    <w:rsid w:val="00621ADA"/>
    <w:rsid w:val="00622432"/>
    <w:rsid w:val="0062312C"/>
    <w:rsid w:val="00623D57"/>
    <w:rsid w:val="00623F7B"/>
    <w:rsid w:val="00624065"/>
    <w:rsid w:val="0062464E"/>
    <w:rsid w:val="00625180"/>
    <w:rsid w:val="006252FD"/>
    <w:rsid w:val="00625A45"/>
    <w:rsid w:val="00625A54"/>
    <w:rsid w:val="0062607F"/>
    <w:rsid w:val="0062683B"/>
    <w:rsid w:val="00627BEA"/>
    <w:rsid w:val="00627CE8"/>
    <w:rsid w:val="00627DB1"/>
    <w:rsid w:val="00630740"/>
    <w:rsid w:val="00630A5A"/>
    <w:rsid w:val="00630CDC"/>
    <w:rsid w:val="00630ED7"/>
    <w:rsid w:val="0063100B"/>
    <w:rsid w:val="0063158F"/>
    <w:rsid w:val="006318A5"/>
    <w:rsid w:val="006319A4"/>
    <w:rsid w:val="00631D6B"/>
    <w:rsid w:val="00632183"/>
    <w:rsid w:val="0063269F"/>
    <w:rsid w:val="00632B6A"/>
    <w:rsid w:val="00632BC1"/>
    <w:rsid w:val="006330A1"/>
    <w:rsid w:val="00633706"/>
    <w:rsid w:val="00633892"/>
    <w:rsid w:val="00633DAD"/>
    <w:rsid w:val="00633FB7"/>
    <w:rsid w:val="0063403C"/>
    <w:rsid w:val="00634505"/>
    <w:rsid w:val="006346E1"/>
    <w:rsid w:val="0063479F"/>
    <w:rsid w:val="0063488F"/>
    <w:rsid w:val="006353F0"/>
    <w:rsid w:val="006357B5"/>
    <w:rsid w:val="0063595C"/>
    <w:rsid w:val="00635C31"/>
    <w:rsid w:val="00636123"/>
    <w:rsid w:val="006364A1"/>
    <w:rsid w:val="006364EB"/>
    <w:rsid w:val="00636537"/>
    <w:rsid w:val="0063678E"/>
    <w:rsid w:val="0063691E"/>
    <w:rsid w:val="00636C06"/>
    <w:rsid w:val="00637151"/>
    <w:rsid w:val="00637651"/>
    <w:rsid w:val="00637B34"/>
    <w:rsid w:val="00637BFD"/>
    <w:rsid w:val="00641366"/>
    <w:rsid w:val="0064183A"/>
    <w:rsid w:val="00641ABF"/>
    <w:rsid w:val="00641BF3"/>
    <w:rsid w:val="00641C4E"/>
    <w:rsid w:val="00641FB3"/>
    <w:rsid w:val="006424CB"/>
    <w:rsid w:val="0064333B"/>
    <w:rsid w:val="006441F3"/>
    <w:rsid w:val="00644346"/>
    <w:rsid w:val="0064434C"/>
    <w:rsid w:val="00644C02"/>
    <w:rsid w:val="006454EF"/>
    <w:rsid w:val="00646175"/>
    <w:rsid w:val="00646254"/>
    <w:rsid w:val="00646358"/>
    <w:rsid w:val="006463A0"/>
    <w:rsid w:val="006468E5"/>
    <w:rsid w:val="00646E34"/>
    <w:rsid w:val="006471CC"/>
    <w:rsid w:val="00647366"/>
    <w:rsid w:val="00647384"/>
    <w:rsid w:val="0064752C"/>
    <w:rsid w:val="00647A29"/>
    <w:rsid w:val="00647E49"/>
    <w:rsid w:val="0065079F"/>
    <w:rsid w:val="006509B3"/>
    <w:rsid w:val="0065182B"/>
    <w:rsid w:val="00651EF9"/>
    <w:rsid w:val="0065253A"/>
    <w:rsid w:val="00652550"/>
    <w:rsid w:val="0065271F"/>
    <w:rsid w:val="00652A28"/>
    <w:rsid w:val="00653385"/>
    <w:rsid w:val="0065379F"/>
    <w:rsid w:val="0065386D"/>
    <w:rsid w:val="00653AF4"/>
    <w:rsid w:val="00654064"/>
    <w:rsid w:val="006546F1"/>
    <w:rsid w:val="00654D73"/>
    <w:rsid w:val="00654E38"/>
    <w:rsid w:val="00655C55"/>
    <w:rsid w:val="00655E13"/>
    <w:rsid w:val="00655F27"/>
    <w:rsid w:val="006560F0"/>
    <w:rsid w:val="00656188"/>
    <w:rsid w:val="00656201"/>
    <w:rsid w:val="00656544"/>
    <w:rsid w:val="00656CC4"/>
    <w:rsid w:val="0065705D"/>
    <w:rsid w:val="0065710B"/>
    <w:rsid w:val="0065715A"/>
    <w:rsid w:val="00657347"/>
    <w:rsid w:val="006575A5"/>
    <w:rsid w:val="00657E47"/>
    <w:rsid w:val="00660285"/>
    <w:rsid w:val="00660CE2"/>
    <w:rsid w:val="006610F1"/>
    <w:rsid w:val="00661437"/>
    <w:rsid w:val="00661461"/>
    <w:rsid w:val="0066179E"/>
    <w:rsid w:val="00661C6B"/>
    <w:rsid w:val="00663320"/>
    <w:rsid w:val="00663C8C"/>
    <w:rsid w:val="00663C94"/>
    <w:rsid w:val="00664320"/>
    <w:rsid w:val="00664418"/>
    <w:rsid w:val="00664F27"/>
    <w:rsid w:val="00664FA1"/>
    <w:rsid w:val="006652C4"/>
    <w:rsid w:val="00665BC0"/>
    <w:rsid w:val="006662E7"/>
    <w:rsid w:val="006664D8"/>
    <w:rsid w:val="00667C98"/>
    <w:rsid w:val="00667F0B"/>
    <w:rsid w:val="00670261"/>
    <w:rsid w:val="00670A8F"/>
    <w:rsid w:val="00670AA3"/>
    <w:rsid w:val="00670D61"/>
    <w:rsid w:val="00671004"/>
    <w:rsid w:val="00671D80"/>
    <w:rsid w:val="00672646"/>
    <w:rsid w:val="00672DE1"/>
    <w:rsid w:val="00672F90"/>
    <w:rsid w:val="00673683"/>
    <w:rsid w:val="006737EE"/>
    <w:rsid w:val="00673CE1"/>
    <w:rsid w:val="006741DC"/>
    <w:rsid w:val="006746EA"/>
    <w:rsid w:val="006748D6"/>
    <w:rsid w:val="00674AF8"/>
    <w:rsid w:val="00674E42"/>
    <w:rsid w:val="00675216"/>
    <w:rsid w:val="006758EB"/>
    <w:rsid w:val="00676773"/>
    <w:rsid w:val="00676AA3"/>
    <w:rsid w:val="006773C3"/>
    <w:rsid w:val="00677998"/>
    <w:rsid w:val="00677A85"/>
    <w:rsid w:val="00677C94"/>
    <w:rsid w:val="006808B5"/>
    <w:rsid w:val="006813F8"/>
    <w:rsid w:val="00681689"/>
    <w:rsid w:val="00681984"/>
    <w:rsid w:val="00681CE0"/>
    <w:rsid w:val="00682112"/>
    <w:rsid w:val="00682443"/>
    <w:rsid w:val="006825F8"/>
    <w:rsid w:val="0068291D"/>
    <w:rsid w:val="00682BA6"/>
    <w:rsid w:val="00682C02"/>
    <w:rsid w:val="006850AD"/>
    <w:rsid w:val="00685462"/>
    <w:rsid w:val="006857A6"/>
    <w:rsid w:val="00686149"/>
    <w:rsid w:val="00686957"/>
    <w:rsid w:val="00686B16"/>
    <w:rsid w:val="006872BA"/>
    <w:rsid w:val="00687B4B"/>
    <w:rsid w:val="00690395"/>
    <w:rsid w:val="00690795"/>
    <w:rsid w:val="006914D9"/>
    <w:rsid w:val="00691648"/>
    <w:rsid w:val="006917D7"/>
    <w:rsid w:val="006918A6"/>
    <w:rsid w:val="00691FE9"/>
    <w:rsid w:val="0069213A"/>
    <w:rsid w:val="006927BD"/>
    <w:rsid w:val="00692863"/>
    <w:rsid w:val="0069314C"/>
    <w:rsid w:val="00693492"/>
    <w:rsid w:val="006935CB"/>
    <w:rsid w:val="006938A3"/>
    <w:rsid w:val="00694113"/>
    <w:rsid w:val="0069434C"/>
    <w:rsid w:val="006944B3"/>
    <w:rsid w:val="00694F44"/>
    <w:rsid w:val="00695176"/>
    <w:rsid w:val="0069547D"/>
    <w:rsid w:val="00695CCB"/>
    <w:rsid w:val="0069621B"/>
    <w:rsid w:val="00696332"/>
    <w:rsid w:val="00696A29"/>
    <w:rsid w:val="00696DFE"/>
    <w:rsid w:val="00696F51"/>
    <w:rsid w:val="006970B0"/>
    <w:rsid w:val="006972CD"/>
    <w:rsid w:val="006973B6"/>
    <w:rsid w:val="006979A5"/>
    <w:rsid w:val="00697D99"/>
    <w:rsid w:val="00697E2A"/>
    <w:rsid w:val="006A0112"/>
    <w:rsid w:val="006A04C3"/>
    <w:rsid w:val="006A0BAA"/>
    <w:rsid w:val="006A0D4E"/>
    <w:rsid w:val="006A13A3"/>
    <w:rsid w:val="006A189A"/>
    <w:rsid w:val="006A1A2F"/>
    <w:rsid w:val="006A23C5"/>
    <w:rsid w:val="006A2B49"/>
    <w:rsid w:val="006A2B70"/>
    <w:rsid w:val="006A2EE8"/>
    <w:rsid w:val="006A3177"/>
    <w:rsid w:val="006A3A94"/>
    <w:rsid w:val="006A4458"/>
    <w:rsid w:val="006A4C68"/>
    <w:rsid w:val="006A4FFD"/>
    <w:rsid w:val="006A50A8"/>
    <w:rsid w:val="006A58DE"/>
    <w:rsid w:val="006A6B99"/>
    <w:rsid w:val="006A6BC4"/>
    <w:rsid w:val="006A700B"/>
    <w:rsid w:val="006A7660"/>
    <w:rsid w:val="006A773D"/>
    <w:rsid w:val="006A7D68"/>
    <w:rsid w:val="006A7E5F"/>
    <w:rsid w:val="006B03B6"/>
    <w:rsid w:val="006B05D7"/>
    <w:rsid w:val="006B12A1"/>
    <w:rsid w:val="006B22DF"/>
    <w:rsid w:val="006B261B"/>
    <w:rsid w:val="006B2BFD"/>
    <w:rsid w:val="006B2C45"/>
    <w:rsid w:val="006B2C90"/>
    <w:rsid w:val="006B30C9"/>
    <w:rsid w:val="006B34EF"/>
    <w:rsid w:val="006B35E6"/>
    <w:rsid w:val="006B36A4"/>
    <w:rsid w:val="006B3741"/>
    <w:rsid w:val="006B390D"/>
    <w:rsid w:val="006B45CA"/>
    <w:rsid w:val="006B465A"/>
    <w:rsid w:val="006B47DA"/>
    <w:rsid w:val="006B54C9"/>
    <w:rsid w:val="006B5AA4"/>
    <w:rsid w:val="006B61F5"/>
    <w:rsid w:val="006B688E"/>
    <w:rsid w:val="006B692E"/>
    <w:rsid w:val="006B6DD0"/>
    <w:rsid w:val="006B709C"/>
    <w:rsid w:val="006B7589"/>
    <w:rsid w:val="006B76AA"/>
    <w:rsid w:val="006B77DB"/>
    <w:rsid w:val="006C0041"/>
    <w:rsid w:val="006C0399"/>
    <w:rsid w:val="006C040E"/>
    <w:rsid w:val="006C076F"/>
    <w:rsid w:val="006C07D2"/>
    <w:rsid w:val="006C09ED"/>
    <w:rsid w:val="006C16AE"/>
    <w:rsid w:val="006C238D"/>
    <w:rsid w:val="006C2788"/>
    <w:rsid w:val="006C2A8E"/>
    <w:rsid w:val="006C3255"/>
    <w:rsid w:val="006C3389"/>
    <w:rsid w:val="006C3DC6"/>
    <w:rsid w:val="006C3F26"/>
    <w:rsid w:val="006C3FCD"/>
    <w:rsid w:val="006C56C4"/>
    <w:rsid w:val="006C57FA"/>
    <w:rsid w:val="006C59E7"/>
    <w:rsid w:val="006C6289"/>
    <w:rsid w:val="006C63B2"/>
    <w:rsid w:val="006C63E0"/>
    <w:rsid w:val="006D0D17"/>
    <w:rsid w:val="006D0F5E"/>
    <w:rsid w:val="006D1345"/>
    <w:rsid w:val="006D1B4B"/>
    <w:rsid w:val="006D24C5"/>
    <w:rsid w:val="006D2851"/>
    <w:rsid w:val="006D2957"/>
    <w:rsid w:val="006D30F3"/>
    <w:rsid w:val="006D3BB4"/>
    <w:rsid w:val="006D3C7D"/>
    <w:rsid w:val="006D4659"/>
    <w:rsid w:val="006D46CE"/>
    <w:rsid w:val="006D4A9E"/>
    <w:rsid w:val="006D5D3C"/>
    <w:rsid w:val="006D5D5F"/>
    <w:rsid w:val="006D5E43"/>
    <w:rsid w:val="006D6239"/>
    <w:rsid w:val="006D63CE"/>
    <w:rsid w:val="006D6503"/>
    <w:rsid w:val="006D68FB"/>
    <w:rsid w:val="006D6B15"/>
    <w:rsid w:val="006D6B42"/>
    <w:rsid w:val="006D6C57"/>
    <w:rsid w:val="006D74DD"/>
    <w:rsid w:val="006E2197"/>
    <w:rsid w:val="006E251C"/>
    <w:rsid w:val="006E2719"/>
    <w:rsid w:val="006E2868"/>
    <w:rsid w:val="006E2F55"/>
    <w:rsid w:val="006E399B"/>
    <w:rsid w:val="006E4F17"/>
    <w:rsid w:val="006E533A"/>
    <w:rsid w:val="006E58D1"/>
    <w:rsid w:val="006E5D76"/>
    <w:rsid w:val="006E701F"/>
    <w:rsid w:val="006E73E0"/>
    <w:rsid w:val="006E7EF4"/>
    <w:rsid w:val="006F08E4"/>
    <w:rsid w:val="006F263B"/>
    <w:rsid w:val="006F2B14"/>
    <w:rsid w:val="006F306C"/>
    <w:rsid w:val="006F35F3"/>
    <w:rsid w:val="006F388A"/>
    <w:rsid w:val="006F4578"/>
    <w:rsid w:val="006F514A"/>
    <w:rsid w:val="006F594D"/>
    <w:rsid w:val="006F5C35"/>
    <w:rsid w:val="006F6012"/>
    <w:rsid w:val="006F63A5"/>
    <w:rsid w:val="006F63D8"/>
    <w:rsid w:val="006F6B57"/>
    <w:rsid w:val="006F6E51"/>
    <w:rsid w:val="006F6E97"/>
    <w:rsid w:val="006F6F27"/>
    <w:rsid w:val="006F6F77"/>
    <w:rsid w:val="006F7C76"/>
    <w:rsid w:val="00700E07"/>
    <w:rsid w:val="0070142B"/>
    <w:rsid w:val="00701865"/>
    <w:rsid w:val="007021A8"/>
    <w:rsid w:val="00702564"/>
    <w:rsid w:val="00702738"/>
    <w:rsid w:val="0070276E"/>
    <w:rsid w:val="0070277F"/>
    <w:rsid w:val="00702C71"/>
    <w:rsid w:val="00702F8F"/>
    <w:rsid w:val="00703321"/>
    <w:rsid w:val="00703EB0"/>
    <w:rsid w:val="00704314"/>
    <w:rsid w:val="00704BD2"/>
    <w:rsid w:val="00704C9F"/>
    <w:rsid w:val="00704E32"/>
    <w:rsid w:val="00705171"/>
    <w:rsid w:val="00705440"/>
    <w:rsid w:val="00705905"/>
    <w:rsid w:val="00705922"/>
    <w:rsid w:val="00705A9E"/>
    <w:rsid w:val="00705C18"/>
    <w:rsid w:val="00705D2B"/>
    <w:rsid w:val="00706EFC"/>
    <w:rsid w:val="00706F3E"/>
    <w:rsid w:val="00706F69"/>
    <w:rsid w:val="007074B0"/>
    <w:rsid w:val="00707992"/>
    <w:rsid w:val="007079FC"/>
    <w:rsid w:val="00707CA6"/>
    <w:rsid w:val="007106A6"/>
    <w:rsid w:val="00711740"/>
    <w:rsid w:val="00711815"/>
    <w:rsid w:val="00711A36"/>
    <w:rsid w:val="007122A9"/>
    <w:rsid w:val="00713A7B"/>
    <w:rsid w:val="00714C26"/>
    <w:rsid w:val="00714F54"/>
    <w:rsid w:val="0071529C"/>
    <w:rsid w:val="00715DF4"/>
    <w:rsid w:val="00716C25"/>
    <w:rsid w:val="007170DA"/>
    <w:rsid w:val="007172AD"/>
    <w:rsid w:val="0071735B"/>
    <w:rsid w:val="007174A7"/>
    <w:rsid w:val="00717967"/>
    <w:rsid w:val="00717DE3"/>
    <w:rsid w:val="007204E4"/>
    <w:rsid w:val="00720801"/>
    <w:rsid w:val="00720D5B"/>
    <w:rsid w:val="00721069"/>
    <w:rsid w:val="007226AC"/>
    <w:rsid w:val="007228E6"/>
    <w:rsid w:val="00722B1B"/>
    <w:rsid w:val="00723425"/>
    <w:rsid w:val="00723674"/>
    <w:rsid w:val="007236FC"/>
    <w:rsid w:val="0072416F"/>
    <w:rsid w:val="00725D43"/>
    <w:rsid w:val="00726100"/>
    <w:rsid w:val="007261F0"/>
    <w:rsid w:val="00726976"/>
    <w:rsid w:val="00726C47"/>
    <w:rsid w:val="00727361"/>
    <w:rsid w:val="00727692"/>
    <w:rsid w:val="0072781E"/>
    <w:rsid w:val="00727C94"/>
    <w:rsid w:val="00727F89"/>
    <w:rsid w:val="00727FA9"/>
    <w:rsid w:val="00730100"/>
    <w:rsid w:val="00730DBB"/>
    <w:rsid w:val="00730E37"/>
    <w:rsid w:val="0073133B"/>
    <w:rsid w:val="007314F5"/>
    <w:rsid w:val="007319F7"/>
    <w:rsid w:val="00731B0A"/>
    <w:rsid w:val="00731EAE"/>
    <w:rsid w:val="00732B00"/>
    <w:rsid w:val="00732C4D"/>
    <w:rsid w:val="00733073"/>
    <w:rsid w:val="00733622"/>
    <w:rsid w:val="00733E57"/>
    <w:rsid w:val="00733F86"/>
    <w:rsid w:val="00734873"/>
    <w:rsid w:val="00734DAF"/>
    <w:rsid w:val="00735033"/>
    <w:rsid w:val="00735267"/>
    <w:rsid w:val="00735328"/>
    <w:rsid w:val="007354CD"/>
    <w:rsid w:val="00735856"/>
    <w:rsid w:val="00735DCD"/>
    <w:rsid w:val="0073602B"/>
    <w:rsid w:val="0073685B"/>
    <w:rsid w:val="00736BCD"/>
    <w:rsid w:val="007375B4"/>
    <w:rsid w:val="0073787A"/>
    <w:rsid w:val="0074067A"/>
    <w:rsid w:val="00740DCF"/>
    <w:rsid w:val="0074101B"/>
    <w:rsid w:val="007412AF"/>
    <w:rsid w:val="0074218E"/>
    <w:rsid w:val="00742593"/>
    <w:rsid w:val="007427AF"/>
    <w:rsid w:val="00742B60"/>
    <w:rsid w:val="00742C7A"/>
    <w:rsid w:val="00742D9C"/>
    <w:rsid w:val="007434AA"/>
    <w:rsid w:val="00743948"/>
    <w:rsid w:val="00743C63"/>
    <w:rsid w:val="00744008"/>
    <w:rsid w:val="0074401A"/>
    <w:rsid w:val="0074438D"/>
    <w:rsid w:val="007449BF"/>
    <w:rsid w:val="00744A06"/>
    <w:rsid w:val="007451A3"/>
    <w:rsid w:val="0074597C"/>
    <w:rsid w:val="00745BB8"/>
    <w:rsid w:val="00745DF2"/>
    <w:rsid w:val="007460F1"/>
    <w:rsid w:val="007463C9"/>
    <w:rsid w:val="00746433"/>
    <w:rsid w:val="00746473"/>
    <w:rsid w:val="00746796"/>
    <w:rsid w:val="00746BC0"/>
    <w:rsid w:val="00747373"/>
    <w:rsid w:val="00750AD2"/>
    <w:rsid w:val="00750F22"/>
    <w:rsid w:val="00751004"/>
    <w:rsid w:val="007510B4"/>
    <w:rsid w:val="00751109"/>
    <w:rsid w:val="00752142"/>
    <w:rsid w:val="00752296"/>
    <w:rsid w:val="007523F9"/>
    <w:rsid w:val="00752751"/>
    <w:rsid w:val="0075296C"/>
    <w:rsid w:val="00752F9F"/>
    <w:rsid w:val="00753362"/>
    <w:rsid w:val="0075357E"/>
    <w:rsid w:val="007535C4"/>
    <w:rsid w:val="0075374A"/>
    <w:rsid w:val="00754BAC"/>
    <w:rsid w:val="00754D40"/>
    <w:rsid w:val="00755514"/>
    <w:rsid w:val="007561F2"/>
    <w:rsid w:val="00756EEF"/>
    <w:rsid w:val="007573E8"/>
    <w:rsid w:val="00757544"/>
    <w:rsid w:val="007607A5"/>
    <w:rsid w:val="0076098E"/>
    <w:rsid w:val="00760C4E"/>
    <w:rsid w:val="00760F9E"/>
    <w:rsid w:val="00761781"/>
    <w:rsid w:val="0076195A"/>
    <w:rsid w:val="007627BE"/>
    <w:rsid w:val="0076290F"/>
    <w:rsid w:val="007634C9"/>
    <w:rsid w:val="00764E4F"/>
    <w:rsid w:val="00764F03"/>
    <w:rsid w:val="00765AA8"/>
    <w:rsid w:val="00765B1A"/>
    <w:rsid w:val="00765EBD"/>
    <w:rsid w:val="00766A99"/>
    <w:rsid w:val="00766D00"/>
    <w:rsid w:val="0076703D"/>
    <w:rsid w:val="007671B7"/>
    <w:rsid w:val="00767A94"/>
    <w:rsid w:val="00767D96"/>
    <w:rsid w:val="00770FD6"/>
    <w:rsid w:val="007716C0"/>
    <w:rsid w:val="00771B2F"/>
    <w:rsid w:val="00771B75"/>
    <w:rsid w:val="0077280E"/>
    <w:rsid w:val="0077321D"/>
    <w:rsid w:val="007733D8"/>
    <w:rsid w:val="00773E40"/>
    <w:rsid w:val="0077429F"/>
    <w:rsid w:val="00774D67"/>
    <w:rsid w:val="00775825"/>
    <w:rsid w:val="00777335"/>
    <w:rsid w:val="007804D5"/>
    <w:rsid w:val="007808B4"/>
    <w:rsid w:val="007814F5"/>
    <w:rsid w:val="007823E1"/>
    <w:rsid w:val="00782E5D"/>
    <w:rsid w:val="00783F23"/>
    <w:rsid w:val="007843F2"/>
    <w:rsid w:val="007844F3"/>
    <w:rsid w:val="0078596C"/>
    <w:rsid w:val="00785A9F"/>
    <w:rsid w:val="007867B0"/>
    <w:rsid w:val="00787AD9"/>
    <w:rsid w:val="00787E3A"/>
    <w:rsid w:val="00787EA1"/>
    <w:rsid w:val="00787F5C"/>
    <w:rsid w:val="00790401"/>
    <w:rsid w:val="00790484"/>
    <w:rsid w:val="00790B5C"/>
    <w:rsid w:val="00790E60"/>
    <w:rsid w:val="007915F4"/>
    <w:rsid w:val="0079223B"/>
    <w:rsid w:val="00792398"/>
    <w:rsid w:val="007924B1"/>
    <w:rsid w:val="007925DF"/>
    <w:rsid w:val="00792EA8"/>
    <w:rsid w:val="007932C3"/>
    <w:rsid w:val="007938D3"/>
    <w:rsid w:val="00794E00"/>
    <w:rsid w:val="0079545E"/>
    <w:rsid w:val="00795579"/>
    <w:rsid w:val="00795FBE"/>
    <w:rsid w:val="0079643F"/>
    <w:rsid w:val="00796B60"/>
    <w:rsid w:val="00796E1F"/>
    <w:rsid w:val="007971FE"/>
    <w:rsid w:val="00797ABF"/>
    <w:rsid w:val="007A0074"/>
    <w:rsid w:val="007A0130"/>
    <w:rsid w:val="007A08AA"/>
    <w:rsid w:val="007A0A12"/>
    <w:rsid w:val="007A0AE5"/>
    <w:rsid w:val="007A132D"/>
    <w:rsid w:val="007A1345"/>
    <w:rsid w:val="007A142A"/>
    <w:rsid w:val="007A16B8"/>
    <w:rsid w:val="007A20D8"/>
    <w:rsid w:val="007A24E2"/>
    <w:rsid w:val="007A2DDB"/>
    <w:rsid w:val="007A2F66"/>
    <w:rsid w:val="007A49BE"/>
    <w:rsid w:val="007A51E1"/>
    <w:rsid w:val="007A5C18"/>
    <w:rsid w:val="007A5E9D"/>
    <w:rsid w:val="007A67D9"/>
    <w:rsid w:val="007A68ED"/>
    <w:rsid w:val="007A70BA"/>
    <w:rsid w:val="007A73F4"/>
    <w:rsid w:val="007A7A40"/>
    <w:rsid w:val="007A7B2B"/>
    <w:rsid w:val="007A7DFD"/>
    <w:rsid w:val="007B0BB3"/>
    <w:rsid w:val="007B0D68"/>
    <w:rsid w:val="007B1388"/>
    <w:rsid w:val="007B1498"/>
    <w:rsid w:val="007B150A"/>
    <w:rsid w:val="007B1FFD"/>
    <w:rsid w:val="007B251D"/>
    <w:rsid w:val="007B2B8B"/>
    <w:rsid w:val="007B3204"/>
    <w:rsid w:val="007B37FE"/>
    <w:rsid w:val="007B41F8"/>
    <w:rsid w:val="007B4260"/>
    <w:rsid w:val="007B4710"/>
    <w:rsid w:val="007B4C7F"/>
    <w:rsid w:val="007B4F58"/>
    <w:rsid w:val="007B528D"/>
    <w:rsid w:val="007B53E0"/>
    <w:rsid w:val="007B5F7E"/>
    <w:rsid w:val="007B6332"/>
    <w:rsid w:val="007B63CA"/>
    <w:rsid w:val="007B688F"/>
    <w:rsid w:val="007B6C19"/>
    <w:rsid w:val="007B6FA2"/>
    <w:rsid w:val="007B708C"/>
    <w:rsid w:val="007B77D1"/>
    <w:rsid w:val="007C0506"/>
    <w:rsid w:val="007C07C7"/>
    <w:rsid w:val="007C0A7A"/>
    <w:rsid w:val="007C0AEF"/>
    <w:rsid w:val="007C1B1A"/>
    <w:rsid w:val="007C1B63"/>
    <w:rsid w:val="007C1CD9"/>
    <w:rsid w:val="007C2169"/>
    <w:rsid w:val="007C2474"/>
    <w:rsid w:val="007C32EF"/>
    <w:rsid w:val="007C361D"/>
    <w:rsid w:val="007C3D3A"/>
    <w:rsid w:val="007C3E02"/>
    <w:rsid w:val="007C44BC"/>
    <w:rsid w:val="007C4AA1"/>
    <w:rsid w:val="007C4B84"/>
    <w:rsid w:val="007C697E"/>
    <w:rsid w:val="007C6A72"/>
    <w:rsid w:val="007C6B47"/>
    <w:rsid w:val="007C70FF"/>
    <w:rsid w:val="007C74F3"/>
    <w:rsid w:val="007C7C25"/>
    <w:rsid w:val="007D004F"/>
    <w:rsid w:val="007D0B0E"/>
    <w:rsid w:val="007D0B38"/>
    <w:rsid w:val="007D0E18"/>
    <w:rsid w:val="007D14CE"/>
    <w:rsid w:val="007D235E"/>
    <w:rsid w:val="007D2D1A"/>
    <w:rsid w:val="007D2EEC"/>
    <w:rsid w:val="007D3D92"/>
    <w:rsid w:val="007D436A"/>
    <w:rsid w:val="007D501F"/>
    <w:rsid w:val="007D542B"/>
    <w:rsid w:val="007D5440"/>
    <w:rsid w:val="007D5496"/>
    <w:rsid w:val="007D5845"/>
    <w:rsid w:val="007D69EB"/>
    <w:rsid w:val="007D6B5C"/>
    <w:rsid w:val="007D73C9"/>
    <w:rsid w:val="007E0670"/>
    <w:rsid w:val="007E08DF"/>
    <w:rsid w:val="007E0A9B"/>
    <w:rsid w:val="007E0B00"/>
    <w:rsid w:val="007E0C26"/>
    <w:rsid w:val="007E113A"/>
    <w:rsid w:val="007E11AD"/>
    <w:rsid w:val="007E1225"/>
    <w:rsid w:val="007E128F"/>
    <w:rsid w:val="007E1583"/>
    <w:rsid w:val="007E171F"/>
    <w:rsid w:val="007E186D"/>
    <w:rsid w:val="007E215A"/>
    <w:rsid w:val="007E2362"/>
    <w:rsid w:val="007E290D"/>
    <w:rsid w:val="007E33F6"/>
    <w:rsid w:val="007E417D"/>
    <w:rsid w:val="007E5616"/>
    <w:rsid w:val="007E5644"/>
    <w:rsid w:val="007E5775"/>
    <w:rsid w:val="007E5C01"/>
    <w:rsid w:val="007E5FBE"/>
    <w:rsid w:val="007E697F"/>
    <w:rsid w:val="007E7A0D"/>
    <w:rsid w:val="007E7B24"/>
    <w:rsid w:val="007F096F"/>
    <w:rsid w:val="007F0BC6"/>
    <w:rsid w:val="007F1017"/>
    <w:rsid w:val="007F11FA"/>
    <w:rsid w:val="007F178D"/>
    <w:rsid w:val="007F1801"/>
    <w:rsid w:val="007F182C"/>
    <w:rsid w:val="007F18FB"/>
    <w:rsid w:val="007F275F"/>
    <w:rsid w:val="007F345C"/>
    <w:rsid w:val="007F3D9D"/>
    <w:rsid w:val="007F4A3F"/>
    <w:rsid w:val="007F4A61"/>
    <w:rsid w:val="007F4FDC"/>
    <w:rsid w:val="007F5255"/>
    <w:rsid w:val="007F56CC"/>
    <w:rsid w:val="007F575B"/>
    <w:rsid w:val="007F61C2"/>
    <w:rsid w:val="00800306"/>
    <w:rsid w:val="00800744"/>
    <w:rsid w:val="008015A9"/>
    <w:rsid w:val="00801954"/>
    <w:rsid w:val="00802314"/>
    <w:rsid w:val="008026B4"/>
    <w:rsid w:val="0080348F"/>
    <w:rsid w:val="00803798"/>
    <w:rsid w:val="00803D51"/>
    <w:rsid w:val="00804929"/>
    <w:rsid w:val="00805079"/>
    <w:rsid w:val="00805142"/>
    <w:rsid w:val="00805F1A"/>
    <w:rsid w:val="00805FCE"/>
    <w:rsid w:val="00806226"/>
    <w:rsid w:val="00806C63"/>
    <w:rsid w:val="00806C81"/>
    <w:rsid w:val="0080701F"/>
    <w:rsid w:val="00807392"/>
    <w:rsid w:val="0080765C"/>
    <w:rsid w:val="00807A8B"/>
    <w:rsid w:val="00807B92"/>
    <w:rsid w:val="00807FCB"/>
    <w:rsid w:val="00810362"/>
    <w:rsid w:val="008107C7"/>
    <w:rsid w:val="00811383"/>
    <w:rsid w:val="00811502"/>
    <w:rsid w:val="00812149"/>
    <w:rsid w:val="008127E8"/>
    <w:rsid w:val="0081288B"/>
    <w:rsid w:val="00812CAC"/>
    <w:rsid w:val="008130DC"/>
    <w:rsid w:val="00813BF3"/>
    <w:rsid w:val="00813C61"/>
    <w:rsid w:val="00814847"/>
    <w:rsid w:val="00814A68"/>
    <w:rsid w:val="00814BCC"/>
    <w:rsid w:val="00815137"/>
    <w:rsid w:val="00815444"/>
    <w:rsid w:val="0081589E"/>
    <w:rsid w:val="00816361"/>
    <w:rsid w:val="008166EF"/>
    <w:rsid w:val="00816981"/>
    <w:rsid w:val="00816FEF"/>
    <w:rsid w:val="0082092C"/>
    <w:rsid w:val="00820A8C"/>
    <w:rsid w:val="00820ACC"/>
    <w:rsid w:val="00820B5B"/>
    <w:rsid w:val="008215CF"/>
    <w:rsid w:val="008215FB"/>
    <w:rsid w:val="0082167F"/>
    <w:rsid w:val="008230BD"/>
    <w:rsid w:val="00823174"/>
    <w:rsid w:val="00823266"/>
    <w:rsid w:val="00823581"/>
    <w:rsid w:val="00823F1B"/>
    <w:rsid w:val="00824B2C"/>
    <w:rsid w:val="00825751"/>
    <w:rsid w:val="00825B5D"/>
    <w:rsid w:val="00825F40"/>
    <w:rsid w:val="00825F90"/>
    <w:rsid w:val="008264EB"/>
    <w:rsid w:val="00826E18"/>
    <w:rsid w:val="00826FFE"/>
    <w:rsid w:val="00830130"/>
    <w:rsid w:val="00830521"/>
    <w:rsid w:val="008308C9"/>
    <w:rsid w:val="00830FB1"/>
    <w:rsid w:val="00831C7E"/>
    <w:rsid w:val="00832395"/>
    <w:rsid w:val="008324AE"/>
    <w:rsid w:val="00832F53"/>
    <w:rsid w:val="00832FCA"/>
    <w:rsid w:val="00833B05"/>
    <w:rsid w:val="00833C6D"/>
    <w:rsid w:val="00833ECE"/>
    <w:rsid w:val="0083441C"/>
    <w:rsid w:val="00835DD4"/>
    <w:rsid w:val="008362B4"/>
    <w:rsid w:val="008368B9"/>
    <w:rsid w:val="00840193"/>
    <w:rsid w:val="008403B1"/>
    <w:rsid w:val="00840405"/>
    <w:rsid w:val="008408AE"/>
    <w:rsid w:val="00840CA2"/>
    <w:rsid w:val="008422C1"/>
    <w:rsid w:val="0084272D"/>
    <w:rsid w:val="008427F8"/>
    <w:rsid w:val="008429A5"/>
    <w:rsid w:val="00842BED"/>
    <w:rsid w:val="008435B6"/>
    <w:rsid w:val="0084374F"/>
    <w:rsid w:val="00843DA6"/>
    <w:rsid w:val="00844247"/>
    <w:rsid w:val="00844410"/>
    <w:rsid w:val="00844728"/>
    <w:rsid w:val="0084497E"/>
    <w:rsid w:val="00844A22"/>
    <w:rsid w:val="00844E38"/>
    <w:rsid w:val="0084521D"/>
    <w:rsid w:val="0084623D"/>
    <w:rsid w:val="008463CF"/>
    <w:rsid w:val="008468D0"/>
    <w:rsid w:val="00846C7E"/>
    <w:rsid w:val="008473F2"/>
    <w:rsid w:val="00847703"/>
    <w:rsid w:val="008479DE"/>
    <w:rsid w:val="00847CFE"/>
    <w:rsid w:val="00847DF5"/>
    <w:rsid w:val="008506D0"/>
    <w:rsid w:val="008507E7"/>
    <w:rsid w:val="00850AC1"/>
    <w:rsid w:val="00850CF7"/>
    <w:rsid w:val="00850FC9"/>
    <w:rsid w:val="00851010"/>
    <w:rsid w:val="00851A15"/>
    <w:rsid w:val="00851A5F"/>
    <w:rsid w:val="00852002"/>
    <w:rsid w:val="0085200E"/>
    <w:rsid w:val="008527FA"/>
    <w:rsid w:val="00852D3A"/>
    <w:rsid w:val="0085309D"/>
    <w:rsid w:val="00853461"/>
    <w:rsid w:val="00853616"/>
    <w:rsid w:val="00853666"/>
    <w:rsid w:val="00854299"/>
    <w:rsid w:val="008542E1"/>
    <w:rsid w:val="008543A9"/>
    <w:rsid w:val="0085493C"/>
    <w:rsid w:val="008558F7"/>
    <w:rsid w:val="00856897"/>
    <w:rsid w:val="00856E9A"/>
    <w:rsid w:val="008571E9"/>
    <w:rsid w:val="00857801"/>
    <w:rsid w:val="00857A7E"/>
    <w:rsid w:val="00857C0F"/>
    <w:rsid w:val="00857C2D"/>
    <w:rsid w:val="00857E8B"/>
    <w:rsid w:val="0086075D"/>
    <w:rsid w:val="00860FB2"/>
    <w:rsid w:val="0086193B"/>
    <w:rsid w:val="00861C2A"/>
    <w:rsid w:val="00861D20"/>
    <w:rsid w:val="008620A7"/>
    <w:rsid w:val="0086224B"/>
    <w:rsid w:val="00862502"/>
    <w:rsid w:val="00862CC1"/>
    <w:rsid w:val="008632D2"/>
    <w:rsid w:val="00863EF6"/>
    <w:rsid w:val="00864127"/>
    <w:rsid w:val="0086485C"/>
    <w:rsid w:val="00864DC3"/>
    <w:rsid w:val="00865DAA"/>
    <w:rsid w:val="008660D4"/>
    <w:rsid w:val="00866E65"/>
    <w:rsid w:val="0086706B"/>
    <w:rsid w:val="008674ED"/>
    <w:rsid w:val="008679D7"/>
    <w:rsid w:val="00867CCB"/>
    <w:rsid w:val="00867F50"/>
    <w:rsid w:val="00870588"/>
    <w:rsid w:val="00870E8E"/>
    <w:rsid w:val="00871AE7"/>
    <w:rsid w:val="00871B5B"/>
    <w:rsid w:val="00871FA9"/>
    <w:rsid w:val="008720A1"/>
    <w:rsid w:val="008728E9"/>
    <w:rsid w:val="0087297D"/>
    <w:rsid w:val="00872B71"/>
    <w:rsid w:val="008731C1"/>
    <w:rsid w:val="008733B6"/>
    <w:rsid w:val="008735FD"/>
    <w:rsid w:val="00873743"/>
    <w:rsid w:val="00874B92"/>
    <w:rsid w:val="00874DAC"/>
    <w:rsid w:val="00874F4E"/>
    <w:rsid w:val="008754C4"/>
    <w:rsid w:val="00875B5A"/>
    <w:rsid w:val="00876267"/>
    <w:rsid w:val="00876A14"/>
    <w:rsid w:val="00876E3C"/>
    <w:rsid w:val="0087744D"/>
    <w:rsid w:val="008804D0"/>
    <w:rsid w:val="008806C9"/>
    <w:rsid w:val="00880765"/>
    <w:rsid w:val="00880EF4"/>
    <w:rsid w:val="00880FED"/>
    <w:rsid w:val="00881097"/>
    <w:rsid w:val="00881608"/>
    <w:rsid w:val="008823C8"/>
    <w:rsid w:val="008826E5"/>
    <w:rsid w:val="00882874"/>
    <w:rsid w:val="00882E3C"/>
    <w:rsid w:val="00883787"/>
    <w:rsid w:val="008838C8"/>
    <w:rsid w:val="008838E4"/>
    <w:rsid w:val="00883D14"/>
    <w:rsid w:val="00883EED"/>
    <w:rsid w:val="00884334"/>
    <w:rsid w:val="008843EA"/>
    <w:rsid w:val="008845BA"/>
    <w:rsid w:val="00884619"/>
    <w:rsid w:val="00884F56"/>
    <w:rsid w:val="008855E4"/>
    <w:rsid w:val="008862BF"/>
    <w:rsid w:val="0088643A"/>
    <w:rsid w:val="00886868"/>
    <w:rsid w:val="008868A0"/>
    <w:rsid w:val="00886CD2"/>
    <w:rsid w:val="00887402"/>
    <w:rsid w:val="00887E1C"/>
    <w:rsid w:val="0089079E"/>
    <w:rsid w:val="00890F95"/>
    <w:rsid w:val="00891659"/>
    <w:rsid w:val="00891E6F"/>
    <w:rsid w:val="008920AB"/>
    <w:rsid w:val="0089275D"/>
    <w:rsid w:val="00892843"/>
    <w:rsid w:val="00892A36"/>
    <w:rsid w:val="00892C22"/>
    <w:rsid w:val="00893111"/>
    <w:rsid w:val="00893239"/>
    <w:rsid w:val="00893249"/>
    <w:rsid w:val="0089354C"/>
    <w:rsid w:val="00893A63"/>
    <w:rsid w:val="00893ECA"/>
    <w:rsid w:val="00894222"/>
    <w:rsid w:val="008942FA"/>
    <w:rsid w:val="0089439B"/>
    <w:rsid w:val="00894489"/>
    <w:rsid w:val="008949CC"/>
    <w:rsid w:val="00895142"/>
    <w:rsid w:val="00895337"/>
    <w:rsid w:val="008959B2"/>
    <w:rsid w:val="008961D1"/>
    <w:rsid w:val="008963A5"/>
    <w:rsid w:val="0089699B"/>
    <w:rsid w:val="00896AD6"/>
    <w:rsid w:val="00896D5D"/>
    <w:rsid w:val="00897025"/>
    <w:rsid w:val="008972CF"/>
    <w:rsid w:val="00897F54"/>
    <w:rsid w:val="008A05A3"/>
    <w:rsid w:val="008A05E1"/>
    <w:rsid w:val="008A068E"/>
    <w:rsid w:val="008A070D"/>
    <w:rsid w:val="008A0DED"/>
    <w:rsid w:val="008A125A"/>
    <w:rsid w:val="008A1348"/>
    <w:rsid w:val="008A18E5"/>
    <w:rsid w:val="008A1BA6"/>
    <w:rsid w:val="008A23AF"/>
    <w:rsid w:val="008A3363"/>
    <w:rsid w:val="008A3371"/>
    <w:rsid w:val="008A3598"/>
    <w:rsid w:val="008A3C3E"/>
    <w:rsid w:val="008A5488"/>
    <w:rsid w:val="008A54C1"/>
    <w:rsid w:val="008A579B"/>
    <w:rsid w:val="008A584F"/>
    <w:rsid w:val="008A58DC"/>
    <w:rsid w:val="008A60E4"/>
    <w:rsid w:val="008A6E03"/>
    <w:rsid w:val="008A723B"/>
    <w:rsid w:val="008A7390"/>
    <w:rsid w:val="008A766C"/>
    <w:rsid w:val="008A77D9"/>
    <w:rsid w:val="008A7856"/>
    <w:rsid w:val="008A79DE"/>
    <w:rsid w:val="008B0616"/>
    <w:rsid w:val="008B0987"/>
    <w:rsid w:val="008B136A"/>
    <w:rsid w:val="008B1757"/>
    <w:rsid w:val="008B17F3"/>
    <w:rsid w:val="008B2C0E"/>
    <w:rsid w:val="008B2ED1"/>
    <w:rsid w:val="008B3FB4"/>
    <w:rsid w:val="008B44B6"/>
    <w:rsid w:val="008B4539"/>
    <w:rsid w:val="008B49C1"/>
    <w:rsid w:val="008B4D2B"/>
    <w:rsid w:val="008B5119"/>
    <w:rsid w:val="008B6A6A"/>
    <w:rsid w:val="008B6CF4"/>
    <w:rsid w:val="008B7266"/>
    <w:rsid w:val="008B7577"/>
    <w:rsid w:val="008B77E3"/>
    <w:rsid w:val="008B7992"/>
    <w:rsid w:val="008B7AA7"/>
    <w:rsid w:val="008B7D63"/>
    <w:rsid w:val="008B7D7E"/>
    <w:rsid w:val="008C0489"/>
    <w:rsid w:val="008C1078"/>
    <w:rsid w:val="008C1E87"/>
    <w:rsid w:val="008C20B8"/>
    <w:rsid w:val="008C2600"/>
    <w:rsid w:val="008C2950"/>
    <w:rsid w:val="008C2FE2"/>
    <w:rsid w:val="008C359E"/>
    <w:rsid w:val="008C3CAF"/>
    <w:rsid w:val="008C4DAD"/>
    <w:rsid w:val="008C53B4"/>
    <w:rsid w:val="008C5610"/>
    <w:rsid w:val="008C5739"/>
    <w:rsid w:val="008C5E2C"/>
    <w:rsid w:val="008C67C5"/>
    <w:rsid w:val="008C7113"/>
    <w:rsid w:val="008C773D"/>
    <w:rsid w:val="008C7802"/>
    <w:rsid w:val="008C7ADF"/>
    <w:rsid w:val="008C7ECB"/>
    <w:rsid w:val="008D02EF"/>
    <w:rsid w:val="008D0CF7"/>
    <w:rsid w:val="008D129F"/>
    <w:rsid w:val="008D1817"/>
    <w:rsid w:val="008D1A9F"/>
    <w:rsid w:val="008D1CFF"/>
    <w:rsid w:val="008D2337"/>
    <w:rsid w:val="008D25FB"/>
    <w:rsid w:val="008D2D29"/>
    <w:rsid w:val="008D352D"/>
    <w:rsid w:val="008D3A29"/>
    <w:rsid w:val="008D3B86"/>
    <w:rsid w:val="008D3DD4"/>
    <w:rsid w:val="008D4755"/>
    <w:rsid w:val="008D4AF4"/>
    <w:rsid w:val="008D4C3D"/>
    <w:rsid w:val="008D4CF7"/>
    <w:rsid w:val="008D5548"/>
    <w:rsid w:val="008D5A9F"/>
    <w:rsid w:val="008D5BE7"/>
    <w:rsid w:val="008D6775"/>
    <w:rsid w:val="008D743C"/>
    <w:rsid w:val="008D74E2"/>
    <w:rsid w:val="008E0677"/>
    <w:rsid w:val="008E0929"/>
    <w:rsid w:val="008E0CC0"/>
    <w:rsid w:val="008E0D3C"/>
    <w:rsid w:val="008E0DD1"/>
    <w:rsid w:val="008E1AF7"/>
    <w:rsid w:val="008E1B9E"/>
    <w:rsid w:val="008E223D"/>
    <w:rsid w:val="008E24E3"/>
    <w:rsid w:val="008E252D"/>
    <w:rsid w:val="008E2920"/>
    <w:rsid w:val="008E320A"/>
    <w:rsid w:val="008E3707"/>
    <w:rsid w:val="008E4455"/>
    <w:rsid w:val="008E45A6"/>
    <w:rsid w:val="008E548B"/>
    <w:rsid w:val="008E55AB"/>
    <w:rsid w:val="008E571A"/>
    <w:rsid w:val="008E5F57"/>
    <w:rsid w:val="008E6A4F"/>
    <w:rsid w:val="008E6D9A"/>
    <w:rsid w:val="008E75A0"/>
    <w:rsid w:val="008E7794"/>
    <w:rsid w:val="008F0561"/>
    <w:rsid w:val="008F0779"/>
    <w:rsid w:val="008F0D59"/>
    <w:rsid w:val="008F0F59"/>
    <w:rsid w:val="008F120A"/>
    <w:rsid w:val="008F13E9"/>
    <w:rsid w:val="008F1707"/>
    <w:rsid w:val="008F2579"/>
    <w:rsid w:val="008F27E0"/>
    <w:rsid w:val="008F2A05"/>
    <w:rsid w:val="008F2AAF"/>
    <w:rsid w:val="008F3470"/>
    <w:rsid w:val="008F37F0"/>
    <w:rsid w:val="008F3F69"/>
    <w:rsid w:val="008F48EB"/>
    <w:rsid w:val="008F4F0B"/>
    <w:rsid w:val="008F5999"/>
    <w:rsid w:val="008F5A7C"/>
    <w:rsid w:val="008F5C14"/>
    <w:rsid w:val="008F5F7B"/>
    <w:rsid w:val="008F6589"/>
    <w:rsid w:val="008F71BF"/>
    <w:rsid w:val="008F75D3"/>
    <w:rsid w:val="00900C88"/>
    <w:rsid w:val="00900EE5"/>
    <w:rsid w:val="00900F54"/>
    <w:rsid w:val="009012DB"/>
    <w:rsid w:val="00901433"/>
    <w:rsid w:val="00901455"/>
    <w:rsid w:val="00901E1E"/>
    <w:rsid w:val="0090323C"/>
    <w:rsid w:val="00903502"/>
    <w:rsid w:val="009036F7"/>
    <w:rsid w:val="00903803"/>
    <w:rsid w:val="00903B5E"/>
    <w:rsid w:val="009046C4"/>
    <w:rsid w:val="00904DAD"/>
    <w:rsid w:val="00905541"/>
    <w:rsid w:val="00905818"/>
    <w:rsid w:val="00906236"/>
    <w:rsid w:val="009062A5"/>
    <w:rsid w:val="009064F8"/>
    <w:rsid w:val="00907044"/>
    <w:rsid w:val="00907C28"/>
    <w:rsid w:val="00910FA7"/>
    <w:rsid w:val="00911272"/>
    <w:rsid w:val="009114D9"/>
    <w:rsid w:val="009114EE"/>
    <w:rsid w:val="0091153D"/>
    <w:rsid w:val="00911670"/>
    <w:rsid w:val="00911916"/>
    <w:rsid w:val="00911A39"/>
    <w:rsid w:val="00911DD3"/>
    <w:rsid w:val="00912357"/>
    <w:rsid w:val="00912383"/>
    <w:rsid w:val="009135D6"/>
    <w:rsid w:val="00913A49"/>
    <w:rsid w:val="009144D9"/>
    <w:rsid w:val="00914A14"/>
    <w:rsid w:val="00914C77"/>
    <w:rsid w:val="00915D45"/>
    <w:rsid w:val="00916232"/>
    <w:rsid w:val="00916335"/>
    <w:rsid w:val="00916E5B"/>
    <w:rsid w:val="00917433"/>
    <w:rsid w:val="00917B7A"/>
    <w:rsid w:val="009205C8"/>
    <w:rsid w:val="00921ACB"/>
    <w:rsid w:val="00921EB9"/>
    <w:rsid w:val="00922C57"/>
    <w:rsid w:val="00923692"/>
    <w:rsid w:val="0092369B"/>
    <w:rsid w:val="00923726"/>
    <w:rsid w:val="00924664"/>
    <w:rsid w:val="009254B6"/>
    <w:rsid w:val="00925F98"/>
    <w:rsid w:val="00925FB7"/>
    <w:rsid w:val="0092614F"/>
    <w:rsid w:val="0092708C"/>
    <w:rsid w:val="00927204"/>
    <w:rsid w:val="00927390"/>
    <w:rsid w:val="00927F55"/>
    <w:rsid w:val="009305A9"/>
    <w:rsid w:val="00930A72"/>
    <w:rsid w:val="00931E62"/>
    <w:rsid w:val="00932237"/>
    <w:rsid w:val="0093267F"/>
    <w:rsid w:val="009338AA"/>
    <w:rsid w:val="00933DE4"/>
    <w:rsid w:val="00934267"/>
    <w:rsid w:val="00934988"/>
    <w:rsid w:val="00934ECC"/>
    <w:rsid w:val="009359FC"/>
    <w:rsid w:val="00935F01"/>
    <w:rsid w:val="0093681E"/>
    <w:rsid w:val="00937089"/>
    <w:rsid w:val="009378E5"/>
    <w:rsid w:val="00940292"/>
    <w:rsid w:val="009406E2"/>
    <w:rsid w:val="0094097A"/>
    <w:rsid w:val="00940CF0"/>
    <w:rsid w:val="009412CD"/>
    <w:rsid w:val="00941993"/>
    <w:rsid w:val="00941D04"/>
    <w:rsid w:val="00941DD1"/>
    <w:rsid w:val="00942B0B"/>
    <w:rsid w:val="00942C1C"/>
    <w:rsid w:val="00943FB6"/>
    <w:rsid w:val="00944AAE"/>
    <w:rsid w:val="00944F8A"/>
    <w:rsid w:val="009450DF"/>
    <w:rsid w:val="009454D7"/>
    <w:rsid w:val="00945715"/>
    <w:rsid w:val="00945D6D"/>
    <w:rsid w:val="00946343"/>
    <w:rsid w:val="0094636A"/>
    <w:rsid w:val="00946ACF"/>
    <w:rsid w:val="00946BBA"/>
    <w:rsid w:val="00946D62"/>
    <w:rsid w:val="00946D7E"/>
    <w:rsid w:val="00947156"/>
    <w:rsid w:val="00950069"/>
    <w:rsid w:val="009510A2"/>
    <w:rsid w:val="0095150F"/>
    <w:rsid w:val="009523FF"/>
    <w:rsid w:val="0095275C"/>
    <w:rsid w:val="00952A3A"/>
    <w:rsid w:val="009530F9"/>
    <w:rsid w:val="00953257"/>
    <w:rsid w:val="009536A1"/>
    <w:rsid w:val="00953CA8"/>
    <w:rsid w:val="009540EB"/>
    <w:rsid w:val="00954118"/>
    <w:rsid w:val="00954169"/>
    <w:rsid w:val="0095422C"/>
    <w:rsid w:val="00954390"/>
    <w:rsid w:val="0095439E"/>
    <w:rsid w:val="0095474C"/>
    <w:rsid w:val="00954C9E"/>
    <w:rsid w:val="009550A3"/>
    <w:rsid w:val="00955348"/>
    <w:rsid w:val="00956133"/>
    <w:rsid w:val="009569F3"/>
    <w:rsid w:val="009573D2"/>
    <w:rsid w:val="00957D64"/>
    <w:rsid w:val="00957DA0"/>
    <w:rsid w:val="0096171A"/>
    <w:rsid w:val="00961B82"/>
    <w:rsid w:val="009624D2"/>
    <w:rsid w:val="00962CB9"/>
    <w:rsid w:val="00962DC1"/>
    <w:rsid w:val="00963750"/>
    <w:rsid w:val="00963F49"/>
    <w:rsid w:val="00964312"/>
    <w:rsid w:val="00964748"/>
    <w:rsid w:val="00964974"/>
    <w:rsid w:val="009650DD"/>
    <w:rsid w:val="00965222"/>
    <w:rsid w:val="009659A6"/>
    <w:rsid w:val="00965B8A"/>
    <w:rsid w:val="00966C8F"/>
    <w:rsid w:val="00966D9C"/>
    <w:rsid w:val="00966F2C"/>
    <w:rsid w:val="00966F2D"/>
    <w:rsid w:val="00967135"/>
    <w:rsid w:val="009700DC"/>
    <w:rsid w:val="0097071F"/>
    <w:rsid w:val="009708FE"/>
    <w:rsid w:val="00970E87"/>
    <w:rsid w:val="00971148"/>
    <w:rsid w:val="009717AC"/>
    <w:rsid w:val="00971BF1"/>
    <w:rsid w:val="009725DA"/>
    <w:rsid w:val="009736EE"/>
    <w:rsid w:val="00973F56"/>
    <w:rsid w:val="00974002"/>
    <w:rsid w:val="0097442A"/>
    <w:rsid w:val="00974590"/>
    <w:rsid w:val="00974CA3"/>
    <w:rsid w:val="00974DB7"/>
    <w:rsid w:val="009751C1"/>
    <w:rsid w:val="00975752"/>
    <w:rsid w:val="0097586C"/>
    <w:rsid w:val="009766FF"/>
    <w:rsid w:val="00976A5A"/>
    <w:rsid w:val="0097760A"/>
    <w:rsid w:val="00977B80"/>
    <w:rsid w:val="00980528"/>
    <w:rsid w:val="009811F1"/>
    <w:rsid w:val="00981EB8"/>
    <w:rsid w:val="0098283B"/>
    <w:rsid w:val="0098295D"/>
    <w:rsid w:val="00982FB6"/>
    <w:rsid w:val="00983835"/>
    <w:rsid w:val="00983B31"/>
    <w:rsid w:val="00983E57"/>
    <w:rsid w:val="009848DC"/>
    <w:rsid w:val="00984B90"/>
    <w:rsid w:val="00985107"/>
    <w:rsid w:val="00985129"/>
    <w:rsid w:val="00985DE2"/>
    <w:rsid w:val="00985EDC"/>
    <w:rsid w:val="0098675D"/>
    <w:rsid w:val="00987C8A"/>
    <w:rsid w:val="00990545"/>
    <w:rsid w:val="0099093A"/>
    <w:rsid w:val="00990CF3"/>
    <w:rsid w:val="009925D7"/>
    <w:rsid w:val="009926E0"/>
    <w:rsid w:val="0099336E"/>
    <w:rsid w:val="00993844"/>
    <w:rsid w:val="00993F8E"/>
    <w:rsid w:val="0099451E"/>
    <w:rsid w:val="00995708"/>
    <w:rsid w:val="009963EB"/>
    <w:rsid w:val="0099652A"/>
    <w:rsid w:val="00996B1A"/>
    <w:rsid w:val="00997118"/>
    <w:rsid w:val="009971B9"/>
    <w:rsid w:val="00997E32"/>
    <w:rsid w:val="00997E54"/>
    <w:rsid w:val="009A0530"/>
    <w:rsid w:val="009A11BD"/>
    <w:rsid w:val="009A1CC2"/>
    <w:rsid w:val="009A2157"/>
    <w:rsid w:val="009A233B"/>
    <w:rsid w:val="009A2B2E"/>
    <w:rsid w:val="009A2D29"/>
    <w:rsid w:val="009A2DCC"/>
    <w:rsid w:val="009A3269"/>
    <w:rsid w:val="009A387C"/>
    <w:rsid w:val="009A48EA"/>
    <w:rsid w:val="009A4AF9"/>
    <w:rsid w:val="009A4C7E"/>
    <w:rsid w:val="009A4CD8"/>
    <w:rsid w:val="009A558B"/>
    <w:rsid w:val="009A56D7"/>
    <w:rsid w:val="009A56E7"/>
    <w:rsid w:val="009A5ABC"/>
    <w:rsid w:val="009A5ECC"/>
    <w:rsid w:val="009A63F0"/>
    <w:rsid w:val="009A7F10"/>
    <w:rsid w:val="009B06CC"/>
    <w:rsid w:val="009B095A"/>
    <w:rsid w:val="009B0AFB"/>
    <w:rsid w:val="009B1107"/>
    <w:rsid w:val="009B1369"/>
    <w:rsid w:val="009B18C0"/>
    <w:rsid w:val="009B19F5"/>
    <w:rsid w:val="009B28DC"/>
    <w:rsid w:val="009B2D70"/>
    <w:rsid w:val="009B390A"/>
    <w:rsid w:val="009B3929"/>
    <w:rsid w:val="009B3E26"/>
    <w:rsid w:val="009B3EB0"/>
    <w:rsid w:val="009B461B"/>
    <w:rsid w:val="009B46BE"/>
    <w:rsid w:val="009B4718"/>
    <w:rsid w:val="009B5557"/>
    <w:rsid w:val="009B5823"/>
    <w:rsid w:val="009B5A67"/>
    <w:rsid w:val="009B5AB5"/>
    <w:rsid w:val="009B5F04"/>
    <w:rsid w:val="009B7B93"/>
    <w:rsid w:val="009B7F1F"/>
    <w:rsid w:val="009C048A"/>
    <w:rsid w:val="009C05C6"/>
    <w:rsid w:val="009C061A"/>
    <w:rsid w:val="009C0AD9"/>
    <w:rsid w:val="009C0C4E"/>
    <w:rsid w:val="009C0C7E"/>
    <w:rsid w:val="009C13EF"/>
    <w:rsid w:val="009C16CB"/>
    <w:rsid w:val="009C2747"/>
    <w:rsid w:val="009C3706"/>
    <w:rsid w:val="009C3A3A"/>
    <w:rsid w:val="009C4174"/>
    <w:rsid w:val="009C47A8"/>
    <w:rsid w:val="009C4964"/>
    <w:rsid w:val="009C4A4A"/>
    <w:rsid w:val="009C59BF"/>
    <w:rsid w:val="009C5D0C"/>
    <w:rsid w:val="009C64B9"/>
    <w:rsid w:val="009C6A6B"/>
    <w:rsid w:val="009C6CD2"/>
    <w:rsid w:val="009C6CEA"/>
    <w:rsid w:val="009C740C"/>
    <w:rsid w:val="009C7494"/>
    <w:rsid w:val="009C750D"/>
    <w:rsid w:val="009C7B85"/>
    <w:rsid w:val="009C7ECD"/>
    <w:rsid w:val="009D01B2"/>
    <w:rsid w:val="009D0254"/>
    <w:rsid w:val="009D04E7"/>
    <w:rsid w:val="009D0BBD"/>
    <w:rsid w:val="009D1261"/>
    <w:rsid w:val="009D1615"/>
    <w:rsid w:val="009D1A64"/>
    <w:rsid w:val="009D1C8A"/>
    <w:rsid w:val="009D2C36"/>
    <w:rsid w:val="009D2D07"/>
    <w:rsid w:val="009D2E0E"/>
    <w:rsid w:val="009D2F22"/>
    <w:rsid w:val="009D38D9"/>
    <w:rsid w:val="009D3C27"/>
    <w:rsid w:val="009D5899"/>
    <w:rsid w:val="009D59D1"/>
    <w:rsid w:val="009D5B91"/>
    <w:rsid w:val="009D6076"/>
    <w:rsid w:val="009D619D"/>
    <w:rsid w:val="009D6561"/>
    <w:rsid w:val="009D7048"/>
    <w:rsid w:val="009D7897"/>
    <w:rsid w:val="009D792E"/>
    <w:rsid w:val="009D799B"/>
    <w:rsid w:val="009E0375"/>
    <w:rsid w:val="009E0437"/>
    <w:rsid w:val="009E08F6"/>
    <w:rsid w:val="009E0A62"/>
    <w:rsid w:val="009E0DFE"/>
    <w:rsid w:val="009E1105"/>
    <w:rsid w:val="009E1BBB"/>
    <w:rsid w:val="009E26A7"/>
    <w:rsid w:val="009E31F6"/>
    <w:rsid w:val="009E39D0"/>
    <w:rsid w:val="009E4BFA"/>
    <w:rsid w:val="009E4C07"/>
    <w:rsid w:val="009E4E61"/>
    <w:rsid w:val="009E5359"/>
    <w:rsid w:val="009E58D3"/>
    <w:rsid w:val="009E6453"/>
    <w:rsid w:val="009F01BC"/>
    <w:rsid w:val="009F02C5"/>
    <w:rsid w:val="009F11B5"/>
    <w:rsid w:val="009F1B32"/>
    <w:rsid w:val="009F2BB9"/>
    <w:rsid w:val="009F32B9"/>
    <w:rsid w:val="009F369E"/>
    <w:rsid w:val="009F373E"/>
    <w:rsid w:val="009F4029"/>
    <w:rsid w:val="009F4104"/>
    <w:rsid w:val="009F4109"/>
    <w:rsid w:val="009F45F1"/>
    <w:rsid w:val="009F4AD0"/>
    <w:rsid w:val="009F4F36"/>
    <w:rsid w:val="009F55D9"/>
    <w:rsid w:val="009F5650"/>
    <w:rsid w:val="009F5C81"/>
    <w:rsid w:val="009F6A84"/>
    <w:rsid w:val="009F6D6F"/>
    <w:rsid w:val="009F7494"/>
    <w:rsid w:val="009F7957"/>
    <w:rsid w:val="009F7FD9"/>
    <w:rsid w:val="00A00444"/>
    <w:rsid w:val="00A00C22"/>
    <w:rsid w:val="00A00E95"/>
    <w:rsid w:val="00A01184"/>
    <w:rsid w:val="00A01287"/>
    <w:rsid w:val="00A012E5"/>
    <w:rsid w:val="00A01480"/>
    <w:rsid w:val="00A0222E"/>
    <w:rsid w:val="00A0271D"/>
    <w:rsid w:val="00A02A2B"/>
    <w:rsid w:val="00A037C2"/>
    <w:rsid w:val="00A03D43"/>
    <w:rsid w:val="00A04380"/>
    <w:rsid w:val="00A04399"/>
    <w:rsid w:val="00A0442C"/>
    <w:rsid w:val="00A04789"/>
    <w:rsid w:val="00A04C25"/>
    <w:rsid w:val="00A05472"/>
    <w:rsid w:val="00A0566F"/>
    <w:rsid w:val="00A057FA"/>
    <w:rsid w:val="00A05833"/>
    <w:rsid w:val="00A05C32"/>
    <w:rsid w:val="00A05FF3"/>
    <w:rsid w:val="00A0653F"/>
    <w:rsid w:val="00A07948"/>
    <w:rsid w:val="00A1016E"/>
    <w:rsid w:val="00A10540"/>
    <w:rsid w:val="00A10B04"/>
    <w:rsid w:val="00A10B44"/>
    <w:rsid w:val="00A10CC5"/>
    <w:rsid w:val="00A11342"/>
    <w:rsid w:val="00A115B1"/>
    <w:rsid w:val="00A11AAC"/>
    <w:rsid w:val="00A11BBD"/>
    <w:rsid w:val="00A11CD0"/>
    <w:rsid w:val="00A11E2D"/>
    <w:rsid w:val="00A11FE8"/>
    <w:rsid w:val="00A1214B"/>
    <w:rsid w:val="00A1261A"/>
    <w:rsid w:val="00A131CD"/>
    <w:rsid w:val="00A132D8"/>
    <w:rsid w:val="00A135C3"/>
    <w:rsid w:val="00A138EF"/>
    <w:rsid w:val="00A13948"/>
    <w:rsid w:val="00A14BE7"/>
    <w:rsid w:val="00A14FA1"/>
    <w:rsid w:val="00A1555B"/>
    <w:rsid w:val="00A155C5"/>
    <w:rsid w:val="00A1573F"/>
    <w:rsid w:val="00A15A7A"/>
    <w:rsid w:val="00A15ACF"/>
    <w:rsid w:val="00A161CC"/>
    <w:rsid w:val="00A161F5"/>
    <w:rsid w:val="00A1649C"/>
    <w:rsid w:val="00A16AD8"/>
    <w:rsid w:val="00A17375"/>
    <w:rsid w:val="00A179BD"/>
    <w:rsid w:val="00A17EFC"/>
    <w:rsid w:val="00A20294"/>
    <w:rsid w:val="00A20536"/>
    <w:rsid w:val="00A20761"/>
    <w:rsid w:val="00A217DD"/>
    <w:rsid w:val="00A21C95"/>
    <w:rsid w:val="00A21CF3"/>
    <w:rsid w:val="00A2241F"/>
    <w:rsid w:val="00A23660"/>
    <w:rsid w:val="00A23A35"/>
    <w:rsid w:val="00A23CF9"/>
    <w:rsid w:val="00A24813"/>
    <w:rsid w:val="00A24A93"/>
    <w:rsid w:val="00A25827"/>
    <w:rsid w:val="00A25A92"/>
    <w:rsid w:val="00A26656"/>
    <w:rsid w:val="00A276BB"/>
    <w:rsid w:val="00A27AEC"/>
    <w:rsid w:val="00A308BC"/>
    <w:rsid w:val="00A30E60"/>
    <w:rsid w:val="00A30EC5"/>
    <w:rsid w:val="00A3123F"/>
    <w:rsid w:val="00A31353"/>
    <w:rsid w:val="00A31461"/>
    <w:rsid w:val="00A31B18"/>
    <w:rsid w:val="00A31CA6"/>
    <w:rsid w:val="00A320DB"/>
    <w:rsid w:val="00A331BE"/>
    <w:rsid w:val="00A33465"/>
    <w:rsid w:val="00A33D46"/>
    <w:rsid w:val="00A34557"/>
    <w:rsid w:val="00A34638"/>
    <w:rsid w:val="00A3490B"/>
    <w:rsid w:val="00A34AA2"/>
    <w:rsid w:val="00A3587C"/>
    <w:rsid w:val="00A35D16"/>
    <w:rsid w:val="00A3618B"/>
    <w:rsid w:val="00A361A1"/>
    <w:rsid w:val="00A3683D"/>
    <w:rsid w:val="00A3689D"/>
    <w:rsid w:val="00A36B7C"/>
    <w:rsid w:val="00A3749F"/>
    <w:rsid w:val="00A37962"/>
    <w:rsid w:val="00A37A9C"/>
    <w:rsid w:val="00A37BCD"/>
    <w:rsid w:val="00A4043A"/>
    <w:rsid w:val="00A40CCA"/>
    <w:rsid w:val="00A41689"/>
    <w:rsid w:val="00A41C84"/>
    <w:rsid w:val="00A41C87"/>
    <w:rsid w:val="00A41E50"/>
    <w:rsid w:val="00A420FF"/>
    <w:rsid w:val="00A42592"/>
    <w:rsid w:val="00A42A7E"/>
    <w:rsid w:val="00A42E47"/>
    <w:rsid w:val="00A431BF"/>
    <w:rsid w:val="00A4375B"/>
    <w:rsid w:val="00A4383C"/>
    <w:rsid w:val="00A438B1"/>
    <w:rsid w:val="00A438D5"/>
    <w:rsid w:val="00A43C59"/>
    <w:rsid w:val="00A44013"/>
    <w:rsid w:val="00A4475D"/>
    <w:rsid w:val="00A44B1A"/>
    <w:rsid w:val="00A44C48"/>
    <w:rsid w:val="00A44D6D"/>
    <w:rsid w:val="00A45A43"/>
    <w:rsid w:val="00A45B86"/>
    <w:rsid w:val="00A45CEE"/>
    <w:rsid w:val="00A45F54"/>
    <w:rsid w:val="00A463F4"/>
    <w:rsid w:val="00A46D04"/>
    <w:rsid w:val="00A46D62"/>
    <w:rsid w:val="00A4756C"/>
    <w:rsid w:val="00A47693"/>
    <w:rsid w:val="00A47AB3"/>
    <w:rsid w:val="00A47E74"/>
    <w:rsid w:val="00A50253"/>
    <w:rsid w:val="00A506E5"/>
    <w:rsid w:val="00A50ECD"/>
    <w:rsid w:val="00A512D3"/>
    <w:rsid w:val="00A518F3"/>
    <w:rsid w:val="00A52729"/>
    <w:rsid w:val="00A52CDF"/>
    <w:rsid w:val="00A52D2E"/>
    <w:rsid w:val="00A52DA6"/>
    <w:rsid w:val="00A52F9A"/>
    <w:rsid w:val="00A53675"/>
    <w:rsid w:val="00A53B92"/>
    <w:rsid w:val="00A53EEB"/>
    <w:rsid w:val="00A540C8"/>
    <w:rsid w:val="00A54407"/>
    <w:rsid w:val="00A546E3"/>
    <w:rsid w:val="00A54DF5"/>
    <w:rsid w:val="00A5643A"/>
    <w:rsid w:val="00A564D7"/>
    <w:rsid w:val="00A56878"/>
    <w:rsid w:val="00A56B6A"/>
    <w:rsid w:val="00A56DCC"/>
    <w:rsid w:val="00A57200"/>
    <w:rsid w:val="00A5724A"/>
    <w:rsid w:val="00A578AF"/>
    <w:rsid w:val="00A578B3"/>
    <w:rsid w:val="00A578DC"/>
    <w:rsid w:val="00A604B1"/>
    <w:rsid w:val="00A609F2"/>
    <w:rsid w:val="00A60BD3"/>
    <w:rsid w:val="00A61163"/>
    <w:rsid w:val="00A61F27"/>
    <w:rsid w:val="00A622BE"/>
    <w:rsid w:val="00A63588"/>
    <w:rsid w:val="00A63D4D"/>
    <w:rsid w:val="00A640E2"/>
    <w:rsid w:val="00A6466D"/>
    <w:rsid w:val="00A64CC9"/>
    <w:rsid w:val="00A64D65"/>
    <w:rsid w:val="00A652A8"/>
    <w:rsid w:val="00A65329"/>
    <w:rsid w:val="00A65C2B"/>
    <w:rsid w:val="00A65C9E"/>
    <w:rsid w:val="00A663E2"/>
    <w:rsid w:val="00A667FE"/>
    <w:rsid w:val="00A6725B"/>
    <w:rsid w:val="00A678EC"/>
    <w:rsid w:val="00A67AC2"/>
    <w:rsid w:val="00A67F34"/>
    <w:rsid w:val="00A70605"/>
    <w:rsid w:val="00A7168F"/>
    <w:rsid w:val="00A729DA"/>
    <w:rsid w:val="00A72E39"/>
    <w:rsid w:val="00A72F8F"/>
    <w:rsid w:val="00A73108"/>
    <w:rsid w:val="00A73134"/>
    <w:rsid w:val="00A73572"/>
    <w:rsid w:val="00A74203"/>
    <w:rsid w:val="00A751DE"/>
    <w:rsid w:val="00A7542F"/>
    <w:rsid w:val="00A7553B"/>
    <w:rsid w:val="00A76001"/>
    <w:rsid w:val="00A7618D"/>
    <w:rsid w:val="00A76EE3"/>
    <w:rsid w:val="00A772A6"/>
    <w:rsid w:val="00A7777B"/>
    <w:rsid w:val="00A777B2"/>
    <w:rsid w:val="00A8038F"/>
    <w:rsid w:val="00A824EC"/>
    <w:rsid w:val="00A825D4"/>
    <w:rsid w:val="00A82681"/>
    <w:rsid w:val="00A82853"/>
    <w:rsid w:val="00A828F6"/>
    <w:rsid w:val="00A82B73"/>
    <w:rsid w:val="00A8346F"/>
    <w:rsid w:val="00A849A5"/>
    <w:rsid w:val="00A85661"/>
    <w:rsid w:val="00A85680"/>
    <w:rsid w:val="00A862C7"/>
    <w:rsid w:val="00A86B00"/>
    <w:rsid w:val="00A86E8B"/>
    <w:rsid w:val="00A87164"/>
    <w:rsid w:val="00A872E7"/>
    <w:rsid w:val="00A874FF"/>
    <w:rsid w:val="00A8752E"/>
    <w:rsid w:val="00A87BCD"/>
    <w:rsid w:val="00A905AE"/>
    <w:rsid w:val="00A907ED"/>
    <w:rsid w:val="00A90809"/>
    <w:rsid w:val="00A9162A"/>
    <w:rsid w:val="00A9167D"/>
    <w:rsid w:val="00A91C3B"/>
    <w:rsid w:val="00A91D07"/>
    <w:rsid w:val="00A92517"/>
    <w:rsid w:val="00A925DE"/>
    <w:rsid w:val="00A93072"/>
    <w:rsid w:val="00A934FC"/>
    <w:rsid w:val="00A93754"/>
    <w:rsid w:val="00A938BD"/>
    <w:rsid w:val="00A93953"/>
    <w:rsid w:val="00A93EB1"/>
    <w:rsid w:val="00A93F2F"/>
    <w:rsid w:val="00A94243"/>
    <w:rsid w:val="00A94347"/>
    <w:rsid w:val="00A94974"/>
    <w:rsid w:val="00A94CC6"/>
    <w:rsid w:val="00A959BF"/>
    <w:rsid w:val="00A959D8"/>
    <w:rsid w:val="00A95ECE"/>
    <w:rsid w:val="00A95F5A"/>
    <w:rsid w:val="00A96759"/>
    <w:rsid w:val="00A9771C"/>
    <w:rsid w:val="00A97B39"/>
    <w:rsid w:val="00A97F24"/>
    <w:rsid w:val="00AA020C"/>
    <w:rsid w:val="00AA06CE"/>
    <w:rsid w:val="00AA0F31"/>
    <w:rsid w:val="00AA113D"/>
    <w:rsid w:val="00AA1801"/>
    <w:rsid w:val="00AA311A"/>
    <w:rsid w:val="00AA3637"/>
    <w:rsid w:val="00AA42E2"/>
    <w:rsid w:val="00AA4313"/>
    <w:rsid w:val="00AA442A"/>
    <w:rsid w:val="00AA4536"/>
    <w:rsid w:val="00AA48D0"/>
    <w:rsid w:val="00AA4BAC"/>
    <w:rsid w:val="00AA5557"/>
    <w:rsid w:val="00AA64F4"/>
    <w:rsid w:val="00AA6500"/>
    <w:rsid w:val="00AA690F"/>
    <w:rsid w:val="00AA6BD5"/>
    <w:rsid w:val="00AA6BD8"/>
    <w:rsid w:val="00AA6C7D"/>
    <w:rsid w:val="00AA6CF0"/>
    <w:rsid w:val="00AA7FD6"/>
    <w:rsid w:val="00AB042A"/>
    <w:rsid w:val="00AB07B3"/>
    <w:rsid w:val="00AB0E04"/>
    <w:rsid w:val="00AB0F97"/>
    <w:rsid w:val="00AB0FA8"/>
    <w:rsid w:val="00AB19EF"/>
    <w:rsid w:val="00AB1C91"/>
    <w:rsid w:val="00AB1D18"/>
    <w:rsid w:val="00AB285E"/>
    <w:rsid w:val="00AB2D34"/>
    <w:rsid w:val="00AB3314"/>
    <w:rsid w:val="00AB331C"/>
    <w:rsid w:val="00AB3430"/>
    <w:rsid w:val="00AB3795"/>
    <w:rsid w:val="00AB37B9"/>
    <w:rsid w:val="00AB3ED8"/>
    <w:rsid w:val="00AB432E"/>
    <w:rsid w:val="00AB460E"/>
    <w:rsid w:val="00AB4AD1"/>
    <w:rsid w:val="00AB4E75"/>
    <w:rsid w:val="00AB51A1"/>
    <w:rsid w:val="00AB55FB"/>
    <w:rsid w:val="00AB5A48"/>
    <w:rsid w:val="00AB5E07"/>
    <w:rsid w:val="00AB5F0B"/>
    <w:rsid w:val="00AB674C"/>
    <w:rsid w:val="00AB6F84"/>
    <w:rsid w:val="00AB72D4"/>
    <w:rsid w:val="00AB73A3"/>
    <w:rsid w:val="00AB77C4"/>
    <w:rsid w:val="00AB7CFA"/>
    <w:rsid w:val="00AC00CB"/>
    <w:rsid w:val="00AC09BF"/>
    <w:rsid w:val="00AC0BFD"/>
    <w:rsid w:val="00AC1354"/>
    <w:rsid w:val="00AC1AF5"/>
    <w:rsid w:val="00AC2070"/>
    <w:rsid w:val="00AC2617"/>
    <w:rsid w:val="00AC4CCE"/>
    <w:rsid w:val="00AC4E6B"/>
    <w:rsid w:val="00AC5347"/>
    <w:rsid w:val="00AC5B48"/>
    <w:rsid w:val="00AC5FE9"/>
    <w:rsid w:val="00AC65EE"/>
    <w:rsid w:val="00AC6C06"/>
    <w:rsid w:val="00AC6C1B"/>
    <w:rsid w:val="00AC6C6F"/>
    <w:rsid w:val="00AC6FD1"/>
    <w:rsid w:val="00AC77B2"/>
    <w:rsid w:val="00AD0E33"/>
    <w:rsid w:val="00AD1450"/>
    <w:rsid w:val="00AD18A9"/>
    <w:rsid w:val="00AD1A7F"/>
    <w:rsid w:val="00AD212B"/>
    <w:rsid w:val="00AD2E2A"/>
    <w:rsid w:val="00AD37AB"/>
    <w:rsid w:val="00AD3CAF"/>
    <w:rsid w:val="00AD3CB7"/>
    <w:rsid w:val="00AD3D13"/>
    <w:rsid w:val="00AD4A00"/>
    <w:rsid w:val="00AD4B15"/>
    <w:rsid w:val="00AD526C"/>
    <w:rsid w:val="00AD561D"/>
    <w:rsid w:val="00AD6345"/>
    <w:rsid w:val="00AD6502"/>
    <w:rsid w:val="00AD6E55"/>
    <w:rsid w:val="00AD734D"/>
    <w:rsid w:val="00AD7439"/>
    <w:rsid w:val="00AD7EA8"/>
    <w:rsid w:val="00AE0695"/>
    <w:rsid w:val="00AE0B66"/>
    <w:rsid w:val="00AE10BD"/>
    <w:rsid w:val="00AE198F"/>
    <w:rsid w:val="00AE1AF8"/>
    <w:rsid w:val="00AE238C"/>
    <w:rsid w:val="00AE2A51"/>
    <w:rsid w:val="00AE38FF"/>
    <w:rsid w:val="00AE3A4E"/>
    <w:rsid w:val="00AE3D8E"/>
    <w:rsid w:val="00AE3E7E"/>
    <w:rsid w:val="00AE4A10"/>
    <w:rsid w:val="00AE4BDD"/>
    <w:rsid w:val="00AE4CAC"/>
    <w:rsid w:val="00AE4D84"/>
    <w:rsid w:val="00AE51E7"/>
    <w:rsid w:val="00AE6DB4"/>
    <w:rsid w:val="00AE72B8"/>
    <w:rsid w:val="00AF0247"/>
    <w:rsid w:val="00AF0633"/>
    <w:rsid w:val="00AF0BDB"/>
    <w:rsid w:val="00AF0FD8"/>
    <w:rsid w:val="00AF1315"/>
    <w:rsid w:val="00AF141A"/>
    <w:rsid w:val="00AF19BF"/>
    <w:rsid w:val="00AF1A0F"/>
    <w:rsid w:val="00AF1D3D"/>
    <w:rsid w:val="00AF1EBD"/>
    <w:rsid w:val="00AF2DC3"/>
    <w:rsid w:val="00AF2EDA"/>
    <w:rsid w:val="00AF42BF"/>
    <w:rsid w:val="00AF4398"/>
    <w:rsid w:val="00AF4515"/>
    <w:rsid w:val="00AF498B"/>
    <w:rsid w:val="00AF4FF5"/>
    <w:rsid w:val="00AF55EE"/>
    <w:rsid w:val="00AF595F"/>
    <w:rsid w:val="00AF6060"/>
    <w:rsid w:val="00AF63BC"/>
    <w:rsid w:val="00AF644A"/>
    <w:rsid w:val="00AF699E"/>
    <w:rsid w:val="00AF6A88"/>
    <w:rsid w:val="00AF6BA1"/>
    <w:rsid w:val="00AF6C06"/>
    <w:rsid w:val="00AF6F01"/>
    <w:rsid w:val="00AF6F62"/>
    <w:rsid w:val="00AF70AC"/>
    <w:rsid w:val="00AF726E"/>
    <w:rsid w:val="00AF77CC"/>
    <w:rsid w:val="00AF79D4"/>
    <w:rsid w:val="00B004F5"/>
    <w:rsid w:val="00B00A22"/>
    <w:rsid w:val="00B011F4"/>
    <w:rsid w:val="00B0135A"/>
    <w:rsid w:val="00B01634"/>
    <w:rsid w:val="00B026A3"/>
    <w:rsid w:val="00B02ADA"/>
    <w:rsid w:val="00B033E5"/>
    <w:rsid w:val="00B03421"/>
    <w:rsid w:val="00B03680"/>
    <w:rsid w:val="00B03749"/>
    <w:rsid w:val="00B03A63"/>
    <w:rsid w:val="00B03E36"/>
    <w:rsid w:val="00B04E71"/>
    <w:rsid w:val="00B05CFF"/>
    <w:rsid w:val="00B0601C"/>
    <w:rsid w:val="00B06693"/>
    <w:rsid w:val="00B0687D"/>
    <w:rsid w:val="00B06D68"/>
    <w:rsid w:val="00B0731C"/>
    <w:rsid w:val="00B076E7"/>
    <w:rsid w:val="00B10307"/>
    <w:rsid w:val="00B103E2"/>
    <w:rsid w:val="00B11B13"/>
    <w:rsid w:val="00B124AF"/>
    <w:rsid w:val="00B128DA"/>
    <w:rsid w:val="00B14F24"/>
    <w:rsid w:val="00B15620"/>
    <w:rsid w:val="00B156C9"/>
    <w:rsid w:val="00B1652F"/>
    <w:rsid w:val="00B168BD"/>
    <w:rsid w:val="00B176E1"/>
    <w:rsid w:val="00B17885"/>
    <w:rsid w:val="00B17C7A"/>
    <w:rsid w:val="00B20194"/>
    <w:rsid w:val="00B201A4"/>
    <w:rsid w:val="00B201D1"/>
    <w:rsid w:val="00B2103F"/>
    <w:rsid w:val="00B213A6"/>
    <w:rsid w:val="00B21624"/>
    <w:rsid w:val="00B219E6"/>
    <w:rsid w:val="00B21A4D"/>
    <w:rsid w:val="00B21BC0"/>
    <w:rsid w:val="00B21D70"/>
    <w:rsid w:val="00B21E8D"/>
    <w:rsid w:val="00B22C2E"/>
    <w:rsid w:val="00B23183"/>
    <w:rsid w:val="00B233BE"/>
    <w:rsid w:val="00B233F1"/>
    <w:rsid w:val="00B234AF"/>
    <w:rsid w:val="00B235B0"/>
    <w:rsid w:val="00B236DB"/>
    <w:rsid w:val="00B2383B"/>
    <w:rsid w:val="00B238EF"/>
    <w:rsid w:val="00B2405A"/>
    <w:rsid w:val="00B245C2"/>
    <w:rsid w:val="00B24DF6"/>
    <w:rsid w:val="00B256D7"/>
    <w:rsid w:val="00B25ABB"/>
    <w:rsid w:val="00B2632C"/>
    <w:rsid w:val="00B265EA"/>
    <w:rsid w:val="00B269C4"/>
    <w:rsid w:val="00B271A4"/>
    <w:rsid w:val="00B2740E"/>
    <w:rsid w:val="00B27737"/>
    <w:rsid w:val="00B30361"/>
    <w:rsid w:val="00B30393"/>
    <w:rsid w:val="00B304E9"/>
    <w:rsid w:val="00B30F2C"/>
    <w:rsid w:val="00B30FAD"/>
    <w:rsid w:val="00B311F4"/>
    <w:rsid w:val="00B31608"/>
    <w:rsid w:val="00B31D5D"/>
    <w:rsid w:val="00B325A9"/>
    <w:rsid w:val="00B3274B"/>
    <w:rsid w:val="00B32BD1"/>
    <w:rsid w:val="00B34247"/>
    <w:rsid w:val="00B34C82"/>
    <w:rsid w:val="00B34FE2"/>
    <w:rsid w:val="00B35166"/>
    <w:rsid w:val="00B354A3"/>
    <w:rsid w:val="00B357D8"/>
    <w:rsid w:val="00B360F4"/>
    <w:rsid w:val="00B36641"/>
    <w:rsid w:val="00B36A00"/>
    <w:rsid w:val="00B36CE8"/>
    <w:rsid w:val="00B36D9D"/>
    <w:rsid w:val="00B3728A"/>
    <w:rsid w:val="00B375BA"/>
    <w:rsid w:val="00B37878"/>
    <w:rsid w:val="00B37BFC"/>
    <w:rsid w:val="00B37FB5"/>
    <w:rsid w:val="00B40358"/>
    <w:rsid w:val="00B4054B"/>
    <w:rsid w:val="00B4152D"/>
    <w:rsid w:val="00B41614"/>
    <w:rsid w:val="00B41DA5"/>
    <w:rsid w:val="00B42851"/>
    <w:rsid w:val="00B42A61"/>
    <w:rsid w:val="00B42F80"/>
    <w:rsid w:val="00B433DA"/>
    <w:rsid w:val="00B43554"/>
    <w:rsid w:val="00B435CB"/>
    <w:rsid w:val="00B45959"/>
    <w:rsid w:val="00B45B0B"/>
    <w:rsid w:val="00B461A0"/>
    <w:rsid w:val="00B4681A"/>
    <w:rsid w:val="00B47A28"/>
    <w:rsid w:val="00B47DA7"/>
    <w:rsid w:val="00B505C8"/>
    <w:rsid w:val="00B50DB8"/>
    <w:rsid w:val="00B51524"/>
    <w:rsid w:val="00B51647"/>
    <w:rsid w:val="00B51B1E"/>
    <w:rsid w:val="00B51F27"/>
    <w:rsid w:val="00B52378"/>
    <w:rsid w:val="00B52555"/>
    <w:rsid w:val="00B52BC8"/>
    <w:rsid w:val="00B52FEC"/>
    <w:rsid w:val="00B53654"/>
    <w:rsid w:val="00B53905"/>
    <w:rsid w:val="00B54241"/>
    <w:rsid w:val="00B54966"/>
    <w:rsid w:val="00B54B5B"/>
    <w:rsid w:val="00B55409"/>
    <w:rsid w:val="00B5562E"/>
    <w:rsid w:val="00B5587C"/>
    <w:rsid w:val="00B55D65"/>
    <w:rsid w:val="00B55E85"/>
    <w:rsid w:val="00B565BA"/>
    <w:rsid w:val="00B565FE"/>
    <w:rsid w:val="00B56672"/>
    <w:rsid w:val="00B56761"/>
    <w:rsid w:val="00B56C77"/>
    <w:rsid w:val="00B57000"/>
    <w:rsid w:val="00B5725E"/>
    <w:rsid w:val="00B573A8"/>
    <w:rsid w:val="00B6073B"/>
    <w:rsid w:val="00B60939"/>
    <w:rsid w:val="00B60AFD"/>
    <w:rsid w:val="00B60E01"/>
    <w:rsid w:val="00B60FB1"/>
    <w:rsid w:val="00B6175E"/>
    <w:rsid w:val="00B6260F"/>
    <w:rsid w:val="00B62715"/>
    <w:rsid w:val="00B631E3"/>
    <w:rsid w:val="00B650D2"/>
    <w:rsid w:val="00B65611"/>
    <w:rsid w:val="00B659D6"/>
    <w:rsid w:val="00B6680D"/>
    <w:rsid w:val="00B668E1"/>
    <w:rsid w:val="00B66CCA"/>
    <w:rsid w:val="00B67BE5"/>
    <w:rsid w:val="00B67D44"/>
    <w:rsid w:val="00B70583"/>
    <w:rsid w:val="00B70C2D"/>
    <w:rsid w:val="00B70E8E"/>
    <w:rsid w:val="00B714EF"/>
    <w:rsid w:val="00B71E9F"/>
    <w:rsid w:val="00B722C7"/>
    <w:rsid w:val="00B72651"/>
    <w:rsid w:val="00B73179"/>
    <w:rsid w:val="00B73F0F"/>
    <w:rsid w:val="00B74C3B"/>
    <w:rsid w:val="00B74CF6"/>
    <w:rsid w:val="00B74D5D"/>
    <w:rsid w:val="00B759BC"/>
    <w:rsid w:val="00B75CDB"/>
    <w:rsid w:val="00B76540"/>
    <w:rsid w:val="00B76C09"/>
    <w:rsid w:val="00B76C14"/>
    <w:rsid w:val="00B76C92"/>
    <w:rsid w:val="00B77203"/>
    <w:rsid w:val="00B77285"/>
    <w:rsid w:val="00B77786"/>
    <w:rsid w:val="00B77C1A"/>
    <w:rsid w:val="00B77EE7"/>
    <w:rsid w:val="00B80D0A"/>
    <w:rsid w:val="00B80EA1"/>
    <w:rsid w:val="00B8112A"/>
    <w:rsid w:val="00B818A4"/>
    <w:rsid w:val="00B81BFF"/>
    <w:rsid w:val="00B81C94"/>
    <w:rsid w:val="00B81E9D"/>
    <w:rsid w:val="00B82190"/>
    <w:rsid w:val="00B83289"/>
    <w:rsid w:val="00B84117"/>
    <w:rsid w:val="00B84753"/>
    <w:rsid w:val="00B8490D"/>
    <w:rsid w:val="00B84B04"/>
    <w:rsid w:val="00B84C74"/>
    <w:rsid w:val="00B85107"/>
    <w:rsid w:val="00B854B3"/>
    <w:rsid w:val="00B854FD"/>
    <w:rsid w:val="00B85563"/>
    <w:rsid w:val="00B856CC"/>
    <w:rsid w:val="00B8577C"/>
    <w:rsid w:val="00B858F0"/>
    <w:rsid w:val="00B85AA2"/>
    <w:rsid w:val="00B85B90"/>
    <w:rsid w:val="00B85C21"/>
    <w:rsid w:val="00B85FD6"/>
    <w:rsid w:val="00B8649C"/>
    <w:rsid w:val="00B86536"/>
    <w:rsid w:val="00B8682C"/>
    <w:rsid w:val="00B8695D"/>
    <w:rsid w:val="00B87A1F"/>
    <w:rsid w:val="00B87AFF"/>
    <w:rsid w:val="00B87F0A"/>
    <w:rsid w:val="00B90214"/>
    <w:rsid w:val="00B904C8"/>
    <w:rsid w:val="00B907D8"/>
    <w:rsid w:val="00B90B7A"/>
    <w:rsid w:val="00B9145F"/>
    <w:rsid w:val="00B91ABC"/>
    <w:rsid w:val="00B920CF"/>
    <w:rsid w:val="00B92ABA"/>
    <w:rsid w:val="00B92D0B"/>
    <w:rsid w:val="00B931F3"/>
    <w:rsid w:val="00B933BB"/>
    <w:rsid w:val="00B93503"/>
    <w:rsid w:val="00B935D3"/>
    <w:rsid w:val="00B93712"/>
    <w:rsid w:val="00B93887"/>
    <w:rsid w:val="00B94945"/>
    <w:rsid w:val="00B94B77"/>
    <w:rsid w:val="00B94DD6"/>
    <w:rsid w:val="00B955C9"/>
    <w:rsid w:val="00B9592B"/>
    <w:rsid w:val="00B9597E"/>
    <w:rsid w:val="00B96529"/>
    <w:rsid w:val="00B967EE"/>
    <w:rsid w:val="00B96B4A"/>
    <w:rsid w:val="00B976CA"/>
    <w:rsid w:val="00BA04FD"/>
    <w:rsid w:val="00BA093D"/>
    <w:rsid w:val="00BA246C"/>
    <w:rsid w:val="00BA2868"/>
    <w:rsid w:val="00BA31F3"/>
    <w:rsid w:val="00BA322D"/>
    <w:rsid w:val="00BA38FA"/>
    <w:rsid w:val="00BA4063"/>
    <w:rsid w:val="00BA498B"/>
    <w:rsid w:val="00BA518F"/>
    <w:rsid w:val="00BA538E"/>
    <w:rsid w:val="00BA5F60"/>
    <w:rsid w:val="00BA63FA"/>
    <w:rsid w:val="00BA6D21"/>
    <w:rsid w:val="00BA6E8E"/>
    <w:rsid w:val="00BA74EC"/>
    <w:rsid w:val="00BB00B3"/>
    <w:rsid w:val="00BB0573"/>
    <w:rsid w:val="00BB0BD9"/>
    <w:rsid w:val="00BB0BDD"/>
    <w:rsid w:val="00BB0F68"/>
    <w:rsid w:val="00BB15D0"/>
    <w:rsid w:val="00BB176C"/>
    <w:rsid w:val="00BB19A8"/>
    <w:rsid w:val="00BB19F4"/>
    <w:rsid w:val="00BB1D9E"/>
    <w:rsid w:val="00BB1DFF"/>
    <w:rsid w:val="00BB1E0F"/>
    <w:rsid w:val="00BB21DA"/>
    <w:rsid w:val="00BB2579"/>
    <w:rsid w:val="00BB2644"/>
    <w:rsid w:val="00BB2A26"/>
    <w:rsid w:val="00BB2A73"/>
    <w:rsid w:val="00BB2B82"/>
    <w:rsid w:val="00BB3707"/>
    <w:rsid w:val="00BB3720"/>
    <w:rsid w:val="00BB399F"/>
    <w:rsid w:val="00BB3A45"/>
    <w:rsid w:val="00BB3B54"/>
    <w:rsid w:val="00BB3B94"/>
    <w:rsid w:val="00BB4ACC"/>
    <w:rsid w:val="00BB549B"/>
    <w:rsid w:val="00BB54B0"/>
    <w:rsid w:val="00BB567B"/>
    <w:rsid w:val="00BB5857"/>
    <w:rsid w:val="00BB59AC"/>
    <w:rsid w:val="00BB5DBD"/>
    <w:rsid w:val="00BB6456"/>
    <w:rsid w:val="00BB6612"/>
    <w:rsid w:val="00BB6C43"/>
    <w:rsid w:val="00BB703E"/>
    <w:rsid w:val="00BB732D"/>
    <w:rsid w:val="00BB7357"/>
    <w:rsid w:val="00BB7405"/>
    <w:rsid w:val="00BB7832"/>
    <w:rsid w:val="00BB7B89"/>
    <w:rsid w:val="00BB7C6A"/>
    <w:rsid w:val="00BC0309"/>
    <w:rsid w:val="00BC0B72"/>
    <w:rsid w:val="00BC11BD"/>
    <w:rsid w:val="00BC2646"/>
    <w:rsid w:val="00BC2768"/>
    <w:rsid w:val="00BC2B32"/>
    <w:rsid w:val="00BC3631"/>
    <w:rsid w:val="00BC4615"/>
    <w:rsid w:val="00BC46B9"/>
    <w:rsid w:val="00BC4BE7"/>
    <w:rsid w:val="00BC591F"/>
    <w:rsid w:val="00BC595D"/>
    <w:rsid w:val="00BC5AAB"/>
    <w:rsid w:val="00BC63A8"/>
    <w:rsid w:val="00BC63EA"/>
    <w:rsid w:val="00BC677E"/>
    <w:rsid w:val="00BC6CF9"/>
    <w:rsid w:val="00BC714F"/>
    <w:rsid w:val="00BC76B3"/>
    <w:rsid w:val="00BC79D3"/>
    <w:rsid w:val="00BC7D6D"/>
    <w:rsid w:val="00BC7F52"/>
    <w:rsid w:val="00BD01D0"/>
    <w:rsid w:val="00BD03EA"/>
    <w:rsid w:val="00BD127A"/>
    <w:rsid w:val="00BD161D"/>
    <w:rsid w:val="00BD2108"/>
    <w:rsid w:val="00BD2170"/>
    <w:rsid w:val="00BD228B"/>
    <w:rsid w:val="00BD2FB1"/>
    <w:rsid w:val="00BD3319"/>
    <w:rsid w:val="00BD3F5D"/>
    <w:rsid w:val="00BD41C5"/>
    <w:rsid w:val="00BD422A"/>
    <w:rsid w:val="00BD4288"/>
    <w:rsid w:val="00BD48C3"/>
    <w:rsid w:val="00BD5213"/>
    <w:rsid w:val="00BD527B"/>
    <w:rsid w:val="00BD5307"/>
    <w:rsid w:val="00BD5D38"/>
    <w:rsid w:val="00BD6648"/>
    <w:rsid w:val="00BD68A3"/>
    <w:rsid w:val="00BD6938"/>
    <w:rsid w:val="00BD69C5"/>
    <w:rsid w:val="00BD6CF3"/>
    <w:rsid w:val="00BD6F3E"/>
    <w:rsid w:val="00BD72B9"/>
    <w:rsid w:val="00BE0082"/>
    <w:rsid w:val="00BE0657"/>
    <w:rsid w:val="00BE0B4C"/>
    <w:rsid w:val="00BE0ECA"/>
    <w:rsid w:val="00BE109C"/>
    <w:rsid w:val="00BE17C8"/>
    <w:rsid w:val="00BE2180"/>
    <w:rsid w:val="00BE21AD"/>
    <w:rsid w:val="00BE21F2"/>
    <w:rsid w:val="00BE246F"/>
    <w:rsid w:val="00BE2AF2"/>
    <w:rsid w:val="00BE2EB2"/>
    <w:rsid w:val="00BE301D"/>
    <w:rsid w:val="00BE33D3"/>
    <w:rsid w:val="00BE33F2"/>
    <w:rsid w:val="00BE36B3"/>
    <w:rsid w:val="00BE4275"/>
    <w:rsid w:val="00BE4708"/>
    <w:rsid w:val="00BE49E2"/>
    <w:rsid w:val="00BE4D85"/>
    <w:rsid w:val="00BE4E4D"/>
    <w:rsid w:val="00BE4F6B"/>
    <w:rsid w:val="00BE56CA"/>
    <w:rsid w:val="00BE62BC"/>
    <w:rsid w:val="00BE640B"/>
    <w:rsid w:val="00BE66B8"/>
    <w:rsid w:val="00BE71BD"/>
    <w:rsid w:val="00BE72FB"/>
    <w:rsid w:val="00BE7352"/>
    <w:rsid w:val="00BE7495"/>
    <w:rsid w:val="00BE7A7E"/>
    <w:rsid w:val="00BF06AE"/>
    <w:rsid w:val="00BF0F37"/>
    <w:rsid w:val="00BF0F95"/>
    <w:rsid w:val="00BF0FEF"/>
    <w:rsid w:val="00BF1293"/>
    <w:rsid w:val="00BF1480"/>
    <w:rsid w:val="00BF15FC"/>
    <w:rsid w:val="00BF1741"/>
    <w:rsid w:val="00BF2433"/>
    <w:rsid w:val="00BF2A0A"/>
    <w:rsid w:val="00BF3393"/>
    <w:rsid w:val="00BF35FB"/>
    <w:rsid w:val="00BF460A"/>
    <w:rsid w:val="00BF53E7"/>
    <w:rsid w:val="00BF57E0"/>
    <w:rsid w:val="00BF61C9"/>
    <w:rsid w:val="00BF63B0"/>
    <w:rsid w:val="00BF67E7"/>
    <w:rsid w:val="00BF6C94"/>
    <w:rsid w:val="00BF7857"/>
    <w:rsid w:val="00BF79CD"/>
    <w:rsid w:val="00BF7F1B"/>
    <w:rsid w:val="00C0035F"/>
    <w:rsid w:val="00C00424"/>
    <w:rsid w:val="00C00450"/>
    <w:rsid w:val="00C0091C"/>
    <w:rsid w:val="00C016A4"/>
    <w:rsid w:val="00C0258A"/>
    <w:rsid w:val="00C03252"/>
    <w:rsid w:val="00C03C93"/>
    <w:rsid w:val="00C0437D"/>
    <w:rsid w:val="00C0455E"/>
    <w:rsid w:val="00C050A4"/>
    <w:rsid w:val="00C0701D"/>
    <w:rsid w:val="00C07A22"/>
    <w:rsid w:val="00C07B11"/>
    <w:rsid w:val="00C10FF2"/>
    <w:rsid w:val="00C112F3"/>
    <w:rsid w:val="00C11741"/>
    <w:rsid w:val="00C1179F"/>
    <w:rsid w:val="00C11E83"/>
    <w:rsid w:val="00C11E8A"/>
    <w:rsid w:val="00C12428"/>
    <w:rsid w:val="00C12C14"/>
    <w:rsid w:val="00C144A7"/>
    <w:rsid w:val="00C14966"/>
    <w:rsid w:val="00C14BDF"/>
    <w:rsid w:val="00C15058"/>
    <w:rsid w:val="00C150F8"/>
    <w:rsid w:val="00C15962"/>
    <w:rsid w:val="00C15E16"/>
    <w:rsid w:val="00C15F04"/>
    <w:rsid w:val="00C166F8"/>
    <w:rsid w:val="00C1730D"/>
    <w:rsid w:val="00C174E2"/>
    <w:rsid w:val="00C174FB"/>
    <w:rsid w:val="00C179B3"/>
    <w:rsid w:val="00C17B78"/>
    <w:rsid w:val="00C17E3F"/>
    <w:rsid w:val="00C200AA"/>
    <w:rsid w:val="00C210F3"/>
    <w:rsid w:val="00C21661"/>
    <w:rsid w:val="00C21700"/>
    <w:rsid w:val="00C21C29"/>
    <w:rsid w:val="00C237ED"/>
    <w:rsid w:val="00C23986"/>
    <w:rsid w:val="00C23D42"/>
    <w:rsid w:val="00C23EFC"/>
    <w:rsid w:val="00C241C9"/>
    <w:rsid w:val="00C2431D"/>
    <w:rsid w:val="00C24519"/>
    <w:rsid w:val="00C24632"/>
    <w:rsid w:val="00C253D1"/>
    <w:rsid w:val="00C25418"/>
    <w:rsid w:val="00C25D9C"/>
    <w:rsid w:val="00C2668B"/>
    <w:rsid w:val="00C26736"/>
    <w:rsid w:val="00C2778B"/>
    <w:rsid w:val="00C27812"/>
    <w:rsid w:val="00C30045"/>
    <w:rsid w:val="00C31194"/>
    <w:rsid w:val="00C31649"/>
    <w:rsid w:val="00C32276"/>
    <w:rsid w:val="00C32C13"/>
    <w:rsid w:val="00C33E3D"/>
    <w:rsid w:val="00C341EC"/>
    <w:rsid w:val="00C3434C"/>
    <w:rsid w:val="00C34427"/>
    <w:rsid w:val="00C34523"/>
    <w:rsid w:val="00C34803"/>
    <w:rsid w:val="00C34F12"/>
    <w:rsid w:val="00C35036"/>
    <w:rsid w:val="00C359F4"/>
    <w:rsid w:val="00C361D7"/>
    <w:rsid w:val="00C3691A"/>
    <w:rsid w:val="00C36DAD"/>
    <w:rsid w:val="00C37648"/>
    <w:rsid w:val="00C379C1"/>
    <w:rsid w:val="00C37DCA"/>
    <w:rsid w:val="00C400F9"/>
    <w:rsid w:val="00C40187"/>
    <w:rsid w:val="00C40385"/>
    <w:rsid w:val="00C40586"/>
    <w:rsid w:val="00C4071E"/>
    <w:rsid w:val="00C40BDD"/>
    <w:rsid w:val="00C41768"/>
    <w:rsid w:val="00C417DF"/>
    <w:rsid w:val="00C41961"/>
    <w:rsid w:val="00C41A57"/>
    <w:rsid w:val="00C41EDF"/>
    <w:rsid w:val="00C42415"/>
    <w:rsid w:val="00C426AB"/>
    <w:rsid w:val="00C429AB"/>
    <w:rsid w:val="00C430E9"/>
    <w:rsid w:val="00C4353E"/>
    <w:rsid w:val="00C44514"/>
    <w:rsid w:val="00C4452F"/>
    <w:rsid w:val="00C448AF"/>
    <w:rsid w:val="00C449CA"/>
    <w:rsid w:val="00C45073"/>
    <w:rsid w:val="00C455E5"/>
    <w:rsid w:val="00C45647"/>
    <w:rsid w:val="00C45CEE"/>
    <w:rsid w:val="00C46999"/>
    <w:rsid w:val="00C47566"/>
    <w:rsid w:val="00C475AA"/>
    <w:rsid w:val="00C47746"/>
    <w:rsid w:val="00C50055"/>
    <w:rsid w:val="00C50067"/>
    <w:rsid w:val="00C5026D"/>
    <w:rsid w:val="00C50840"/>
    <w:rsid w:val="00C5153F"/>
    <w:rsid w:val="00C5162E"/>
    <w:rsid w:val="00C516E9"/>
    <w:rsid w:val="00C5192F"/>
    <w:rsid w:val="00C51DD1"/>
    <w:rsid w:val="00C52C7D"/>
    <w:rsid w:val="00C53386"/>
    <w:rsid w:val="00C53554"/>
    <w:rsid w:val="00C53602"/>
    <w:rsid w:val="00C53C98"/>
    <w:rsid w:val="00C54004"/>
    <w:rsid w:val="00C543E5"/>
    <w:rsid w:val="00C548A5"/>
    <w:rsid w:val="00C54C8F"/>
    <w:rsid w:val="00C560BA"/>
    <w:rsid w:val="00C5672E"/>
    <w:rsid w:val="00C56A52"/>
    <w:rsid w:val="00C56CC9"/>
    <w:rsid w:val="00C56E33"/>
    <w:rsid w:val="00C56FCF"/>
    <w:rsid w:val="00C57A56"/>
    <w:rsid w:val="00C57B6C"/>
    <w:rsid w:val="00C57E9B"/>
    <w:rsid w:val="00C60B8A"/>
    <w:rsid w:val="00C60C53"/>
    <w:rsid w:val="00C61082"/>
    <w:rsid w:val="00C611A1"/>
    <w:rsid w:val="00C62238"/>
    <w:rsid w:val="00C625D9"/>
    <w:rsid w:val="00C62617"/>
    <w:rsid w:val="00C62812"/>
    <w:rsid w:val="00C628A6"/>
    <w:rsid w:val="00C629C6"/>
    <w:rsid w:val="00C634D9"/>
    <w:rsid w:val="00C63CE5"/>
    <w:rsid w:val="00C64344"/>
    <w:rsid w:val="00C64957"/>
    <w:rsid w:val="00C64FDB"/>
    <w:rsid w:val="00C65108"/>
    <w:rsid w:val="00C65576"/>
    <w:rsid w:val="00C65C5F"/>
    <w:rsid w:val="00C66165"/>
    <w:rsid w:val="00C66B7E"/>
    <w:rsid w:val="00C66C98"/>
    <w:rsid w:val="00C6762B"/>
    <w:rsid w:val="00C67A55"/>
    <w:rsid w:val="00C70384"/>
    <w:rsid w:val="00C70534"/>
    <w:rsid w:val="00C7060A"/>
    <w:rsid w:val="00C7070F"/>
    <w:rsid w:val="00C7088E"/>
    <w:rsid w:val="00C71027"/>
    <w:rsid w:val="00C7151A"/>
    <w:rsid w:val="00C71551"/>
    <w:rsid w:val="00C717E3"/>
    <w:rsid w:val="00C71D71"/>
    <w:rsid w:val="00C71F60"/>
    <w:rsid w:val="00C72241"/>
    <w:rsid w:val="00C7239A"/>
    <w:rsid w:val="00C7250B"/>
    <w:rsid w:val="00C728BE"/>
    <w:rsid w:val="00C72AAD"/>
    <w:rsid w:val="00C730D1"/>
    <w:rsid w:val="00C7324B"/>
    <w:rsid w:val="00C7386E"/>
    <w:rsid w:val="00C739B2"/>
    <w:rsid w:val="00C73A91"/>
    <w:rsid w:val="00C7478E"/>
    <w:rsid w:val="00C74C71"/>
    <w:rsid w:val="00C750C8"/>
    <w:rsid w:val="00C751E3"/>
    <w:rsid w:val="00C7560F"/>
    <w:rsid w:val="00C756D1"/>
    <w:rsid w:val="00C7575C"/>
    <w:rsid w:val="00C757EE"/>
    <w:rsid w:val="00C75DEB"/>
    <w:rsid w:val="00C76B17"/>
    <w:rsid w:val="00C77672"/>
    <w:rsid w:val="00C7767E"/>
    <w:rsid w:val="00C779EA"/>
    <w:rsid w:val="00C77E21"/>
    <w:rsid w:val="00C801DF"/>
    <w:rsid w:val="00C8022A"/>
    <w:rsid w:val="00C80A0E"/>
    <w:rsid w:val="00C80A4B"/>
    <w:rsid w:val="00C80AEB"/>
    <w:rsid w:val="00C8171C"/>
    <w:rsid w:val="00C8213F"/>
    <w:rsid w:val="00C821E6"/>
    <w:rsid w:val="00C827CF"/>
    <w:rsid w:val="00C82CB5"/>
    <w:rsid w:val="00C831D8"/>
    <w:rsid w:val="00C83298"/>
    <w:rsid w:val="00C83811"/>
    <w:rsid w:val="00C83E52"/>
    <w:rsid w:val="00C85104"/>
    <w:rsid w:val="00C85154"/>
    <w:rsid w:val="00C86811"/>
    <w:rsid w:val="00C86826"/>
    <w:rsid w:val="00C86B3F"/>
    <w:rsid w:val="00C86E6B"/>
    <w:rsid w:val="00C8797A"/>
    <w:rsid w:val="00C900B8"/>
    <w:rsid w:val="00C9048D"/>
    <w:rsid w:val="00C9079D"/>
    <w:rsid w:val="00C90A44"/>
    <w:rsid w:val="00C90C71"/>
    <w:rsid w:val="00C91FD1"/>
    <w:rsid w:val="00C920C6"/>
    <w:rsid w:val="00C92387"/>
    <w:rsid w:val="00C92A1A"/>
    <w:rsid w:val="00C93182"/>
    <w:rsid w:val="00C931CF"/>
    <w:rsid w:val="00C938C6"/>
    <w:rsid w:val="00C938CF"/>
    <w:rsid w:val="00C93B7D"/>
    <w:rsid w:val="00C94053"/>
    <w:rsid w:val="00C9481F"/>
    <w:rsid w:val="00C95D4C"/>
    <w:rsid w:val="00C95EEA"/>
    <w:rsid w:val="00C95F0E"/>
    <w:rsid w:val="00C9624D"/>
    <w:rsid w:val="00C96533"/>
    <w:rsid w:val="00C967A2"/>
    <w:rsid w:val="00C969DA"/>
    <w:rsid w:val="00C96AC4"/>
    <w:rsid w:val="00C96CCF"/>
    <w:rsid w:val="00C96E13"/>
    <w:rsid w:val="00CA0769"/>
    <w:rsid w:val="00CA197B"/>
    <w:rsid w:val="00CA1B03"/>
    <w:rsid w:val="00CA2077"/>
    <w:rsid w:val="00CA218E"/>
    <w:rsid w:val="00CA2462"/>
    <w:rsid w:val="00CA2B24"/>
    <w:rsid w:val="00CA2C77"/>
    <w:rsid w:val="00CA2D11"/>
    <w:rsid w:val="00CA30BC"/>
    <w:rsid w:val="00CA34BC"/>
    <w:rsid w:val="00CA3D43"/>
    <w:rsid w:val="00CA3D45"/>
    <w:rsid w:val="00CA3D6A"/>
    <w:rsid w:val="00CA3E7F"/>
    <w:rsid w:val="00CA444F"/>
    <w:rsid w:val="00CA4CFA"/>
    <w:rsid w:val="00CA4EAF"/>
    <w:rsid w:val="00CA5060"/>
    <w:rsid w:val="00CA51D8"/>
    <w:rsid w:val="00CA5245"/>
    <w:rsid w:val="00CA549D"/>
    <w:rsid w:val="00CA58F4"/>
    <w:rsid w:val="00CA5E5D"/>
    <w:rsid w:val="00CA5FEA"/>
    <w:rsid w:val="00CA60E7"/>
    <w:rsid w:val="00CA6B60"/>
    <w:rsid w:val="00CA6C1A"/>
    <w:rsid w:val="00CA71F4"/>
    <w:rsid w:val="00CA7968"/>
    <w:rsid w:val="00CA7B09"/>
    <w:rsid w:val="00CA7C9E"/>
    <w:rsid w:val="00CB037E"/>
    <w:rsid w:val="00CB0A7A"/>
    <w:rsid w:val="00CB1166"/>
    <w:rsid w:val="00CB12A5"/>
    <w:rsid w:val="00CB153D"/>
    <w:rsid w:val="00CB1CAC"/>
    <w:rsid w:val="00CB24A7"/>
    <w:rsid w:val="00CB25C5"/>
    <w:rsid w:val="00CB26B9"/>
    <w:rsid w:val="00CB2F2A"/>
    <w:rsid w:val="00CB2F39"/>
    <w:rsid w:val="00CB34CC"/>
    <w:rsid w:val="00CB379C"/>
    <w:rsid w:val="00CB3D69"/>
    <w:rsid w:val="00CB3D6C"/>
    <w:rsid w:val="00CB43D0"/>
    <w:rsid w:val="00CB4878"/>
    <w:rsid w:val="00CB4985"/>
    <w:rsid w:val="00CB49C5"/>
    <w:rsid w:val="00CB4A0A"/>
    <w:rsid w:val="00CB4F97"/>
    <w:rsid w:val="00CB50A3"/>
    <w:rsid w:val="00CB5191"/>
    <w:rsid w:val="00CB5676"/>
    <w:rsid w:val="00CB5A4D"/>
    <w:rsid w:val="00CB5B1A"/>
    <w:rsid w:val="00CB6342"/>
    <w:rsid w:val="00CB6B22"/>
    <w:rsid w:val="00CB6C7B"/>
    <w:rsid w:val="00CB7105"/>
    <w:rsid w:val="00CB7F5F"/>
    <w:rsid w:val="00CB7FD3"/>
    <w:rsid w:val="00CC01DD"/>
    <w:rsid w:val="00CC049A"/>
    <w:rsid w:val="00CC1098"/>
    <w:rsid w:val="00CC19DE"/>
    <w:rsid w:val="00CC1B39"/>
    <w:rsid w:val="00CC21B8"/>
    <w:rsid w:val="00CC3076"/>
    <w:rsid w:val="00CC3471"/>
    <w:rsid w:val="00CC35EA"/>
    <w:rsid w:val="00CC36F0"/>
    <w:rsid w:val="00CC3848"/>
    <w:rsid w:val="00CC3BEE"/>
    <w:rsid w:val="00CC44F2"/>
    <w:rsid w:val="00CC4B69"/>
    <w:rsid w:val="00CC4D74"/>
    <w:rsid w:val="00CC5B33"/>
    <w:rsid w:val="00CC621A"/>
    <w:rsid w:val="00CC66AD"/>
    <w:rsid w:val="00CC78AA"/>
    <w:rsid w:val="00CC799A"/>
    <w:rsid w:val="00CC7D90"/>
    <w:rsid w:val="00CD09E9"/>
    <w:rsid w:val="00CD0EA7"/>
    <w:rsid w:val="00CD120B"/>
    <w:rsid w:val="00CD1621"/>
    <w:rsid w:val="00CD1683"/>
    <w:rsid w:val="00CD1887"/>
    <w:rsid w:val="00CD1A83"/>
    <w:rsid w:val="00CD1F58"/>
    <w:rsid w:val="00CD2472"/>
    <w:rsid w:val="00CD24F2"/>
    <w:rsid w:val="00CD2CE9"/>
    <w:rsid w:val="00CD2D04"/>
    <w:rsid w:val="00CD321B"/>
    <w:rsid w:val="00CD3ACD"/>
    <w:rsid w:val="00CD3F77"/>
    <w:rsid w:val="00CD40E9"/>
    <w:rsid w:val="00CD69D0"/>
    <w:rsid w:val="00CD6ADC"/>
    <w:rsid w:val="00CD6DFE"/>
    <w:rsid w:val="00CD7193"/>
    <w:rsid w:val="00CD7277"/>
    <w:rsid w:val="00CD7896"/>
    <w:rsid w:val="00CD7A55"/>
    <w:rsid w:val="00CD7D5D"/>
    <w:rsid w:val="00CE0C21"/>
    <w:rsid w:val="00CE119D"/>
    <w:rsid w:val="00CE162B"/>
    <w:rsid w:val="00CE192B"/>
    <w:rsid w:val="00CE2041"/>
    <w:rsid w:val="00CE30AE"/>
    <w:rsid w:val="00CE38C8"/>
    <w:rsid w:val="00CE38E5"/>
    <w:rsid w:val="00CE3B88"/>
    <w:rsid w:val="00CE3F29"/>
    <w:rsid w:val="00CE43CD"/>
    <w:rsid w:val="00CE4EB9"/>
    <w:rsid w:val="00CE5137"/>
    <w:rsid w:val="00CE55E7"/>
    <w:rsid w:val="00CE6274"/>
    <w:rsid w:val="00CE6EDA"/>
    <w:rsid w:val="00CE743F"/>
    <w:rsid w:val="00CE744C"/>
    <w:rsid w:val="00CE77B6"/>
    <w:rsid w:val="00CE79DE"/>
    <w:rsid w:val="00CE7D61"/>
    <w:rsid w:val="00CF0598"/>
    <w:rsid w:val="00CF1D17"/>
    <w:rsid w:val="00CF1DD3"/>
    <w:rsid w:val="00CF2867"/>
    <w:rsid w:val="00CF2B05"/>
    <w:rsid w:val="00CF2B8D"/>
    <w:rsid w:val="00CF3F34"/>
    <w:rsid w:val="00CF3FEE"/>
    <w:rsid w:val="00CF456B"/>
    <w:rsid w:val="00CF4E7E"/>
    <w:rsid w:val="00CF5183"/>
    <w:rsid w:val="00CF549F"/>
    <w:rsid w:val="00CF5A22"/>
    <w:rsid w:val="00CF62CC"/>
    <w:rsid w:val="00CF6863"/>
    <w:rsid w:val="00CF714F"/>
    <w:rsid w:val="00CF787F"/>
    <w:rsid w:val="00CF7AF8"/>
    <w:rsid w:val="00CF7D17"/>
    <w:rsid w:val="00D014EE"/>
    <w:rsid w:val="00D015D5"/>
    <w:rsid w:val="00D01923"/>
    <w:rsid w:val="00D01A3A"/>
    <w:rsid w:val="00D01FA3"/>
    <w:rsid w:val="00D02564"/>
    <w:rsid w:val="00D0262E"/>
    <w:rsid w:val="00D02635"/>
    <w:rsid w:val="00D030F5"/>
    <w:rsid w:val="00D03DBF"/>
    <w:rsid w:val="00D043CF"/>
    <w:rsid w:val="00D047F3"/>
    <w:rsid w:val="00D04AA8"/>
    <w:rsid w:val="00D04BF7"/>
    <w:rsid w:val="00D04F2F"/>
    <w:rsid w:val="00D0549F"/>
    <w:rsid w:val="00D0595E"/>
    <w:rsid w:val="00D05E3D"/>
    <w:rsid w:val="00D06139"/>
    <w:rsid w:val="00D062BF"/>
    <w:rsid w:val="00D0698E"/>
    <w:rsid w:val="00D06CEB"/>
    <w:rsid w:val="00D0740E"/>
    <w:rsid w:val="00D07EE0"/>
    <w:rsid w:val="00D10014"/>
    <w:rsid w:val="00D10020"/>
    <w:rsid w:val="00D1057A"/>
    <w:rsid w:val="00D110BD"/>
    <w:rsid w:val="00D11A82"/>
    <w:rsid w:val="00D11DD5"/>
    <w:rsid w:val="00D11E48"/>
    <w:rsid w:val="00D12085"/>
    <w:rsid w:val="00D1221A"/>
    <w:rsid w:val="00D12861"/>
    <w:rsid w:val="00D12A01"/>
    <w:rsid w:val="00D1329B"/>
    <w:rsid w:val="00D134F6"/>
    <w:rsid w:val="00D13675"/>
    <w:rsid w:val="00D13DB0"/>
    <w:rsid w:val="00D141E1"/>
    <w:rsid w:val="00D1494C"/>
    <w:rsid w:val="00D150DE"/>
    <w:rsid w:val="00D15314"/>
    <w:rsid w:val="00D15F6B"/>
    <w:rsid w:val="00D16EDF"/>
    <w:rsid w:val="00D1746F"/>
    <w:rsid w:val="00D176B8"/>
    <w:rsid w:val="00D17D6C"/>
    <w:rsid w:val="00D2008F"/>
    <w:rsid w:val="00D20241"/>
    <w:rsid w:val="00D20B96"/>
    <w:rsid w:val="00D2155B"/>
    <w:rsid w:val="00D21879"/>
    <w:rsid w:val="00D227EE"/>
    <w:rsid w:val="00D22EB0"/>
    <w:rsid w:val="00D23161"/>
    <w:rsid w:val="00D2382D"/>
    <w:rsid w:val="00D23D11"/>
    <w:rsid w:val="00D24101"/>
    <w:rsid w:val="00D24153"/>
    <w:rsid w:val="00D24474"/>
    <w:rsid w:val="00D244B6"/>
    <w:rsid w:val="00D244DD"/>
    <w:rsid w:val="00D24FB1"/>
    <w:rsid w:val="00D269F0"/>
    <w:rsid w:val="00D26BB3"/>
    <w:rsid w:val="00D27118"/>
    <w:rsid w:val="00D2754D"/>
    <w:rsid w:val="00D27977"/>
    <w:rsid w:val="00D27B27"/>
    <w:rsid w:val="00D27F51"/>
    <w:rsid w:val="00D3019E"/>
    <w:rsid w:val="00D30A7D"/>
    <w:rsid w:val="00D3227B"/>
    <w:rsid w:val="00D334A3"/>
    <w:rsid w:val="00D33BE9"/>
    <w:rsid w:val="00D33F8E"/>
    <w:rsid w:val="00D33F93"/>
    <w:rsid w:val="00D34138"/>
    <w:rsid w:val="00D3457D"/>
    <w:rsid w:val="00D346E4"/>
    <w:rsid w:val="00D3488D"/>
    <w:rsid w:val="00D34B5B"/>
    <w:rsid w:val="00D34E87"/>
    <w:rsid w:val="00D35370"/>
    <w:rsid w:val="00D3543E"/>
    <w:rsid w:val="00D357FF"/>
    <w:rsid w:val="00D35BBD"/>
    <w:rsid w:val="00D366BE"/>
    <w:rsid w:val="00D36A65"/>
    <w:rsid w:val="00D376A8"/>
    <w:rsid w:val="00D40659"/>
    <w:rsid w:val="00D40743"/>
    <w:rsid w:val="00D40A77"/>
    <w:rsid w:val="00D40D56"/>
    <w:rsid w:val="00D4129F"/>
    <w:rsid w:val="00D419E2"/>
    <w:rsid w:val="00D41E20"/>
    <w:rsid w:val="00D424C7"/>
    <w:rsid w:val="00D4267F"/>
    <w:rsid w:val="00D4291A"/>
    <w:rsid w:val="00D42FAF"/>
    <w:rsid w:val="00D432CE"/>
    <w:rsid w:val="00D4355B"/>
    <w:rsid w:val="00D435EB"/>
    <w:rsid w:val="00D43949"/>
    <w:rsid w:val="00D43B2A"/>
    <w:rsid w:val="00D43D83"/>
    <w:rsid w:val="00D43EBA"/>
    <w:rsid w:val="00D4495B"/>
    <w:rsid w:val="00D449DE"/>
    <w:rsid w:val="00D44DC0"/>
    <w:rsid w:val="00D455C8"/>
    <w:rsid w:val="00D457CF"/>
    <w:rsid w:val="00D466D4"/>
    <w:rsid w:val="00D46A86"/>
    <w:rsid w:val="00D46C26"/>
    <w:rsid w:val="00D47575"/>
    <w:rsid w:val="00D4775C"/>
    <w:rsid w:val="00D47D69"/>
    <w:rsid w:val="00D50527"/>
    <w:rsid w:val="00D508ED"/>
    <w:rsid w:val="00D50992"/>
    <w:rsid w:val="00D50AA1"/>
    <w:rsid w:val="00D51131"/>
    <w:rsid w:val="00D51AA1"/>
    <w:rsid w:val="00D52295"/>
    <w:rsid w:val="00D5243B"/>
    <w:rsid w:val="00D52D54"/>
    <w:rsid w:val="00D53086"/>
    <w:rsid w:val="00D53132"/>
    <w:rsid w:val="00D531A7"/>
    <w:rsid w:val="00D533EC"/>
    <w:rsid w:val="00D537FE"/>
    <w:rsid w:val="00D53C50"/>
    <w:rsid w:val="00D53D87"/>
    <w:rsid w:val="00D53DEB"/>
    <w:rsid w:val="00D55F95"/>
    <w:rsid w:val="00D56A95"/>
    <w:rsid w:val="00D575F4"/>
    <w:rsid w:val="00D57924"/>
    <w:rsid w:val="00D57F20"/>
    <w:rsid w:val="00D57FA1"/>
    <w:rsid w:val="00D60543"/>
    <w:rsid w:val="00D609EB"/>
    <w:rsid w:val="00D610D7"/>
    <w:rsid w:val="00D61121"/>
    <w:rsid w:val="00D61A64"/>
    <w:rsid w:val="00D62666"/>
    <w:rsid w:val="00D6327D"/>
    <w:rsid w:val="00D6333C"/>
    <w:rsid w:val="00D6374B"/>
    <w:rsid w:val="00D64614"/>
    <w:rsid w:val="00D64C9D"/>
    <w:rsid w:val="00D64CAD"/>
    <w:rsid w:val="00D64EA4"/>
    <w:rsid w:val="00D651D3"/>
    <w:rsid w:val="00D65212"/>
    <w:rsid w:val="00D667F3"/>
    <w:rsid w:val="00D66CA6"/>
    <w:rsid w:val="00D67525"/>
    <w:rsid w:val="00D6791A"/>
    <w:rsid w:val="00D67BF8"/>
    <w:rsid w:val="00D67F04"/>
    <w:rsid w:val="00D70366"/>
    <w:rsid w:val="00D707EE"/>
    <w:rsid w:val="00D70B15"/>
    <w:rsid w:val="00D70EF6"/>
    <w:rsid w:val="00D70F16"/>
    <w:rsid w:val="00D7123B"/>
    <w:rsid w:val="00D71F8C"/>
    <w:rsid w:val="00D721CD"/>
    <w:rsid w:val="00D723A9"/>
    <w:rsid w:val="00D724CD"/>
    <w:rsid w:val="00D72B7F"/>
    <w:rsid w:val="00D72F57"/>
    <w:rsid w:val="00D73C59"/>
    <w:rsid w:val="00D743D9"/>
    <w:rsid w:val="00D74491"/>
    <w:rsid w:val="00D74629"/>
    <w:rsid w:val="00D749BA"/>
    <w:rsid w:val="00D75926"/>
    <w:rsid w:val="00D75A30"/>
    <w:rsid w:val="00D75BA5"/>
    <w:rsid w:val="00D75DD0"/>
    <w:rsid w:val="00D7657A"/>
    <w:rsid w:val="00D76786"/>
    <w:rsid w:val="00D768B4"/>
    <w:rsid w:val="00D768D0"/>
    <w:rsid w:val="00D76A44"/>
    <w:rsid w:val="00D76F78"/>
    <w:rsid w:val="00D77AFD"/>
    <w:rsid w:val="00D77C5C"/>
    <w:rsid w:val="00D77C93"/>
    <w:rsid w:val="00D77DD4"/>
    <w:rsid w:val="00D8033B"/>
    <w:rsid w:val="00D80B46"/>
    <w:rsid w:val="00D80F41"/>
    <w:rsid w:val="00D81334"/>
    <w:rsid w:val="00D815EF"/>
    <w:rsid w:val="00D8194B"/>
    <w:rsid w:val="00D81B56"/>
    <w:rsid w:val="00D81CC4"/>
    <w:rsid w:val="00D81F26"/>
    <w:rsid w:val="00D82346"/>
    <w:rsid w:val="00D8336B"/>
    <w:rsid w:val="00D8393E"/>
    <w:rsid w:val="00D84031"/>
    <w:rsid w:val="00D84AB4"/>
    <w:rsid w:val="00D84CEF"/>
    <w:rsid w:val="00D8512C"/>
    <w:rsid w:val="00D8517B"/>
    <w:rsid w:val="00D852F9"/>
    <w:rsid w:val="00D85633"/>
    <w:rsid w:val="00D85D47"/>
    <w:rsid w:val="00D85D5F"/>
    <w:rsid w:val="00D86231"/>
    <w:rsid w:val="00D8631B"/>
    <w:rsid w:val="00D86438"/>
    <w:rsid w:val="00D86B28"/>
    <w:rsid w:val="00D86ED1"/>
    <w:rsid w:val="00D86F70"/>
    <w:rsid w:val="00D874AF"/>
    <w:rsid w:val="00D874C2"/>
    <w:rsid w:val="00D916D5"/>
    <w:rsid w:val="00D91923"/>
    <w:rsid w:val="00D91DB9"/>
    <w:rsid w:val="00D9329F"/>
    <w:rsid w:val="00D935FE"/>
    <w:rsid w:val="00D93753"/>
    <w:rsid w:val="00D951D9"/>
    <w:rsid w:val="00D9709D"/>
    <w:rsid w:val="00D97363"/>
    <w:rsid w:val="00D9757E"/>
    <w:rsid w:val="00D978E4"/>
    <w:rsid w:val="00D97929"/>
    <w:rsid w:val="00DA00DD"/>
    <w:rsid w:val="00DA11AF"/>
    <w:rsid w:val="00DA1528"/>
    <w:rsid w:val="00DA3167"/>
    <w:rsid w:val="00DA36AE"/>
    <w:rsid w:val="00DA3976"/>
    <w:rsid w:val="00DA3E59"/>
    <w:rsid w:val="00DA4C0B"/>
    <w:rsid w:val="00DA4DC3"/>
    <w:rsid w:val="00DA4E87"/>
    <w:rsid w:val="00DA4FBE"/>
    <w:rsid w:val="00DA566C"/>
    <w:rsid w:val="00DA604E"/>
    <w:rsid w:val="00DA7052"/>
    <w:rsid w:val="00DA77A5"/>
    <w:rsid w:val="00DA7A00"/>
    <w:rsid w:val="00DA7E53"/>
    <w:rsid w:val="00DB1396"/>
    <w:rsid w:val="00DB1673"/>
    <w:rsid w:val="00DB1A66"/>
    <w:rsid w:val="00DB2885"/>
    <w:rsid w:val="00DB30F1"/>
    <w:rsid w:val="00DB34E0"/>
    <w:rsid w:val="00DB3D88"/>
    <w:rsid w:val="00DB3DBF"/>
    <w:rsid w:val="00DB4415"/>
    <w:rsid w:val="00DB462A"/>
    <w:rsid w:val="00DB47D6"/>
    <w:rsid w:val="00DB484F"/>
    <w:rsid w:val="00DB4A32"/>
    <w:rsid w:val="00DB5430"/>
    <w:rsid w:val="00DB58A8"/>
    <w:rsid w:val="00DB64F0"/>
    <w:rsid w:val="00DB6614"/>
    <w:rsid w:val="00DB6EFF"/>
    <w:rsid w:val="00DB7069"/>
    <w:rsid w:val="00DB7497"/>
    <w:rsid w:val="00DB7A62"/>
    <w:rsid w:val="00DB7C1A"/>
    <w:rsid w:val="00DB7D20"/>
    <w:rsid w:val="00DC04F6"/>
    <w:rsid w:val="00DC0511"/>
    <w:rsid w:val="00DC0690"/>
    <w:rsid w:val="00DC08F4"/>
    <w:rsid w:val="00DC12DD"/>
    <w:rsid w:val="00DC166F"/>
    <w:rsid w:val="00DC168C"/>
    <w:rsid w:val="00DC1D65"/>
    <w:rsid w:val="00DC2E7A"/>
    <w:rsid w:val="00DC3C57"/>
    <w:rsid w:val="00DC5501"/>
    <w:rsid w:val="00DC5581"/>
    <w:rsid w:val="00DC662B"/>
    <w:rsid w:val="00DC6EEF"/>
    <w:rsid w:val="00DC6F7C"/>
    <w:rsid w:val="00DC70AF"/>
    <w:rsid w:val="00DC7113"/>
    <w:rsid w:val="00DC7154"/>
    <w:rsid w:val="00DC76AA"/>
    <w:rsid w:val="00DC7714"/>
    <w:rsid w:val="00DC7E43"/>
    <w:rsid w:val="00DC7E8A"/>
    <w:rsid w:val="00DC7EB4"/>
    <w:rsid w:val="00DD065A"/>
    <w:rsid w:val="00DD07A0"/>
    <w:rsid w:val="00DD087E"/>
    <w:rsid w:val="00DD0F78"/>
    <w:rsid w:val="00DD1B6E"/>
    <w:rsid w:val="00DD273C"/>
    <w:rsid w:val="00DD2E3E"/>
    <w:rsid w:val="00DD31E4"/>
    <w:rsid w:val="00DD324F"/>
    <w:rsid w:val="00DD3AA3"/>
    <w:rsid w:val="00DD3B1F"/>
    <w:rsid w:val="00DD3F28"/>
    <w:rsid w:val="00DD3F40"/>
    <w:rsid w:val="00DD4537"/>
    <w:rsid w:val="00DD4E15"/>
    <w:rsid w:val="00DD55EA"/>
    <w:rsid w:val="00DD6059"/>
    <w:rsid w:val="00DD6998"/>
    <w:rsid w:val="00DD6ACB"/>
    <w:rsid w:val="00DD6AD4"/>
    <w:rsid w:val="00DD7426"/>
    <w:rsid w:val="00DE151F"/>
    <w:rsid w:val="00DE18FB"/>
    <w:rsid w:val="00DE1990"/>
    <w:rsid w:val="00DE215F"/>
    <w:rsid w:val="00DE2304"/>
    <w:rsid w:val="00DE2A24"/>
    <w:rsid w:val="00DE2EC0"/>
    <w:rsid w:val="00DE3138"/>
    <w:rsid w:val="00DE3139"/>
    <w:rsid w:val="00DE34B7"/>
    <w:rsid w:val="00DE37F8"/>
    <w:rsid w:val="00DE4DBA"/>
    <w:rsid w:val="00DE4FCB"/>
    <w:rsid w:val="00DE579C"/>
    <w:rsid w:val="00DE586C"/>
    <w:rsid w:val="00DE5991"/>
    <w:rsid w:val="00DE5D07"/>
    <w:rsid w:val="00DE5ED0"/>
    <w:rsid w:val="00DE6123"/>
    <w:rsid w:val="00DE62D4"/>
    <w:rsid w:val="00DE67D5"/>
    <w:rsid w:val="00DE7226"/>
    <w:rsid w:val="00DE72A7"/>
    <w:rsid w:val="00DE7832"/>
    <w:rsid w:val="00DF03D0"/>
    <w:rsid w:val="00DF0F46"/>
    <w:rsid w:val="00DF1104"/>
    <w:rsid w:val="00DF168B"/>
    <w:rsid w:val="00DF18FC"/>
    <w:rsid w:val="00DF3E79"/>
    <w:rsid w:val="00DF5D2B"/>
    <w:rsid w:val="00DF5DD8"/>
    <w:rsid w:val="00DF629B"/>
    <w:rsid w:val="00DF7EBD"/>
    <w:rsid w:val="00E00E8E"/>
    <w:rsid w:val="00E0177A"/>
    <w:rsid w:val="00E018D0"/>
    <w:rsid w:val="00E01D64"/>
    <w:rsid w:val="00E0228B"/>
    <w:rsid w:val="00E02A2F"/>
    <w:rsid w:val="00E02B7A"/>
    <w:rsid w:val="00E03BB2"/>
    <w:rsid w:val="00E03DDB"/>
    <w:rsid w:val="00E0468F"/>
    <w:rsid w:val="00E04B25"/>
    <w:rsid w:val="00E04DF3"/>
    <w:rsid w:val="00E05118"/>
    <w:rsid w:val="00E05469"/>
    <w:rsid w:val="00E05630"/>
    <w:rsid w:val="00E056C7"/>
    <w:rsid w:val="00E058A2"/>
    <w:rsid w:val="00E05F67"/>
    <w:rsid w:val="00E06DBB"/>
    <w:rsid w:val="00E10149"/>
    <w:rsid w:val="00E1093F"/>
    <w:rsid w:val="00E10D29"/>
    <w:rsid w:val="00E112B4"/>
    <w:rsid w:val="00E11340"/>
    <w:rsid w:val="00E122A1"/>
    <w:rsid w:val="00E12A57"/>
    <w:rsid w:val="00E14606"/>
    <w:rsid w:val="00E146CD"/>
    <w:rsid w:val="00E15134"/>
    <w:rsid w:val="00E1548B"/>
    <w:rsid w:val="00E1576D"/>
    <w:rsid w:val="00E15C5C"/>
    <w:rsid w:val="00E16038"/>
    <w:rsid w:val="00E16168"/>
    <w:rsid w:val="00E16372"/>
    <w:rsid w:val="00E166CC"/>
    <w:rsid w:val="00E171AF"/>
    <w:rsid w:val="00E17274"/>
    <w:rsid w:val="00E177AE"/>
    <w:rsid w:val="00E205CE"/>
    <w:rsid w:val="00E20E4D"/>
    <w:rsid w:val="00E20ED6"/>
    <w:rsid w:val="00E21358"/>
    <w:rsid w:val="00E21511"/>
    <w:rsid w:val="00E21603"/>
    <w:rsid w:val="00E21DD4"/>
    <w:rsid w:val="00E21F33"/>
    <w:rsid w:val="00E21F62"/>
    <w:rsid w:val="00E220A4"/>
    <w:rsid w:val="00E2249B"/>
    <w:rsid w:val="00E22570"/>
    <w:rsid w:val="00E228E3"/>
    <w:rsid w:val="00E2298D"/>
    <w:rsid w:val="00E229A4"/>
    <w:rsid w:val="00E22A0D"/>
    <w:rsid w:val="00E22EEE"/>
    <w:rsid w:val="00E239C2"/>
    <w:rsid w:val="00E242A4"/>
    <w:rsid w:val="00E242E2"/>
    <w:rsid w:val="00E244F6"/>
    <w:rsid w:val="00E24AAE"/>
    <w:rsid w:val="00E24F5C"/>
    <w:rsid w:val="00E24F91"/>
    <w:rsid w:val="00E2563A"/>
    <w:rsid w:val="00E25872"/>
    <w:rsid w:val="00E25C44"/>
    <w:rsid w:val="00E25DEB"/>
    <w:rsid w:val="00E26245"/>
    <w:rsid w:val="00E2651B"/>
    <w:rsid w:val="00E26A77"/>
    <w:rsid w:val="00E2718B"/>
    <w:rsid w:val="00E2771E"/>
    <w:rsid w:val="00E30BB0"/>
    <w:rsid w:val="00E311EF"/>
    <w:rsid w:val="00E31923"/>
    <w:rsid w:val="00E31AEC"/>
    <w:rsid w:val="00E31D4D"/>
    <w:rsid w:val="00E32180"/>
    <w:rsid w:val="00E321DB"/>
    <w:rsid w:val="00E3254A"/>
    <w:rsid w:val="00E32857"/>
    <w:rsid w:val="00E32F53"/>
    <w:rsid w:val="00E34272"/>
    <w:rsid w:val="00E34455"/>
    <w:rsid w:val="00E34948"/>
    <w:rsid w:val="00E34C2B"/>
    <w:rsid w:val="00E34EBB"/>
    <w:rsid w:val="00E34F00"/>
    <w:rsid w:val="00E35033"/>
    <w:rsid w:val="00E35271"/>
    <w:rsid w:val="00E3545E"/>
    <w:rsid w:val="00E3597D"/>
    <w:rsid w:val="00E36007"/>
    <w:rsid w:val="00E368CF"/>
    <w:rsid w:val="00E36A8B"/>
    <w:rsid w:val="00E36D70"/>
    <w:rsid w:val="00E36FEF"/>
    <w:rsid w:val="00E37326"/>
    <w:rsid w:val="00E37569"/>
    <w:rsid w:val="00E400D3"/>
    <w:rsid w:val="00E401B2"/>
    <w:rsid w:val="00E40913"/>
    <w:rsid w:val="00E410D4"/>
    <w:rsid w:val="00E41AAB"/>
    <w:rsid w:val="00E41E30"/>
    <w:rsid w:val="00E4220A"/>
    <w:rsid w:val="00E4279D"/>
    <w:rsid w:val="00E42D57"/>
    <w:rsid w:val="00E42F73"/>
    <w:rsid w:val="00E435A4"/>
    <w:rsid w:val="00E43A13"/>
    <w:rsid w:val="00E43D70"/>
    <w:rsid w:val="00E45437"/>
    <w:rsid w:val="00E457B3"/>
    <w:rsid w:val="00E45DD4"/>
    <w:rsid w:val="00E45E91"/>
    <w:rsid w:val="00E46181"/>
    <w:rsid w:val="00E46197"/>
    <w:rsid w:val="00E464C1"/>
    <w:rsid w:val="00E466F3"/>
    <w:rsid w:val="00E47319"/>
    <w:rsid w:val="00E47B2C"/>
    <w:rsid w:val="00E47B97"/>
    <w:rsid w:val="00E50796"/>
    <w:rsid w:val="00E507E5"/>
    <w:rsid w:val="00E50D47"/>
    <w:rsid w:val="00E50D6D"/>
    <w:rsid w:val="00E51219"/>
    <w:rsid w:val="00E51560"/>
    <w:rsid w:val="00E5229E"/>
    <w:rsid w:val="00E52C1F"/>
    <w:rsid w:val="00E52D50"/>
    <w:rsid w:val="00E52FF8"/>
    <w:rsid w:val="00E535AC"/>
    <w:rsid w:val="00E53687"/>
    <w:rsid w:val="00E53A6E"/>
    <w:rsid w:val="00E53B4B"/>
    <w:rsid w:val="00E53FC8"/>
    <w:rsid w:val="00E54347"/>
    <w:rsid w:val="00E54D4B"/>
    <w:rsid w:val="00E55297"/>
    <w:rsid w:val="00E55424"/>
    <w:rsid w:val="00E55915"/>
    <w:rsid w:val="00E55BB5"/>
    <w:rsid w:val="00E55F77"/>
    <w:rsid w:val="00E5662C"/>
    <w:rsid w:val="00E5677E"/>
    <w:rsid w:val="00E57038"/>
    <w:rsid w:val="00E57082"/>
    <w:rsid w:val="00E57AC3"/>
    <w:rsid w:val="00E60971"/>
    <w:rsid w:val="00E615B6"/>
    <w:rsid w:val="00E61B15"/>
    <w:rsid w:val="00E61D4D"/>
    <w:rsid w:val="00E62F2B"/>
    <w:rsid w:val="00E635F0"/>
    <w:rsid w:val="00E63AA0"/>
    <w:rsid w:val="00E63AC4"/>
    <w:rsid w:val="00E64FDA"/>
    <w:rsid w:val="00E6567D"/>
    <w:rsid w:val="00E65E79"/>
    <w:rsid w:val="00E66110"/>
    <w:rsid w:val="00E66358"/>
    <w:rsid w:val="00E6693C"/>
    <w:rsid w:val="00E66B2F"/>
    <w:rsid w:val="00E66BA2"/>
    <w:rsid w:val="00E66E7D"/>
    <w:rsid w:val="00E67416"/>
    <w:rsid w:val="00E676EB"/>
    <w:rsid w:val="00E67C50"/>
    <w:rsid w:val="00E67D63"/>
    <w:rsid w:val="00E67F94"/>
    <w:rsid w:val="00E70188"/>
    <w:rsid w:val="00E7123B"/>
    <w:rsid w:val="00E7160C"/>
    <w:rsid w:val="00E71704"/>
    <w:rsid w:val="00E718B6"/>
    <w:rsid w:val="00E71E6B"/>
    <w:rsid w:val="00E71F52"/>
    <w:rsid w:val="00E7231F"/>
    <w:rsid w:val="00E723BA"/>
    <w:rsid w:val="00E72AFB"/>
    <w:rsid w:val="00E72B20"/>
    <w:rsid w:val="00E734C3"/>
    <w:rsid w:val="00E73581"/>
    <w:rsid w:val="00E738BA"/>
    <w:rsid w:val="00E741CD"/>
    <w:rsid w:val="00E743A7"/>
    <w:rsid w:val="00E74482"/>
    <w:rsid w:val="00E74C4D"/>
    <w:rsid w:val="00E75324"/>
    <w:rsid w:val="00E75CF3"/>
    <w:rsid w:val="00E75EAD"/>
    <w:rsid w:val="00E7652A"/>
    <w:rsid w:val="00E769EB"/>
    <w:rsid w:val="00E76E39"/>
    <w:rsid w:val="00E779AE"/>
    <w:rsid w:val="00E77DB4"/>
    <w:rsid w:val="00E80159"/>
    <w:rsid w:val="00E8065A"/>
    <w:rsid w:val="00E8075D"/>
    <w:rsid w:val="00E80B46"/>
    <w:rsid w:val="00E81A48"/>
    <w:rsid w:val="00E81C4A"/>
    <w:rsid w:val="00E825C8"/>
    <w:rsid w:val="00E82ADD"/>
    <w:rsid w:val="00E82B16"/>
    <w:rsid w:val="00E82EE3"/>
    <w:rsid w:val="00E833F7"/>
    <w:rsid w:val="00E83794"/>
    <w:rsid w:val="00E83B79"/>
    <w:rsid w:val="00E83BDF"/>
    <w:rsid w:val="00E83C77"/>
    <w:rsid w:val="00E84631"/>
    <w:rsid w:val="00E84B92"/>
    <w:rsid w:val="00E85337"/>
    <w:rsid w:val="00E8553B"/>
    <w:rsid w:val="00E85DE7"/>
    <w:rsid w:val="00E85E88"/>
    <w:rsid w:val="00E861CA"/>
    <w:rsid w:val="00E864AD"/>
    <w:rsid w:val="00E86655"/>
    <w:rsid w:val="00E87704"/>
    <w:rsid w:val="00E87A1D"/>
    <w:rsid w:val="00E87ACC"/>
    <w:rsid w:val="00E87F3D"/>
    <w:rsid w:val="00E904F6"/>
    <w:rsid w:val="00E9094A"/>
    <w:rsid w:val="00E90F23"/>
    <w:rsid w:val="00E911B4"/>
    <w:rsid w:val="00E919AD"/>
    <w:rsid w:val="00E91CCE"/>
    <w:rsid w:val="00E91D35"/>
    <w:rsid w:val="00E9202F"/>
    <w:rsid w:val="00E9248C"/>
    <w:rsid w:val="00E92492"/>
    <w:rsid w:val="00E926A5"/>
    <w:rsid w:val="00E933AA"/>
    <w:rsid w:val="00E93651"/>
    <w:rsid w:val="00E937D8"/>
    <w:rsid w:val="00E93B66"/>
    <w:rsid w:val="00E94565"/>
    <w:rsid w:val="00E9467F"/>
    <w:rsid w:val="00E94995"/>
    <w:rsid w:val="00E94ABA"/>
    <w:rsid w:val="00E94F99"/>
    <w:rsid w:val="00E9511C"/>
    <w:rsid w:val="00E95159"/>
    <w:rsid w:val="00E955A4"/>
    <w:rsid w:val="00E95C69"/>
    <w:rsid w:val="00E9662D"/>
    <w:rsid w:val="00E97532"/>
    <w:rsid w:val="00E97834"/>
    <w:rsid w:val="00E97F15"/>
    <w:rsid w:val="00EA0182"/>
    <w:rsid w:val="00EA0991"/>
    <w:rsid w:val="00EA17C3"/>
    <w:rsid w:val="00EA17C4"/>
    <w:rsid w:val="00EA1A07"/>
    <w:rsid w:val="00EA1B4E"/>
    <w:rsid w:val="00EA2300"/>
    <w:rsid w:val="00EA24AA"/>
    <w:rsid w:val="00EA25B5"/>
    <w:rsid w:val="00EA25F8"/>
    <w:rsid w:val="00EA2BE4"/>
    <w:rsid w:val="00EA2CAA"/>
    <w:rsid w:val="00EA2ECC"/>
    <w:rsid w:val="00EA3864"/>
    <w:rsid w:val="00EA4419"/>
    <w:rsid w:val="00EA4D4E"/>
    <w:rsid w:val="00EA50FB"/>
    <w:rsid w:val="00EA52BF"/>
    <w:rsid w:val="00EA5543"/>
    <w:rsid w:val="00EA5BC8"/>
    <w:rsid w:val="00EA6A98"/>
    <w:rsid w:val="00EA6B1C"/>
    <w:rsid w:val="00EA6F86"/>
    <w:rsid w:val="00EA758B"/>
    <w:rsid w:val="00EA78C2"/>
    <w:rsid w:val="00EA7F0E"/>
    <w:rsid w:val="00EA7F1C"/>
    <w:rsid w:val="00EB01E7"/>
    <w:rsid w:val="00EB0340"/>
    <w:rsid w:val="00EB0A26"/>
    <w:rsid w:val="00EB0D87"/>
    <w:rsid w:val="00EB0F86"/>
    <w:rsid w:val="00EB110F"/>
    <w:rsid w:val="00EB1429"/>
    <w:rsid w:val="00EB1587"/>
    <w:rsid w:val="00EB15B6"/>
    <w:rsid w:val="00EB1B6F"/>
    <w:rsid w:val="00EB25CC"/>
    <w:rsid w:val="00EB291C"/>
    <w:rsid w:val="00EB32E0"/>
    <w:rsid w:val="00EB3B2A"/>
    <w:rsid w:val="00EB3D06"/>
    <w:rsid w:val="00EB4916"/>
    <w:rsid w:val="00EB4933"/>
    <w:rsid w:val="00EB528F"/>
    <w:rsid w:val="00EB582E"/>
    <w:rsid w:val="00EB5C59"/>
    <w:rsid w:val="00EB613B"/>
    <w:rsid w:val="00EB6356"/>
    <w:rsid w:val="00EB6365"/>
    <w:rsid w:val="00EB6539"/>
    <w:rsid w:val="00EB6858"/>
    <w:rsid w:val="00EB695A"/>
    <w:rsid w:val="00EB720A"/>
    <w:rsid w:val="00EB78E8"/>
    <w:rsid w:val="00EB7A13"/>
    <w:rsid w:val="00EB7E8C"/>
    <w:rsid w:val="00EC00C9"/>
    <w:rsid w:val="00EC0393"/>
    <w:rsid w:val="00EC0DD9"/>
    <w:rsid w:val="00EC0DE1"/>
    <w:rsid w:val="00EC14B8"/>
    <w:rsid w:val="00EC25A6"/>
    <w:rsid w:val="00EC25DC"/>
    <w:rsid w:val="00EC2649"/>
    <w:rsid w:val="00EC31ED"/>
    <w:rsid w:val="00EC3547"/>
    <w:rsid w:val="00EC3743"/>
    <w:rsid w:val="00EC405B"/>
    <w:rsid w:val="00EC4487"/>
    <w:rsid w:val="00EC50DE"/>
    <w:rsid w:val="00EC5676"/>
    <w:rsid w:val="00EC5836"/>
    <w:rsid w:val="00EC598B"/>
    <w:rsid w:val="00EC5F25"/>
    <w:rsid w:val="00EC5FC7"/>
    <w:rsid w:val="00EC61F0"/>
    <w:rsid w:val="00EC631D"/>
    <w:rsid w:val="00EC64C4"/>
    <w:rsid w:val="00EC658B"/>
    <w:rsid w:val="00EC688C"/>
    <w:rsid w:val="00EC6F78"/>
    <w:rsid w:val="00EC789D"/>
    <w:rsid w:val="00EC78BA"/>
    <w:rsid w:val="00EC79FE"/>
    <w:rsid w:val="00EC7B72"/>
    <w:rsid w:val="00ED0919"/>
    <w:rsid w:val="00ED189F"/>
    <w:rsid w:val="00ED1AC8"/>
    <w:rsid w:val="00ED213C"/>
    <w:rsid w:val="00ED2396"/>
    <w:rsid w:val="00ED299B"/>
    <w:rsid w:val="00ED2A5D"/>
    <w:rsid w:val="00ED3AC4"/>
    <w:rsid w:val="00ED3B85"/>
    <w:rsid w:val="00ED4137"/>
    <w:rsid w:val="00ED419F"/>
    <w:rsid w:val="00ED4948"/>
    <w:rsid w:val="00ED4FC7"/>
    <w:rsid w:val="00ED51DB"/>
    <w:rsid w:val="00ED52C1"/>
    <w:rsid w:val="00ED57D2"/>
    <w:rsid w:val="00ED57EA"/>
    <w:rsid w:val="00ED5BD4"/>
    <w:rsid w:val="00ED6501"/>
    <w:rsid w:val="00ED6C76"/>
    <w:rsid w:val="00ED7E0D"/>
    <w:rsid w:val="00EE07D3"/>
    <w:rsid w:val="00EE095D"/>
    <w:rsid w:val="00EE0C20"/>
    <w:rsid w:val="00EE11B6"/>
    <w:rsid w:val="00EE13FD"/>
    <w:rsid w:val="00EE14D7"/>
    <w:rsid w:val="00EE197C"/>
    <w:rsid w:val="00EE1996"/>
    <w:rsid w:val="00EE1C01"/>
    <w:rsid w:val="00EE2074"/>
    <w:rsid w:val="00EE22AF"/>
    <w:rsid w:val="00EE22DD"/>
    <w:rsid w:val="00EE2445"/>
    <w:rsid w:val="00EE2927"/>
    <w:rsid w:val="00EE2D8E"/>
    <w:rsid w:val="00EE3291"/>
    <w:rsid w:val="00EE40CF"/>
    <w:rsid w:val="00EE415A"/>
    <w:rsid w:val="00EE44B3"/>
    <w:rsid w:val="00EE481E"/>
    <w:rsid w:val="00EE49A3"/>
    <w:rsid w:val="00EE4C0A"/>
    <w:rsid w:val="00EE5099"/>
    <w:rsid w:val="00EE5F10"/>
    <w:rsid w:val="00EE6246"/>
    <w:rsid w:val="00EE6D13"/>
    <w:rsid w:val="00EE7878"/>
    <w:rsid w:val="00EE7961"/>
    <w:rsid w:val="00EE7B49"/>
    <w:rsid w:val="00EF0099"/>
    <w:rsid w:val="00EF00BB"/>
    <w:rsid w:val="00EF0171"/>
    <w:rsid w:val="00EF07A0"/>
    <w:rsid w:val="00EF1805"/>
    <w:rsid w:val="00EF1B25"/>
    <w:rsid w:val="00EF1C03"/>
    <w:rsid w:val="00EF1DA0"/>
    <w:rsid w:val="00EF3E4B"/>
    <w:rsid w:val="00EF3F55"/>
    <w:rsid w:val="00EF40AE"/>
    <w:rsid w:val="00EF422F"/>
    <w:rsid w:val="00EF4498"/>
    <w:rsid w:val="00EF4747"/>
    <w:rsid w:val="00EF4BF8"/>
    <w:rsid w:val="00EF4E82"/>
    <w:rsid w:val="00EF4F5B"/>
    <w:rsid w:val="00EF527C"/>
    <w:rsid w:val="00EF6103"/>
    <w:rsid w:val="00EF6260"/>
    <w:rsid w:val="00EF65E9"/>
    <w:rsid w:val="00EF6F2A"/>
    <w:rsid w:val="00EF719E"/>
    <w:rsid w:val="00EF7E43"/>
    <w:rsid w:val="00F00393"/>
    <w:rsid w:val="00F00840"/>
    <w:rsid w:val="00F00B75"/>
    <w:rsid w:val="00F00DAE"/>
    <w:rsid w:val="00F01627"/>
    <w:rsid w:val="00F020EA"/>
    <w:rsid w:val="00F02253"/>
    <w:rsid w:val="00F030F6"/>
    <w:rsid w:val="00F03502"/>
    <w:rsid w:val="00F03648"/>
    <w:rsid w:val="00F03776"/>
    <w:rsid w:val="00F03AEE"/>
    <w:rsid w:val="00F03C2E"/>
    <w:rsid w:val="00F043D3"/>
    <w:rsid w:val="00F04A48"/>
    <w:rsid w:val="00F04A66"/>
    <w:rsid w:val="00F04B4B"/>
    <w:rsid w:val="00F0516C"/>
    <w:rsid w:val="00F05639"/>
    <w:rsid w:val="00F067A2"/>
    <w:rsid w:val="00F069A4"/>
    <w:rsid w:val="00F06F78"/>
    <w:rsid w:val="00F073B7"/>
    <w:rsid w:val="00F07706"/>
    <w:rsid w:val="00F07777"/>
    <w:rsid w:val="00F0783F"/>
    <w:rsid w:val="00F07B9E"/>
    <w:rsid w:val="00F1001F"/>
    <w:rsid w:val="00F103BC"/>
    <w:rsid w:val="00F1044C"/>
    <w:rsid w:val="00F1052B"/>
    <w:rsid w:val="00F106B4"/>
    <w:rsid w:val="00F10753"/>
    <w:rsid w:val="00F1097F"/>
    <w:rsid w:val="00F1116F"/>
    <w:rsid w:val="00F11881"/>
    <w:rsid w:val="00F11B62"/>
    <w:rsid w:val="00F1263A"/>
    <w:rsid w:val="00F12859"/>
    <w:rsid w:val="00F1297E"/>
    <w:rsid w:val="00F12EDE"/>
    <w:rsid w:val="00F13257"/>
    <w:rsid w:val="00F13DBD"/>
    <w:rsid w:val="00F14066"/>
    <w:rsid w:val="00F152AF"/>
    <w:rsid w:val="00F155EC"/>
    <w:rsid w:val="00F15740"/>
    <w:rsid w:val="00F15B77"/>
    <w:rsid w:val="00F1607B"/>
    <w:rsid w:val="00F16F3D"/>
    <w:rsid w:val="00F202C8"/>
    <w:rsid w:val="00F2054F"/>
    <w:rsid w:val="00F2061F"/>
    <w:rsid w:val="00F20DCB"/>
    <w:rsid w:val="00F21429"/>
    <w:rsid w:val="00F2174D"/>
    <w:rsid w:val="00F2198A"/>
    <w:rsid w:val="00F219B2"/>
    <w:rsid w:val="00F2211D"/>
    <w:rsid w:val="00F22421"/>
    <w:rsid w:val="00F22C8B"/>
    <w:rsid w:val="00F23929"/>
    <w:rsid w:val="00F246C4"/>
    <w:rsid w:val="00F24837"/>
    <w:rsid w:val="00F24E90"/>
    <w:rsid w:val="00F2575F"/>
    <w:rsid w:val="00F25A1E"/>
    <w:rsid w:val="00F268B8"/>
    <w:rsid w:val="00F27185"/>
    <w:rsid w:val="00F2750C"/>
    <w:rsid w:val="00F27565"/>
    <w:rsid w:val="00F27BE9"/>
    <w:rsid w:val="00F27D77"/>
    <w:rsid w:val="00F30D78"/>
    <w:rsid w:val="00F310D4"/>
    <w:rsid w:val="00F313BA"/>
    <w:rsid w:val="00F31D5A"/>
    <w:rsid w:val="00F32BA0"/>
    <w:rsid w:val="00F3322D"/>
    <w:rsid w:val="00F3339E"/>
    <w:rsid w:val="00F33975"/>
    <w:rsid w:val="00F33DE9"/>
    <w:rsid w:val="00F3411D"/>
    <w:rsid w:val="00F3477A"/>
    <w:rsid w:val="00F34A21"/>
    <w:rsid w:val="00F35C57"/>
    <w:rsid w:val="00F35E6D"/>
    <w:rsid w:val="00F3619A"/>
    <w:rsid w:val="00F36301"/>
    <w:rsid w:val="00F370F1"/>
    <w:rsid w:val="00F374E0"/>
    <w:rsid w:val="00F3761C"/>
    <w:rsid w:val="00F37A53"/>
    <w:rsid w:val="00F37E89"/>
    <w:rsid w:val="00F40148"/>
    <w:rsid w:val="00F40AAA"/>
    <w:rsid w:val="00F40BA7"/>
    <w:rsid w:val="00F40F6E"/>
    <w:rsid w:val="00F40F9D"/>
    <w:rsid w:val="00F41919"/>
    <w:rsid w:val="00F41ACD"/>
    <w:rsid w:val="00F42357"/>
    <w:rsid w:val="00F4273C"/>
    <w:rsid w:val="00F43738"/>
    <w:rsid w:val="00F43B57"/>
    <w:rsid w:val="00F44A70"/>
    <w:rsid w:val="00F44A99"/>
    <w:rsid w:val="00F44AB5"/>
    <w:rsid w:val="00F4682D"/>
    <w:rsid w:val="00F468E3"/>
    <w:rsid w:val="00F46CB6"/>
    <w:rsid w:val="00F47200"/>
    <w:rsid w:val="00F4756D"/>
    <w:rsid w:val="00F47DE8"/>
    <w:rsid w:val="00F47EC3"/>
    <w:rsid w:val="00F47F13"/>
    <w:rsid w:val="00F502F5"/>
    <w:rsid w:val="00F504E5"/>
    <w:rsid w:val="00F50B02"/>
    <w:rsid w:val="00F50BDC"/>
    <w:rsid w:val="00F51253"/>
    <w:rsid w:val="00F51A21"/>
    <w:rsid w:val="00F51C84"/>
    <w:rsid w:val="00F51C9C"/>
    <w:rsid w:val="00F523BB"/>
    <w:rsid w:val="00F52FA5"/>
    <w:rsid w:val="00F542C1"/>
    <w:rsid w:val="00F543AD"/>
    <w:rsid w:val="00F54C8E"/>
    <w:rsid w:val="00F54DFF"/>
    <w:rsid w:val="00F54E0F"/>
    <w:rsid w:val="00F54E80"/>
    <w:rsid w:val="00F5570A"/>
    <w:rsid w:val="00F55B7A"/>
    <w:rsid w:val="00F55E73"/>
    <w:rsid w:val="00F55EDA"/>
    <w:rsid w:val="00F56362"/>
    <w:rsid w:val="00F5666F"/>
    <w:rsid w:val="00F56930"/>
    <w:rsid w:val="00F56BB3"/>
    <w:rsid w:val="00F56C80"/>
    <w:rsid w:val="00F57050"/>
    <w:rsid w:val="00F57265"/>
    <w:rsid w:val="00F572C9"/>
    <w:rsid w:val="00F60092"/>
    <w:rsid w:val="00F60378"/>
    <w:rsid w:val="00F606F2"/>
    <w:rsid w:val="00F61C18"/>
    <w:rsid w:val="00F61FA3"/>
    <w:rsid w:val="00F62EEA"/>
    <w:rsid w:val="00F635CA"/>
    <w:rsid w:val="00F63B44"/>
    <w:rsid w:val="00F63EA8"/>
    <w:rsid w:val="00F64355"/>
    <w:rsid w:val="00F6528D"/>
    <w:rsid w:val="00F65647"/>
    <w:rsid w:val="00F6571C"/>
    <w:rsid w:val="00F6597C"/>
    <w:rsid w:val="00F65A1C"/>
    <w:rsid w:val="00F65F35"/>
    <w:rsid w:val="00F65F4B"/>
    <w:rsid w:val="00F660AB"/>
    <w:rsid w:val="00F663BC"/>
    <w:rsid w:val="00F66435"/>
    <w:rsid w:val="00F6648E"/>
    <w:rsid w:val="00F66638"/>
    <w:rsid w:val="00F675CA"/>
    <w:rsid w:val="00F6788D"/>
    <w:rsid w:val="00F67A69"/>
    <w:rsid w:val="00F70BFF"/>
    <w:rsid w:val="00F70C9D"/>
    <w:rsid w:val="00F70CE3"/>
    <w:rsid w:val="00F71152"/>
    <w:rsid w:val="00F71DD5"/>
    <w:rsid w:val="00F72187"/>
    <w:rsid w:val="00F72236"/>
    <w:rsid w:val="00F72B7D"/>
    <w:rsid w:val="00F72BBC"/>
    <w:rsid w:val="00F72F5C"/>
    <w:rsid w:val="00F7337A"/>
    <w:rsid w:val="00F73FB8"/>
    <w:rsid w:val="00F7416F"/>
    <w:rsid w:val="00F74B75"/>
    <w:rsid w:val="00F74CD9"/>
    <w:rsid w:val="00F74D0F"/>
    <w:rsid w:val="00F74E47"/>
    <w:rsid w:val="00F75221"/>
    <w:rsid w:val="00F75298"/>
    <w:rsid w:val="00F75F2B"/>
    <w:rsid w:val="00F76EB6"/>
    <w:rsid w:val="00F7704F"/>
    <w:rsid w:val="00F773F7"/>
    <w:rsid w:val="00F7760B"/>
    <w:rsid w:val="00F77A8C"/>
    <w:rsid w:val="00F77C19"/>
    <w:rsid w:val="00F77F0B"/>
    <w:rsid w:val="00F80241"/>
    <w:rsid w:val="00F8031C"/>
    <w:rsid w:val="00F808DF"/>
    <w:rsid w:val="00F80A7B"/>
    <w:rsid w:val="00F80C07"/>
    <w:rsid w:val="00F80C9E"/>
    <w:rsid w:val="00F80CC3"/>
    <w:rsid w:val="00F80E5D"/>
    <w:rsid w:val="00F80F89"/>
    <w:rsid w:val="00F8100E"/>
    <w:rsid w:val="00F812F2"/>
    <w:rsid w:val="00F813D6"/>
    <w:rsid w:val="00F8172D"/>
    <w:rsid w:val="00F81B32"/>
    <w:rsid w:val="00F81E78"/>
    <w:rsid w:val="00F81F12"/>
    <w:rsid w:val="00F82AD1"/>
    <w:rsid w:val="00F82B1D"/>
    <w:rsid w:val="00F833CE"/>
    <w:rsid w:val="00F83A35"/>
    <w:rsid w:val="00F83E8A"/>
    <w:rsid w:val="00F84717"/>
    <w:rsid w:val="00F8514E"/>
    <w:rsid w:val="00F851CE"/>
    <w:rsid w:val="00F86272"/>
    <w:rsid w:val="00F8629E"/>
    <w:rsid w:val="00F86401"/>
    <w:rsid w:val="00F86578"/>
    <w:rsid w:val="00F8667D"/>
    <w:rsid w:val="00F86A3E"/>
    <w:rsid w:val="00F86AED"/>
    <w:rsid w:val="00F86D77"/>
    <w:rsid w:val="00F9066A"/>
    <w:rsid w:val="00F90DAE"/>
    <w:rsid w:val="00F91219"/>
    <w:rsid w:val="00F9136C"/>
    <w:rsid w:val="00F91669"/>
    <w:rsid w:val="00F921A6"/>
    <w:rsid w:val="00F9238A"/>
    <w:rsid w:val="00F92444"/>
    <w:rsid w:val="00F92B99"/>
    <w:rsid w:val="00F9352F"/>
    <w:rsid w:val="00F93636"/>
    <w:rsid w:val="00F9384D"/>
    <w:rsid w:val="00F9393E"/>
    <w:rsid w:val="00F93AE6"/>
    <w:rsid w:val="00F940F6"/>
    <w:rsid w:val="00F943B6"/>
    <w:rsid w:val="00F96916"/>
    <w:rsid w:val="00F96F49"/>
    <w:rsid w:val="00F96FD0"/>
    <w:rsid w:val="00F97745"/>
    <w:rsid w:val="00F97A78"/>
    <w:rsid w:val="00F97B1F"/>
    <w:rsid w:val="00FA0169"/>
    <w:rsid w:val="00FA031E"/>
    <w:rsid w:val="00FA0B20"/>
    <w:rsid w:val="00FA0C4D"/>
    <w:rsid w:val="00FA13A6"/>
    <w:rsid w:val="00FA224E"/>
    <w:rsid w:val="00FA24E7"/>
    <w:rsid w:val="00FA28C3"/>
    <w:rsid w:val="00FA36D3"/>
    <w:rsid w:val="00FA3917"/>
    <w:rsid w:val="00FA3C24"/>
    <w:rsid w:val="00FA4E24"/>
    <w:rsid w:val="00FA501E"/>
    <w:rsid w:val="00FA5225"/>
    <w:rsid w:val="00FA5699"/>
    <w:rsid w:val="00FA5E1C"/>
    <w:rsid w:val="00FA5EE6"/>
    <w:rsid w:val="00FA6339"/>
    <w:rsid w:val="00FA63A3"/>
    <w:rsid w:val="00FA658C"/>
    <w:rsid w:val="00FA7505"/>
    <w:rsid w:val="00FA7956"/>
    <w:rsid w:val="00FA7C1E"/>
    <w:rsid w:val="00FB0153"/>
    <w:rsid w:val="00FB03AC"/>
    <w:rsid w:val="00FB090D"/>
    <w:rsid w:val="00FB0EC4"/>
    <w:rsid w:val="00FB109D"/>
    <w:rsid w:val="00FB16EC"/>
    <w:rsid w:val="00FB17C7"/>
    <w:rsid w:val="00FB1A13"/>
    <w:rsid w:val="00FB22D6"/>
    <w:rsid w:val="00FB24CD"/>
    <w:rsid w:val="00FB2EFD"/>
    <w:rsid w:val="00FB2FCB"/>
    <w:rsid w:val="00FB4611"/>
    <w:rsid w:val="00FB4754"/>
    <w:rsid w:val="00FB5463"/>
    <w:rsid w:val="00FB562B"/>
    <w:rsid w:val="00FB5D61"/>
    <w:rsid w:val="00FB6180"/>
    <w:rsid w:val="00FB7140"/>
    <w:rsid w:val="00FB7A9F"/>
    <w:rsid w:val="00FB7C55"/>
    <w:rsid w:val="00FC076E"/>
    <w:rsid w:val="00FC0FEB"/>
    <w:rsid w:val="00FC1074"/>
    <w:rsid w:val="00FC11A0"/>
    <w:rsid w:val="00FC1884"/>
    <w:rsid w:val="00FC2204"/>
    <w:rsid w:val="00FC315A"/>
    <w:rsid w:val="00FC3197"/>
    <w:rsid w:val="00FC371D"/>
    <w:rsid w:val="00FC4507"/>
    <w:rsid w:val="00FC4808"/>
    <w:rsid w:val="00FC5244"/>
    <w:rsid w:val="00FC5685"/>
    <w:rsid w:val="00FC5F0B"/>
    <w:rsid w:val="00FC6F81"/>
    <w:rsid w:val="00FC7360"/>
    <w:rsid w:val="00FC76D1"/>
    <w:rsid w:val="00FC773B"/>
    <w:rsid w:val="00FC7A27"/>
    <w:rsid w:val="00FC7EF6"/>
    <w:rsid w:val="00FD02AA"/>
    <w:rsid w:val="00FD0798"/>
    <w:rsid w:val="00FD0B34"/>
    <w:rsid w:val="00FD1AF5"/>
    <w:rsid w:val="00FD1D3C"/>
    <w:rsid w:val="00FD2100"/>
    <w:rsid w:val="00FD2AAA"/>
    <w:rsid w:val="00FD2D4E"/>
    <w:rsid w:val="00FD40FF"/>
    <w:rsid w:val="00FD436C"/>
    <w:rsid w:val="00FD446D"/>
    <w:rsid w:val="00FD4F11"/>
    <w:rsid w:val="00FD4F2C"/>
    <w:rsid w:val="00FD4FE9"/>
    <w:rsid w:val="00FD5498"/>
    <w:rsid w:val="00FD6394"/>
    <w:rsid w:val="00FD6CD9"/>
    <w:rsid w:val="00FD7246"/>
    <w:rsid w:val="00FD744F"/>
    <w:rsid w:val="00FD7596"/>
    <w:rsid w:val="00FD764B"/>
    <w:rsid w:val="00FD7801"/>
    <w:rsid w:val="00FE0B42"/>
    <w:rsid w:val="00FE0E6C"/>
    <w:rsid w:val="00FE10F1"/>
    <w:rsid w:val="00FE1CDC"/>
    <w:rsid w:val="00FE2216"/>
    <w:rsid w:val="00FE3DC1"/>
    <w:rsid w:val="00FE49D4"/>
    <w:rsid w:val="00FE4A10"/>
    <w:rsid w:val="00FE4E43"/>
    <w:rsid w:val="00FE57B4"/>
    <w:rsid w:val="00FE6D08"/>
    <w:rsid w:val="00FE70C3"/>
    <w:rsid w:val="00FE71F9"/>
    <w:rsid w:val="00FE74FB"/>
    <w:rsid w:val="00FE7744"/>
    <w:rsid w:val="00FE7A04"/>
    <w:rsid w:val="00FE7FF5"/>
    <w:rsid w:val="00FF030D"/>
    <w:rsid w:val="00FF034C"/>
    <w:rsid w:val="00FF0367"/>
    <w:rsid w:val="00FF0C36"/>
    <w:rsid w:val="00FF0C37"/>
    <w:rsid w:val="00FF1651"/>
    <w:rsid w:val="00FF173C"/>
    <w:rsid w:val="00FF1C87"/>
    <w:rsid w:val="00FF23B4"/>
    <w:rsid w:val="00FF27B7"/>
    <w:rsid w:val="00FF2AD9"/>
    <w:rsid w:val="00FF2DC1"/>
    <w:rsid w:val="00FF359F"/>
    <w:rsid w:val="00FF3C71"/>
    <w:rsid w:val="00FF3DCF"/>
    <w:rsid w:val="00FF4557"/>
    <w:rsid w:val="00FF46F7"/>
    <w:rsid w:val="00FF476E"/>
    <w:rsid w:val="00FF4862"/>
    <w:rsid w:val="00FF48F3"/>
    <w:rsid w:val="00FF492C"/>
    <w:rsid w:val="00FF4A21"/>
    <w:rsid w:val="00FF4C8C"/>
    <w:rsid w:val="00FF5598"/>
    <w:rsid w:val="00FF5AA3"/>
    <w:rsid w:val="00FF5AD8"/>
    <w:rsid w:val="00FF5FF7"/>
    <w:rsid w:val="00FF6151"/>
    <w:rsid w:val="00FF6D3C"/>
    <w:rsid w:val="00FF6ECB"/>
    <w:rsid w:val="00FF727D"/>
    <w:rsid w:val="00FF7BAA"/>
    <w:rsid w:val="00FF7D1D"/>
    <w:rsid w:val="00FF7D7D"/>
    <w:rsid w:val="00FF7DC4"/>
    <w:rsid w:val="00FF7E97"/>
    <w:rsid w:val="00FF7F89"/>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D881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uiPriority w:val="10"/>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Table Legend,Bullet1,Bullet 1,Bullet List,Section 5"/>
    <w:next w:val="ListBullet"/>
    <w:link w:val="ListParagraphChar"/>
    <w:uiPriority w:val="34"/>
    <w:qFormat/>
    <w:rsid w:val="00BB00B3"/>
    <w:p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paragraph" w:customStyle="1" w:styleId="Table">
    <w:name w:val="Table"/>
    <w:basedOn w:val="Normal"/>
    <w:link w:val="TableChar"/>
    <w:qFormat/>
    <w:rsid w:val="009F4029"/>
    <w:pPr>
      <w:jc w:val="left"/>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9F4029"/>
    <w:rPr>
      <w:rFonts w:ascii="Candara" w:eastAsiaTheme="majorEastAsia" w:hAnsi="Candara" w:cstheme="majorBidi"/>
      <w:szCs w:val="22"/>
      <w:lang w:eastAsia="en-US" w:bidi="en-US"/>
    </w:rPr>
  </w:style>
  <w:style w:type="paragraph" w:customStyle="1" w:styleId="TableBullets">
    <w:name w:val="Table Bullets"/>
    <w:basedOn w:val="Table"/>
    <w:uiPriority w:val="5"/>
    <w:qFormat/>
    <w:rsid w:val="009F4029"/>
    <w:pPr>
      <w:numPr>
        <w:numId w:val="5"/>
      </w:numPr>
      <w:ind w:left="357" w:hanging="357"/>
    </w:pPr>
  </w:style>
  <w:style w:type="paragraph" w:customStyle="1" w:styleId="TableParagraph">
    <w:name w:val="Table Paragraph"/>
    <w:basedOn w:val="Normal"/>
    <w:uiPriority w:val="1"/>
    <w:qFormat/>
    <w:rsid w:val="00D24474"/>
    <w:pPr>
      <w:widowControl w:val="0"/>
      <w:autoSpaceDE w:val="0"/>
      <w:autoSpaceDN w:val="0"/>
      <w:jc w:val="left"/>
    </w:pPr>
    <w:rPr>
      <w:rFonts w:eastAsia="Calibri" w:cs="Calibri"/>
      <w:sz w:val="22"/>
      <w:szCs w:val="22"/>
      <w:lang w:val="en-US" w:eastAsia="en-US"/>
    </w:rPr>
  </w:style>
  <w:style w:type="character" w:customStyle="1" w:styleId="Small">
    <w:name w:val="Small"/>
    <w:basedOn w:val="DefaultParagraphFont"/>
    <w:uiPriority w:val="4"/>
    <w:qFormat/>
    <w:rsid w:val="00D24474"/>
    <w:rPr>
      <w:rFonts w:ascii="Candara" w:hAnsi="Candara"/>
      <w:sz w:val="20"/>
    </w:rPr>
  </w:style>
  <w:style w:type="table" w:customStyle="1" w:styleId="Summarybox1">
    <w:name w:val="Summary box1"/>
    <w:basedOn w:val="TableNormal"/>
    <w:next w:val="TableGrid"/>
    <w:uiPriority w:val="59"/>
    <w:rsid w:val="00D24474"/>
    <w:rPr>
      <w:rFonts w:asciiTheme="minorHAnsi" w:eastAsia="MS Mincho"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
    <w:name w:val="Font Bold"/>
    <w:basedOn w:val="DefaultParagraphFont"/>
    <w:uiPriority w:val="1"/>
    <w:qFormat/>
    <w:rsid w:val="00D3227B"/>
    <w:rPr>
      <w:rFonts w:ascii="Calibri" w:hAnsi="Calibri"/>
      <w:b/>
      <w:i w:val="0"/>
      <w:sz w:val="24"/>
    </w:rPr>
  </w:style>
  <w:style w:type="character" w:customStyle="1" w:styleId="CaptionFootnoteChar">
    <w:name w:val="Caption Footnote Char"/>
    <w:basedOn w:val="CaptionChar"/>
    <w:link w:val="CaptionFootnote"/>
    <w:rsid w:val="00CF0598"/>
    <w:rPr>
      <w:rFonts w:ascii="Candara" w:eastAsiaTheme="majorEastAsia" w:hAnsi="Candara" w:cstheme="majorBidi"/>
      <w:b w:val="0"/>
      <w:bCs/>
      <w:snapToGrid/>
      <w:color w:val="4F81BD" w:themeColor="accent1"/>
      <w:sz w:val="16"/>
      <w:szCs w:val="18"/>
      <w:lang w:eastAsia="en-US" w:bidi="en-US"/>
    </w:rPr>
  </w:style>
  <w:style w:type="paragraph" w:customStyle="1" w:styleId="CaptionFootnote">
    <w:name w:val="Caption Footnote"/>
    <w:basedOn w:val="Caption"/>
    <w:link w:val="CaptionFootnoteChar"/>
    <w:qFormat/>
    <w:rsid w:val="00CF0598"/>
    <w:pPr>
      <w:widowControl w:val="0"/>
      <w:spacing w:after="0"/>
      <w:jc w:val="left"/>
    </w:pPr>
    <w:rPr>
      <w:rFonts w:ascii="Candara" w:eastAsiaTheme="majorEastAsia" w:hAnsi="Candara" w:cstheme="majorBidi"/>
      <w:b w:val="0"/>
      <w:color w:val="auto"/>
      <w:sz w:val="16"/>
      <w:lang w:bidi="en-US"/>
    </w:rPr>
  </w:style>
  <w:style w:type="character" w:customStyle="1" w:styleId="Font">
    <w:name w:val="Font"/>
    <w:basedOn w:val="DefaultParagraphFont"/>
    <w:uiPriority w:val="1"/>
    <w:qFormat/>
    <w:rsid w:val="00190A8F"/>
    <w:rPr>
      <w:rFonts w:ascii="Candara" w:hAnsi="Candara"/>
      <w:sz w:val="24"/>
    </w:rPr>
  </w:style>
  <w:style w:type="paragraph" w:styleId="FootnoteText">
    <w:name w:val="footnote text"/>
    <w:basedOn w:val="Normal"/>
    <w:link w:val="FootnoteTextChar"/>
    <w:semiHidden/>
    <w:unhideWhenUsed/>
    <w:rsid w:val="00D53DEB"/>
    <w:rPr>
      <w:sz w:val="20"/>
      <w:szCs w:val="20"/>
    </w:rPr>
  </w:style>
  <w:style w:type="character" w:customStyle="1" w:styleId="FootnoteTextChar">
    <w:name w:val="Footnote Text Char"/>
    <w:basedOn w:val="DefaultParagraphFont"/>
    <w:link w:val="FootnoteText"/>
    <w:semiHidden/>
    <w:rsid w:val="00D53DEB"/>
    <w:rPr>
      <w:rFonts w:ascii="Calibri" w:hAnsi="Calibri" w:cs="Arial"/>
    </w:rPr>
  </w:style>
  <w:style w:type="character" w:styleId="FootnoteReference">
    <w:name w:val="footnote reference"/>
    <w:basedOn w:val="DefaultParagraphFont"/>
    <w:semiHidden/>
    <w:unhideWhenUsed/>
    <w:rsid w:val="00D53DEB"/>
    <w:rPr>
      <w:vertAlign w:val="superscript"/>
    </w:rPr>
  </w:style>
  <w:style w:type="paragraph" w:customStyle="1" w:styleId="Default">
    <w:name w:val="Default"/>
    <w:rsid w:val="001102BA"/>
    <w:pPr>
      <w:autoSpaceDE w:val="0"/>
      <w:autoSpaceDN w:val="0"/>
      <w:adjustRightInd w:val="0"/>
    </w:pPr>
    <w:rPr>
      <w:rFonts w:ascii="Arial" w:eastAsiaTheme="minorHAnsi" w:hAnsi="Arial" w:cs="Arial"/>
      <w:color w:val="000000"/>
      <w:sz w:val="24"/>
      <w:szCs w:val="24"/>
      <w:lang w:eastAsia="en-US" w:bidi="th-TH"/>
    </w:rPr>
  </w:style>
  <w:style w:type="table" w:customStyle="1" w:styleId="TableGrid1">
    <w:name w:val="Table Grid1"/>
    <w:basedOn w:val="TableNormal"/>
    <w:next w:val="TableGrid"/>
    <w:uiPriority w:val="59"/>
    <w:rsid w:val="00B60E01"/>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ubmissionstandard">
    <w:name w:val="Submission standard"/>
    <w:uiPriority w:val="99"/>
    <w:qFormat/>
    <w:rsid w:val="00903B5E"/>
    <w:rPr>
      <w:rFonts w:ascii="Arial Narrow" w:eastAsia="Batang" w:hAnsi="Arial Narrow"/>
      <w:lang w:eastAsia="ko-KR"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Albertus Medium" w:hAnsi="Albertus Medium" w:cs="Times New Roman"/>
        <w:b/>
        <w:sz w:val="20"/>
      </w:rPr>
      <w:tblPr/>
      <w:tcPr>
        <w:shd w:val="clear" w:color="auto" w:fill="BFBFBF"/>
      </w:tcPr>
    </w:tblStylePr>
  </w:style>
  <w:style w:type="paragraph" w:customStyle="1" w:styleId="Tableheading0">
    <w:name w:val="Table heading"/>
    <w:basedOn w:val="Normal"/>
    <w:qFormat/>
    <w:rsid w:val="00903B5E"/>
    <w:pPr>
      <w:jc w:val="center"/>
    </w:pPr>
    <w:rPr>
      <w:rFonts w:asciiTheme="minorHAnsi" w:eastAsiaTheme="minorHAnsi" w:hAnsiTheme="minorHAnsi" w:cstheme="minorBidi"/>
      <w:b/>
      <w:sz w:val="20"/>
      <w:szCs w:val="20"/>
      <w:lang w:eastAsia="en-US"/>
    </w:rPr>
  </w:style>
  <w:style w:type="paragraph" w:customStyle="1" w:styleId="Tablecentre0">
    <w:name w:val="Table centre"/>
    <w:basedOn w:val="Tabletext"/>
    <w:qFormat/>
    <w:rsid w:val="00903B5E"/>
    <w:pPr>
      <w:contextualSpacing/>
      <w:jc w:val="center"/>
    </w:pPr>
    <w:rPr>
      <w:rFonts w:asciiTheme="minorHAnsi" w:eastAsiaTheme="minorHAnsi" w:hAnsiTheme="minorHAnsi" w:cstheme="minorBidi"/>
      <w:snapToGrid/>
      <w:szCs w:val="20"/>
      <w:lang w:eastAsia="en-US"/>
    </w:rPr>
  </w:style>
  <w:style w:type="paragraph" w:customStyle="1" w:styleId="Btabletext">
    <w:name w:val="B table text"/>
    <w:basedOn w:val="Tabletext"/>
    <w:qFormat/>
    <w:rsid w:val="00903B5E"/>
    <w:pPr>
      <w:contextualSpacing/>
      <w:jc w:val="both"/>
    </w:pPr>
    <w:rPr>
      <w:rFonts w:asciiTheme="minorHAnsi" w:eastAsiaTheme="minorHAnsi" w:hAnsiTheme="minorHAnsi" w:cstheme="minorBidi"/>
      <w:b/>
      <w:bCs/>
      <w:snapToGrid/>
      <w:szCs w:val="20"/>
      <w:lang w:eastAsia="en-US"/>
    </w:rPr>
  </w:style>
  <w:style w:type="paragraph" w:customStyle="1" w:styleId="Source">
    <w:name w:val="Source"/>
    <w:basedOn w:val="Normal"/>
    <w:qFormat/>
    <w:rsid w:val="00903B5E"/>
    <w:rPr>
      <w:rFonts w:eastAsiaTheme="minorHAnsi" w:cstheme="minorBidi"/>
      <w:sz w:val="18"/>
      <w:szCs w:val="22"/>
      <w:lang w:eastAsia="en-US"/>
    </w:rPr>
  </w:style>
  <w:style w:type="paragraph" w:customStyle="1" w:styleId="NormalLetterList">
    <w:name w:val="Normal Letter List"/>
    <w:basedOn w:val="Normal"/>
    <w:uiPriority w:val="99"/>
    <w:qFormat/>
    <w:rsid w:val="00903B5E"/>
    <w:pPr>
      <w:numPr>
        <w:numId w:val="9"/>
      </w:numPr>
      <w:spacing w:after="240" w:line="276" w:lineRule="auto"/>
      <w:ind w:left="357" w:hanging="357"/>
      <w:contextualSpacing/>
      <w:jc w:val="left"/>
    </w:pPr>
    <w:rPr>
      <w:rFonts w:ascii="Candara" w:eastAsiaTheme="majorEastAsia" w:hAnsi="Candara" w:cstheme="majorBidi"/>
      <w:szCs w:val="22"/>
      <w:lang w:eastAsia="en-US" w:bidi="en-US"/>
    </w:rPr>
  </w:style>
  <w:style w:type="paragraph" w:customStyle="1" w:styleId="Tablebullet">
    <w:name w:val="Table bullet"/>
    <w:basedOn w:val="Tabletext"/>
    <w:qFormat/>
    <w:rsid w:val="00903B5E"/>
    <w:pPr>
      <w:numPr>
        <w:numId w:val="11"/>
      </w:numPr>
      <w:tabs>
        <w:tab w:val="left" w:pos="416"/>
        <w:tab w:val="left" w:pos="582"/>
      </w:tabs>
      <w:ind w:left="360"/>
      <w:contextualSpacing/>
      <w:jc w:val="both"/>
    </w:pPr>
    <w:rPr>
      <w:rFonts w:asciiTheme="minorHAnsi" w:hAnsiTheme="minorHAnsi"/>
      <w:snapToGrid/>
      <w:szCs w:val="20"/>
      <w:lang w:eastAsia="en-US"/>
    </w:rPr>
  </w:style>
  <w:style w:type="character" w:customStyle="1" w:styleId="FontItalics">
    <w:name w:val="Font Italics"/>
    <w:basedOn w:val="Font"/>
    <w:uiPriority w:val="1"/>
    <w:qFormat/>
    <w:rsid w:val="00903B5E"/>
    <w:rPr>
      <w:rFonts w:ascii="Candara" w:hAnsi="Candara"/>
      <w:i/>
      <w:sz w:val="24"/>
    </w:rPr>
  </w:style>
  <w:style w:type="paragraph" w:customStyle="1" w:styleId="TableUL">
    <w:name w:val="Table UL"/>
    <w:basedOn w:val="Tabletext"/>
    <w:qFormat/>
    <w:rsid w:val="00903B5E"/>
    <w:pPr>
      <w:tabs>
        <w:tab w:val="left" w:pos="416"/>
        <w:tab w:val="left" w:pos="582"/>
      </w:tabs>
      <w:contextualSpacing/>
      <w:jc w:val="both"/>
    </w:pPr>
    <w:rPr>
      <w:rFonts w:asciiTheme="minorHAnsi" w:eastAsia="OTNEJMQuadraat" w:hAnsiTheme="minorHAnsi"/>
      <w:snapToGrid/>
      <w:szCs w:val="20"/>
      <w:u w:val="single"/>
      <w:lang w:eastAsia="en-US"/>
    </w:rPr>
  </w:style>
  <w:style w:type="paragraph" w:styleId="EndnoteText">
    <w:name w:val="endnote text"/>
    <w:basedOn w:val="Normal"/>
    <w:link w:val="EndnoteTextChar"/>
    <w:semiHidden/>
    <w:unhideWhenUsed/>
    <w:rsid w:val="002B57C7"/>
    <w:rPr>
      <w:sz w:val="20"/>
      <w:szCs w:val="20"/>
    </w:rPr>
  </w:style>
  <w:style w:type="character" w:customStyle="1" w:styleId="EndnoteTextChar">
    <w:name w:val="Endnote Text Char"/>
    <w:basedOn w:val="DefaultParagraphFont"/>
    <w:link w:val="EndnoteText"/>
    <w:semiHidden/>
    <w:rsid w:val="002B57C7"/>
    <w:rPr>
      <w:rFonts w:ascii="Calibri" w:hAnsi="Calibri" w:cs="Arial"/>
    </w:rPr>
  </w:style>
  <w:style w:type="character" w:styleId="EndnoteReference">
    <w:name w:val="endnote reference"/>
    <w:basedOn w:val="DefaultParagraphFont"/>
    <w:semiHidden/>
    <w:unhideWhenUsed/>
    <w:rsid w:val="002B57C7"/>
    <w:rPr>
      <w:vertAlign w:val="superscript"/>
    </w:rPr>
  </w:style>
  <w:style w:type="character" w:customStyle="1" w:styleId="Heading1Char">
    <w:name w:val="Heading 1 Char"/>
    <w:basedOn w:val="DefaultParagraphFont"/>
    <w:link w:val="Heading1"/>
    <w:uiPriority w:val="1"/>
    <w:rsid w:val="00AF726E"/>
    <w:rPr>
      <w:rFonts w:ascii="Calibri" w:hAnsi="Calibri" w:cs="Arial"/>
      <w:b/>
      <w:caps/>
      <w:sz w:val="32"/>
      <w:szCs w:val="24"/>
    </w:rPr>
  </w:style>
  <w:style w:type="character" w:customStyle="1" w:styleId="Heading3Char">
    <w:name w:val="Heading 3 Char"/>
    <w:basedOn w:val="DefaultParagraphFont"/>
    <w:link w:val="Heading3"/>
    <w:rsid w:val="00AF726E"/>
    <w:rPr>
      <w:rFonts w:ascii="Calibri" w:hAnsi="Calibri" w:cs="Arial"/>
      <w:sz w:val="24"/>
      <w:szCs w:val="24"/>
      <w:u w:val="single"/>
    </w:rPr>
  </w:style>
  <w:style w:type="character" w:customStyle="1" w:styleId="Heading4Char">
    <w:name w:val="Heading 4 Char"/>
    <w:basedOn w:val="DefaultParagraphFont"/>
    <w:link w:val="Heading4"/>
    <w:rsid w:val="00AF726E"/>
    <w:rPr>
      <w:rFonts w:ascii="Calibri" w:hAnsi="Calibri" w:cs="Arial"/>
      <w:b/>
      <w:bCs/>
      <w:i/>
      <w:sz w:val="26"/>
      <w:szCs w:val="28"/>
    </w:rPr>
  </w:style>
  <w:style w:type="character" w:customStyle="1" w:styleId="Heading5Char">
    <w:name w:val="Heading 5 Char"/>
    <w:basedOn w:val="DefaultParagraphFont"/>
    <w:link w:val="Heading5"/>
    <w:rsid w:val="00AF726E"/>
    <w:rPr>
      <w:rFonts w:ascii="Calibri" w:hAnsi="Calibri" w:cs="Arial"/>
      <w:b/>
      <w:bCs/>
      <w:iCs/>
      <w:sz w:val="26"/>
      <w:szCs w:val="26"/>
    </w:rPr>
  </w:style>
  <w:style w:type="character" w:customStyle="1" w:styleId="Heading6Char">
    <w:name w:val="Heading 6 Char"/>
    <w:basedOn w:val="DefaultParagraphFont"/>
    <w:link w:val="Heading6"/>
    <w:rsid w:val="00AF726E"/>
    <w:rPr>
      <w:rFonts w:ascii="Calibri" w:hAnsi="Calibri" w:cs="Arial"/>
      <w:b/>
      <w:bCs/>
      <w:i/>
      <w:sz w:val="24"/>
      <w:szCs w:val="24"/>
    </w:rPr>
  </w:style>
  <w:style w:type="table" w:customStyle="1" w:styleId="AZTable">
    <w:name w:val="AZ Table"/>
    <w:basedOn w:val="TableNormal"/>
    <w:uiPriority w:val="99"/>
    <w:rsid w:val="00AF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UnresolvedMention1">
    <w:name w:val="Unresolved Mention1"/>
    <w:basedOn w:val="DefaultParagraphFont"/>
    <w:uiPriority w:val="99"/>
    <w:semiHidden/>
    <w:unhideWhenUsed/>
    <w:rsid w:val="00CC799A"/>
    <w:rPr>
      <w:color w:val="605E5C"/>
      <w:shd w:val="clear" w:color="auto" w:fill="E1DFDD"/>
    </w:rPr>
  </w:style>
  <w:style w:type="character" w:styleId="PlaceholderText">
    <w:name w:val="Placeholder Text"/>
    <w:basedOn w:val="DefaultParagraphFont"/>
    <w:uiPriority w:val="99"/>
    <w:semiHidden/>
    <w:rsid w:val="00625180"/>
    <w:rPr>
      <w:color w:val="808080"/>
    </w:rPr>
  </w:style>
  <w:style w:type="character" w:customStyle="1" w:styleId="UnresolvedMention2">
    <w:name w:val="Unresolved Mention2"/>
    <w:basedOn w:val="DefaultParagraphFont"/>
    <w:uiPriority w:val="99"/>
    <w:semiHidden/>
    <w:unhideWhenUsed/>
    <w:rsid w:val="00344931"/>
    <w:rPr>
      <w:color w:val="605E5C"/>
      <w:shd w:val="clear" w:color="auto" w:fill="E1DFDD"/>
    </w:rPr>
  </w:style>
  <w:style w:type="paragraph" w:customStyle="1" w:styleId="2Sections">
    <w:name w:val="2. Sections"/>
    <w:qFormat/>
    <w:rsid w:val="00E45E91"/>
    <w:pPr>
      <w:spacing w:before="240" w:after="120"/>
      <w:outlineLvl w:val="0"/>
    </w:pPr>
    <w:rPr>
      <w:rFonts w:asciiTheme="minorHAnsi" w:hAnsiTheme="minorHAnsi" w:cs="Arial"/>
      <w:b/>
      <w:snapToGrid w:val="0"/>
      <w:sz w:val="32"/>
      <w:szCs w:val="32"/>
      <w:lang w:eastAsia="en-US"/>
    </w:rPr>
  </w:style>
  <w:style w:type="paragraph" w:customStyle="1" w:styleId="3Bodytext">
    <w:name w:val="3. Body text"/>
    <w:basedOn w:val="ListParagraph"/>
    <w:qFormat/>
    <w:rsid w:val="00E45E91"/>
    <w:pPr>
      <w:ind w:left="720" w:hanging="720"/>
      <w:jc w:val="left"/>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6907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4114137">
      <w:bodyDiv w:val="1"/>
      <w:marLeft w:val="0"/>
      <w:marRight w:val="0"/>
      <w:marTop w:val="0"/>
      <w:marBottom w:val="0"/>
      <w:divBdr>
        <w:top w:val="none" w:sz="0" w:space="0" w:color="auto"/>
        <w:left w:val="none" w:sz="0" w:space="0" w:color="auto"/>
        <w:bottom w:val="none" w:sz="0" w:space="0" w:color="auto"/>
        <w:right w:val="none" w:sz="0" w:space="0" w:color="auto"/>
      </w:divBdr>
    </w:div>
    <w:div w:id="103811830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82802">
      <w:bodyDiv w:val="1"/>
      <w:marLeft w:val="0"/>
      <w:marRight w:val="0"/>
      <w:marTop w:val="0"/>
      <w:marBottom w:val="0"/>
      <w:divBdr>
        <w:top w:val="none" w:sz="0" w:space="0" w:color="auto"/>
        <w:left w:val="none" w:sz="0" w:space="0" w:color="auto"/>
        <w:bottom w:val="none" w:sz="0" w:space="0" w:color="auto"/>
        <w:right w:val="none" w:sz="0" w:space="0" w:color="auto"/>
      </w:divBdr>
    </w:div>
    <w:div w:id="150038724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theme" Target="theme/theme1.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1BF211D0-C1BB-4F22-B777-6082895F0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14796</Words>
  <Characters>82781</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2020-09-29T23:43:00Z</dcterms:created>
  <dcterms:modified xsi:type="dcterms:W3CDTF">2020-10-27T22:58:00Z</dcterms:modified>
</cp:coreProperties>
</file>