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6E0" w:rsidRPr="00C12C14" w:rsidRDefault="00F236E0" w:rsidP="003E3159"/>
    <w:p w:rsidR="00B60939" w:rsidRPr="004A6040" w:rsidRDefault="001109CB" w:rsidP="004A6040">
      <w:pPr>
        <w:pStyle w:val="1-MainHeading"/>
      </w:pPr>
      <w:r>
        <w:t>7</w:t>
      </w:r>
      <w:r w:rsidR="00433044" w:rsidRPr="00C12C14">
        <w:t>.</w:t>
      </w:r>
      <w:r>
        <w:t>03</w:t>
      </w:r>
      <w:r w:rsidR="00163F66">
        <w:tab/>
      </w:r>
      <w:r w:rsidR="002A76CE">
        <w:t>RIVAROXABAN</w:t>
      </w:r>
      <w:r w:rsidR="00877554">
        <w:t xml:space="preserve">, </w:t>
      </w:r>
      <w:r w:rsidR="00163F66">
        <w:br/>
      </w:r>
      <w:r w:rsidR="002A76CE">
        <w:t>Tablet 2.5 mg</w:t>
      </w:r>
      <w:r w:rsidR="00877554">
        <w:t xml:space="preserve">, </w:t>
      </w:r>
      <w:r w:rsidR="00163F66">
        <w:br/>
      </w:r>
      <w:r w:rsidR="002A76CE">
        <w:t>Xarelto</w:t>
      </w:r>
      <w:r w:rsidR="00B60939" w:rsidRPr="004A6040">
        <w:rPr>
          <w:vertAlign w:val="superscript"/>
        </w:rPr>
        <w:t>®</w:t>
      </w:r>
      <w:r w:rsidR="00877554" w:rsidRPr="004A6040">
        <w:t xml:space="preserve">, </w:t>
      </w:r>
      <w:r w:rsidR="004A6040" w:rsidRPr="004A6040">
        <w:br/>
      </w:r>
      <w:r w:rsidR="002A76CE">
        <w:t>Bayer Australia Limited</w:t>
      </w:r>
      <w:r w:rsidR="00B60939" w:rsidRPr="004A6040">
        <w:t>.</w:t>
      </w:r>
    </w:p>
    <w:p w:rsidR="00B50DB8" w:rsidRPr="00407F2D" w:rsidRDefault="00B50DB8" w:rsidP="004A6040">
      <w:pPr>
        <w:pStyle w:val="2-SectionHeading"/>
      </w:pPr>
      <w:bookmarkStart w:id="0" w:name="_Toc27421942"/>
      <w:r w:rsidRPr="00407F2D">
        <w:t xml:space="preserve">Purpose of </w:t>
      </w:r>
      <w:r w:rsidR="00CD7193">
        <w:t>s</w:t>
      </w:r>
      <w:r w:rsidR="00BB3A45">
        <w:t>ubmission</w:t>
      </w:r>
      <w:bookmarkEnd w:id="0"/>
    </w:p>
    <w:p w:rsidR="00A17B57" w:rsidRDefault="009177EC" w:rsidP="009177EC">
      <w:pPr>
        <w:pStyle w:val="ExecSumBodyText"/>
      </w:pPr>
      <w:r w:rsidRPr="009177EC">
        <w:t xml:space="preserve">The </w:t>
      </w:r>
      <w:r w:rsidR="004724B4">
        <w:t>re</w:t>
      </w:r>
      <w:r w:rsidRPr="009177EC">
        <w:t xml:space="preserve">submission requested a Section 85 (Authority Required) PBS listing for low dose rivaroxaban in combination with aspirin for the prevention of recurrent cardiovascular events in patients </w:t>
      </w:r>
      <w:r>
        <w:t xml:space="preserve">at high risk of recurrent thrombotic events, specifically patients with peripheral artery disease (PAD), PAD with coronary artery disease (CAD), CAD with heart failure (HF), or CAD with chronic kidney disease (CKD). </w:t>
      </w:r>
    </w:p>
    <w:p w:rsidR="009177EC" w:rsidRPr="009177EC" w:rsidRDefault="009177EC" w:rsidP="009177EC">
      <w:pPr>
        <w:pStyle w:val="ExecSumBodyText"/>
      </w:pPr>
      <w:r w:rsidRPr="009177EC">
        <w:t>The PBAC previously considered rivaroxaban for this indication</w:t>
      </w:r>
      <w:r>
        <w:t xml:space="preserve"> in March 2019</w:t>
      </w:r>
      <w:r w:rsidRPr="009177EC">
        <w:t>.</w:t>
      </w:r>
    </w:p>
    <w:p w:rsidR="00C2778B" w:rsidRDefault="005750C5" w:rsidP="004E18E9">
      <w:pPr>
        <w:pStyle w:val="ExecSumBodyText"/>
      </w:pPr>
      <w:r w:rsidRPr="005750C5">
        <w:t xml:space="preserve">Listing </w:t>
      </w:r>
      <w:r w:rsidR="00DE0D48">
        <w:t xml:space="preserve">of </w:t>
      </w:r>
      <w:r w:rsidR="00DE0D48" w:rsidRPr="009177EC">
        <w:t xml:space="preserve">rivaroxaban </w:t>
      </w:r>
      <w:r w:rsidR="00DE0D48">
        <w:t xml:space="preserve">(for use </w:t>
      </w:r>
      <w:r w:rsidR="00DE0D48" w:rsidRPr="009177EC">
        <w:t>in combination with aspirin</w:t>
      </w:r>
      <w:r w:rsidR="00DE0D48">
        <w:t>)</w:t>
      </w:r>
      <w:r w:rsidR="00DE0D48" w:rsidRPr="009177EC">
        <w:t xml:space="preserve"> </w:t>
      </w:r>
      <w:r w:rsidRPr="005750C5">
        <w:t xml:space="preserve">was requested on </w:t>
      </w:r>
      <w:r w:rsidR="009177EC">
        <w:t>a cost-effectiveness basis compared to aspirin</w:t>
      </w:r>
      <w:r w:rsidR="009940FB">
        <w:t xml:space="preserve"> alone</w:t>
      </w:r>
      <w:r w:rsidR="009177EC">
        <w:t>.</w:t>
      </w:r>
    </w:p>
    <w:p w:rsidR="00A17B57" w:rsidRPr="00E55915" w:rsidRDefault="00A17B57" w:rsidP="00A17B57">
      <w:pPr>
        <w:pStyle w:val="TableFigureCaption"/>
      </w:pPr>
      <w:r>
        <w:t>Table 1</w:t>
      </w:r>
      <w:r w:rsidRPr="00E55915">
        <w:t xml:space="preserve">: Key components of the clinical issue addressed by the </w:t>
      </w:r>
      <w:r>
        <w:t>re</w:t>
      </w:r>
      <w:r w:rsidRPr="00E55915">
        <w:t>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A17B57" w:rsidRPr="00A518F3" w:rsidTr="00CD0F71">
        <w:tc>
          <w:tcPr>
            <w:tcW w:w="1668" w:type="dxa"/>
            <w:vAlign w:val="center"/>
          </w:tcPr>
          <w:p w:rsidR="00A17B57" w:rsidRPr="00A518F3" w:rsidRDefault="00A17B57" w:rsidP="00CD0F71">
            <w:pPr>
              <w:pStyle w:val="Tableheadingrow"/>
            </w:pPr>
            <w:r w:rsidRPr="00A518F3">
              <w:t>Component</w:t>
            </w:r>
          </w:p>
        </w:tc>
        <w:tc>
          <w:tcPr>
            <w:tcW w:w="7488" w:type="dxa"/>
            <w:vAlign w:val="center"/>
          </w:tcPr>
          <w:p w:rsidR="00A17B57" w:rsidRPr="00A518F3" w:rsidRDefault="00A17B57" w:rsidP="00CD0F71">
            <w:pPr>
              <w:pStyle w:val="Tableheadingrow"/>
            </w:pPr>
            <w:r w:rsidRPr="00A518F3">
              <w:t>Description</w:t>
            </w:r>
          </w:p>
        </w:tc>
      </w:tr>
      <w:tr w:rsidR="00E80578" w:rsidTr="00CD0F71">
        <w:tc>
          <w:tcPr>
            <w:tcW w:w="1668" w:type="dxa"/>
            <w:vAlign w:val="center"/>
          </w:tcPr>
          <w:p w:rsidR="00E80578" w:rsidRDefault="00E80578" w:rsidP="00E80578">
            <w:pPr>
              <w:pStyle w:val="TableText"/>
            </w:pPr>
            <w:r>
              <w:t>Population</w:t>
            </w:r>
          </w:p>
        </w:tc>
        <w:tc>
          <w:tcPr>
            <w:tcW w:w="7488" w:type="dxa"/>
            <w:vAlign w:val="center"/>
          </w:tcPr>
          <w:p w:rsidR="00E80578" w:rsidRPr="003816D3" w:rsidRDefault="00E80578" w:rsidP="00E80578">
            <w:pPr>
              <w:pStyle w:val="TableText"/>
            </w:pPr>
            <w:r w:rsidRPr="003816D3">
              <w:t>Patients with peripheral artery disease (PAD) defined as</w:t>
            </w:r>
            <w:r w:rsidR="006F1C0D">
              <w:t>:</w:t>
            </w:r>
            <w:r w:rsidRPr="003816D3">
              <w:t xml:space="preserve"> </w:t>
            </w:r>
          </w:p>
          <w:p w:rsidR="00E80578" w:rsidRPr="003816D3" w:rsidRDefault="00E80578" w:rsidP="00BD1BEC">
            <w:pPr>
              <w:pStyle w:val="TableText"/>
              <w:numPr>
                <w:ilvl w:val="0"/>
                <w:numId w:val="5"/>
              </w:numPr>
            </w:pPr>
            <w:r w:rsidRPr="003816D3">
              <w:t>Previous peripheral artery or carotid revascularisation intervention or</w:t>
            </w:r>
          </w:p>
          <w:p w:rsidR="00E80578" w:rsidRPr="003816D3" w:rsidRDefault="00E80578" w:rsidP="00BD1BEC">
            <w:pPr>
              <w:pStyle w:val="TableText"/>
              <w:numPr>
                <w:ilvl w:val="0"/>
                <w:numId w:val="5"/>
              </w:numPr>
            </w:pPr>
            <w:r w:rsidRPr="003816D3">
              <w:t>Intermittent claudication with an ABI &lt; 0.90 or</w:t>
            </w:r>
          </w:p>
          <w:p w:rsidR="00E80578" w:rsidRPr="003816D3" w:rsidRDefault="00E80578" w:rsidP="00BD1BEC">
            <w:pPr>
              <w:pStyle w:val="TableText"/>
              <w:numPr>
                <w:ilvl w:val="0"/>
                <w:numId w:val="6"/>
              </w:numPr>
            </w:pPr>
            <w:r w:rsidRPr="003816D3">
              <w:t xml:space="preserve">Asymptomatic carotid artery stenosis </w:t>
            </w:r>
          </w:p>
          <w:p w:rsidR="00E80578" w:rsidRPr="003816D3" w:rsidRDefault="00E80578" w:rsidP="00E80578">
            <w:pPr>
              <w:pStyle w:val="TableText"/>
            </w:pPr>
            <w:r w:rsidRPr="003816D3">
              <w:t>OR</w:t>
            </w:r>
          </w:p>
          <w:p w:rsidR="00E80578" w:rsidRPr="003816D3" w:rsidRDefault="00E80578" w:rsidP="00E80578">
            <w:pPr>
              <w:pStyle w:val="TableText"/>
            </w:pPr>
            <w:r w:rsidRPr="003816D3">
              <w:t xml:space="preserve">Patients with chronic coronary artery disease (CAD) and at least one additional risk factor of: </w:t>
            </w:r>
          </w:p>
          <w:p w:rsidR="00E80578" w:rsidRDefault="00E80578" w:rsidP="00BD1BEC">
            <w:pPr>
              <w:pStyle w:val="TableText"/>
              <w:numPr>
                <w:ilvl w:val="0"/>
                <w:numId w:val="7"/>
              </w:numPr>
            </w:pPr>
            <w:r w:rsidRPr="003816D3">
              <w:t>Heart failure (LVEF ≥ 30%) or</w:t>
            </w:r>
          </w:p>
          <w:p w:rsidR="00E80578" w:rsidRDefault="00E80578" w:rsidP="00BD1BEC">
            <w:pPr>
              <w:pStyle w:val="TableText"/>
              <w:numPr>
                <w:ilvl w:val="0"/>
                <w:numId w:val="7"/>
              </w:numPr>
            </w:pPr>
            <w:r w:rsidRPr="003816D3">
              <w:t>Chronic kidney disease defined by an eGFR 15 to &lt;60 mL/min</w:t>
            </w:r>
            <w:r w:rsidR="004724B4">
              <w:t>.</w:t>
            </w:r>
          </w:p>
          <w:p w:rsidR="004724B4" w:rsidRDefault="004724B4" w:rsidP="004724B4">
            <w:pPr>
              <w:pStyle w:val="TableText"/>
            </w:pPr>
            <w:r>
              <w:t>These patient populations were further refined in the ESC Advice and pre-PBAC response (refer to Section 3).</w:t>
            </w:r>
          </w:p>
        </w:tc>
      </w:tr>
      <w:tr w:rsidR="00E80578" w:rsidTr="00CD0F71">
        <w:tc>
          <w:tcPr>
            <w:tcW w:w="1668" w:type="dxa"/>
            <w:vAlign w:val="center"/>
          </w:tcPr>
          <w:p w:rsidR="00E80578" w:rsidRDefault="00E80578" w:rsidP="00E80578">
            <w:pPr>
              <w:pStyle w:val="TableText"/>
            </w:pPr>
            <w:r>
              <w:t>Intervention</w:t>
            </w:r>
          </w:p>
        </w:tc>
        <w:tc>
          <w:tcPr>
            <w:tcW w:w="7488" w:type="dxa"/>
            <w:vAlign w:val="center"/>
          </w:tcPr>
          <w:p w:rsidR="00E80578" w:rsidRDefault="00E80578" w:rsidP="00E80578">
            <w:pPr>
              <w:pStyle w:val="TableText"/>
            </w:pPr>
            <w:r w:rsidRPr="003816D3">
              <w:t>Rivaroxaban 2.5 mg twice daily, plus aspirin 100 mg daily</w:t>
            </w:r>
          </w:p>
        </w:tc>
      </w:tr>
      <w:tr w:rsidR="00E80578" w:rsidTr="00CD0F71">
        <w:tc>
          <w:tcPr>
            <w:tcW w:w="1668" w:type="dxa"/>
            <w:vAlign w:val="center"/>
          </w:tcPr>
          <w:p w:rsidR="00E80578" w:rsidRDefault="00E80578" w:rsidP="00E80578">
            <w:pPr>
              <w:pStyle w:val="TableText"/>
            </w:pPr>
            <w:r>
              <w:t>Comparator</w:t>
            </w:r>
          </w:p>
        </w:tc>
        <w:tc>
          <w:tcPr>
            <w:tcW w:w="7488" w:type="dxa"/>
            <w:vAlign w:val="center"/>
          </w:tcPr>
          <w:p w:rsidR="00E80578" w:rsidRDefault="00E80578" w:rsidP="00E80578">
            <w:pPr>
              <w:pStyle w:val="TableText"/>
            </w:pPr>
            <w:r>
              <w:t xml:space="preserve">Aspirin 100 mg daily </w:t>
            </w:r>
          </w:p>
        </w:tc>
      </w:tr>
      <w:tr w:rsidR="00E80578" w:rsidTr="00CD0F71">
        <w:tc>
          <w:tcPr>
            <w:tcW w:w="1668" w:type="dxa"/>
            <w:vAlign w:val="center"/>
          </w:tcPr>
          <w:p w:rsidR="00E80578" w:rsidRDefault="00E80578" w:rsidP="00E80578">
            <w:pPr>
              <w:pStyle w:val="TableText"/>
            </w:pPr>
            <w:r>
              <w:t>Outcomes</w:t>
            </w:r>
          </w:p>
        </w:tc>
        <w:tc>
          <w:tcPr>
            <w:tcW w:w="7488" w:type="dxa"/>
            <w:vAlign w:val="center"/>
          </w:tcPr>
          <w:p w:rsidR="00E80578" w:rsidRDefault="00E80578" w:rsidP="006F1C0D">
            <w:pPr>
              <w:pStyle w:val="TableText"/>
            </w:pPr>
            <w:r>
              <w:t>Reductions in cardiovascular events (</w:t>
            </w:r>
            <w:r w:rsidRPr="00B702DB">
              <w:t xml:space="preserve">cardiovascular death, </w:t>
            </w:r>
            <w:r>
              <w:t xml:space="preserve">ischaemic </w:t>
            </w:r>
            <w:r w:rsidRPr="00B702DB">
              <w:t>stroke</w:t>
            </w:r>
            <w:r>
              <w:t>) and peripheral vascular events. Increases in m</w:t>
            </w:r>
            <w:r w:rsidRPr="00B702DB">
              <w:t>ajor bleeding</w:t>
            </w:r>
            <w:r>
              <w:t xml:space="preserve"> events</w:t>
            </w:r>
            <w:r w:rsidR="006F1C0D">
              <w:t>.</w:t>
            </w:r>
          </w:p>
        </w:tc>
      </w:tr>
      <w:tr w:rsidR="00E80578" w:rsidTr="00CD0F71">
        <w:tc>
          <w:tcPr>
            <w:tcW w:w="1668" w:type="dxa"/>
            <w:vAlign w:val="center"/>
          </w:tcPr>
          <w:p w:rsidR="00E80578" w:rsidRDefault="00E80578" w:rsidP="00E80578">
            <w:pPr>
              <w:pStyle w:val="TableText"/>
            </w:pPr>
            <w:r>
              <w:t>Clinical claim</w:t>
            </w:r>
          </w:p>
        </w:tc>
        <w:tc>
          <w:tcPr>
            <w:tcW w:w="7488" w:type="dxa"/>
            <w:vAlign w:val="center"/>
          </w:tcPr>
          <w:p w:rsidR="00E80578" w:rsidRDefault="00E80578" w:rsidP="00E80578">
            <w:pPr>
              <w:pStyle w:val="TableText"/>
            </w:pPr>
            <w:r w:rsidRPr="003816D3">
              <w:t>In patients with atherosclerotic disease of the coronary and/or peripheral arteries</w:t>
            </w:r>
            <w:r>
              <w:t xml:space="preserve"> at high risk of cardiovascular events</w:t>
            </w:r>
            <w:r w:rsidRPr="003816D3">
              <w:t>, rivaroxaban 2.5 mg in combination with aspirin is superior in terms of efficacy and inferior in terms of safety compared to aspirin.</w:t>
            </w:r>
          </w:p>
        </w:tc>
      </w:tr>
    </w:tbl>
    <w:p w:rsidR="00A17B57" w:rsidRDefault="00A17B57" w:rsidP="00A17B57">
      <w:pPr>
        <w:pStyle w:val="TableFigureFooter"/>
      </w:pPr>
      <w:r>
        <w:t>Source: Table 1.1-1, p.8 of the resubmission</w:t>
      </w:r>
    </w:p>
    <w:p w:rsidR="005C25FF" w:rsidRPr="00407F2D" w:rsidRDefault="005C25FF" w:rsidP="004A6040">
      <w:pPr>
        <w:pStyle w:val="2-SectionHeading"/>
      </w:pPr>
      <w:bookmarkStart w:id="1" w:name="_Toc27421943"/>
      <w:r w:rsidRPr="00407F2D">
        <w:t>Background</w:t>
      </w:r>
      <w:bookmarkEnd w:id="1"/>
    </w:p>
    <w:p w:rsidR="005C25FF" w:rsidRPr="004151CF" w:rsidRDefault="005C25FF" w:rsidP="004A6040">
      <w:pPr>
        <w:pStyle w:val="3-SubsectionHeading"/>
      </w:pPr>
      <w:bookmarkStart w:id="2" w:name="_Toc22897638"/>
      <w:bookmarkStart w:id="3" w:name="_Toc27421944"/>
      <w:r w:rsidRPr="004151CF">
        <w:t>Registration status</w:t>
      </w:r>
      <w:bookmarkEnd w:id="2"/>
      <w:bookmarkEnd w:id="3"/>
    </w:p>
    <w:p w:rsidR="005C25FF" w:rsidRPr="001A7287" w:rsidRDefault="001A7287" w:rsidP="004E18E9">
      <w:pPr>
        <w:pStyle w:val="ExecSumBodyText"/>
      </w:pPr>
      <w:r>
        <w:t xml:space="preserve">Rivaroxaban 2.5 mg </w:t>
      </w:r>
      <w:r w:rsidR="005C25FF" w:rsidRPr="004E18E9">
        <w:t xml:space="preserve">was TGA registered </w:t>
      </w:r>
      <w:r>
        <w:t xml:space="preserve">on 11 January 2019 for use in combination with aspirin with an indication of ‘prevention of major cardiovascular events (composite of stroke, myocardial infarction and cardiovascular death) </w:t>
      </w:r>
      <w:r w:rsidR="00E80578">
        <w:t>in patients with CAD and/or PAD</w:t>
      </w:r>
      <w:r w:rsidR="00302CC6">
        <w:t>’</w:t>
      </w:r>
      <w:r>
        <w:t>.</w:t>
      </w:r>
      <w:r w:rsidR="005C25FF" w:rsidRPr="004E18E9">
        <w:t xml:space="preserve"> </w:t>
      </w:r>
    </w:p>
    <w:p w:rsidR="005C25FF" w:rsidRPr="00621ADA" w:rsidRDefault="005C25FF" w:rsidP="004E18E9">
      <w:pPr>
        <w:pStyle w:val="3-SubsectionHeading"/>
      </w:pPr>
      <w:bookmarkStart w:id="4" w:name="_Toc22897639"/>
      <w:bookmarkStart w:id="5" w:name="_Toc27421945"/>
      <w:r w:rsidRPr="00621ADA">
        <w:lastRenderedPageBreak/>
        <w:t>Previous PBAC consideration</w:t>
      </w:r>
      <w:bookmarkEnd w:id="4"/>
      <w:bookmarkEnd w:id="5"/>
    </w:p>
    <w:p w:rsidR="000B6B6A" w:rsidRPr="00F236E0" w:rsidRDefault="00E80578" w:rsidP="00362DB8">
      <w:pPr>
        <w:pStyle w:val="ExecSumBodyText"/>
        <w:jc w:val="left"/>
        <w:rPr>
          <w:rFonts w:ascii="Arial Narrow" w:eastAsiaTheme="majorEastAsia" w:hAnsi="Arial Narrow" w:cstheme="majorBidi"/>
          <w:b/>
          <w:bCs/>
          <w:sz w:val="20"/>
        </w:rPr>
      </w:pPr>
      <w:r w:rsidRPr="008F559C">
        <w:rPr>
          <w:snapToGrid/>
          <w:lang w:val="en-US"/>
        </w:rPr>
        <w:t xml:space="preserve">A summary of the key matters of concern arising from the PBAC consideration of the March 2019 major submission for rivaroxaban, and how the </w:t>
      </w:r>
      <w:r w:rsidR="00090AF8" w:rsidRPr="008F559C">
        <w:rPr>
          <w:snapToGrid/>
          <w:lang w:val="en-US"/>
        </w:rPr>
        <w:t xml:space="preserve">current </w:t>
      </w:r>
      <w:r w:rsidRPr="008F559C">
        <w:rPr>
          <w:snapToGrid/>
          <w:lang w:val="en-US"/>
        </w:rPr>
        <w:t>resubmission addresses these concerns, is presented in Table 2.</w:t>
      </w:r>
    </w:p>
    <w:p w:rsidR="00E80578" w:rsidRPr="00226E57" w:rsidRDefault="00E80578" w:rsidP="008F559C">
      <w:pPr>
        <w:pStyle w:val="TableFigureCaption"/>
        <w:keepLines/>
      </w:pPr>
      <w:r w:rsidRPr="00226E57">
        <w:t xml:space="preserve">Table </w:t>
      </w:r>
      <w:r w:rsidR="00090AF8">
        <w:t>2:</w:t>
      </w:r>
      <w:r w:rsidRPr="00226E57">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9"/>
      </w:tblGrid>
      <w:tr w:rsidR="00E80578" w:rsidRPr="00226E57" w:rsidTr="004D0EB5">
        <w:trPr>
          <w:cantSplit/>
          <w:tblHeader/>
        </w:trPr>
        <w:tc>
          <w:tcPr>
            <w:tcW w:w="2500" w:type="pct"/>
            <w:vAlign w:val="center"/>
          </w:tcPr>
          <w:p w:rsidR="00E80578" w:rsidRPr="00226E57" w:rsidRDefault="00E80578" w:rsidP="008F559C">
            <w:pPr>
              <w:pStyle w:val="Tableheadingrow"/>
              <w:keepLines/>
              <w:jc w:val="center"/>
            </w:pPr>
            <w:r w:rsidRPr="00226E57">
              <w:t>Matter of concern</w:t>
            </w:r>
            <w:r>
              <w:t>, rivaroxaban Public Summary Document, March 2019 PBAC meeting</w:t>
            </w:r>
          </w:p>
        </w:tc>
        <w:tc>
          <w:tcPr>
            <w:tcW w:w="2500" w:type="pct"/>
            <w:vAlign w:val="center"/>
          </w:tcPr>
          <w:p w:rsidR="00E80578" w:rsidRPr="00226E57" w:rsidRDefault="00E80578" w:rsidP="008F559C">
            <w:pPr>
              <w:pStyle w:val="Tableheadingrow"/>
              <w:keepLines/>
            </w:pPr>
            <w:r w:rsidRPr="00226E57">
              <w:t>How the resubmission addresses it</w:t>
            </w:r>
          </w:p>
        </w:tc>
      </w:tr>
      <w:tr w:rsidR="00E80578" w:rsidRPr="00226E57" w:rsidTr="006532EB">
        <w:trPr>
          <w:cantSplit/>
          <w:trHeight w:val="3382"/>
        </w:trPr>
        <w:tc>
          <w:tcPr>
            <w:tcW w:w="2500" w:type="pct"/>
          </w:tcPr>
          <w:p w:rsidR="00E80578" w:rsidRPr="000B6B6A" w:rsidRDefault="00E80578" w:rsidP="008F559C">
            <w:pPr>
              <w:pStyle w:val="TableText"/>
              <w:keepLines/>
              <w:rPr>
                <w:rFonts w:eastAsia="Times New Roman" w:cs="Arial"/>
                <w:bCs w:val="0"/>
                <w:snapToGrid w:val="0"/>
                <w:szCs w:val="20"/>
              </w:rPr>
            </w:pPr>
            <w:r w:rsidRPr="000B6B6A">
              <w:rPr>
                <w:rFonts w:eastAsia="Times New Roman" w:cs="Arial"/>
                <w:bCs w:val="0"/>
                <w:snapToGrid w:val="0"/>
                <w:szCs w:val="20"/>
              </w:rPr>
              <w:t>The PBAC considered that the patient population should be more highly targeted to those patients who are likely to achieve the most favourable risk-benefit profile given the differing levels of absolute incremental benefits between patient groups which needs to be balanced against the high bleeding risk in some patients</w:t>
            </w:r>
            <w:r w:rsidR="00D21377">
              <w:rPr>
                <w:rFonts w:eastAsia="Times New Roman" w:cs="Arial"/>
                <w:bCs w:val="0"/>
                <w:snapToGrid w:val="0"/>
                <w:szCs w:val="20"/>
              </w:rPr>
              <w:t>.</w:t>
            </w:r>
            <w:r w:rsidRPr="000B6B6A">
              <w:rPr>
                <w:rFonts w:eastAsia="Times New Roman" w:cs="Arial"/>
                <w:bCs w:val="0"/>
                <w:snapToGrid w:val="0"/>
                <w:szCs w:val="20"/>
              </w:rPr>
              <w:t xml:space="preserve"> …a population with a more favourable risk-benefit profile may include patients with CAD and PAD, or patients with CAD or PAD who have other high risk factors such as diabetes or recur</w:t>
            </w:r>
            <w:r w:rsidR="00A42106">
              <w:rPr>
                <w:rFonts w:eastAsia="Times New Roman" w:cs="Arial"/>
                <w:bCs w:val="0"/>
                <w:snapToGrid w:val="0"/>
                <w:szCs w:val="20"/>
              </w:rPr>
              <w:t>rent events. (para 7.1 and 7.4)</w:t>
            </w:r>
          </w:p>
          <w:p w:rsidR="00E80578" w:rsidRPr="000B6B6A" w:rsidRDefault="00E80578" w:rsidP="008F559C">
            <w:pPr>
              <w:pStyle w:val="TableText"/>
              <w:keepLines/>
              <w:rPr>
                <w:rFonts w:eastAsia="Times New Roman" w:cs="Arial"/>
                <w:bCs w:val="0"/>
                <w:snapToGrid w:val="0"/>
                <w:szCs w:val="20"/>
              </w:rPr>
            </w:pPr>
          </w:p>
          <w:p w:rsidR="00E80578" w:rsidRPr="000B6B6A" w:rsidRDefault="00E80578" w:rsidP="006532EB">
            <w:pPr>
              <w:pStyle w:val="TableText"/>
              <w:keepLines/>
              <w:rPr>
                <w:rFonts w:eastAsia="Times New Roman" w:cs="Arial"/>
                <w:bCs w:val="0"/>
                <w:snapToGrid w:val="0"/>
                <w:szCs w:val="20"/>
              </w:rPr>
            </w:pPr>
            <w:r w:rsidRPr="000B6B6A">
              <w:rPr>
                <w:rFonts w:eastAsia="Times New Roman" w:cs="Arial"/>
                <w:bCs w:val="0"/>
                <w:snapToGrid w:val="0"/>
                <w:szCs w:val="20"/>
              </w:rPr>
              <w:t>The PBAC noted there are a lack of treatment options for patients with PAD and considered there is a clinical need for effective treatments in this patient group, particularly treatments that reduce the risk of amputation. (para 7.2)</w:t>
            </w:r>
            <w:r w:rsidRPr="000B6B6A">
              <w:t xml:space="preserve"> </w:t>
            </w:r>
          </w:p>
        </w:tc>
        <w:tc>
          <w:tcPr>
            <w:tcW w:w="2500" w:type="pct"/>
          </w:tcPr>
          <w:p w:rsidR="00E80578" w:rsidRPr="000B6B6A" w:rsidRDefault="00090AF8" w:rsidP="008F559C">
            <w:pPr>
              <w:pStyle w:val="TableText"/>
              <w:keepLines/>
              <w:rPr>
                <w:rFonts w:eastAsia="Times New Roman" w:cs="Arial"/>
                <w:bCs w:val="0"/>
                <w:snapToGrid w:val="0"/>
                <w:szCs w:val="20"/>
              </w:rPr>
            </w:pPr>
            <w:r w:rsidRPr="000B6B6A">
              <w:rPr>
                <w:rFonts w:eastAsia="Times New Roman" w:cs="Arial"/>
                <w:bCs w:val="0"/>
                <w:snapToGrid w:val="0"/>
                <w:szCs w:val="20"/>
              </w:rPr>
              <w:t xml:space="preserve">Addressed. </w:t>
            </w:r>
            <w:r w:rsidR="00E80578" w:rsidRPr="000B6B6A">
              <w:rPr>
                <w:rFonts w:eastAsia="Times New Roman" w:cs="Arial"/>
                <w:bCs w:val="0"/>
                <w:snapToGrid w:val="0"/>
                <w:szCs w:val="20"/>
              </w:rPr>
              <w:t>The resubmission’s proposed PBS restriction defines specific subgroups to address the unmet needs of patients with PAD, and to identify patients at higher risk of recurrent events who would receive the greatest absolute benefit:</w:t>
            </w:r>
          </w:p>
          <w:p w:rsidR="00E80578" w:rsidRPr="000B6B6A" w:rsidRDefault="00E80578" w:rsidP="008F559C">
            <w:pPr>
              <w:pStyle w:val="TableText"/>
              <w:keepLines/>
              <w:numPr>
                <w:ilvl w:val="0"/>
                <w:numId w:val="18"/>
              </w:numPr>
              <w:ind w:left="282" w:hanging="142"/>
              <w:rPr>
                <w:rFonts w:eastAsia="Times New Roman" w:cs="Arial"/>
                <w:bCs w:val="0"/>
                <w:snapToGrid w:val="0"/>
                <w:szCs w:val="20"/>
              </w:rPr>
            </w:pPr>
            <w:r w:rsidRPr="000B6B6A">
              <w:rPr>
                <w:rFonts w:eastAsia="Times New Roman" w:cs="Arial"/>
                <w:bCs w:val="0"/>
                <w:snapToGrid w:val="0"/>
                <w:szCs w:val="20"/>
              </w:rPr>
              <w:t>PAD (with or without CAD)</w:t>
            </w:r>
          </w:p>
          <w:p w:rsidR="00E80578" w:rsidRPr="000B6B6A" w:rsidRDefault="00E80578" w:rsidP="008F559C">
            <w:pPr>
              <w:pStyle w:val="TableText"/>
              <w:keepLines/>
              <w:numPr>
                <w:ilvl w:val="0"/>
                <w:numId w:val="18"/>
              </w:numPr>
              <w:ind w:left="282" w:hanging="142"/>
              <w:rPr>
                <w:rFonts w:eastAsia="Times New Roman" w:cs="Arial"/>
                <w:bCs w:val="0"/>
                <w:snapToGrid w:val="0"/>
                <w:szCs w:val="20"/>
              </w:rPr>
            </w:pPr>
            <w:r w:rsidRPr="000B6B6A">
              <w:rPr>
                <w:rFonts w:eastAsia="Times New Roman" w:cs="Arial"/>
                <w:bCs w:val="0"/>
                <w:snapToGrid w:val="0"/>
                <w:szCs w:val="20"/>
              </w:rPr>
              <w:t>CAD &amp; HF (LVEF ≥ 30%)</w:t>
            </w:r>
          </w:p>
          <w:p w:rsidR="00E80578" w:rsidRDefault="00E80578" w:rsidP="008F559C">
            <w:pPr>
              <w:pStyle w:val="TableText"/>
              <w:keepLines/>
              <w:numPr>
                <w:ilvl w:val="0"/>
                <w:numId w:val="18"/>
              </w:numPr>
              <w:ind w:left="282" w:hanging="142"/>
              <w:rPr>
                <w:rFonts w:eastAsia="Times New Roman" w:cs="Arial"/>
                <w:bCs w:val="0"/>
                <w:snapToGrid w:val="0"/>
                <w:szCs w:val="20"/>
              </w:rPr>
            </w:pPr>
            <w:r w:rsidRPr="000B6B6A">
              <w:rPr>
                <w:rFonts w:eastAsia="Times New Roman" w:cs="Arial"/>
                <w:bCs w:val="0"/>
                <w:snapToGrid w:val="0"/>
                <w:szCs w:val="20"/>
              </w:rPr>
              <w:t>CAD &amp; CKD (defined as eGFR 15 to &lt;60 mL/min)</w:t>
            </w:r>
            <w:r w:rsidR="00D130E6">
              <w:rPr>
                <w:rFonts w:eastAsia="Times New Roman" w:cs="Arial"/>
                <w:bCs w:val="0"/>
                <w:snapToGrid w:val="0"/>
                <w:szCs w:val="20"/>
              </w:rPr>
              <w:t>.</w:t>
            </w:r>
          </w:p>
          <w:p w:rsidR="00D130E6" w:rsidRPr="000B6B6A" w:rsidRDefault="00C141C8" w:rsidP="00C141C8">
            <w:pPr>
              <w:pStyle w:val="TableText"/>
              <w:keepLines/>
              <w:rPr>
                <w:rFonts w:eastAsia="Times New Roman" w:cs="Arial"/>
                <w:bCs w:val="0"/>
                <w:snapToGrid w:val="0"/>
                <w:szCs w:val="20"/>
              </w:rPr>
            </w:pPr>
            <w:r>
              <w:rPr>
                <w:rFonts w:eastAsia="Times New Roman" w:cs="Arial"/>
                <w:bCs w:val="0"/>
                <w:snapToGrid w:val="0"/>
                <w:szCs w:val="20"/>
              </w:rPr>
              <w:t>The target population was further refined by the ESC and pre-PBAC response.</w:t>
            </w:r>
          </w:p>
        </w:tc>
      </w:tr>
      <w:tr w:rsidR="00E80578" w:rsidRPr="00226E57" w:rsidTr="004D0EB5">
        <w:trPr>
          <w:cantSplit/>
        </w:trPr>
        <w:tc>
          <w:tcPr>
            <w:tcW w:w="2500" w:type="pct"/>
          </w:tcPr>
          <w:p w:rsidR="00E80578" w:rsidRPr="000B6B6A" w:rsidRDefault="00E80578" w:rsidP="00DC77A6">
            <w:pPr>
              <w:pStyle w:val="TableText"/>
              <w:keepNext w:val="0"/>
            </w:pPr>
            <w:r w:rsidRPr="000B6B6A">
              <w:t>The PBAC accepted that whilst aspirin was an appropriate comparator, it agreed with the ESC that there is some use of long-term (i.e. longer than 12 months) dual anti-platelet therapy following acute coronary syndromes and considered that clopidogrel may be a suitable comparator in a group of patients (e.g. those with high cardiovascular risk but low bleeding risk). (para 7.6)</w:t>
            </w:r>
          </w:p>
        </w:tc>
        <w:tc>
          <w:tcPr>
            <w:tcW w:w="2500" w:type="pct"/>
          </w:tcPr>
          <w:p w:rsidR="00E80578" w:rsidRPr="00BD1BEC" w:rsidRDefault="00E80578" w:rsidP="00743B5D">
            <w:pPr>
              <w:pStyle w:val="TableText"/>
              <w:keepNext w:val="0"/>
              <w:rPr>
                <w:rFonts w:eastAsia="Times New Roman" w:cs="Arial"/>
                <w:bCs w:val="0"/>
                <w:i/>
                <w:snapToGrid w:val="0"/>
                <w:szCs w:val="20"/>
              </w:rPr>
            </w:pPr>
            <w:r w:rsidRPr="000B6B6A">
              <w:rPr>
                <w:rFonts w:eastAsia="Times New Roman" w:cs="Arial"/>
                <w:bCs w:val="0"/>
                <w:snapToGrid w:val="0"/>
                <w:szCs w:val="20"/>
              </w:rPr>
              <w:t>Not changed. The resubmission argued that aspirin is the standard treatment for patients with</w:t>
            </w:r>
            <w:r w:rsidR="00A04971">
              <w:rPr>
                <w:rFonts w:eastAsia="Times New Roman" w:cs="Arial"/>
                <w:bCs w:val="0"/>
                <w:snapToGrid w:val="0"/>
                <w:szCs w:val="20"/>
              </w:rPr>
              <w:t xml:space="preserve"> CAD and</w:t>
            </w:r>
            <w:r w:rsidR="004B6DAF">
              <w:rPr>
                <w:rFonts w:eastAsia="Times New Roman" w:cs="Arial"/>
                <w:bCs w:val="0"/>
                <w:snapToGrid w:val="0"/>
                <w:szCs w:val="20"/>
              </w:rPr>
              <w:t>/or</w:t>
            </w:r>
            <w:r w:rsidRPr="000B6B6A">
              <w:rPr>
                <w:rFonts w:eastAsia="Times New Roman" w:cs="Arial"/>
                <w:bCs w:val="0"/>
                <w:snapToGrid w:val="0"/>
                <w:szCs w:val="20"/>
              </w:rPr>
              <w:t xml:space="preserve"> PAD unless there is reason for DAPT treatment (clopidogrel + aspirin)</w:t>
            </w:r>
            <w:r w:rsidR="00743B5D">
              <w:rPr>
                <w:rFonts w:eastAsia="Times New Roman" w:cs="Arial"/>
                <w:bCs w:val="0"/>
                <w:snapToGrid w:val="0"/>
                <w:szCs w:val="20"/>
              </w:rPr>
              <w:t xml:space="preserve"> </w:t>
            </w:r>
            <w:r w:rsidR="00A04971">
              <w:rPr>
                <w:rFonts w:eastAsia="Times New Roman" w:cs="Arial"/>
                <w:bCs w:val="0"/>
                <w:snapToGrid w:val="0"/>
                <w:szCs w:val="20"/>
              </w:rPr>
              <w:t>for example post percutaneous revascularisation</w:t>
            </w:r>
            <w:r w:rsidR="004B6DAF">
              <w:rPr>
                <w:rFonts w:eastAsia="Times New Roman" w:cs="Arial"/>
                <w:bCs w:val="0"/>
                <w:snapToGrid w:val="0"/>
                <w:szCs w:val="20"/>
              </w:rPr>
              <w:t>.</w:t>
            </w:r>
            <w:r w:rsidRPr="000B6B6A">
              <w:rPr>
                <w:rFonts w:eastAsia="Times New Roman" w:cs="Arial"/>
                <w:bCs w:val="0"/>
                <w:snapToGrid w:val="0"/>
                <w:szCs w:val="20"/>
              </w:rPr>
              <w:t xml:space="preserve"> The resubmission further stated that there does not appear to be clinical data clearly establishing a benefit for DAPT as secondary prevention in patients with CAD and additional risk factors such as PAD, HF and/or CKD.</w:t>
            </w:r>
            <w:r w:rsidR="00BD1BEC">
              <w:rPr>
                <w:rFonts w:eastAsia="Times New Roman" w:cs="Arial"/>
                <w:bCs w:val="0"/>
                <w:i/>
                <w:snapToGrid w:val="0"/>
                <w:szCs w:val="20"/>
              </w:rPr>
              <w:t xml:space="preserve"> </w:t>
            </w:r>
          </w:p>
        </w:tc>
      </w:tr>
      <w:tr w:rsidR="00E80578" w:rsidRPr="00226E57" w:rsidTr="004D0EB5">
        <w:trPr>
          <w:cantSplit/>
        </w:trPr>
        <w:tc>
          <w:tcPr>
            <w:tcW w:w="2500" w:type="pct"/>
          </w:tcPr>
          <w:p w:rsidR="00E80578" w:rsidRPr="000B6B6A" w:rsidRDefault="00E80578" w:rsidP="00DC77A6">
            <w:pPr>
              <w:pStyle w:val="TableText"/>
              <w:keepNext w:val="0"/>
            </w:pPr>
            <w:r w:rsidRPr="000B6B6A">
              <w:t>The PBAC considered that the COMPASS trial, which had a median follow-up of 23 months, was relatively short in the cont</w:t>
            </w:r>
            <w:r w:rsidR="00FB4613">
              <w:t>ext of a long-term treatment. …</w:t>
            </w:r>
            <w:r w:rsidRPr="000B6B6A">
              <w:t>it was unclear whether the treatment effect would be m</w:t>
            </w:r>
            <w:r w:rsidR="00A42106">
              <w:t>aintained over time. (para 7.8)</w:t>
            </w:r>
          </w:p>
          <w:p w:rsidR="00910A84" w:rsidRDefault="00910A84" w:rsidP="00DC77A6">
            <w:pPr>
              <w:pStyle w:val="TableText"/>
              <w:keepNext w:val="0"/>
            </w:pPr>
          </w:p>
          <w:p w:rsidR="008C4A16" w:rsidRPr="000B6B6A" w:rsidRDefault="008C4A16" w:rsidP="00DC77A6">
            <w:pPr>
              <w:pStyle w:val="TableText"/>
              <w:keepNext w:val="0"/>
            </w:pPr>
          </w:p>
          <w:p w:rsidR="00E80578" w:rsidRPr="000B6B6A" w:rsidRDefault="00E80578" w:rsidP="00DC77A6">
            <w:pPr>
              <w:pStyle w:val="TableText"/>
              <w:keepNext w:val="0"/>
            </w:pPr>
            <w:r w:rsidRPr="000B6B6A">
              <w:t>Provide further information about the results of the PPI component of the COMPASS trial</w:t>
            </w:r>
          </w:p>
        </w:tc>
        <w:tc>
          <w:tcPr>
            <w:tcW w:w="2500" w:type="pct"/>
          </w:tcPr>
          <w:p w:rsidR="00E80578" w:rsidRPr="00BD1BEC" w:rsidRDefault="00A04971" w:rsidP="00DC77A6">
            <w:pPr>
              <w:pStyle w:val="TableText"/>
              <w:keepNext w:val="0"/>
              <w:rPr>
                <w:rFonts w:eastAsia="Times New Roman" w:cs="Arial"/>
                <w:bCs w:val="0"/>
                <w:i/>
                <w:snapToGrid w:val="0"/>
                <w:szCs w:val="20"/>
              </w:rPr>
            </w:pPr>
            <w:r>
              <w:rPr>
                <w:rFonts w:eastAsia="Times New Roman" w:cs="Arial"/>
                <w:bCs w:val="0"/>
                <w:snapToGrid w:val="0"/>
                <w:szCs w:val="20"/>
              </w:rPr>
              <w:t>Unable to be</w:t>
            </w:r>
            <w:r w:rsidR="00E80578" w:rsidRPr="000B6B6A">
              <w:rPr>
                <w:rFonts w:eastAsia="Times New Roman" w:cs="Arial"/>
                <w:bCs w:val="0"/>
                <w:snapToGrid w:val="0"/>
                <w:szCs w:val="20"/>
              </w:rPr>
              <w:t xml:space="preserve"> addressed – no further clinical efficacy data were available.</w:t>
            </w:r>
            <w:r w:rsidR="00BD1BEC">
              <w:rPr>
                <w:rFonts w:eastAsia="Times New Roman" w:cs="Arial"/>
                <w:bCs w:val="0"/>
                <w:snapToGrid w:val="0"/>
                <w:szCs w:val="20"/>
              </w:rPr>
              <w:t xml:space="preserve"> </w:t>
            </w:r>
            <w:r w:rsidR="00743B5D" w:rsidRPr="005472C5">
              <w:rPr>
                <w:rFonts w:eastAsia="Times New Roman" w:cs="Arial"/>
                <w:bCs w:val="0"/>
                <w:snapToGrid w:val="0"/>
                <w:szCs w:val="20"/>
              </w:rPr>
              <w:t>The ESC noted the Kaplan-Meier curves for the primary outcome did not indicate a convergence in the treatment effect over time, but noted the number of patients at risk was relatively low toward the end of the curves.</w:t>
            </w:r>
          </w:p>
          <w:p w:rsidR="00E80578" w:rsidRPr="000B6B6A" w:rsidRDefault="00E80578" w:rsidP="00DC77A6">
            <w:pPr>
              <w:pStyle w:val="TableText"/>
              <w:keepNext w:val="0"/>
              <w:rPr>
                <w:rFonts w:eastAsia="Times New Roman" w:cs="Arial"/>
                <w:bCs w:val="0"/>
                <w:snapToGrid w:val="0"/>
                <w:szCs w:val="20"/>
              </w:rPr>
            </w:pPr>
          </w:p>
          <w:p w:rsidR="00E80578" w:rsidRPr="000B6B6A" w:rsidRDefault="00E80578" w:rsidP="00C141C8">
            <w:pPr>
              <w:pStyle w:val="TableText"/>
              <w:keepNext w:val="0"/>
              <w:rPr>
                <w:rFonts w:eastAsia="Times New Roman" w:cs="Arial"/>
                <w:bCs w:val="0"/>
                <w:snapToGrid w:val="0"/>
                <w:szCs w:val="20"/>
              </w:rPr>
            </w:pPr>
            <w:r w:rsidRPr="000B6B6A">
              <w:rPr>
                <w:rFonts w:eastAsia="Times New Roman" w:cs="Arial"/>
                <w:bCs w:val="0"/>
                <w:snapToGrid w:val="0"/>
                <w:szCs w:val="20"/>
              </w:rPr>
              <w:t>Addressed. The results of the PPI sub</w:t>
            </w:r>
            <w:r w:rsidR="00A42106">
              <w:rPr>
                <w:rFonts w:eastAsia="Times New Roman" w:cs="Arial"/>
                <w:bCs w:val="0"/>
                <w:snapToGrid w:val="0"/>
                <w:szCs w:val="20"/>
              </w:rPr>
              <w:t>-</w:t>
            </w:r>
            <w:r w:rsidRPr="000B6B6A">
              <w:rPr>
                <w:rFonts w:eastAsia="Times New Roman" w:cs="Arial"/>
                <w:bCs w:val="0"/>
                <w:snapToGrid w:val="0"/>
                <w:szCs w:val="20"/>
              </w:rPr>
              <w:t>study were presented in the resubmission.</w:t>
            </w:r>
          </w:p>
        </w:tc>
      </w:tr>
      <w:tr w:rsidR="00E80578" w:rsidRPr="00226E57" w:rsidTr="004D0EB5">
        <w:trPr>
          <w:cantSplit/>
        </w:trPr>
        <w:tc>
          <w:tcPr>
            <w:tcW w:w="2500" w:type="pct"/>
          </w:tcPr>
          <w:p w:rsidR="00E80578" w:rsidRPr="000B6B6A" w:rsidRDefault="00E80578" w:rsidP="00DC77A6">
            <w:pPr>
              <w:pStyle w:val="TableText"/>
              <w:keepNext w:val="0"/>
              <w:rPr>
                <w:rFonts w:eastAsia="Times New Roman" w:cs="Arial"/>
                <w:bCs w:val="0"/>
                <w:snapToGrid w:val="0"/>
                <w:szCs w:val="20"/>
              </w:rPr>
            </w:pPr>
            <w:r w:rsidRPr="000B6B6A">
              <w:rPr>
                <w:rFonts w:eastAsia="Times New Roman" w:cs="Arial"/>
                <w:bCs w:val="0"/>
                <w:snapToGrid w:val="0"/>
                <w:szCs w:val="20"/>
              </w:rPr>
              <w:lastRenderedPageBreak/>
              <w:t>The ESC considered that a microsimulation approach may have been more appropriate as it would have a greater ability to track events over time … The ESC further considered that a microsimulation approach may be appropriate given the baseline heterogeneity of the patient population (para. 6.45).</w:t>
            </w:r>
          </w:p>
          <w:p w:rsidR="00E80578" w:rsidRPr="000B6B6A" w:rsidRDefault="00E80578" w:rsidP="00DC77A6">
            <w:pPr>
              <w:pStyle w:val="TableText"/>
              <w:keepNext w:val="0"/>
              <w:rPr>
                <w:rFonts w:eastAsia="Times New Roman" w:cs="Arial"/>
                <w:bCs w:val="0"/>
                <w:snapToGrid w:val="0"/>
                <w:szCs w:val="20"/>
              </w:rPr>
            </w:pPr>
          </w:p>
          <w:p w:rsidR="00E80578" w:rsidRPr="000B6B6A" w:rsidRDefault="00E80578" w:rsidP="00DC77A6">
            <w:pPr>
              <w:pStyle w:val="TableText"/>
              <w:keepNext w:val="0"/>
              <w:rPr>
                <w:rFonts w:eastAsia="Times New Roman" w:cs="Arial"/>
                <w:bCs w:val="0"/>
                <w:snapToGrid w:val="0"/>
                <w:szCs w:val="20"/>
              </w:rPr>
            </w:pPr>
            <w:r w:rsidRPr="000B6B6A">
              <w:rPr>
                <w:rFonts w:eastAsia="Times New Roman" w:cs="Arial"/>
                <w:bCs w:val="0"/>
                <w:snapToGrid w:val="0"/>
                <w:szCs w:val="20"/>
              </w:rPr>
              <w:t>The economic model submitted did not provide a reliable basis for estimating the cost-effectiveness of rivaroxaban in combination with aspirin. In particular:</w:t>
            </w:r>
          </w:p>
          <w:p w:rsidR="00E80578" w:rsidRPr="000B6B6A" w:rsidRDefault="00E80578" w:rsidP="00BD1BEC">
            <w:pPr>
              <w:pStyle w:val="TableText"/>
              <w:keepNext w:val="0"/>
              <w:numPr>
                <w:ilvl w:val="0"/>
                <w:numId w:val="17"/>
              </w:numPr>
              <w:ind w:left="143" w:hanging="142"/>
              <w:rPr>
                <w:rFonts w:eastAsia="Times New Roman" w:cs="Arial"/>
                <w:bCs w:val="0"/>
                <w:snapToGrid w:val="0"/>
                <w:szCs w:val="20"/>
              </w:rPr>
            </w:pPr>
            <w:r w:rsidRPr="000B6B6A">
              <w:rPr>
                <w:rFonts w:eastAsia="Times New Roman" w:cs="Arial"/>
                <w:bCs w:val="0"/>
                <w:snapToGrid w:val="0"/>
                <w:szCs w:val="20"/>
              </w:rPr>
              <w:t>Up to 4 years of trial data were extrapolated to 30 years</w:t>
            </w:r>
          </w:p>
          <w:p w:rsidR="00E80578" w:rsidRPr="000B6B6A" w:rsidRDefault="00E80578" w:rsidP="00BD1BEC">
            <w:pPr>
              <w:pStyle w:val="TableText"/>
              <w:keepNext w:val="0"/>
              <w:numPr>
                <w:ilvl w:val="0"/>
                <w:numId w:val="17"/>
              </w:numPr>
              <w:ind w:left="143" w:hanging="142"/>
              <w:rPr>
                <w:rFonts w:eastAsia="Times New Roman" w:cs="Arial"/>
                <w:bCs w:val="0"/>
                <w:snapToGrid w:val="0"/>
                <w:szCs w:val="20"/>
              </w:rPr>
            </w:pPr>
            <w:r w:rsidRPr="000B6B6A">
              <w:rPr>
                <w:rFonts w:eastAsia="Times New Roman" w:cs="Arial"/>
                <w:bCs w:val="0"/>
                <w:snapToGrid w:val="0"/>
                <w:szCs w:val="20"/>
              </w:rPr>
              <w:t>The model assumed all patients would remain fully adherent and persistent</w:t>
            </w:r>
          </w:p>
          <w:p w:rsidR="00E80578" w:rsidRPr="000B6B6A" w:rsidRDefault="00E80578" w:rsidP="00BD1BEC">
            <w:pPr>
              <w:pStyle w:val="TableText"/>
              <w:keepNext w:val="0"/>
              <w:numPr>
                <w:ilvl w:val="0"/>
                <w:numId w:val="17"/>
              </w:numPr>
              <w:ind w:left="143" w:hanging="142"/>
              <w:rPr>
                <w:rFonts w:eastAsia="Times New Roman" w:cs="Arial"/>
                <w:bCs w:val="0"/>
                <w:snapToGrid w:val="0"/>
                <w:szCs w:val="20"/>
              </w:rPr>
            </w:pPr>
            <w:r w:rsidRPr="000B6B6A">
              <w:rPr>
                <w:rFonts w:eastAsia="Times New Roman" w:cs="Arial"/>
                <w:bCs w:val="0"/>
                <w:snapToGrid w:val="0"/>
                <w:szCs w:val="20"/>
              </w:rPr>
              <w:t>There were sparse clinical data informing transition probabilities resulting in implausible null transitions for some subsequent events and highly uncertain non-zero transitions for other subsequent events. (para 7.11)</w:t>
            </w:r>
          </w:p>
        </w:tc>
        <w:tc>
          <w:tcPr>
            <w:tcW w:w="2500" w:type="pct"/>
          </w:tcPr>
          <w:p w:rsidR="00E80578" w:rsidRPr="000B6B6A" w:rsidRDefault="00E80578" w:rsidP="00DC77A6">
            <w:pPr>
              <w:pStyle w:val="TableText"/>
              <w:keepNext w:val="0"/>
              <w:rPr>
                <w:rFonts w:eastAsia="Times New Roman" w:cs="Arial"/>
                <w:bCs w:val="0"/>
                <w:snapToGrid w:val="0"/>
                <w:szCs w:val="20"/>
              </w:rPr>
            </w:pPr>
            <w:r w:rsidRPr="000B6B6A">
              <w:rPr>
                <w:rFonts w:eastAsia="Times New Roman" w:cs="Arial"/>
                <w:bCs w:val="0"/>
                <w:snapToGrid w:val="0"/>
                <w:szCs w:val="20"/>
              </w:rPr>
              <w:t xml:space="preserve">Partially addressed. A microsimulation modelling approach was used in the resubmission, compared to a multi-state Markov model presented in the previous submission. However, the revised microsimulation approach does not </w:t>
            </w:r>
            <w:r w:rsidRPr="00C141C8">
              <w:rPr>
                <w:rFonts w:eastAsia="Times New Roman" w:cs="Arial"/>
                <w:bCs w:val="0"/>
                <w:snapToGrid w:val="0"/>
                <w:szCs w:val="20"/>
              </w:rPr>
              <w:t>account</w:t>
            </w:r>
            <w:r w:rsidR="000B2CC0" w:rsidRPr="00C141C8">
              <w:rPr>
                <w:rFonts w:eastAsia="Times New Roman" w:cs="Arial"/>
                <w:bCs w:val="0"/>
                <w:snapToGrid w:val="0"/>
                <w:szCs w:val="20"/>
              </w:rPr>
              <w:t xml:space="preserve"> adequately</w:t>
            </w:r>
            <w:r w:rsidRPr="00C141C8">
              <w:rPr>
                <w:rFonts w:eastAsia="Times New Roman" w:cs="Arial"/>
                <w:bCs w:val="0"/>
                <w:snapToGrid w:val="0"/>
                <w:szCs w:val="20"/>
              </w:rPr>
              <w:t xml:space="preserve"> for</w:t>
            </w:r>
            <w:r w:rsidRPr="000B6B6A">
              <w:rPr>
                <w:rFonts w:eastAsia="Times New Roman" w:cs="Arial"/>
                <w:bCs w:val="0"/>
                <w:snapToGrid w:val="0"/>
                <w:szCs w:val="20"/>
              </w:rPr>
              <w:t xml:space="preserve"> heterogeneity at baseline or over time in the patient population.</w:t>
            </w:r>
          </w:p>
          <w:p w:rsidR="00E80578" w:rsidRPr="000B6B6A" w:rsidRDefault="00E80578" w:rsidP="00DC77A6">
            <w:pPr>
              <w:pStyle w:val="TableText"/>
              <w:keepNext w:val="0"/>
              <w:rPr>
                <w:rFonts w:eastAsia="Times New Roman" w:cs="Arial"/>
                <w:bCs w:val="0"/>
                <w:snapToGrid w:val="0"/>
                <w:szCs w:val="20"/>
              </w:rPr>
            </w:pPr>
          </w:p>
          <w:p w:rsidR="00E80578" w:rsidRPr="000B6B6A" w:rsidRDefault="00E80578" w:rsidP="00DC77A6">
            <w:pPr>
              <w:pStyle w:val="TableText"/>
              <w:keepNext w:val="0"/>
              <w:rPr>
                <w:rFonts w:eastAsia="Times New Roman" w:cs="Arial"/>
                <w:bCs w:val="0"/>
                <w:snapToGrid w:val="0"/>
                <w:szCs w:val="20"/>
              </w:rPr>
            </w:pPr>
            <w:r w:rsidRPr="000B6B6A">
              <w:rPr>
                <w:rFonts w:eastAsia="Times New Roman" w:cs="Arial"/>
                <w:bCs w:val="0"/>
                <w:snapToGrid w:val="0"/>
                <w:szCs w:val="20"/>
              </w:rPr>
              <w:t>Addressed. The resubmission assumes convergence of treatment effect after 4 years, with full convergence at 30 years (includes imperfect adherence). The resubmission estimated persistence based on a 10% Medicare sample of rivaroxaban use for stroke prevention in patients with atrial fibrillation. The switch from a cohort model to a microsimulation model reduced the number of required health states and therefore the number of transition probabilities required.</w:t>
            </w:r>
          </w:p>
        </w:tc>
      </w:tr>
      <w:tr w:rsidR="00E80578" w:rsidRPr="00226E57" w:rsidTr="004D0EB5">
        <w:trPr>
          <w:cantSplit/>
        </w:trPr>
        <w:tc>
          <w:tcPr>
            <w:tcW w:w="2500" w:type="pct"/>
          </w:tcPr>
          <w:p w:rsidR="00E80578" w:rsidRPr="000B6B6A" w:rsidRDefault="00E80578" w:rsidP="00DC77A6">
            <w:pPr>
              <w:pStyle w:val="TableText"/>
              <w:keepNext w:val="0"/>
              <w:rPr>
                <w:rFonts w:eastAsia="Times New Roman" w:cs="Arial"/>
                <w:bCs w:val="0"/>
                <w:snapToGrid w:val="0"/>
                <w:szCs w:val="20"/>
              </w:rPr>
            </w:pPr>
            <w:r w:rsidRPr="000B6B6A">
              <w:rPr>
                <w:rFonts w:eastAsia="Times New Roman" w:cs="Arial"/>
                <w:bCs w:val="0"/>
                <w:snapToGrid w:val="0"/>
                <w:szCs w:val="20"/>
              </w:rPr>
              <w:t xml:space="preserve">Estimated utilisation and financial impacts were high, with a total cost to the PBS/RPBS of more than $100 million over the first 6 years of listing (including the proposed </w:t>
            </w:r>
            <w:r w:rsidR="00FB318A">
              <w:rPr>
                <w:rFonts w:eastAsia="Times New Roman" w:cs="Arial"/>
                <w:bCs w:val="0"/>
                <w:snapToGrid w:val="0"/>
                <w:szCs w:val="20"/>
              </w:rPr>
              <w:t>risk sharing arrangement (</w:t>
            </w:r>
            <w:r w:rsidRPr="000B6B6A">
              <w:rPr>
                <w:rFonts w:eastAsia="Times New Roman" w:cs="Arial"/>
                <w:bCs w:val="0"/>
                <w:snapToGrid w:val="0"/>
                <w:szCs w:val="20"/>
              </w:rPr>
              <w:t>RSA</w:t>
            </w:r>
            <w:r w:rsidR="00FB318A">
              <w:rPr>
                <w:rFonts w:eastAsia="Times New Roman" w:cs="Arial"/>
                <w:bCs w:val="0"/>
                <w:snapToGrid w:val="0"/>
                <w:szCs w:val="20"/>
              </w:rPr>
              <w:t>)</w:t>
            </w:r>
            <w:r w:rsidRPr="000B6B6A">
              <w:rPr>
                <w:rFonts w:eastAsia="Times New Roman" w:cs="Arial"/>
                <w:bCs w:val="0"/>
                <w:snapToGrid w:val="0"/>
                <w:szCs w:val="20"/>
              </w:rPr>
              <w:t xml:space="preserve"> rebate) (para 7.13)</w:t>
            </w:r>
          </w:p>
          <w:p w:rsidR="00E80578" w:rsidRPr="000B6B6A" w:rsidRDefault="00E80578" w:rsidP="00DC77A6">
            <w:pPr>
              <w:pStyle w:val="TableText"/>
              <w:keepNext w:val="0"/>
              <w:rPr>
                <w:rFonts w:eastAsia="Times New Roman" w:cs="Arial"/>
                <w:bCs w:val="0"/>
                <w:snapToGrid w:val="0"/>
                <w:szCs w:val="20"/>
              </w:rPr>
            </w:pPr>
          </w:p>
          <w:p w:rsidR="00E80578" w:rsidRPr="000B6B6A" w:rsidRDefault="00E80578" w:rsidP="00DC77A6">
            <w:pPr>
              <w:pStyle w:val="TableText"/>
              <w:keepNext w:val="0"/>
              <w:rPr>
                <w:rFonts w:eastAsia="Times New Roman" w:cs="Arial"/>
                <w:bCs w:val="0"/>
                <w:snapToGrid w:val="0"/>
                <w:szCs w:val="20"/>
              </w:rPr>
            </w:pPr>
            <w:r w:rsidRPr="000B6B6A">
              <w:rPr>
                <w:rFonts w:eastAsia="Times New Roman" w:cs="Arial"/>
                <w:bCs w:val="0"/>
                <w:snapToGrid w:val="0"/>
                <w:szCs w:val="20"/>
              </w:rPr>
              <w:t>The PBAC considered that the uptake rates were likely significantly overestimated (para 7.14)</w:t>
            </w:r>
          </w:p>
        </w:tc>
        <w:tc>
          <w:tcPr>
            <w:tcW w:w="2500" w:type="pct"/>
          </w:tcPr>
          <w:p w:rsidR="00E80578" w:rsidRPr="000B6B6A" w:rsidRDefault="00E80578" w:rsidP="00DC77A6">
            <w:pPr>
              <w:pStyle w:val="TableText"/>
              <w:keepNext w:val="0"/>
              <w:rPr>
                <w:rFonts w:eastAsia="Times New Roman" w:cs="Arial"/>
                <w:bCs w:val="0"/>
                <w:snapToGrid w:val="0"/>
                <w:szCs w:val="20"/>
              </w:rPr>
            </w:pPr>
            <w:r w:rsidRPr="000B6B6A">
              <w:rPr>
                <w:rFonts w:eastAsia="Times New Roman" w:cs="Arial"/>
                <w:bCs w:val="0"/>
                <w:snapToGrid w:val="0"/>
                <w:szCs w:val="20"/>
              </w:rPr>
              <w:t xml:space="preserve">Addressed. Eligible patient subgroups were changed, resulting in </w:t>
            </w:r>
            <w:r w:rsidR="00A04971">
              <w:rPr>
                <w:rFonts w:eastAsia="Times New Roman" w:cs="Arial"/>
                <w:bCs w:val="0"/>
                <w:snapToGrid w:val="0"/>
                <w:szCs w:val="20"/>
              </w:rPr>
              <w:t xml:space="preserve">a higher risk population of the COMPASS trial being </w:t>
            </w:r>
            <w:r w:rsidR="0046682B">
              <w:rPr>
                <w:rFonts w:eastAsia="Times New Roman" w:cs="Arial"/>
                <w:bCs w:val="0"/>
                <w:snapToGrid w:val="0"/>
                <w:szCs w:val="20"/>
              </w:rPr>
              <w:t>eligible</w:t>
            </w:r>
            <w:r w:rsidRPr="000B6B6A">
              <w:rPr>
                <w:rFonts w:eastAsia="Times New Roman" w:cs="Arial"/>
                <w:bCs w:val="0"/>
                <w:snapToGrid w:val="0"/>
                <w:szCs w:val="20"/>
              </w:rPr>
              <w:t xml:space="preserve">. </w:t>
            </w:r>
            <w:r w:rsidR="000B2CC0">
              <w:rPr>
                <w:rFonts w:eastAsia="Times New Roman" w:cs="Arial"/>
                <w:bCs w:val="0"/>
                <w:snapToGrid w:val="0"/>
                <w:szCs w:val="20"/>
              </w:rPr>
              <w:t xml:space="preserve">A </w:t>
            </w:r>
            <w:r w:rsidRPr="000B6B6A">
              <w:rPr>
                <w:rFonts w:eastAsia="Times New Roman" w:cs="Arial"/>
                <w:bCs w:val="0"/>
                <w:snapToGrid w:val="0"/>
                <w:szCs w:val="20"/>
              </w:rPr>
              <w:t xml:space="preserve">Special Pricing Arrangement proposed to reduce the cost per patient. </w:t>
            </w:r>
          </w:p>
          <w:p w:rsidR="00E80578" w:rsidRPr="000B6B6A" w:rsidRDefault="00E80578" w:rsidP="00DC77A6">
            <w:pPr>
              <w:pStyle w:val="TableText"/>
              <w:keepNext w:val="0"/>
              <w:rPr>
                <w:rFonts w:eastAsia="Times New Roman" w:cs="Arial"/>
                <w:bCs w:val="0"/>
                <w:snapToGrid w:val="0"/>
                <w:szCs w:val="20"/>
              </w:rPr>
            </w:pPr>
          </w:p>
          <w:p w:rsidR="00E80578" w:rsidRPr="000B6B6A" w:rsidRDefault="00E80578" w:rsidP="00DC77A6">
            <w:pPr>
              <w:pStyle w:val="TableText"/>
              <w:keepNext w:val="0"/>
              <w:rPr>
                <w:rFonts w:eastAsia="Times New Roman" w:cs="Arial"/>
                <w:bCs w:val="0"/>
                <w:snapToGrid w:val="0"/>
                <w:szCs w:val="20"/>
              </w:rPr>
            </w:pPr>
            <w:r w:rsidRPr="000B6B6A">
              <w:rPr>
                <w:rFonts w:eastAsia="Times New Roman" w:cs="Arial"/>
                <w:bCs w:val="0"/>
                <w:snapToGrid w:val="0"/>
                <w:szCs w:val="20"/>
              </w:rPr>
              <w:t xml:space="preserve">Pooled uptake rates were higher in the resubmission compared to the March 2019 submission, but the smaller eligible patient population resulted in a smaller estimate of treated patients. </w:t>
            </w:r>
          </w:p>
        </w:tc>
      </w:tr>
      <w:tr w:rsidR="00E80578" w:rsidRPr="00203181" w:rsidTr="004D0EB5">
        <w:trPr>
          <w:cantSplit/>
        </w:trPr>
        <w:tc>
          <w:tcPr>
            <w:tcW w:w="2500" w:type="pct"/>
          </w:tcPr>
          <w:p w:rsidR="00E80578" w:rsidRPr="000B6B6A" w:rsidRDefault="00E80578" w:rsidP="00DC77A6">
            <w:pPr>
              <w:pStyle w:val="TableText"/>
              <w:keepNext w:val="0"/>
              <w:rPr>
                <w:rFonts w:eastAsia="Times New Roman" w:cs="Arial"/>
                <w:bCs w:val="0"/>
                <w:snapToGrid w:val="0"/>
                <w:szCs w:val="20"/>
              </w:rPr>
            </w:pPr>
            <w:r w:rsidRPr="000B6B6A">
              <w:rPr>
                <w:rFonts w:eastAsia="Times New Roman" w:cs="Arial"/>
                <w:bCs w:val="0"/>
                <w:snapToGrid w:val="0"/>
                <w:szCs w:val="20"/>
              </w:rPr>
              <w:t>Any resub</w:t>
            </w:r>
            <w:r w:rsidR="00FB318A">
              <w:rPr>
                <w:rFonts w:eastAsia="Times New Roman" w:cs="Arial"/>
                <w:bCs w:val="0"/>
                <w:snapToGrid w:val="0"/>
                <w:szCs w:val="20"/>
              </w:rPr>
              <w:t>mission would need to propose an RSA</w:t>
            </w:r>
            <w:r w:rsidRPr="000B6B6A">
              <w:rPr>
                <w:rFonts w:eastAsia="Times New Roman" w:cs="Arial"/>
                <w:bCs w:val="0"/>
                <w:snapToGrid w:val="0"/>
                <w:szCs w:val="20"/>
              </w:rPr>
              <w:t xml:space="preserve"> with a </w:t>
            </w:r>
            <w:r w:rsidRPr="007B6CBC">
              <w:rPr>
                <w:rFonts w:eastAsia="Times New Roman" w:cs="Arial"/>
                <w:bCs w:val="0"/>
                <w:snapToGrid w:val="0"/>
                <w:szCs w:val="20"/>
              </w:rPr>
              <w:t>100</w:t>
            </w:r>
            <w:r w:rsidRPr="000B6B6A">
              <w:rPr>
                <w:rFonts w:eastAsia="Times New Roman" w:cs="Arial"/>
                <w:bCs w:val="0"/>
                <w:snapToGrid w:val="0"/>
                <w:szCs w:val="20"/>
              </w:rPr>
              <w:t>% rebate over the cap to mitigate the uncertain patient population, the potential for use outside the restriction and the high overall financial impact (para 7.17)</w:t>
            </w:r>
          </w:p>
        </w:tc>
        <w:tc>
          <w:tcPr>
            <w:tcW w:w="2500" w:type="pct"/>
          </w:tcPr>
          <w:p w:rsidR="00E80578" w:rsidRPr="000B6B6A" w:rsidRDefault="00E80578" w:rsidP="00FB3078">
            <w:pPr>
              <w:pStyle w:val="TableText"/>
              <w:keepNext w:val="0"/>
              <w:rPr>
                <w:rFonts w:eastAsia="Times New Roman" w:cs="Arial"/>
                <w:bCs w:val="0"/>
                <w:snapToGrid w:val="0"/>
                <w:szCs w:val="20"/>
              </w:rPr>
            </w:pPr>
            <w:r w:rsidRPr="000B6B6A">
              <w:rPr>
                <w:rFonts w:eastAsia="Times New Roman" w:cs="Arial"/>
                <w:bCs w:val="0"/>
                <w:snapToGrid w:val="0"/>
                <w:szCs w:val="20"/>
              </w:rPr>
              <w:t>Addressed</w:t>
            </w:r>
            <w:r w:rsidRPr="004A44B1">
              <w:rPr>
                <w:rFonts w:eastAsia="Times New Roman" w:cs="Arial"/>
                <w:bCs w:val="0"/>
                <w:snapToGrid w:val="0"/>
                <w:szCs w:val="20"/>
              </w:rPr>
              <w:t>.</w:t>
            </w:r>
            <w:r w:rsidR="00A04971" w:rsidRPr="004A44B1">
              <w:rPr>
                <w:rFonts w:eastAsia="Times New Roman" w:cs="Arial"/>
                <w:bCs w:val="0"/>
                <w:snapToGrid w:val="0"/>
                <w:szCs w:val="20"/>
              </w:rPr>
              <w:t xml:space="preserve"> </w:t>
            </w:r>
            <w:r w:rsidR="00A46C08" w:rsidRPr="004A44B1">
              <w:rPr>
                <w:rFonts w:eastAsia="Times New Roman" w:cs="Arial"/>
                <w:bCs w:val="0"/>
                <w:snapToGrid w:val="0"/>
                <w:szCs w:val="20"/>
              </w:rPr>
              <w:t>The e</w:t>
            </w:r>
            <w:r w:rsidR="00A04971" w:rsidRPr="004A44B1">
              <w:rPr>
                <w:rFonts w:eastAsia="Times New Roman" w:cs="Arial"/>
                <w:bCs w:val="0"/>
                <w:snapToGrid w:val="0"/>
                <w:szCs w:val="20"/>
              </w:rPr>
              <w:t>ligible population</w:t>
            </w:r>
            <w:r w:rsidR="00A46C08" w:rsidRPr="004A44B1">
              <w:rPr>
                <w:rFonts w:eastAsia="Times New Roman" w:cs="Arial"/>
                <w:bCs w:val="0"/>
                <w:snapToGrid w:val="0"/>
                <w:szCs w:val="20"/>
              </w:rPr>
              <w:t xml:space="preserve"> was</w:t>
            </w:r>
            <w:r w:rsidR="00A04971" w:rsidRPr="004A44B1">
              <w:rPr>
                <w:rFonts w:eastAsia="Times New Roman" w:cs="Arial"/>
                <w:bCs w:val="0"/>
                <w:snapToGrid w:val="0"/>
                <w:szCs w:val="20"/>
              </w:rPr>
              <w:t xml:space="preserve"> reduced by the selection of higher risk subgroups</w:t>
            </w:r>
            <w:r w:rsidR="00A46C08" w:rsidRPr="004A44B1">
              <w:rPr>
                <w:rFonts w:eastAsia="Times New Roman" w:cs="Arial"/>
                <w:bCs w:val="0"/>
                <w:snapToGrid w:val="0"/>
                <w:szCs w:val="20"/>
              </w:rPr>
              <w:t>,</w:t>
            </w:r>
            <w:r w:rsidR="00A04971" w:rsidRPr="004A44B1">
              <w:rPr>
                <w:rFonts w:eastAsia="Times New Roman" w:cs="Arial"/>
                <w:bCs w:val="0"/>
                <w:snapToGrid w:val="0"/>
                <w:szCs w:val="20"/>
              </w:rPr>
              <w:t xml:space="preserve"> and so total patient numbers</w:t>
            </w:r>
            <w:r w:rsidR="00A46C08" w:rsidRPr="004A44B1">
              <w:rPr>
                <w:rFonts w:eastAsia="Times New Roman" w:cs="Arial"/>
                <w:bCs w:val="0"/>
                <w:snapToGrid w:val="0"/>
                <w:szCs w:val="20"/>
              </w:rPr>
              <w:t xml:space="preserve"> were</w:t>
            </w:r>
            <w:r w:rsidR="00A04971" w:rsidRPr="004A44B1">
              <w:rPr>
                <w:rFonts w:eastAsia="Times New Roman" w:cs="Arial"/>
                <w:bCs w:val="0"/>
                <w:snapToGrid w:val="0"/>
                <w:szCs w:val="20"/>
              </w:rPr>
              <w:t xml:space="preserve"> reduced.</w:t>
            </w:r>
            <w:r w:rsidRPr="00A46C08">
              <w:rPr>
                <w:rFonts w:eastAsia="Times New Roman" w:cs="Arial"/>
                <w:bCs w:val="0"/>
                <w:i/>
                <w:snapToGrid w:val="0"/>
                <w:szCs w:val="20"/>
              </w:rPr>
              <w:t xml:space="preserve"> </w:t>
            </w:r>
            <w:r w:rsidR="00FB318A">
              <w:rPr>
                <w:rFonts w:eastAsia="Times New Roman" w:cs="Arial"/>
                <w:bCs w:val="0"/>
                <w:snapToGrid w:val="0"/>
                <w:szCs w:val="20"/>
              </w:rPr>
              <w:t>RSA</w:t>
            </w:r>
            <w:r w:rsidRPr="000B6B6A">
              <w:rPr>
                <w:rFonts w:eastAsia="Times New Roman" w:cs="Arial"/>
                <w:bCs w:val="0"/>
                <w:snapToGrid w:val="0"/>
                <w:szCs w:val="20"/>
              </w:rPr>
              <w:t xml:space="preserve"> amended to a proposed </w:t>
            </w:r>
            <w:r w:rsidR="00FC537F">
              <w:rPr>
                <w:rFonts w:eastAsia="Times New Roman" w:cs="Arial"/>
                <w:bCs w:val="0"/>
                <w:noProof/>
                <w:snapToGrid w:val="0"/>
                <w:color w:val="000000"/>
                <w:szCs w:val="20"/>
                <w:highlight w:val="black"/>
              </w:rPr>
              <w:t>''''''''</w:t>
            </w:r>
            <w:r w:rsidRPr="000B6B6A">
              <w:rPr>
                <w:rFonts w:eastAsia="Times New Roman" w:cs="Arial"/>
                <w:bCs w:val="0"/>
                <w:snapToGrid w:val="0"/>
                <w:szCs w:val="20"/>
              </w:rPr>
              <w:t>% rebate over expected expenditure for the pooled patient population.</w:t>
            </w:r>
          </w:p>
        </w:tc>
      </w:tr>
    </w:tbl>
    <w:p w:rsidR="00F95126" w:rsidRDefault="00E80578" w:rsidP="00DC77A6">
      <w:pPr>
        <w:pStyle w:val="TableFigureFooter"/>
      </w:pPr>
      <w:r>
        <w:t>CAD, coronary artery disease; CKD, chronic kidney disease; DAPT, dual antiplatelet therapy; ESC, Economic Sub-Committee, HF, heart failure; PAD, peripheral arterial disease; PPI, proton pump inhibitor; RSA, risk share arrangement.</w:t>
      </w:r>
    </w:p>
    <w:p w:rsidR="00F95126" w:rsidRPr="00F95126" w:rsidRDefault="00F95126" w:rsidP="00F95126">
      <w:pPr>
        <w:pStyle w:val="3-BodyText"/>
        <w:ind w:firstLine="0"/>
        <w:rPr>
          <w:i/>
        </w:rPr>
      </w:pPr>
      <w:r w:rsidRPr="00F95126">
        <w:rPr>
          <w:i/>
          <w:snapToGrid/>
          <w:lang w:val="en-US"/>
        </w:rPr>
        <w:t>For more detail on PBAC’s view, see section 7 PBAC outcome.</w:t>
      </w:r>
    </w:p>
    <w:p w:rsidR="00B60939" w:rsidRPr="00882085" w:rsidRDefault="00B50DB8" w:rsidP="004E18E9">
      <w:pPr>
        <w:pStyle w:val="2-SectionHeading"/>
      </w:pPr>
      <w:bookmarkStart w:id="6" w:name="_Toc27421946"/>
      <w:r w:rsidRPr="00407F2D">
        <w:t>Requested listing</w:t>
      </w:r>
      <w:bookmarkEnd w:id="6"/>
    </w:p>
    <w:p w:rsidR="00607CA5" w:rsidRDefault="00607CA5" w:rsidP="00607CA5">
      <w:pPr>
        <w:pStyle w:val="ExecSumBodyText"/>
      </w:pPr>
      <w:r>
        <w:t>The restriction requested in the submission is outlined below. The PBAC’s s</w:t>
      </w:r>
      <w:r w:rsidRPr="00346AD7">
        <w:t>uggest</w:t>
      </w:r>
      <w:r>
        <w:t>ed</w:t>
      </w:r>
      <w:r w:rsidRPr="00346AD7">
        <w:t xml:space="preserve"> additions are added in italics and suggested deletions are crossed out with strikethrough.</w:t>
      </w:r>
      <w:r>
        <w:t xml:space="preserve"> </w:t>
      </w:r>
    </w:p>
    <w:tbl>
      <w:tblPr>
        <w:tblW w:w="4994" w:type="pct"/>
        <w:tblInd w:w="5" w:type="dxa"/>
        <w:tblCellMar>
          <w:left w:w="28" w:type="dxa"/>
          <w:right w:w="28" w:type="dxa"/>
        </w:tblCellMar>
        <w:tblLook w:val="0000" w:firstRow="0" w:lastRow="0" w:firstColumn="0" w:lastColumn="0" w:noHBand="0" w:noVBand="0"/>
      </w:tblPr>
      <w:tblGrid>
        <w:gridCol w:w="3391"/>
        <w:gridCol w:w="1093"/>
        <w:gridCol w:w="848"/>
        <w:gridCol w:w="1522"/>
        <w:gridCol w:w="656"/>
        <w:gridCol w:w="1497"/>
        <w:gridCol w:w="9"/>
      </w:tblGrid>
      <w:tr w:rsidR="00DE32C9" w:rsidRPr="004750F7" w:rsidTr="00F95126">
        <w:trPr>
          <w:gridAfter w:val="1"/>
          <w:wAfter w:w="6" w:type="pct"/>
          <w:cantSplit/>
          <w:trHeight w:val="463"/>
        </w:trPr>
        <w:tc>
          <w:tcPr>
            <w:tcW w:w="1881" w:type="pct"/>
            <w:tcBorders>
              <w:top w:val="single" w:sz="4" w:space="0" w:color="auto"/>
              <w:bottom w:val="single" w:sz="4" w:space="0" w:color="auto"/>
            </w:tcBorders>
            <w:vAlign w:val="center"/>
          </w:tcPr>
          <w:p w:rsidR="00DE32C9" w:rsidRPr="004750F7" w:rsidRDefault="00DE32C9" w:rsidP="00302CC6">
            <w:pPr>
              <w:jc w:val="left"/>
              <w:rPr>
                <w:rFonts w:ascii="Arial Narrow" w:hAnsi="Arial Narrow"/>
                <w:b/>
                <w:sz w:val="18"/>
                <w:szCs w:val="18"/>
              </w:rPr>
            </w:pPr>
            <w:r w:rsidRPr="004750F7">
              <w:rPr>
                <w:rFonts w:ascii="Arial Narrow" w:hAnsi="Arial Narrow"/>
                <w:b/>
                <w:sz w:val="18"/>
                <w:szCs w:val="18"/>
              </w:rPr>
              <w:t>Name, Restriction,</w:t>
            </w:r>
          </w:p>
          <w:p w:rsidR="00DE32C9" w:rsidRPr="004750F7" w:rsidRDefault="00DE32C9" w:rsidP="00302CC6">
            <w:pPr>
              <w:jc w:val="left"/>
              <w:rPr>
                <w:rFonts w:ascii="Arial Narrow" w:hAnsi="Arial Narrow"/>
                <w:b/>
                <w:sz w:val="18"/>
                <w:szCs w:val="18"/>
              </w:rPr>
            </w:pPr>
            <w:r w:rsidRPr="004750F7">
              <w:rPr>
                <w:rFonts w:ascii="Arial Narrow" w:hAnsi="Arial Narrow"/>
                <w:b/>
                <w:sz w:val="18"/>
                <w:szCs w:val="18"/>
              </w:rPr>
              <w:t>Manner of administration and form</w:t>
            </w:r>
          </w:p>
        </w:tc>
        <w:tc>
          <w:tcPr>
            <w:tcW w:w="606" w:type="pct"/>
            <w:tcBorders>
              <w:top w:val="single" w:sz="4" w:space="0" w:color="auto"/>
              <w:bottom w:val="single" w:sz="4" w:space="0" w:color="auto"/>
            </w:tcBorders>
            <w:vAlign w:val="center"/>
          </w:tcPr>
          <w:p w:rsidR="00DE32C9" w:rsidRPr="004750F7" w:rsidRDefault="00DE32C9" w:rsidP="00302CC6">
            <w:pPr>
              <w:jc w:val="center"/>
              <w:rPr>
                <w:rFonts w:ascii="Arial Narrow" w:hAnsi="Arial Narrow"/>
                <w:b/>
                <w:sz w:val="18"/>
                <w:szCs w:val="18"/>
              </w:rPr>
            </w:pPr>
            <w:r w:rsidRPr="004750F7">
              <w:rPr>
                <w:rFonts w:ascii="Arial Narrow" w:hAnsi="Arial Narrow"/>
                <w:b/>
                <w:sz w:val="18"/>
                <w:szCs w:val="18"/>
              </w:rPr>
              <w:t>Max.</w:t>
            </w:r>
          </w:p>
          <w:p w:rsidR="00DE32C9" w:rsidRPr="004750F7" w:rsidRDefault="00DE32C9" w:rsidP="00302CC6">
            <w:pPr>
              <w:jc w:val="center"/>
              <w:rPr>
                <w:rFonts w:ascii="Arial Narrow" w:hAnsi="Arial Narrow"/>
                <w:b/>
                <w:sz w:val="18"/>
                <w:szCs w:val="18"/>
              </w:rPr>
            </w:pPr>
            <w:r w:rsidRPr="004750F7">
              <w:rPr>
                <w:rFonts w:ascii="Arial Narrow" w:hAnsi="Arial Narrow"/>
                <w:b/>
                <w:sz w:val="18"/>
                <w:szCs w:val="18"/>
              </w:rPr>
              <w:t xml:space="preserve">Qty </w:t>
            </w:r>
          </w:p>
        </w:tc>
        <w:tc>
          <w:tcPr>
            <w:tcW w:w="470" w:type="pct"/>
            <w:tcBorders>
              <w:top w:val="single" w:sz="4" w:space="0" w:color="auto"/>
              <w:bottom w:val="single" w:sz="4" w:space="0" w:color="auto"/>
            </w:tcBorders>
            <w:vAlign w:val="center"/>
          </w:tcPr>
          <w:p w:rsidR="00DE32C9" w:rsidRPr="004750F7" w:rsidRDefault="00DE32C9" w:rsidP="00302CC6">
            <w:pPr>
              <w:jc w:val="center"/>
              <w:rPr>
                <w:rFonts w:ascii="Arial Narrow" w:hAnsi="Arial Narrow"/>
                <w:b/>
                <w:sz w:val="18"/>
                <w:szCs w:val="18"/>
              </w:rPr>
            </w:pPr>
            <w:r w:rsidRPr="004750F7">
              <w:rPr>
                <w:rFonts w:ascii="Arial Narrow" w:hAnsi="Arial Narrow" w:cs="Times New Roman"/>
                <w:b/>
                <w:sz w:val="18"/>
                <w:szCs w:val="18"/>
              </w:rPr>
              <w:t>№</w:t>
            </w:r>
            <w:r w:rsidRPr="004750F7">
              <w:rPr>
                <w:rFonts w:ascii="Arial Narrow" w:hAnsi="Arial Narrow"/>
                <w:b/>
                <w:sz w:val="18"/>
                <w:szCs w:val="18"/>
              </w:rPr>
              <w:t>.of</w:t>
            </w:r>
          </w:p>
          <w:p w:rsidR="00DE32C9" w:rsidRPr="004750F7" w:rsidRDefault="00DE32C9" w:rsidP="00302CC6">
            <w:pPr>
              <w:jc w:val="center"/>
              <w:rPr>
                <w:rFonts w:ascii="Arial Narrow" w:hAnsi="Arial Narrow"/>
                <w:b/>
                <w:sz w:val="18"/>
                <w:szCs w:val="18"/>
              </w:rPr>
            </w:pPr>
            <w:r w:rsidRPr="004750F7">
              <w:rPr>
                <w:rFonts w:ascii="Arial Narrow" w:hAnsi="Arial Narrow"/>
                <w:b/>
                <w:sz w:val="18"/>
                <w:szCs w:val="18"/>
              </w:rPr>
              <w:t>Rpts</w:t>
            </w:r>
          </w:p>
        </w:tc>
        <w:tc>
          <w:tcPr>
            <w:tcW w:w="844" w:type="pct"/>
            <w:tcBorders>
              <w:top w:val="single" w:sz="4" w:space="0" w:color="auto"/>
              <w:bottom w:val="single" w:sz="4" w:space="0" w:color="auto"/>
            </w:tcBorders>
            <w:vAlign w:val="center"/>
          </w:tcPr>
          <w:p w:rsidR="00DE32C9" w:rsidRPr="004750F7" w:rsidRDefault="00DE32C9" w:rsidP="00302CC6">
            <w:pPr>
              <w:jc w:val="center"/>
              <w:rPr>
                <w:rFonts w:ascii="Arial Narrow" w:hAnsi="Arial Narrow"/>
                <w:b/>
                <w:sz w:val="18"/>
                <w:szCs w:val="18"/>
              </w:rPr>
            </w:pPr>
            <w:r w:rsidRPr="004750F7">
              <w:rPr>
                <w:rFonts w:ascii="Arial Narrow" w:hAnsi="Arial Narrow"/>
                <w:b/>
                <w:sz w:val="18"/>
                <w:szCs w:val="18"/>
              </w:rPr>
              <w:t xml:space="preserve">Dispensed Price for Max. Qty </w:t>
            </w:r>
          </w:p>
        </w:tc>
        <w:tc>
          <w:tcPr>
            <w:tcW w:w="1194" w:type="pct"/>
            <w:gridSpan w:val="2"/>
            <w:tcBorders>
              <w:top w:val="single" w:sz="4" w:space="0" w:color="auto"/>
              <w:bottom w:val="single" w:sz="4" w:space="0" w:color="auto"/>
            </w:tcBorders>
            <w:vAlign w:val="center"/>
          </w:tcPr>
          <w:p w:rsidR="00DE32C9" w:rsidRPr="004750F7" w:rsidRDefault="00DE32C9" w:rsidP="00302CC6">
            <w:pPr>
              <w:jc w:val="center"/>
              <w:rPr>
                <w:rFonts w:ascii="Arial Narrow" w:hAnsi="Arial Narrow"/>
                <w:b/>
                <w:sz w:val="18"/>
                <w:szCs w:val="18"/>
                <w:lang w:val="fr-FR"/>
              </w:rPr>
            </w:pPr>
            <w:r w:rsidRPr="004750F7">
              <w:rPr>
                <w:rFonts w:ascii="Arial Narrow" w:hAnsi="Arial Narrow"/>
                <w:b/>
                <w:sz w:val="18"/>
                <w:szCs w:val="18"/>
              </w:rPr>
              <w:t>Proprietary Name and Manufacturer</w:t>
            </w:r>
          </w:p>
        </w:tc>
      </w:tr>
      <w:tr w:rsidR="00DE32C9" w:rsidRPr="004750F7" w:rsidTr="00F95126">
        <w:trPr>
          <w:gridAfter w:val="1"/>
          <w:wAfter w:w="6" w:type="pct"/>
          <w:cantSplit/>
          <w:trHeight w:val="567"/>
        </w:trPr>
        <w:tc>
          <w:tcPr>
            <w:tcW w:w="1881" w:type="pct"/>
          </w:tcPr>
          <w:p w:rsidR="00DE32C9" w:rsidRPr="004750F7" w:rsidRDefault="00DE32C9" w:rsidP="00302CC6">
            <w:pPr>
              <w:jc w:val="left"/>
              <w:rPr>
                <w:rFonts w:ascii="Arial Narrow" w:hAnsi="Arial Narrow"/>
                <w:sz w:val="18"/>
                <w:szCs w:val="18"/>
              </w:rPr>
            </w:pPr>
            <w:r w:rsidRPr="004750F7">
              <w:rPr>
                <w:rFonts w:ascii="Arial Narrow" w:hAnsi="Arial Narrow"/>
                <w:smallCaps/>
                <w:sz w:val="18"/>
                <w:szCs w:val="18"/>
              </w:rPr>
              <w:t>Rivaroxaban</w:t>
            </w:r>
          </w:p>
          <w:p w:rsidR="00DE32C9" w:rsidRPr="004750F7" w:rsidRDefault="00DE32C9" w:rsidP="00302CC6">
            <w:pPr>
              <w:jc w:val="left"/>
              <w:rPr>
                <w:rFonts w:ascii="Arial Narrow" w:hAnsi="Arial Narrow"/>
                <w:sz w:val="18"/>
                <w:szCs w:val="18"/>
              </w:rPr>
            </w:pPr>
            <w:r w:rsidRPr="004750F7">
              <w:rPr>
                <w:rFonts w:ascii="Arial Narrow" w:hAnsi="Arial Narrow"/>
                <w:sz w:val="18"/>
                <w:szCs w:val="18"/>
              </w:rPr>
              <w:t>2.5 mg tablet, 60</w:t>
            </w:r>
          </w:p>
        </w:tc>
        <w:tc>
          <w:tcPr>
            <w:tcW w:w="606" w:type="pct"/>
          </w:tcPr>
          <w:p w:rsidR="00DE32C9" w:rsidRPr="004750F7" w:rsidRDefault="00DE32C9" w:rsidP="00302CC6">
            <w:pPr>
              <w:jc w:val="center"/>
              <w:rPr>
                <w:rFonts w:ascii="Arial Narrow" w:hAnsi="Arial Narrow"/>
                <w:sz w:val="18"/>
                <w:szCs w:val="18"/>
              </w:rPr>
            </w:pPr>
            <w:r w:rsidRPr="004750F7">
              <w:rPr>
                <w:rFonts w:ascii="Arial Narrow" w:hAnsi="Arial Narrow"/>
                <w:sz w:val="18"/>
                <w:szCs w:val="18"/>
              </w:rPr>
              <w:t>1</w:t>
            </w:r>
          </w:p>
        </w:tc>
        <w:tc>
          <w:tcPr>
            <w:tcW w:w="470" w:type="pct"/>
          </w:tcPr>
          <w:p w:rsidR="00DE32C9" w:rsidRPr="004750F7" w:rsidRDefault="00DE32C9" w:rsidP="00302CC6">
            <w:pPr>
              <w:jc w:val="center"/>
              <w:rPr>
                <w:rFonts w:ascii="Arial Narrow" w:hAnsi="Arial Narrow"/>
                <w:sz w:val="18"/>
                <w:szCs w:val="18"/>
              </w:rPr>
            </w:pPr>
            <w:r w:rsidRPr="004750F7">
              <w:rPr>
                <w:rFonts w:ascii="Arial Narrow" w:hAnsi="Arial Narrow"/>
                <w:sz w:val="18"/>
                <w:szCs w:val="18"/>
              </w:rPr>
              <w:t>5</w:t>
            </w:r>
          </w:p>
        </w:tc>
        <w:tc>
          <w:tcPr>
            <w:tcW w:w="844" w:type="pct"/>
          </w:tcPr>
          <w:p w:rsidR="00DE32C9" w:rsidRPr="004750F7" w:rsidRDefault="00DE32C9" w:rsidP="00302CC6">
            <w:pPr>
              <w:jc w:val="center"/>
              <w:rPr>
                <w:rFonts w:ascii="Arial Narrow" w:hAnsi="Arial Narrow"/>
                <w:sz w:val="18"/>
                <w:szCs w:val="18"/>
                <w:vertAlign w:val="superscript"/>
              </w:rPr>
            </w:pPr>
            <w:r w:rsidRPr="004750F7">
              <w:rPr>
                <w:rFonts w:ascii="Arial Narrow" w:hAnsi="Arial Narrow"/>
                <w:sz w:val="18"/>
                <w:szCs w:val="18"/>
              </w:rPr>
              <w:t>Public: $92.99 ($84.84)</w:t>
            </w:r>
            <w:r w:rsidRPr="004750F7">
              <w:rPr>
                <w:rFonts w:ascii="Arial Narrow" w:hAnsi="Arial Narrow"/>
                <w:sz w:val="18"/>
                <w:szCs w:val="18"/>
                <w:vertAlign w:val="superscript"/>
              </w:rPr>
              <w:t>*</w:t>
            </w:r>
          </w:p>
          <w:p w:rsidR="00DE32C9" w:rsidRPr="004750F7" w:rsidRDefault="00DE32C9" w:rsidP="00302CC6">
            <w:pPr>
              <w:jc w:val="center"/>
              <w:rPr>
                <w:rFonts w:ascii="Arial Narrow" w:hAnsi="Arial Narrow"/>
                <w:sz w:val="18"/>
                <w:szCs w:val="18"/>
              </w:rPr>
            </w:pPr>
            <w:r w:rsidRPr="004750F7">
              <w:rPr>
                <w:rFonts w:ascii="Arial Narrow" w:hAnsi="Arial Narrow"/>
                <w:sz w:val="18"/>
                <w:szCs w:val="18"/>
              </w:rPr>
              <w:t>Effective: $</w:t>
            </w:r>
            <w:r w:rsidR="00FC537F">
              <w:rPr>
                <w:rFonts w:ascii="Arial Narrow" w:hAnsi="Arial Narrow"/>
                <w:noProof/>
                <w:color w:val="000000"/>
                <w:sz w:val="18"/>
                <w:szCs w:val="18"/>
                <w:highlight w:val="black"/>
              </w:rPr>
              <w:t>'''''''''''''</w:t>
            </w:r>
            <w:r w:rsidRPr="004750F7">
              <w:rPr>
                <w:rFonts w:ascii="Arial Narrow" w:hAnsi="Arial Narrow"/>
                <w:sz w:val="18"/>
                <w:szCs w:val="18"/>
              </w:rPr>
              <w:t>*</w:t>
            </w:r>
          </w:p>
          <w:p w:rsidR="00DE32C9" w:rsidRPr="004750F7" w:rsidRDefault="00DE32C9" w:rsidP="00302CC6">
            <w:pPr>
              <w:jc w:val="center"/>
              <w:rPr>
                <w:rFonts w:ascii="Arial Narrow" w:hAnsi="Arial Narrow"/>
                <w:sz w:val="18"/>
                <w:szCs w:val="18"/>
              </w:rPr>
            </w:pPr>
          </w:p>
        </w:tc>
        <w:tc>
          <w:tcPr>
            <w:tcW w:w="364" w:type="pct"/>
          </w:tcPr>
          <w:p w:rsidR="00DE32C9" w:rsidRPr="004750F7" w:rsidRDefault="00DE32C9" w:rsidP="00302CC6">
            <w:pPr>
              <w:jc w:val="center"/>
              <w:rPr>
                <w:rFonts w:ascii="Arial Narrow" w:hAnsi="Arial Narrow"/>
                <w:sz w:val="18"/>
                <w:szCs w:val="18"/>
                <w:vertAlign w:val="superscript"/>
              </w:rPr>
            </w:pPr>
            <w:r w:rsidRPr="004750F7">
              <w:rPr>
                <w:rFonts w:ascii="Arial Narrow" w:hAnsi="Arial Narrow"/>
                <w:sz w:val="18"/>
                <w:szCs w:val="18"/>
              </w:rPr>
              <w:t>Xarelto</w:t>
            </w:r>
            <w:r w:rsidRPr="004750F7">
              <w:rPr>
                <w:rFonts w:ascii="Arial Narrow" w:hAnsi="Arial Narrow"/>
                <w:sz w:val="18"/>
                <w:szCs w:val="18"/>
                <w:vertAlign w:val="superscript"/>
              </w:rPr>
              <w:t>®</w:t>
            </w:r>
          </w:p>
        </w:tc>
        <w:tc>
          <w:tcPr>
            <w:tcW w:w="830" w:type="pct"/>
          </w:tcPr>
          <w:p w:rsidR="00DE32C9" w:rsidRPr="004750F7" w:rsidRDefault="00DE32C9" w:rsidP="00302CC6">
            <w:pPr>
              <w:jc w:val="center"/>
              <w:rPr>
                <w:rFonts w:ascii="Arial Narrow" w:hAnsi="Arial Narrow"/>
                <w:sz w:val="18"/>
                <w:szCs w:val="18"/>
              </w:rPr>
            </w:pPr>
            <w:r w:rsidRPr="004750F7">
              <w:rPr>
                <w:rFonts w:ascii="Arial Narrow" w:hAnsi="Arial Narrow"/>
                <w:sz w:val="18"/>
                <w:szCs w:val="18"/>
              </w:rPr>
              <w:t>Bayer Australia Ltd.</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rsidR="00DE32C9" w:rsidRPr="00120A12" w:rsidRDefault="00DE32C9" w:rsidP="00B43C2C">
            <w:pPr>
              <w:rPr>
                <w:rFonts w:ascii="Arial Narrow" w:hAnsi="Arial Narrow"/>
                <w:sz w:val="18"/>
                <w:szCs w:val="18"/>
              </w:rPr>
            </w:pPr>
            <w:r w:rsidRPr="0020649C">
              <w:rPr>
                <w:rFonts w:ascii="Arial Narrow" w:hAnsi="Arial Narrow"/>
                <w:b/>
                <w:sz w:val="18"/>
                <w:szCs w:val="18"/>
              </w:rPr>
              <w:t>Category / Program:</w:t>
            </w:r>
            <w:r>
              <w:rPr>
                <w:rFonts w:ascii="Arial Narrow" w:hAnsi="Arial Narrow"/>
                <w:b/>
                <w:sz w:val="18"/>
                <w:szCs w:val="18"/>
              </w:rPr>
              <w:t xml:space="preserve"> </w:t>
            </w:r>
            <w:r w:rsidRPr="003D201F">
              <w:rPr>
                <w:rFonts w:ascii="Arial Narrow" w:hAnsi="Arial Narrow"/>
                <w:sz w:val="18"/>
                <w:szCs w:val="18"/>
              </w:rPr>
              <w:t>GENERAL – General Schedule (Code GE)</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83"/>
        </w:trPr>
        <w:tc>
          <w:tcPr>
            <w:tcW w:w="5000" w:type="pct"/>
            <w:gridSpan w:val="7"/>
            <w:tcBorders>
              <w:top w:val="single" w:sz="4" w:space="0" w:color="auto"/>
              <w:left w:val="single" w:sz="4" w:space="0" w:color="auto"/>
              <w:bottom w:val="single" w:sz="4" w:space="0" w:color="auto"/>
              <w:right w:val="single" w:sz="4" w:space="0" w:color="auto"/>
            </w:tcBorders>
          </w:tcPr>
          <w:p w:rsidR="00DE32C9" w:rsidRPr="00120A12" w:rsidRDefault="00DE32C9" w:rsidP="00D32BF3">
            <w:pPr>
              <w:rPr>
                <w:rFonts w:ascii="Arial Narrow" w:hAnsi="Arial Narrow"/>
                <w:sz w:val="18"/>
                <w:szCs w:val="18"/>
              </w:rPr>
            </w:pPr>
            <w:r w:rsidRPr="00120A12">
              <w:rPr>
                <w:rFonts w:ascii="Arial Narrow" w:hAnsi="Arial Narrow"/>
                <w:b/>
                <w:sz w:val="18"/>
                <w:szCs w:val="18"/>
              </w:rPr>
              <w:t>Prescriber type:</w:t>
            </w:r>
            <w:r w:rsidR="0093000A">
              <w:rPr>
                <w:rFonts w:ascii="Arial Narrow" w:hAnsi="Arial Narrow"/>
                <w:b/>
                <w:sz w:val="18"/>
                <w:szCs w:val="18"/>
              </w:rPr>
              <w:t xml:space="preserve"> </w:t>
            </w:r>
            <w:r w:rsidRPr="00120A12">
              <w:rPr>
                <w:rFonts w:ascii="Arial Narrow" w:hAnsi="Arial Narrow"/>
                <w:sz w:val="18"/>
                <w:szCs w:val="18"/>
              </w:rPr>
              <w:fldChar w:fldCharType="begin">
                <w:ffData>
                  <w:name w:val="Check1"/>
                  <w:enabled/>
                  <w:calcOnExit w:val="0"/>
                  <w:checkBox>
                    <w:sizeAuto/>
                    <w:default w:val="0"/>
                  </w:checkBox>
                </w:ffData>
              </w:fldChar>
            </w:r>
            <w:r w:rsidRPr="00120A12">
              <w:rPr>
                <w:rFonts w:ascii="Arial Narrow" w:hAnsi="Arial Narrow"/>
                <w:sz w:val="18"/>
                <w:szCs w:val="18"/>
              </w:rPr>
              <w:instrText xml:space="preserve"> FORMCHECKBOX </w:instrText>
            </w:r>
            <w:r w:rsidR="002D22F6">
              <w:rPr>
                <w:rFonts w:ascii="Arial Narrow" w:hAnsi="Arial Narrow"/>
                <w:sz w:val="18"/>
                <w:szCs w:val="18"/>
              </w:rPr>
            </w:r>
            <w:r w:rsidR="002D22F6">
              <w:rPr>
                <w:rFonts w:ascii="Arial Narrow" w:hAnsi="Arial Narrow"/>
                <w:sz w:val="18"/>
                <w:szCs w:val="18"/>
              </w:rPr>
              <w:fldChar w:fldCharType="separate"/>
            </w:r>
            <w:r w:rsidRPr="00120A12">
              <w:rPr>
                <w:rFonts w:ascii="Arial Narrow" w:hAnsi="Arial Narrow"/>
                <w:sz w:val="18"/>
                <w:szCs w:val="18"/>
              </w:rPr>
              <w:fldChar w:fldCharType="end"/>
            </w:r>
            <w:r w:rsidRPr="00120A12">
              <w:rPr>
                <w:rFonts w:ascii="Arial Narrow" w:hAnsi="Arial Narrow"/>
                <w:sz w:val="18"/>
                <w:szCs w:val="18"/>
              </w:rPr>
              <w:t>Dental</w:t>
            </w:r>
            <w:r w:rsidR="0093000A">
              <w:rPr>
                <w:rFonts w:ascii="Arial Narrow" w:hAnsi="Arial Narrow"/>
                <w:sz w:val="18"/>
                <w:szCs w:val="18"/>
              </w:rPr>
              <w:t xml:space="preserve"> </w:t>
            </w:r>
            <w:r w:rsidRPr="00DC2DCA">
              <w:rPr>
                <w:rFonts w:ascii="Arial Narrow" w:hAnsi="Arial Narrow"/>
                <w:sz w:val="18"/>
                <w:szCs w:val="18"/>
              </w:rPr>
              <w:fldChar w:fldCharType="begin">
                <w:ffData>
                  <w:name w:val=""/>
                  <w:enabled/>
                  <w:calcOnExit w:val="0"/>
                  <w:checkBox>
                    <w:sizeAuto/>
                    <w:default w:val="1"/>
                  </w:checkBox>
                </w:ffData>
              </w:fldChar>
            </w:r>
            <w:r w:rsidRPr="00DC2DCA">
              <w:rPr>
                <w:rFonts w:ascii="Arial Narrow" w:hAnsi="Arial Narrow"/>
                <w:sz w:val="18"/>
                <w:szCs w:val="18"/>
              </w:rPr>
              <w:instrText xml:space="preserve"> FORMCHECKBOX </w:instrText>
            </w:r>
            <w:r w:rsidR="002D22F6">
              <w:rPr>
                <w:rFonts w:ascii="Arial Narrow" w:hAnsi="Arial Narrow"/>
                <w:sz w:val="18"/>
                <w:szCs w:val="18"/>
              </w:rPr>
            </w:r>
            <w:r w:rsidR="002D22F6">
              <w:rPr>
                <w:rFonts w:ascii="Arial Narrow" w:hAnsi="Arial Narrow"/>
                <w:sz w:val="18"/>
                <w:szCs w:val="18"/>
              </w:rPr>
              <w:fldChar w:fldCharType="separate"/>
            </w:r>
            <w:r w:rsidRPr="00DC2DCA">
              <w:rPr>
                <w:rFonts w:ascii="Arial Narrow" w:hAnsi="Arial Narrow"/>
                <w:sz w:val="18"/>
                <w:szCs w:val="18"/>
              </w:rPr>
              <w:fldChar w:fldCharType="end"/>
            </w:r>
            <w:r w:rsidRPr="00120A12">
              <w:rPr>
                <w:rFonts w:ascii="Arial Narrow" w:hAnsi="Arial Narrow"/>
                <w:sz w:val="18"/>
                <w:szCs w:val="18"/>
              </w:rPr>
              <w:t>Medical Practitioners</w:t>
            </w:r>
            <w:r w:rsidR="0093000A">
              <w:rPr>
                <w:rFonts w:ascii="Arial Narrow" w:hAnsi="Arial Narrow"/>
                <w:sz w:val="18"/>
                <w:szCs w:val="18"/>
              </w:rPr>
              <w:t xml:space="preserve"> </w:t>
            </w:r>
            <w:r>
              <w:rPr>
                <w:rFonts w:ascii="Arial Narrow" w:hAnsi="Arial Narrow"/>
                <w:sz w:val="18"/>
                <w:szCs w:val="18"/>
              </w:rPr>
              <w:fldChar w:fldCharType="begin">
                <w:ffData>
                  <w:name w:val="Check3"/>
                  <w:enabled/>
                  <w:calcOnExit w:val="0"/>
                  <w:checkBox>
                    <w:sizeAuto/>
                    <w:default w:val="1"/>
                  </w:checkBox>
                </w:ffData>
              </w:fldChar>
            </w:r>
            <w:bookmarkStart w:id="7" w:name="Check3"/>
            <w:r>
              <w:rPr>
                <w:rFonts w:ascii="Arial Narrow" w:hAnsi="Arial Narrow"/>
                <w:sz w:val="18"/>
                <w:szCs w:val="18"/>
              </w:rPr>
              <w:instrText xml:space="preserve"> FORMCHECKBOX </w:instrText>
            </w:r>
            <w:r w:rsidR="002D22F6">
              <w:rPr>
                <w:rFonts w:ascii="Arial Narrow" w:hAnsi="Arial Narrow"/>
                <w:sz w:val="18"/>
                <w:szCs w:val="18"/>
              </w:rPr>
            </w:r>
            <w:r w:rsidR="002D22F6">
              <w:rPr>
                <w:rFonts w:ascii="Arial Narrow" w:hAnsi="Arial Narrow"/>
                <w:sz w:val="18"/>
                <w:szCs w:val="18"/>
              </w:rPr>
              <w:fldChar w:fldCharType="separate"/>
            </w:r>
            <w:r>
              <w:rPr>
                <w:rFonts w:ascii="Arial Narrow" w:hAnsi="Arial Narrow"/>
                <w:sz w:val="18"/>
                <w:szCs w:val="18"/>
              </w:rPr>
              <w:fldChar w:fldCharType="end"/>
            </w:r>
            <w:bookmarkEnd w:id="7"/>
            <w:r w:rsidRPr="00120A12">
              <w:rPr>
                <w:rFonts w:ascii="Arial Narrow" w:hAnsi="Arial Narrow"/>
                <w:sz w:val="18"/>
                <w:szCs w:val="18"/>
              </w:rPr>
              <w:t>Nurse practitioners</w:t>
            </w:r>
            <w:r>
              <w:rPr>
                <w:rFonts w:ascii="Arial Narrow" w:hAnsi="Arial Narrow"/>
                <w:sz w:val="18"/>
                <w:szCs w:val="18"/>
              </w:rPr>
              <w:t xml:space="preserve"> (SCM)</w:t>
            </w:r>
            <w:r w:rsidR="0093000A">
              <w:rPr>
                <w:rFonts w:ascii="Arial Narrow" w:hAnsi="Arial Narrow"/>
                <w:sz w:val="18"/>
                <w:szCs w:val="18"/>
              </w:rPr>
              <w:t xml:space="preserve"> </w:t>
            </w:r>
            <w:r w:rsidRPr="00120A12">
              <w:rPr>
                <w:rFonts w:ascii="Arial Narrow" w:hAnsi="Arial Narrow"/>
                <w:sz w:val="18"/>
                <w:szCs w:val="18"/>
              </w:rPr>
              <w:fldChar w:fldCharType="begin">
                <w:ffData>
                  <w:name w:val=""/>
                  <w:enabled/>
                  <w:calcOnExit w:val="0"/>
                  <w:checkBox>
                    <w:sizeAuto/>
                    <w:default w:val="0"/>
                  </w:checkBox>
                </w:ffData>
              </w:fldChar>
            </w:r>
            <w:r w:rsidRPr="00120A12">
              <w:rPr>
                <w:rFonts w:ascii="Arial Narrow" w:hAnsi="Arial Narrow"/>
                <w:sz w:val="18"/>
                <w:szCs w:val="18"/>
              </w:rPr>
              <w:instrText xml:space="preserve"> FORMCHECKBOX </w:instrText>
            </w:r>
            <w:r w:rsidR="002D22F6">
              <w:rPr>
                <w:rFonts w:ascii="Arial Narrow" w:hAnsi="Arial Narrow"/>
                <w:sz w:val="18"/>
                <w:szCs w:val="18"/>
              </w:rPr>
            </w:r>
            <w:r w:rsidR="002D22F6">
              <w:rPr>
                <w:rFonts w:ascii="Arial Narrow" w:hAnsi="Arial Narrow"/>
                <w:sz w:val="18"/>
                <w:szCs w:val="18"/>
              </w:rPr>
              <w:fldChar w:fldCharType="separate"/>
            </w:r>
            <w:r w:rsidRPr="00120A12">
              <w:rPr>
                <w:rFonts w:ascii="Arial Narrow" w:hAnsi="Arial Narrow"/>
                <w:sz w:val="18"/>
                <w:szCs w:val="18"/>
              </w:rPr>
              <w:fldChar w:fldCharType="end"/>
            </w:r>
            <w:r w:rsidRPr="00120A12">
              <w:rPr>
                <w:rFonts w:ascii="Arial Narrow" w:hAnsi="Arial Narrow"/>
                <w:sz w:val="18"/>
                <w:szCs w:val="18"/>
              </w:rPr>
              <w:t>Optometrists</w:t>
            </w:r>
            <w:r w:rsidR="0093000A">
              <w:rPr>
                <w:rFonts w:ascii="Arial Narrow" w:hAnsi="Arial Narrow"/>
                <w:sz w:val="18"/>
                <w:szCs w:val="18"/>
              </w:rPr>
              <w:t xml:space="preserve"> </w:t>
            </w:r>
            <w:r w:rsidRPr="00120A12">
              <w:rPr>
                <w:rFonts w:ascii="Arial Narrow" w:hAnsi="Arial Narrow"/>
                <w:sz w:val="18"/>
                <w:szCs w:val="18"/>
              </w:rPr>
              <w:fldChar w:fldCharType="begin">
                <w:ffData>
                  <w:name w:val="Check5"/>
                  <w:enabled/>
                  <w:calcOnExit w:val="0"/>
                  <w:checkBox>
                    <w:sizeAuto/>
                    <w:default w:val="0"/>
                  </w:checkBox>
                </w:ffData>
              </w:fldChar>
            </w:r>
            <w:r w:rsidRPr="00120A12">
              <w:rPr>
                <w:rFonts w:ascii="Arial Narrow" w:hAnsi="Arial Narrow"/>
                <w:sz w:val="18"/>
                <w:szCs w:val="18"/>
              </w:rPr>
              <w:instrText xml:space="preserve"> FORMCHECKBOX </w:instrText>
            </w:r>
            <w:r w:rsidR="002D22F6">
              <w:rPr>
                <w:rFonts w:ascii="Arial Narrow" w:hAnsi="Arial Narrow"/>
                <w:sz w:val="18"/>
                <w:szCs w:val="18"/>
              </w:rPr>
            </w:r>
            <w:r w:rsidR="002D22F6">
              <w:rPr>
                <w:rFonts w:ascii="Arial Narrow" w:hAnsi="Arial Narrow"/>
                <w:sz w:val="18"/>
                <w:szCs w:val="18"/>
              </w:rPr>
              <w:fldChar w:fldCharType="separate"/>
            </w:r>
            <w:r w:rsidRPr="00120A12">
              <w:rPr>
                <w:rFonts w:ascii="Arial Narrow" w:hAnsi="Arial Narrow"/>
                <w:sz w:val="18"/>
                <w:szCs w:val="18"/>
              </w:rPr>
              <w:fldChar w:fldCharType="end"/>
            </w:r>
            <w:r w:rsidRPr="00120A12">
              <w:rPr>
                <w:rFonts w:ascii="Arial Narrow" w:hAnsi="Arial Narrow"/>
                <w:sz w:val="18"/>
                <w:szCs w:val="18"/>
              </w:rPr>
              <w:t>Midwives</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rsidR="00DE32C9" w:rsidRPr="0020649C" w:rsidRDefault="00DE32C9" w:rsidP="00B43C2C">
            <w:pPr>
              <w:rPr>
                <w:rFonts w:ascii="Arial Narrow" w:hAnsi="Arial Narrow"/>
                <w:b/>
                <w:sz w:val="18"/>
                <w:szCs w:val="18"/>
              </w:rPr>
            </w:pPr>
            <w:r w:rsidRPr="0020649C">
              <w:rPr>
                <w:rFonts w:ascii="Arial Narrow" w:hAnsi="Arial Narrow"/>
                <w:b/>
                <w:sz w:val="18"/>
                <w:szCs w:val="18"/>
              </w:rPr>
              <w:t>Restriction Level / Method:</w:t>
            </w:r>
          </w:p>
          <w:p w:rsidR="00DE32C9" w:rsidRDefault="00DE32C9" w:rsidP="00B43C2C">
            <w:pPr>
              <w:rPr>
                <w:rFonts w:ascii="Arial Narrow" w:hAnsi="Arial Narrow"/>
                <w:sz w:val="18"/>
                <w:szCs w:val="18"/>
              </w:rPr>
            </w:pPr>
            <w:r w:rsidRPr="00120A12">
              <w:rPr>
                <w:rFonts w:ascii="Arial Narrow" w:hAnsi="Arial Narrow"/>
                <w:sz w:val="18"/>
                <w:szCs w:val="18"/>
              </w:rPr>
              <w:fldChar w:fldCharType="begin">
                <w:ffData>
                  <w:name w:val="Check1"/>
                  <w:enabled/>
                  <w:calcOnExit w:val="0"/>
                  <w:checkBox>
                    <w:sizeAuto/>
                    <w:default w:val="0"/>
                  </w:checkBox>
                </w:ffData>
              </w:fldChar>
            </w:r>
            <w:r w:rsidRPr="00120A12">
              <w:rPr>
                <w:rFonts w:ascii="Arial Narrow" w:hAnsi="Arial Narrow"/>
                <w:sz w:val="18"/>
                <w:szCs w:val="18"/>
              </w:rPr>
              <w:instrText xml:space="preserve"> FORMCHECKBOX </w:instrText>
            </w:r>
            <w:r w:rsidR="002D22F6">
              <w:rPr>
                <w:rFonts w:ascii="Arial Narrow" w:hAnsi="Arial Narrow"/>
                <w:sz w:val="18"/>
                <w:szCs w:val="18"/>
              </w:rPr>
            </w:r>
            <w:r w:rsidR="002D22F6">
              <w:rPr>
                <w:rFonts w:ascii="Arial Narrow" w:hAnsi="Arial Narrow"/>
                <w:sz w:val="18"/>
                <w:szCs w:val="18"/>
              </w:rPr>
              <w:fldChar w:fldCharType="separate"/>
            </w:r>
            <w:r w:rsidRPr="00120A12">
              <w:rPr>
                <w:rFonts w:ascii="Arial Narrow" w:hAnsi="Arial Narrow"/>
                <w:sz w:val="18"/>
                <w:szCs w:val="18"/>
              </w:rPr>
              <w:fldChar w:fldCharType="end"/>
            </w:r>
            <w:r>
              <w:rPr>
                <w:rFonts w:ascii="Arial Narrow" w:hAnsi="Arial Narrow"/>
                <w:sz w:val="18"/>
                <w:szCs w:val="18"/>
              </w:rPr>
              <w:t>Unr</w:t>
            </w:r>
            <w:r w:rsidRPr="00120A12">
              <w:rPr>
                <w:rFonts w:ascii="Arial Narrow" w:hAnsi="Arial Narrow"/>
                <w:sz w:val="18"/>
                <w:szCs w:val="18"/>
              </w:rPr>
              <w:t>estricted benefit</w:t>
            </w:r>
          </w:p>
          <w:p w:rsidR="00DE32C9" w:rsidRPr="00120A12" w:rsidRDefault="00DE32C9" w:rsidP="00B43C2C">
            <w:pPr>
              <w:rPr>
                <w:rFonts w:ascii="Arial Narrow" w:hAnsi="Arial Narrow"/>
                <w:sz w:val="18"/>
                <w:szCs w:val="18"/>
              </w:rPr>
            </w:pPr>
            <w:r w:rsidRPr="00120A12">
              <w:rPr>
                <w:rFonts w:ascii="Arial Narrow" w:hAnsi="Arial Narrow"/>
                <w:sz w:val="18"/>
                <w:szCs w:val="18"/>
              </w:rPr>
              <w:fldChar w:fldCharType="begin">
                <w:ffData>
                  <w:name w:val="Check1"/>
                  <w:enabled/>
                  <w:calcOnExit w:val="0"/>
                  <w:checkBox>
                    <w:sizeAuto/>
                    <w:default w:val="0"/>
                  </w:checkBox>
                </w:ffData>
              </w:fldChar>
            </w:r>
            <w:r w:rsidRPr="00120A12">
              <w:rPr>
                <w:rFonts w:ascii="Arial Narrow" w:hAnsi="Arial Narrow"/>
                <w:sz w:val="18"/>
                <w:szCs w:val="18"/>
              </w:rPr>
              <w:instrText xml:space="preserve"> FORMCHECKBOX </w:instrText>
            </w:r>
            <w:r w:rsidR="002D22F6">
              <w:rPr>
                <w:rFonts w:ascii="Arial Narrow" w:hAnsi="Arial Narrow"/>
                <w:sz w:val="18"/>
                <w:szCs w:val="18"/>
              </w:rPr>
            </w:r>
            <w:r w:rsidR="002D22F6">
              <w:rPr>
                <w:rFonts w:ascii="Arial Narrow" w:hAnsi="Arial Narrow"/>
                <w:sz w:val="18"/>
                <w:szCs w:val="18"/>
              </w:rPr>
              <w:fldChar w:fldCharType="separate"/>
            </w:r>
            <w:r w:rsidRPr="00120A12">
              <w:rPr>
                <w:rFonts w:ascii="Arial Narrow" w:hAnsi="Arial Narrow"/>
                <w:sz w:val="18"/>
                <w:szCs w:val="18"/>
              </w:rPr>
              <w:fldChar w:fldCharType="end"/>
            </w:r>
            <w:r w:rsidRPr="00120A12">
              <w:rPr>
                <w:rFonts w:ascii="Arial Narrow" w:hAnsi="Arial Narrow"/>
                <w:sz w:val="18"/>
                <w:szCs w:val="18"/>
              </w:rPr>
              <w:t>Restricted benefit</w:t>
            </w:r>
          </w:p>
          <w:p w:rsidR="00DE32C9" w:rsidRPr="00120A12" w:rsidRDefault="00DE32C9" w:rsidP="00B43C2C">
            <w:pPr>
              <w:rPr>
                <w:rFonts w:ascii="Arial Narrow" w:hAnsi="Arial Narrow"/>
                <w:sz w:val="18"/>
                <w:szCs w:val="18"/>
              </w:rPr>
            </w:pPr>
            <w:r w:rsidRPr="00120A12">
              <w:rPr>
                <w:rFonts w:ascii="Arial Narrow" w:hAnsi="Arial Narrow"/>
                <w:sz w:val="18"/>
                <w:szCs w:val="18"/>
              </w:rPr>
              <w:lastRenderedPageBreak/>
              <w:fldChar w:fldCharType="begin">
                <w:ffData>
                  <w:name w:val=""/>
                  <w:enabled/>
                  <w:calcOnExit w:val="0"/>
                  <w:checkBox>
                    <w:sizeAuto/>
                    <w:default w:val="0"/>
                  </w:checkBox>
                </w:ffData>
              </w:fldChar>
            </w:r>
            <w:r w:rsidRPr="00120A12">
              <w:rPr>
                <w:rFonts w:ascii="Arial Narrow" w:hAnsi="Arial Narrow"/>
                <w:sz w:val="18"/>
                <w:szCs w:val="18"/>
              </w:rPr>
              <w:instrText xml:space="preserve"> FORMCHECKBOX </w:instrText>
            </w:r>
            <w:r w:rsidR="002D22F6">
              <w:rPr>
                <w:rFonts w:ascii="Arial Narrow" w:hAnsi="Arial Narrow"/>
                <w:sz w:val="18"/>
                <w:szCs w:val="18"/>
              </w:rPr>
            </w:r>
            <w:r w:rsidR="002D22F6">
              <w:rPr>
                <w:rFonts w:ascii="Arial Narrow" w:hAnsi="Arial Narrow"/>
                <w:sz w:val="18"/>
                <w:szCs w:val="18"/>
              </w:rPr>
              <w:fldChar w:fldCharType="separate"/>
            </w:r>
            <w:r w:rsidRPr="00120A12">
              <w:rPr>
                <w:rFonts w:ascii="Arial Narrow" w:hAnsi="Arial Narrow"/>
                <w:sz w:val="18"/>
                <w:szCs w:val="18"/>
              </w:rPr>
              <w:fldChar w:fldCharType="end"/>
            </w:r>
            <w:r w:rsidRPr="00120A12">
              <w:rPr>
                <w:rFonts w:ascii="Arial Narrow" w:hAnsi="Arial Narrow"/>
                <w:sz w:val="18"/>
                <w:szCs w:val="18"/>
              </w:rPr>
              <w:t>Authority Required – In Writing</w:t>
            </w:r>
          </w:p>
          <w:p w:rsidR="00DE32C9" w:rsidRPr="00120A12" w:rsidRDefault="00DE32C9" w:rsidP="00B43C2C">
            <w:pPr>
              <w:rPr>
                <w:rFonts w:ascii="Arial Narrow" w:hAnsi="Arial Narrow"/>
                <w:sz w:val="18"/>
                <w:szCs w:val="18"/>
              </w:rPr>
            </w:pPr>
            <w:r w:rsidRPr="00120A12">
              <w:rPr>
                <w:rFonts w:ascii="Arial Narrow" w:hAnsi="Arial Narrow"/>
                <w:sz w:val="18"/>
                <w:szCs w:val="18"/>
              </w:rPr>
              <w:fldChar w:fldCharType="begin">
                <w:ffData>
                  <w:name w:val="Check3"/>
                  <w:enabled/>
                  <w:calcOnExit w:val="0"/>
                  <w:checkBox>
                    <w:sizeAuto/>
                    <w:default w:val="0"/>
                  </w:checkBox>
                </w:ffData>
              </w:fldChar>
            </w:r>
            <w:r w:rsidRPr="00120A12">
              <w:rPr>
                <w:rFonts w:ascii="Arial Narrow" w:hAnsi="Arial Narrow"/>
                <w:sz w:val="18"/>
                <w:szCs w:val="18"/>
              </w:rPr>
              <w:instrText xml:space="preserve"> FORMCHECKBOX </w:instrText>
            </w:r>
            <w:r w:rsidR="002D22F6">
              <w:rPr>
                <w:rFonts w:ascii="Arial Narrow" w:hAnsi="Arial Narrow"/>
                <w:sz w:val="18"/>
                <w:szCs w:val="18"/>
              </w:rPr>
            </w:r>
            <w:r w:rsidR="002D22F6">
              <w:rPr>
                <w:rFonts w:ascii="Arial Narrow" w:hAnsi="Arial Narrow"/>
                <w:sz w:val="18"/>
                <w:szCs w:val="18"/>
              </w:rPr>
              <w:fldChar w:fldCharType="separate"/>
            </w:r>
            <w:r w:rsidRPr="00120A12">
              <w:rPr>
                <w:rFonts w:ascii="Arial Narrow" w:hAnsi="Arial Narrow"/>
                <w:sz w:val="18"/>
                <w:szCs w:val="18"/>
              </w:rPr>
              <w:fldChar w:fldCharType="end"/>
            </w:r>
            <w:r w:rsidRPr="00120A12">
              <w:rPr>
                <w:rFonts w:ascii="Arial Narrow" w:hAnsi="Arial Narrow"/>
                <w:sz w:val="18"/>
                <w:szCs w:val="18"/>
              </w:rPr>
              <w:t>Authority Required – Telephone/Electronic/Emergency</w:t>
            </w:r>
          </w:p>
          <w:p w:rsidR="00DE32C9" w:rsidRPr="00120A12" w:rsidRDefault="00DE32C9" w:rsidP="00B43C2C">
            <w:pPr>
              <w:rPr>
                <w:rFonts w:ascii="Arial Narrow" w:hAnsi="Arial Narrow"/>
                <w:sz w:val="18"/>
                <w:szCs w:val="18"/>
              </w:rPr>
            </w:pPr>
            <w:r w:rsidRPr="00DA1151">
              <w:rPr>
                <w:rFonts w:ascii="Arial Narrow" w:hAnsi="Arial Narrow"/>
                <w:sz w:val="18"/>
                <w:szCs w:val="18"/>
              </w:rPr>
              <w:fldChar w:fldCharType="begin">
                <w:ffData>
                  <w:name w:val=""/>
                  <w:enabled/>
                  <w:calcOnExit w:val="0"/>
                  <w:checkBox>
                    <w:sizeAuto/>
                    <w:default w:val="1"/>
                  </w:checkBox>
                </w:ffData>
              </w:fldChar>
            </w:r>
            <w:r w:rsidRPr="00DA1151">
              <w:rPr>
                <w:rFonts w:ascii="Arial Narrow" w:hAnsi="Arial Narrow"/>
                <w:sz w:val="18"/>
                <w:szCs w:val="18"/>
              </w:rPr>
              <w:instrText xml:space="preserve"> FORMCHECKBOX </w:instrText>
            </w:r>
            <w:r w:rsidR="002D22F6">
              <w:rPr>
                <w:rFonts w:ascii="Arial Narrow" w:hAnsi="Arial Narrow"/>
                <w:sz w:val="18"/>
                <w:szCs w:val="18"/>
              </w:rPr>
            </w:r>
            <w:r w:rsidR="002D22F6">
              <w:rPr>
                <w:rFonts w:ascii="Arial Narrow" w:hAnsi="Arial Narrow"/>
                <w:sz w:val="18"/>
                <w:szCs w:val="18"/>
              </w:rPr>
              <w:fldChar w:fldCharType="separate"/>
            </w:r>
            <w:r w:rsidRPr="00DA1151">
              <w:rPr>
                <w:rFonts w:ascii="Arial Narrow" w:hAnsi="Arial Narrow"/>
                <w:sz w:val="18"/>
                <w:szCs w:val="18"/>
              </w:rPr>
              <w:fldChar w:fldCharType="end"/>
            </w:r>
            <w:r w:rsidRPr="00DA1151">
              <w:rPr>
                <w:rFonts w:ascii="Arial Narrow" w:hAnsi="Arial Narrow"/>
                <w:sz w:val="18"/>
                <w:szCs w:val="18"/>
              </w:rPr>
              <w:t>Authority Required - Streamlined</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tcPr>
          <w:p w:rsidR="00DE32C9" w:rsidRPr="00D44805" w:rsidRDefault="00DE32C9" w:rsidP="00B43C2C">
            <w:pPr>
              <w:rPr>
                <w:rFonts w:ascii="Arial Narrow" w:hAnsi="Arial Narrow"/>
                <w:bCs/>
                <w:i/>
                <w:color w:val="333333"/>
                <w:sz w:val="18"/>
                <w:szCs w:val="18"/>
              </w:rPr>
            </w:pPr>
            <w:r>
              <w:rPr>
                <w:rFonts w:ascii="Arial Narrow" w:hAnsi="Arial Narrow"/>
                <w:b/>
                <w:bCs/>
                <w:color w:val="333333"/>
                <w:sz w:val="18"/>
                <w:szCs w:val="18"/>
              </w:rPr>
              <w:lastRenderedPageBreak/>
              <w:t xml:space="preserve">Episodicity: </w:t>
            </w:r>
            <w:r w:rsidRPr="00025191">
              <w:rPr>
                <w:rFonts w:ascii="Arial Narrow" w:hAnsi="Arial Narrow"/>
                <w:bCs/>
                <w:strike/>
                <w:color w:val="333333"/>
                <w:sz w:val="18"/>
                <w:szCs w:val="18"/>
              </w:rPr>
              <w:t>Secondary prevention</w:t>
            </w:r>
            <w:r>
              <w:rPr>
                <w:rFonts w:ascii="Arial Narrow" w:hAnsi="Arial Narrow"/>
                <w:bCs/>
                <w:color w:val="333333"/>
                <w:sz w:val="18"/>
                <w:szCs w:val="18"/>
              </w:rPr>
              <w:t xml:space="preserve"> </w:t>
            </w:r>
            <w:r>
              <w:rPr>
                <w:rFonts w:ascii="Arial Narrow" w:hAnsi="Arial Narrow"/>
                <w:bCs/>
                <w:i/>
                <w:color w:val="333333"/>
                <w:sz w:val="18"/>
                <w:szCs w:val="18"/>
              </w:rPr>
              <w:t>Chronic</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tcPr>
          <w:p w:rsidR="00DE32C9" w:rsidRPr="00D44805" w:rsidRDefault="00DE32C9" w:rsidP="00B43C2C">
            <w:pPr>
              <w:rPr>
                <w:rFonts w:ascii="Arial Narrow" w:hAnsi="Arial Narrow"/>
                <w:bCs/>
                <w:i/>
                <w:color w:val="333333"/>
                <w:sz w:val="18"/>
                <w:szCs w:val="18"/>
              </w:rPr>
            </w:pPr>
            <w:r>
              <w:rPr>
                <w:rFonts w:ascii="Arial Narrow" w:hAnsi="Arial Narrow"/>
                <w:b/>
                <w:bCs/>
                <w:color w:val="333333"/>
                <w:sz w:val="18"/>
                <w:szCs w:val="18"/>
              </w:rPr>
              <w:t xml:space="preserve">Severity: </w:t>
            </w:r>
            <w:r w:rsidRPr="00025191">
              <w:rPr>
                <w:rFonts w:ascii="Arial Narrow" w:hAnsi="Arial Narrow"/>
                <w:bCs/>
                <w:strike/>
                <w:color w:val="333333"/>
                <w:sz w:val="18"/>
                <w:szCs w:val="18"/>
              </w:rPr>
              <w:t>Chronic</w:t>
            </w:r>
            <w:r>
              <w:rPr>
                <w:rFonts w:ascii="Arial Narrow" w:hAnsi="Arial Narrow"/>
                <w:bCs/>
                <w:color w:val="333333"/>
                <w:sz w:val="18"/>
                <w:szCs w:val="18"/>
              </w:rPr>
              <w:t xml:space="preserve"> </w:t>
            </w:r>
            <w:r>
              <w:rPr>
                <w:rFonts w:ascii="Arial Narrow" w:hAnsi="Arial Narrow"/>
                <w:bCs/>
                <w:i/>
                <w:color w:val="333333"/>
                <w:sz w:val="18"/>
                <w:szCs w:val="18"/>
              </w:rPr>
              <w:t>Stable</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tcPr>
          <w:p w:rsidR="00DE32C9" w:rsidRPr="00865288" w:rsidRDefault="00DE32C9" w:rsidP="00B43C2C">
            <w:pPr>
              <w:rPr>
                <w:rFonts w:ascii="Arial Narrow" w:hAnsi="Arial Narrow"/>
                <w:bCs/>
                <w:color w:val="333333"/>
                <w:sz w:val="18"/>
                <w:szCs w:val="18"/>
              </w:rPr>
            </w:pPr>
            <w:r>
              <w:rPr>
                <w:rFonts w:ascii="Arial Narrow" w:hAnsi="Arial Narrow"/>
                <w:b/>
                <w:bCs/>
                <w:color w:val="333333"/>
                <w:sz w:val="18"/>
                <w:szCs w:val="18"/>
              </w:rPr>
              <w:t xml:space="preserve">Condition: </w:t>
            </w:r>
            <w:r w:rsidRPr="00D44805">
              <w:rPr>
                <w:rFonts w:ascii="Arial Narrow" w:hAnsi="Arial Narrow"/>
                <w:bCs/>
                <w:color w:val="333333"/>
                <w:sz w:val="18"/>
                <w:szCs w:val="18"/>
              </w:rPr>
              <w:t>Atherosclerotic disease</w:t>
            </w:r>
            <w:r w:rsidRPr="00025191">
              <w:rPr>
                <w:rFonts w:ascii="Arial Narrow" w:hAnsi="Arial Narrow"/>
                <w:bCs/>
                <w:color w:val="333333"/>
                <w:sz w:val="18"/>
                <w:szCs w:val="18"/>
              </w:rPr>
              <w:t xml:space="preserve"> </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rsidR="00DE32C9" w:rsidRPr="00025191" w:rsidRDefault="00DE32C9" w:rsidP="00B43C2C">
            <w:pPr>
              <w:rPr>
                <w:rFonts w:ascii="Arial Narrow" w:hAnsi="Arial Narrow"/>
                <w:color w:val="333333"/>
                <w:sz w:val="18"/>
                <w:szCs w:val="18"/>
              </w:rPr>
            </w:pPr>
            <w:r w:rsidRPr="00025191">
              <w:rPr>
                <w:rFonts w:ascii="Arial Narrow" w:hAnsi="Arial Narrow"/>
                <w:b/>
                <w:bCs/>
                <w:color w:val="333333"/>
                <w:sz w:val="18"/>
                <w:szCs w:val="18"/>
              </w:rPr>
              <w:t>Indication:</w:t>
            </w:r>
            <w:r w:rsidRPr="00025191">
              <w:rPr>
                <w:rFonts w:ascii="Arial Narrow" w:hAnsi="Arial Narrow"/>
                <w:color w:val="333333"/>
                <w:sz w:val="18"/>
                <w:szCs w:val="18"/>
              </w:rPr>
              <w:t xml:space="preserve"> </w:t>
            </w:r>
            <w:r w:rsidRPr="00025191">
              <w:rPr>
                <w:rFonts w:ascii="Arial Narrow" w:hAnsi="Arial Narrow"/>
                <w:strike/>
                <w:color w:val="333333"/>
                <w:sz w:val="18"/>
                <w:szCs w:val="18"/>
              </w:rPr>
              <w:t>Prevention of recurrence of atherothrombotic events</w:t>
            </w:r>
            <w:r>
              <w:rPr>
                <w:rFonts w:ascii="Arial Narrow" w:hAnsi="Arial Narrow"/>
                <w:color w:val="333333"/>
                <w:sz w:val="18"/>
                <w:szCs w:val="18"/>
              </w:rPr>
              <w:t xml:space="preserve"> </w:t>
            </w:r>
            <w:r>
              <w:rPr>
                <w:rFonts w:ascii="Arial Narrow" w:hAnsi="Arial Narrow"/>
                <w:i/>
                <w:color w:val="333333"/>
                <w:sz w:val="18"/>
                <w:szCs w:val="18"/>
              </w:rPr>
              <w:t>Chronic stable atherosclerotic disease</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rsidR="00DE32C9" w:rsidRPr="003D7DC3" w:rsidRDefault="00DE32C9" w:rsidP="00B43C2C">
            <w:pPr>
              <w:rPr>
                <w:rFonts w:ascii="Arial Narrow" w:hAnsi="Arial Narrow"/>
                <w:color w:val="333333"/>
                <w:sz w:val="18"/>
                <w:szCs w:val="18"/>
              </w:rPr>
            </w:pPr>
            <w:r w:rsidRPr="003D7DC3">
              <w:rPr>
                <w:rFonts w:ascii="Arial Narrow" w:hAnsi="Arial Narrow"/>
                <w:b/>
                <w:bCs/>
                <w:color w:val="333333"/>
                <w:sz w:val="18"/>
                <w:szCs w:val="18"/>
              </w:rPr>
              <w:t>Treatment Phase:</w:t>
            </w:r>
            <w:r w:rsidRPr="003D7DC3">
              <w:rPr>
                <w:rFonts w:ascii="Arial Narrow" w:hAnsi="Arial Narrow"/>
                <w:color w:val="333333"/>
                <w:sz w:val="18"/>
                <w:szCs w:val="18"/>
              </w:rPr>
              <w:t xml:space="preserve"> </w:t>
            </w:r>
            <w:r>
              <w:rPr>
                <w:rFonts w:ascii="Arial Narrow" w:hAnsi="Arial Narrow"/>
                <w:color w:val="333333"/>
                <w:sz w:val="18"/>
                <w:szCs w:val="18"/>
              </w:rPr>
              <w:t>[nil]</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rsidR="00DE32C9" w:rsidRPr="00120A12" w:rsidRDefault="00DE32C9" w:rsidP="00B43C2C">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rsidR="00DE32C9" w:rsidRPr="00120A12" w:rsidRDefault="00DE32C9" w:rsidP="00B43C2C">
            <w:pPr>
              <w:rPr>
                <w:rFonts w:ascii="Arial Narrow" w:hAnsi="Arial Narrow"/>
                <w:color w:val="333333"/>
                <w:sz w:val="18"/>
                <w:szCs w:val="18"/>
              </w:rPr>
            </w:pPr>
            <w:r>
              <w:rPr>
                <w:rFonts w:ascii="Arial Narrow" w:hAnsi="Arial Narrow"/>
                <w:color w:val="333333"/>
                <w:sz w:val="18"/>
                <w:szCs w:val="18"/>
              </w:rPr>
              <w:t xml:space="preserve">The treatment must be in combination with aspirin. </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rsidR="00DE32C9" w:rsidRPr="00120A12" w:rsidRDefault="00DE32C9" w:rsidP="00B43C2C">
            <w:pPr>
              <w:rPr>
                <w:rFonts w:ascii="Arial Narrow" w:hAnsi="Arial Narrow"/>
                <w:color w:val="333333"/>
                <w:sz w:val="18"/>
                <w:szCs w:val="18"/>
              </w:rPr>
            </w:pPr>
            <w:r w:rsidRPr="00120A12">
              <w:rPr>
                <w:rFonts w:ascii="Arial Narrow" w:hAnsi="Arial Narrow"/>
                <w:b/>
                <w:bCs/>
                <w:color w:val="333333"/>
                <w:sz w:val="18"/>
                <w:szCs w:val="18"/>
              </w:rPr>
              <w:t>AND</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453"/>
        </w:trPr>
        <w:tc>
          <w:tcPr>
            <w:tcW w:w="5000" w:type="pct"/>
            <w:gridSpan w:val="7"/>
            <w:vAlign w:val="center"/>
            <w:hideMark/>
          </w:tcPr>
          <w:p w:rsidR="00DE32C9" w:rsidRPr="00120A12" w:rsidRDefault="00DE32C9" w:rsidP="00B43C2C">
            <w:pPr>
              <w:rPr>
                <w:rFonts w:ascii="Arial Narrow" w:hAnsi="Arial Narrow"/>
                <w:color w:val="333333"/>
                <w:sz w:val="18"/>
                <w:szCs w:val="18"/>
              </w:rPr>
            </w:pPr>
            <w:r w:rsidRPr="00120A12">
              <w:rPr>
                <w:rFonts w:ascii="Arial Narrow" w:hAnsi="Arial Narrow"/>
                <w:b/>
                <w:bCs/>
                <w:color w:val="333333"/>
                <w:sz w:val="18"/>
                <w:szCs w:val="18"/>
              </w:rPr>
              <w:t>Clinical criteria:</w:t>
            </w:r>
          </w:p>
          <w:p w:rsidR="00DE32C9" w:rsidRDefault="00DE32C9" w:rsidP="00B43C2C">
            <w:pPr>
              <w:rPr>
                <w:rFonts w:ascii="Arial Narrow" w:hAnsi="Arial Narrow"/>
                <w:strike/>
                <w:color w:val="333333"/>
                <w:sz w:val="18"/>
                <w:szCs w:val="18"/>
              </w:rPr>
            </w:pPr>
            <w:r w:rsidRPr="008A3586">
              <w:rPr>
                <w:rFonts w:ascii="Arial Narrow" w:hAnsi="Arial Narrow"/>
                <w:strike/>
                <w:color w:val="333333"/>
                <w:sz w:val="18"/>
                <w:szCs w:val="18"/>
              </w:rPr>
              <w:t>Patient must not require concomitant dual anti-platelet therapy.</w:t>
            </w:r>
          </w:p>
          <w:p w:rsidR="00DE32C9" w:rsidRPr="008A3586" w:rsidRDefault="00DE32C9" w:rsidP="00B43C2C">
            <w:pPr>
              <w:rPr>
                <w:rFonts w:ascii="Arial Narrow" w:hAnsi="Arial Narrow"/>
                <w:i/>
                <w:color w:val="333333"/>
                <w:sz w:val="18"/>
                <w:szCs w:val="18"/>
              </w:rPr>
            </w:pPr>
            <w:r>
              <w:rPr>
                <w:rFonts w:ascii="Arial Narrow" w:hAnsi="Arial Narrow"/>
                <w:i/>
                <w:color w:val="333333"/>
                <w:sz w:val="18"/>
                <w:szCs w:val="18"/>
              </w:rPr>
              <w:t xml:space="preserve">The treatment must not be in combination with any other anti-platelet therapy. </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hideMark/>
          </w:tcPr>
          <w:p w:rsidR="00DE32C9" w:rsidRPr="00120A12" w:rsidRDefault="00DE32C9" w:rsidP="00B43C2C">
            <w:pPr>
              <w:rPr>
                <w:rFonts w:ascii="Arial Narrow" w:hAnsi="Arial Narrow"/>
                <w:color w:val="333333"/>
                <w:sz w:val="18"/>
                <w:szCs w:val="18"/>
              </w:rPr>
            </w:pPr>
            <w:r w:rsidRPr="00120A12">
              <w:rPr>
                <w:rFonts w:ascii="Arial Narrow" w:hAnsi="Arial Narrow"/>
                <w:b/>
                <w:bCs/>
                <w:color w:val="333333"/>
                <w:sz w:val="18"/>
                <w:szCs w:val="18"/>
              </w:rPr>
              <w:t>AND</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2787"/>
        </w:trPr>
        <w:tc>
          <w:tcPr>
            <w:tcW w:w="5000" w:type="pct"/>
            <w:gridSpan w:val="7"/>
            <w:vAlign w:val="center"/>
            <w:hideMark/>
          </w:tcPr>
          <w:p w:rsidR="00DE32C9" w:rsidRPr="00DA1151" w:rsidRDefault="00DE32C9" w:rsidP="00B43C2C">
            <w:pPr>
              <w:rPr>
                <w:rFonts w:ascii="Arial Narrow" w:hAnsi="Arial Narrow"/>
                <w:color w:val="333333"/>
                <w:sz w:val="18"/>
                <w:szCs w:val="18"/>
              </w:rPr>
            </w:pPr>
            <w:r w:rsidRPr="00DA1151">
              <w:rPr>
                <w:rFonts w:ascii="Arial Narrow" w:hAnsi="Arial Narrow"/>
                <w:b/>
                <w:bCs/>
                <w:color w:val="333333"/>
                <w:sz w:val="18"/>
                <w:szCs w:val="18"/>
              </w:rPr>
              <w:t>Clinical criteria:</w:t>
            </w:r>
          </w:p>
          <w:p w:rsidR="00DE32C9" w:rsidRPr="004750F7" w:rsidRDefault="00DE32C9" w:rsidP="00B43C2C">
            <w:pPr>
              <w:pStyle w:val="TableText"/>
              <w:rPr>
                <w:rFonts w:cs="Arial"/>
                <w:sz w:val="18"/>
                <w:szCs w:val="18"/>
              </w:rPr>
            </w:pPr>
            <w:r w:rsidRPr="000E412D">
              <w:rPr>
                <w:rFonts w:cs="Arial"/>
                <w:sz w:val="18"/>
                <w:szCs w:val="18"/>
              </w:rPr>
              <w:t>Patient must have</w:t>
            </w:r>
            <w:r>
              <w:rPr>
                <w:rFonts w:cs="Arial"/>
                <w:sz w:val="18"/>
                <w:szCs w:val="18"/>
              </w:rPr>
              <w:t xml:space="preserve"> </w:t>
            </w:r>
            <w:r>
              <w:rPr>
                <w:rFonts w:cs="Arial"/>
                <w:i/>
                <w:sz w:val="18"/>
                <w:szCs w:val="18"/>
              </w:rPr>
              <w:t>a</w:t>
            </w:r>
            <w:r w:rsidRPr="000E412D">
              <w:rPr>
                <w:rFonts w:cs="Arial"/>
                <w:sz w:val="18"/>
                <w:szCs w:val="18"/>
              </w:rPr>
              <w:t xml:space="preserve"> diag</w:t>
            </w:r>
            <w:r>
              <w:rPr>
                <w:rFonts w:cs="Arial"/>
                <w:sz w:val="18"/>
                <w:szCs w:val="18"/>
              </w:rPr>
              <w:t xml:space="preserve">nosis of </w:t>
            </w:r>
            <w:r w:rsidRPr="004750F7">
              <w:rPr>
                <w:rFonts w:cs="Arial"/>
                <w:sz w:val="18"/>
                <w:szCs w:val="18"/>
              </w:rPr>
              <w:t>coronary artery disease and must have one or more of the following risk factors:</w:t>
            </w:r>
          </w:p>
          <w:p w:rsidR="00DE32C9" w:rsidRPr="004750F7" w:rsidRDefault="00DE32C9" w:rsidP="00B43C2C">
            <w:pPr>
              <w:pStyle w:val="TableText"/>
              <w:numPr>
                <w:ilvl w:val="0"/>
                <w:numId w:val="8"/>
              </w:numPr>
              <w:rPr>
                <w:rFonts w:cs="Arial"/>
                <w:sz w:val="18"/>
                <w:szCs w:val="18"/>
              </w:rPr>
            </w:pPr>
            <w:r w:rsidRPr="004750F7">
              <w:rPr>
                <w:rFonts w:cs="Arial"/>
                <w:sz w:val="18"/>
                <w:szCs w:val="18"/>
              </w:rPr>
              <w:t xml:space="preserve">Diagnosed heart failure (left ventricular ejection fraction greater than or equal to 30% </w:t>
            </w:r>
            <w:r w:rsidRPr="004750F7">
              <w:rPr>
                <w:rFonts w:cs="Arial"/>
                <w:i/>
                <w:sz w:val="18"/>
                <w:szCs w:val="18"/>
              </w:rPr>
              <w:t>but less than 50%</w:t>
            </w:r>
            <w:r w:rsidRPr="004750F7">
              <w:rPr>
                <w:rFonts w:cs="Arial"/>
                <w:sz w:val="18"/>
                <w:szCs w:val="18"/>
              </w:rPr>
              <w:t>);</w:t>
            </w:r>
          </w:p>
          <w:p w:rsidR="00DE32C9" w:rsidRPr="004750F7" w:rsidRDefault="00DE32C9" w:rsidP="00B43C2C">
            <w:pPr>
              <w:pStyle w:val="TableText"/>
              <w:numPr>
                <w:ilvl w:val="0"/>
                <w:numId w:val="8"/>
              </w:numPr>
              <w:rPr>
                <w:rFonts w:cs="Arial"/>
                <w:sz w:val="18"/>
                <w:szCs w:val="18"/>
              </w:rPr>
            </w:pPr>
            <w:r w:rsidRPr="004750F7">
              <w:rPr>
                <w:rFonts w:cs="Arial"/>
                <w:sz w:val="18"/>
                <w:szCs w:val="18"/>
              </w:rPr>
              <w:t>Diagnosed kidney disease classified by an eGFR 15-60ml/min.</w:t>
            </w:r>
          </w:p>
          <w:p w:rsidR="00DE32C9" w:rsidRPr="004750F7" w:rsidRDefault="00DE32C9" w:rsidP="00B43C2C">
            <w:pPr>
              <w:pStyle w:val="TableText"/>
              <w:numPr>
                <w:ilvl w:val="0"/>
                <w:numId w:val="8"/>
              </w:numPr>
              <w:rPr>
                <w:rFonts w:cs="Arial"/>
                <w:i/>
                <w:sz w:val="18"/>
                <w:szCs w:val="18"/>
              </w:rPr>
            </w:pPr>
            <w:r w:rsidRPr="004750F7">
              <w:rPr>
                <w:rFonts w:cs="Arial"/>
                <w:i/>
                <w:sz w:val="18"/>
                <w:szCs w:val="18"/>
              </w:rPr>
              <w:t xml:space="preserve">Diabetes Mellitus and at least one of the following: age 60 years or more; concomitant microalbuminuria; or be of Aboriginal or Torres Strait Islander descent. </w:t>
            </w:r>
          </w:p>
          <w:p w:rsidR="00DE32C9" w:rsidRPr="000E412D" w:rsidRDefault="00DE32C9" w:rsidP="00B43C2C">
            <w:pPr>
              <w:rPr>
                <w:rFonts w:ascii="Arial Narrow" w:hAnsi="Arial Narrow"/>
                <w:color w:val="333333"/>
                <w:sz w:val="18"/>
                <w:szCs w:val="18"/>
              </w:rPr>
            </w:pPr>
            <w:r w:rsidRPr="004750F7">
              <w:rPr>
                <w:rFonts w:ascii="Arial Narrow" w:hAnsi="Arial Narrow"/>
                <w:color w:val="333333"/>
                <w:sz w:val="18"/>
                <w:szCs w:val="18"/>
              </w:rPr>
              <w:t>OR</w:t>
            </w:r>
            <w:r w:rsidRPr="000E412D">
              <w:rPr>
                <w:rFonts w:ascii="Arial Narrow" w:hAnsi="Arial Narrow"/>
                <w:color w:val="333333"/>
                <w:sz w:val="18"/>
                <w:szCs w:val="18"/>
              </w:rPr>
              <w:t xml:space="preserve"> </w:t>
            </w:r>
          </w:p>
          <w:p w:rsidR="00DE32C9" w:rsidRPr="004750F7" w:rsidRDefault="00DE32C9" w:rsidP="00B43C2C">
            <w:pPr>
              <w:pStyle w:val="TableText"/>
              <w:rPr>
                <w:rFonts w:cs="Arial"/>
                <w:i/>
                <w:sz w:val="18"/>
                <w:szCs w:val="18"/>
              </w:rPr>
            </w:pPr>
            <w:r w:rsidRPr="004750F7">
              <w:rPr>
                <w:rFonts w:cs="Arial"/>
                <w:sz w:val="18"/>
                <w:szCs w:val="18"/>
              </w:rPr>
              <w:t xml:space="preserve">Patients must have </w:t>
            </w:r>
            <w:r w:rsidRPr="004750F7">
              <w:rPr>
                <w:rFonts w:cs="Arial"/>
                <w:i/>
                <w:sz w:val="18"/>
                <w:szCs w:val="18"/>
              </w:rPr>
              <w:t>a</w:t>
            </w:r>
            <w:r w:rsidRPr="004750F7">
              <w:rPr>
                <w:rFonts w:cs="Arial"/>
                <w:sz w:val="18"/>
                <w:szCs w:val="18"/>
              </w:rPr>
              <w:t xml:space="preserve"> diagnosis of peripheral artery disease </w:t>
            </w:r>
            <w:r w:rsidRPr="004750F7">
              <w:rPr>
                <w:rFonts w:cs="Arial"/>
                <w:i/>
                <w:sz w:val="18"/>
                <w:szCs w:val="18"/>
              </w:rPr>
              <w:t>and must have one or more of the following risk factors:</w:t>
            </w:r>
          </w:p>
          <w:p w:rsidR="00DE32C9" w:rsidRPr="004750F7" w:rsidRDefault="00DE32C9" w:rsidP="00B43C2C">
            <w:pPr>
              <w:pStyle w:val="TableText"/>
              <w:rPr>
                <w:rFonts w:cs="Arial"/>
                <w:strike/>
                <w:sz w:val="18"/>
                <w:szCs w:val="18"/>
              </w:rPr>
            </w:pPr>
            <w:r w:rsidRPr="004750F7">
              <w:rPr>
                <w:rFonts w:cs="Arial"/>
                <w:strike/>
                <w:sz w:val="18"/>
                <w:szCs w:val="18"/>
              </w:rPr>
              <w:t>AND</w:t>
            </w:r>
          </w:p>
          <w:p w:rsidR="00DE32C9" w:rsidRPr="004750F7" w:rsidRDefault="00DE32C9" w:rsidP="00B43C2C">
            <w:pPr>
              <w:pStyle w:val="TableText"/>
              <w:rPr>
                <w:rFonts w:cs="Arial"/>
                <w:strike/>
                <w:sz w:val="18"/>
                <w:szCs w:val="18"/>
              </w:rPr>
            </w:pPr>
            <w:r w:rsidRPr="004750F7">
              <w:rPr>
                <w:rFonts w:cs="Arial"/>
                <w:strike/>
                <w:sz w:val="18"/>
                <w:szCs w:val="18"/>
              </w:rPr>
              <w:t>Patient must have one or more risk factors:</w:t>
            </w:r>
          </w:p>
          <w:p w:rsidR="00DE32C9" w:rsidRPr="004750F7" w:rsidRDefault="00DE32C9" w:rsidP="00B43C2C">
            <w:pPr>
              <w:pStyle w:val="TableText"/>
              <w:numPr>
                <w:ilvl w:val="0"/>
                <w:numId w:val="9"/>
              </w:numPr>
              <w:rPr>
                <w:rFonts w:cs="Arial"/>
                <w:i/>
                <w:sz w:val="18"/>
                <w:szCs w:val="18"/>
              </w:rPr>
            </w:pPr>
            <w:r w:rsidRPr="004750F7">
              <w:rPr>
                <w:rFonts w:cs="Arial"/>
                <w:i/>
                <w:sz w:val="18"/>
                <w:szCs w:val="18"/>
              </w:rPr>
              <w:t>Concomitant coronary artery disease</w:t>
            </w:r>
          </w:p>
          <w:p w:rsidR="00DE32C9" w:rsidRPr="004750F7" w:rsidRDefault="00DE32C9" w:rsidP="00B43C2C">
            <w:pPr>
              <w:pStyle w:val="TableText"/>
              <w:numPr>
                <w:ilvl w:val="0"/>
                <w:numId w:val="9"/>
              </w:numPr>
              <w:rPr>
                <w:rFonts w:cs="Arial"/>
                <w:i/>
                <w:sz w:val="18"/>
                <w:szCs w:val="18"/>
              </w:rPr>
            </w:pPr>
            <w:r w:rsidRPr="004750F7">
              <w:rPr>
                <w:rFonts w:cs="Arial"/>
                <w:i/>
                <w:sz w:val="18"/>
                <w:szCs w:val="18"/>
              </w:rPr>
              <w:t>Diagnosed heart failure (left ventricular ejection fraction greater than or equal to 30% but less than 50%)</w:t>
            </w:r>
          </w:p>
          <w:p w:rsidR="00DE32C9" w:rsidRPr="004750F7" w:rsidRDefault="00DE32C9" w:rsidP="00B43C2C">
            <w:pPr>
              <w:pStyle w:val="TableText"/>
              <w:numPr>
                <w:ilvl w:val="0"/>
                <w:numId w:val="9"/>
              </w:numPr>
              <w:rPr>
                <w:rFonts w:cs="Arial"/>
                <w:i/>
                <w:sz w:val="18"/>
                <w:szCs w:val="18"/>
              </w:rPr>
            </w:pPr>
            <w:r w:rsidRPr="004750F7">
              <w:rPr>
                <w:rFonts w:cs="Arial"/>
                <w:i/>
                <w:sz w:val="18"/>
                <w:szCs w:val="18"/>
              </w:rPr>
              <w:t>Diagnosed kidney disease classified by an eGFR 15-60ml/min</w:t>
            </w:r>
          </w:p>
          <w:p w:rsidR="00DE32C9" w:rsidRPr="004750F7" w:rsidRDefault="00DE32C9" w:rsidP="0059363E">
            <w:pPr>
              <w:pStyle w:val="TableText"/>
              <w:numPr>
                <w:ilvl w:val="0"/>
                <w:numId w:val="9"/>
              </w:numPr>
              <w:rPr>
                <w:rFonts w:cs="Arial"/>
                <w:i/>
                <w:sz w:val="18"/>
                <w:szCs w:val="18"/>
              </w:rPr>
            </w:pPr>
            <w:r w:rsidRPr="004750F7">
              <w:rPr>
                <w:rFonts w:cs="Arial"/>
                <w:i/>
                <w:sz w:val="18"/>
                <w:szCs w:val="18"/>
              </w:rPr>
              <w:t>Diabetes Mellitus and at least one of the following: age 60 years or more; concomitant microalbuminuria; or be of Aboriginal or Torres Strait Islander descent.</w:t>
            </w:r>
          </w:p>
          <w:p w:rsidR="00DE32C9" w:rsidRPr="004750F7" w:rsidRDefault="00DE32C9" w:rsidP="00B43C2C">
            <w:pPr>
              <w:pStyle w:val="TableText"/>
              <w:rPr>
                <w:rFonts w:cs="Arial"/>
                <w:strike/>
                <w:sz w:val="18"/>
                <w:szCs w:val="18"/>
              </w:rPr>
            </w:pPr>
          </w:p>
          <w:p w:rsidR="00DE32C9" w:rsidRPr="004750F7" w:rsidRDefault="00DE32C9" w:rsidP="00B43C2C">
            <w:pPr>
              <w:pStyle w:val="TableText"/>
              <w:numPr>
                <w:ilvl w:val="0"/>
                <w:numId w:val="9"/>
              </w:numPr>
              <w:rPr>
                <w:rFonts w:cs="Arial"/>
                <w:strike/>
                <w:sz w:val="18"/>
                <w:szCs w:val="18"/>
              </w:rPr>
            </w:pPr>
            <w:r w:rsidRPr="004750F7">
              <w:rPr>
                <w:rFonts w:cs="Arial"/>
                <w:strike/>
                <w:sz w:val="18"/>
                <w:szCs w:val="18"/>
              </w:rPr>
              <w:t>Previous peripheral artery or carotid revascularisation intervention;</w:t>
            </w:r>
          </w:p>
          <w:p w:rsidR="00DE32C9" w:rsidRDefault="00DE32C9" w:rsidP="004750F7">
            <w:pPr>
              <w:pStyle w:val="TableText"/>
              <w:numPr>
                <w:ilvl w:val="0"/>
                <w:numId w:val="9"/>
              </w:numPr>
              <w:rPr>
                <w:rFonts w:cs="Arial"/>
                <w:strike/>
                <w:sz w:val="18"/>
                <w:szCs w:val="18"/>
              </w:rPr>
            </w:pPr>
            <w:r w:rsidRPr="004750F7">
              <w:rPr>
                <w:rFonts w:cs="Arial"/>
                <w:strike/>
                <w:sz w:val="18"/>
                <w:szCs w:val="18"/>
              </w:rPr>
              <w:t xml:space="preserve">Intermittent claudication with ankle-brachial index less than 0.9; </w:t>
            </w:r>
          </w:p>
          <w:p w:rsidR="00DE32C9" w:rsidRPr="004750F7" w:rsidRDefault="00DE32C9" w:rsidP="004750F7">
            <w:pPr>
              <w:pStyle w:val="TableText"/>
              <w:numPr>
                <w:ilvl w:val="0"/>
                <w:numId w:val="9"/>
              </w:numPr>
              <w:rPr>
                <w:rFonts w:cs="Arial"/>
                <w:strike/>
                <w:sz w:val="18"/>
                <w:szCs w:val="18"/>
              </w:rPr>
            </w:pPr>
            <w:r w:rsidRPr="004750F7">
              <w:rPr>
                <w:rFonts w:cs="Arial"/>
                <w:strike/>
                <w:sz w:val="18"/>
                <w:szCs w:val="18"/>
              </w:rPr>
              <w:t>Asymptomatic carotid artery stenosis greater than 50%.</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94"/>
        </w:trPr>
        <w:tc>
          <w:tcPr>
            <w:tcW w:w="5000" w:type="pct"/>
            <w:gridSpan w:val="7"/>
            <w:vAlign w:val="center"/>
          </w:tcPr>
          <w:p w:rsidR="00DE32C9" w:rsidRPr="00DA1151" w:rsidRDefault="00DE32C9" w:rsidP="00B43C2C">
            <w:pPr>
              <w:rPr>
                <w:rFonts w:ascii="Arial Narrow" w:hAnsi="Arial Narrow"/>
                <w:b/>
                <w:bCs/>
                <w:color w:val="333333"/>
                <w:sz w:val="18"/>
                <w:szCs w:val="18"/>
              </w:rPr>
            </w:pPr>
            <w:r>
              <w:rPr>
                <w:rFonts w:ascii="Arial Narrow" w:hAnsi="Arial Narrow"/>
                <w:b/>
                <w:bCs/>
                <w:color w:val="333333"/>
                <w:sz w:val="18"/>
                <w:szCs w:val="18"/>
              </w:rPr>
              <w:t>AND</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94"/>
        </w:trPr>
        <w:tc>
          <w:tcPr>
            <w:tcW w:w="5000" w:type="pct"/>
            <w:gridSpan w:val="7"/>
            <w:vAlign w:val="center"/>
          </w:tcPr>
          <w:p w:rsidR="00DE32C9" w:rsidRDefault="00DE32C9" w:rsidP="00B43C2C">
            <w:pPr>
              <w:rPr>
                <w:rFonts w:ascii="Arial Narrow" w:hAnsi="Arial Narrow"/>
                <w:b/>
                <w:bCs/>
                <w:color w:val="333333"/>
                <w:sz w:val="18"/>
                <w:szCs w:val="18"/>
              </w:rPr>
            </w:pPr>
            <w:r>
              <w:rPr>
                <w:rFonts w:ascii="Arial Narrow" w:hAnsi="Arial Narrow"/>
                <w:b/>
                <w:bCs/>
                <w:color w:val="333333"/>
                <w:sz w:val="18"/>
                <w:szCs w:val="18"/>
              </w:rPr>
              <w:t xml:space="preserve">Clinical criteria: </w:t>
            </w:r>
          </w:p>
          <w:p w:rsidR="00DE32C9" w:rsidRDefault="00DE32C9" w:rsidP="00B43C2C">
            <w:pPr>
              <w:pStyle w:val="TableText"/>
              <w:rPr>
                <w:sz w:val="18"/>
                <w:szCs w:val="18"/>
              </w:rPr>
            </w:pPr>
            <w:r>
              <w:rPr>
                <w:sz w:val="18"/>
                <w:szCs w:val="18"/>
              </w:rPr>
              <w:t xml:space="preserve">Patient </w:t>
            </w:r>
            <w:r>
              <w:rPr>
                <w:i/>
                <w:sz w:val="18"/>
                <w:szCs w:val="18"/>
              </w:rPr>
              <w:t xml:space="preserve">must have, </w:t>
            </w:r>
            <w:r>
              <w:rPr>
                <w:sz w:val="18"/>
                <w:szCs w:val="18"/>
              </w:rPr>
              <w:t xml:space="preserve">if </w:t>
            </w:r>
            <w:r w:rsidRPr="000E412D">
              <w:rPr>
                <w:sz w:val="18"/>
                <w:szCs w:val="18"/>
              </w:rPr>
              <w:t xml:space="preserve">coronary artery disease </w:t>
            </w:r>
            <w:r>
              <w:rPr>
                <w:i/>
                <w:sz w:val="18"/>
                <w:szCs w:val="18"/>
              </w:rPr>
              <w:t xml:space="preserve">is present, </w:t>
            </w:r>
            <w:r w:rsidRPr="000E412D">
              <w:rPr>
                <w:sz w:val="18"/>
                <w:szCs w:val="18"/>
              </w:rPr>
              <w:t>one or more of the following</w:t>
            </w:r>
            <w:r>
              <w:rPr>
                <w:sz w:val="18"/>
                <w:szCs w:val="18"/>
              </w:rPr>
              <w:t xml:space="preserve">: </w:t>
            </w:r>
          </w:p>
          <w:p w:rsidR="00DE32C9" w:rsidRDefault="00DE32C9" w:rsidP="00B43C2C">
            <w:pPr>
              <w:pStyle w:val="TableText"/>
              <w:numPr>
                <w:ilvl w:val="0"/>
                <w:numId w:val="26"/>
              </w:numPr>
              <w:rPr>
                <w:sz w:val="18"/>
                <w:szCs w:val="18"/>
              </w:rPr>
            </w:pPr>
            <w:r w:rsidRPr="000E412D">
              <w:rPr>
                <w:sz w:val="18"/>
                <w:szCs w:val="18"/>
              </w:rPr>
              <w:t>Previous multi-vessel coronary revascularisation procedure</w:t>
            </w:r>
            <w:r>
              <w:rPr>
                <w:sz w:val="18"/>
                <w:szCs w:val="18"/>
              </w:rPr>
              <w:t>;</w:t>
            </w:r>
          </w:p>
          <w:p w:rsidR="00DE32C9" w:rsidRDefault="00DE32C9" w:rsidP="00B43C2C">
            <w:pPr>
              <w:pStyle w:val="TableText"/>
              <w:numPr>
                <w:ilvl w:val="0"/>
                <w:numId w:val="26"/>
              </w:numPr>
              <w:rPr>
                <w:sz w:val="18"/>
                <w:szCs w:val="18"/>
              </w:rPr>
            </w:pPr>
            <w:r>
              <w:rPr>
                <w:sz w:val="18"/>
                <w:szCs w:val="18"/>
              </w:rPr>
              <w:t xml:space="preserve">Significant stenosis in 2 or more </w:t>
            </w:r>
            <w:r w:rsidRPr="008F049C">
              <w:rPr>
                <w:sz w:val="18"/>
                <w:szCs w:val="18"/>
              </w:rPr>
              <w:t>coronary arteries;</w:t>
            </w:r>
          </w:p>
          <w:p w:rsidR="00DE32C9" w:rsidRDefault="00DE32C9" w:rsidP="00B43C2C">
            <w:pPr>
              <w:pStyle w:val="TableText"/>
              <w:numPr>
                <w:ilvl w:val="0"/>
                <w:numId w:val="26"/>
              </w:numPr>
              <w:rPr>
                <w:sz w:val="18"/>
                <w:szCs w:val="18"/>
              </w:rPr>
            </w:pPr>
            <w:r w:rsidRPr="008F049C">
              <w:rPr>
                <w:sz w:val="18"/>
                <w:szCs w:val="18"/>
              </w:rPr>
              <w:t>Previous single vessel coronary revascularisation procedure with significant</w:t>
            </w:r>
            <w:r>
              <w:rPr>
                <w:sz w:val="18"/>
                <w:szCs w:val="18"/>
              </w:rPr>
              <w:t xml:space="preserve"> stenosis in more than </w:t>
            </w:r>
            <w:r w:rsidRPr="008F049C">
              <w:rPr>
                <w:sz w:val="18"/>
                <w:szCs w:val="18"/>
              </w:rPr>
              <w:t>1 coronary artery.</w:t>
            </w:r>
          </w:p>
          <w:p w:rsidR="00DE32C9" w:rsidRDefault="00DE32C9" w:rsidP="00B43C2C">
            <w:pPr>
              <w:pStyle w:val="TableText"/>
              <w:rPr>
                <w:sz w:val="18"/>
                <w:szCs w:val="18"/>
              </w:rPr>
            </w:pPr>
            <w:r>
              <w:rPr>
                <w:sz w:val="18"/>
                <w:szCs w:val="18"/>
              </w:rPr>
              <w:t>OR</w:t>
            </w:r>
          </w:p>
          <w:p w:rsidR="00DE32C9" w:rsidRDefault="00DE32C9" w:rsidP="00B43C2C">
            <w:pPr>
              <w:pStyle w:val="TableText"/>
              <w:rPr>
                <w:sz w:val="18"/>
                <w:szCs w:val="18"/>
              </w:rPr>
            </w:pPr>
            <w:r>
              <w:rPr>
                <w:sz w:val="18"/>
                <w:szCs w:val="18"/>
              </w:rPr>
              <w:t xml:space="preserve">Patient </w:t>
            </w:r>
            <w:r>
              <w:rPr>
                <w:i/>
                <w:sz w:val="18"/>
                <w:szCs w:val="18"/>
              </w:rPr>
              <w:t xml:space="preserve">must have, </w:t>
            </w:r>
            <w:r>
              <w:rPr>
                <w:sz w:val="18"/>
                <w:szCs w:val="18"/>
              </w:rPr>
              <w:t xml:space="preserve">if peripheral arterial disease </w:t>
            </w:r>
            <w:r>
              <w:rPr>
                <w:i/>
                <w:sz w:val="18"/>
                <w:szCs w:val="18"/>
              </w:rPr>
              <w:t>is present</w:t>
            </w:r>
            <w:r>
              <w:rPr>
                <w:sz w:val="18"/>
                <w:szCs w:val="18"/>
              </w:rPr>
              <w:t xml:space="preserve">, one or more of the following: </w:t>
            </w:r>
          </w:p>
          <w:p w:rsidR="00DE32C9" w:rsidRDefault="00DE32C9" w:rsidP="00B43C2C">
            <w:pPr>
              <w:pStyle w:val="TableText"/>
              <w:numPr>
                <w:ilvl w:val="0"/>
                <w:numId w:val="27"/>
              </w:numPr>
              <w:rPr>
                <w:rFonts w:cs="Arial"/>
                <w:sz w:val="18"/>
                <w:szCs w:val="18"/>
              </w:rPr>
            </w:pPr>
            <w:r w:rsidRPr="008F049C">
              <w:rPr>
                <w:rFonts w:cs="Arial"/>
                <w:sz w:val="18"/>
                <w:szCs w:val="18"/>
              </w:rPr>
              <w:t>Previous peripheral artery or carotid revascularisation intervention;</w:t>
            </w:r>
          </w:p>
          <w:p w:rsidR="00DE32C9" w:rsidRDefault="00DE32C9" w:rsidP="00B43C2C">
            <w:pPr>
              <w:pStyle w:val="TableText"/>
              <w:numPr>
                <w:ilvl w:val="0"/>
                <w:numId w:val="27"/>
              </w:numPr>
              <w:rPr>
                <w:rFonts w:cs="Arial"/>
                <w:sz w:val="18"/>
                <w:szCs w:val="18"/>
              </w:rPr>
            </w:pPr>
            <w:r w:rsidRPr="008F049C">
              <w:rPr>
                <w:rFonts w:cs="Arial"/>
                <w:sz w:val="18"/>
                <w:szCs w:val="18"/>
              </w:rPr>
              <w:t>In</w:t>
            </w:r>
            <w:r>
              <w:rPr>
                <w:rFonts w:cs="Arial"/>
                <w:sz w:val="18"/>
                <w:szCs w:val="18"/>
              </w:rPr>
              <w:t xml:space="preserve">termittent claudication with ankle-brachial index less than </w:t>
            </w:r>
            <w:r w:rsidRPr="008F049C">
              <w:rPr>
                <w:rFonts w:cs="Arial"/>
                <w:sz w:val="18"/>
                <w:szCs w:val="18"/>
              </w:rPr>
              <w:t xml:space="preserve">0.9; </w:t>
            </w:r>
          </w:p>
          <w:p w:rsidR="00DE32C9" w:rsidRPr="008F049C" w:rsidRDefault="00DE32C9" w:rsidP="00B43C2C">
            <w:pPr>
              <w:pStyle w:val="TableText"/>
              <w:numPr>
                <w:ilvl w:val="0"/>
                <w:numId w:val="27"/>
              </w:numPr>
              <w:rPr>
                <w:rFonts w:cs="Arial"/>
                <w:sz w:val="18"/>
                <w:szCs w:val="18"/>
              </w:rPr>
            </w:pPr>
            <w:r w:rsidRPr="008F049C">
              <w:rPr>
                <w:rFonts w:cs="Arial"/>
                <w:sz w:val="18"/>
                <w:szCs w:val="18"/>
              </w:rPr>
              <w:t>Asympto</w:t>
            </w:r>
            <w:r>
              <w:rPr>
                <w:rFonts w:cs="Arial"/>
                <w:sz w:val="18"/>
                <w:szCs w:val="18"/>
              </w:rPr>
              <w:t xml:space="preserve">matic carotid artery stenosis greater than </w:t>
            </w:r>
            <w:r w:rsidRPr="008F049C">
              <w:rPr>
                <w:rFonts w:cs="Arial"/>
                <w:sz w:val="18"/>
                <w:szCs w:val="18"/>
              </w:rPr>
              <w:t>50%</w:t>
            </w:r>
            <w:r>
              <w:rPr>
                <w:rFonts w:cs="Arial"/>
                <w:sz w:val="18"/>
                <w:szCs w:val="18"/>
              </w:rPr>
              <w:t>.</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94"/>
        </w:trPr>
        <w:tc>
          <w:tcPr>
            <w:tcW w:w="5000" w:type="pct"/>
            <w:gridSpan w:val="7"/>
            <w:vAlign w:val="center"/>
          </w:tcPr>
          <w:p w:rsidR="00DE32C9" w:rsidRDefault="00DE32C9" w:rsidP="00B43C2C">
            <w:pPr>
              <w:rPr>
                <w:rFonts w:ascii="Arial Narrow" w:hAnsi="Arial Narrow"/>
                <w:b/>
                <w:bCs/>
                <w:color w:val="333333"/>
                <w:sz w:val="18"/>
                <w:szCs w:val="18"/>
              </w:rPr>
            </w:pPr>
            <w:r>
              <w:rPr>
                <w:rFonts w:ascii="Arial Narrow" w:hAnsi="Arial Narrow"/>
                <w:b/>
                <w:bCs/>
                <w:color w:val="333333"/>
                <w:sz w:val="18"/>
                <w:szCs w:val="18"/>
              </w:rPr>
              <w:t xml:space="preserve">AND </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94"/>
        </w:trPr>
        <w:tc>
          <w:tcPr>
            <w:tcW w:w="5000" w:type="pct"/>
            <w:gridSpan w:val="7"/>
            <w:vAlign w:val="center"/>
          </w:tcPr>
          <w:p w:rsidR="00DE32C9" w:rsidRDefault="00DE32C9" w:rsidP="00B43C2C">
            <w:pPr>
              <w:rPr>
                <w:rFonts w:ascii="Arial Narrow" w:hAnsi="Arial Narrow"/>
                <w:b/>
                <w:bCs/>
                <w:color w:val="333333"/>
                <w:sz w:val="18"/>
                <w:szCs w:val="18"/>
              </w:rPr>
            </w:pPr>
            <w:r>
              <w:rPr>
                <w:rFonts w:ascii="Arial Narrow" w:hAnsi="Arial Narrow"/>
                <w:b/>
                <w:bCs/>
                <w:color w:val="333333"/>
                <w:sz w:val="18"/>
                <w:szCs w:val="18"/>
              </w:rPr>
              <w:t>Clinical criteria:</w:t>
            </w:r>
          </w:p>
          <w:p w:rsidR="00DE32C9" w:rsidRDefault="00DE32C9" w:rsidP="00A42106">
            <w:pPr>
              <w:rPr>
                <w:rFonts w:ascii="Arial Narrow" w:hAnsi="Arial Narrow"/>
                <w:b/>
                <w:bCs/>
                <w:color w:val="333333"/>
                <w:sz w:val="18"/>
                <w:szCs w:val="18"/>
              </w:rPr>
            </w:pPr>
            <w:r>
              <w:rPr>
                <w:rFonts w:ascii="Arial Narrow" w:hAnsi="Arial Narrow"/>
                <w:i/>
                <w:sz w:val="18"/>
                <w:szCs w:val="18"/>
              </w:rPr>
              <w:t xml:space="preserve">The condition must be diagnosed by angiography or non-invasive imaging where </w:t>
            </w:r>
            <w:r w:rsidRPr="00852B7D">
              <w:rPr>
                <w:rFonts w:ascii="Arial Narrow" w:hAnsi="Arial Narrow"/>
                <w:strike/>
                <w:sz w:val="18"/>
                <w:szCs w:val="18"/>
              </w:rPr>
              <w:t>Patients with</w:t>
            </w:r>
            <w:r w:rsidRPr="000E412D">
              <w:rPr>
                <w:rFonts w:ascii="Arial Narrow" w:hAnsi="Arial Narrow"/>
                <w:sz w:val="18"/>
                <w:szCs w:val="18"/>
              </w:rPr>
              <w:t xml:space="preserve"> peripheral artery disease, peripheral artery stenosis, stenosis of the carotid artery, or coronary artery stenosis</w:t>
            </w:r>
            <w:r>
              <w:rPr>
                <w:rFonts w:ascii="Arial Narrow" w:hAnsi="Arial Narrow"/>
                <w:sz w:val="18"/>
                <w:szCs w:val="18"/>
              </w:rPr>
              <w:t xml:space="preserve"> </w:t>
            </w:r>
            <w:r w:rsidRPr="00852B7D">
              <w:rPr>
                <w:rFonts w:ascii="Arial Narrow" w:hAnsi="Arial Narrow"/>
                <w:strike/>
                <w:sz w:val="18"/>
                <w:szCs w:val="18"/>
              </w:rPr>
              <w:t>must be diagnosed by angiography or non-invasive imaging</w:t>
            </w:r>
            <w:r w:rsidR="00A42106">
              <w:rPr>
                <w:rFonts w:ascii="Arial Narrow" w:hAnsi="Arial Narrow"/>
                <w:i/>
                <w:sz w:val="18"/>
                <w:szCs w:val="18"/>
              </w:rPr>
              <w:t xml:space="preserve"> is present</w:t>
            </w:r>
            <w:r w:rsidR="00A42106" w:rsidRPr="00A42106">
              <w:rPr>
                <w:rFonts w:ascii="Arial Narrow" w:hAnsi="Arial Narrow"/>
                <w:sz w:val="18"/>
                <w:szCs w:val="18"/>
              </w:rPr>
              <w:t>.</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94"/>
        </w:trPr>
        <w:tc>
          <w:tcPr>
            <w:tcW w:w="5000" w:type="pct"/>
            <w:gridSpan w:val="7"/>
            <w:vAlign w:val="center"/>
          </w:tcPr>
          <w:p w:rsidR="00DE32C9" w:rsidRDefault="00C11F95" w:rsidP="00B43C2C">
            <w:pPr>
              <w:rPr>
                <w:rFonts w:ascii="Arial Narrow" w:hAnsi="Arial Narrow"/>
                <w:b/>
                <w:bCs/>
                <w:color w:val="333333"/>
                <w:sz w:val="18"/>
                <w:szCs w:val="18"/>
              </w:rPr>
            </w:pPr>
            <w:r>
              <w:rPr>
                <w:rFonts w:ascii="Arial Narrow" w:hAnsi="Arial Narrow"/>
                <w:b/>
                <w:bCs/>
                <w:color w:val="333333"/>
                <w:sz w:val="18"/>
                <w:szCs w:val="18"/>
              </w:rPr>
              <w:t>AND</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94"/>
        </w:trPr>
        <w:tc>
          <w:tcPr>
            <w:tcW w:w="5000" w:type="pct"/>
            <w:gridSpan w:val="7"/>
            <w:vAlign w:val="center"/>
          </w:tcPr>
          <w:p w:rsidR="00C11F95" w:rsidRPr="000E412D" w:rsidRDefault="00C11F95" w:rsidP="00C11F95">
            <w:pPr>
              <w:pStyle w:val="TableText"/>
              <w:rPr>
                <w:sz w:val="18"/>
                <w:szCs w:val="18"/>
              </w:rPr>
            </w:pPr>
            <w:r>
              <w:rPr>
                <w:b/>
                <w:bCs w:val="0"/>
                <w:color w:val="333333"/>
                <w:sz w:val="18"/>
                <w:szCs w:val="18"/>
              </w:rPr>
              <w:lastRenderedPageBreak/>
              <w:t xml:space="preserve">Clinical criteria: </w:t>
            </w:r>
            <w:r>
              <w:rPr>
                <w:b/>
                <w:bCs w:val="0"/>
                <w:color w:val="333333"/>
                <w:sz w:val="18"/>
                <w:szCs w:val="18"/>
              </w:rPr>
              <w:br/>
            </w:r>
            <w:r>
              <w:rPr>
                <w:i/>
                <w:sz w:val="18"/>
                <w:szCs w:val="18"/>
              </w:rPr>
              <w:t xml:space="preserve">Patient must not be, or have any of the following: </w:t>
            </w:r>
            <w:r w:rsidRPr="00852B7D">
              <w:rPr>
                <w:strike/>
                <w:sz w:val="18"/>
                <w:szCs w:val="18"/>
              </w:rPr>
              <w:t>Not for patients with any one of the following characteristics:</w:t>
            </w:r>
          </w:p>
          <w:p w:rsidR="00C11F95" w:rsidRDefault="00C11F95" w:rsidP="00C11F95">
            <w:pPr>
              <w:pStyle w:val="TableText"/>
              <w:numPr>
                <w:ilvl w:val="0"/>
                <w:numId w:val="28"/>
              </w:numPr>
              <w:rPr>
                <w:sz w:val="18"/>
                <w:szCs w:val="18"/>
              </w:rPr>
            </w:pPr>
            <w:r>
              <w:rPr>
                <w:sz w:val="18"/>
                <w:szCs w:val="18"/>
              </w:rPr>
              <w:t>At high risk of bleeding;</w:t>
            </w:r>
          </w:p>
          <w:p w:rsidR="00C11F95" w:rsidRDefault="00C11F95" w:rsidP="00C11F95">
            <w:pPr>
              <w:pStyle w:val="TableText"/>
              <w:numPr>
                <w:ilvl w:val="0"/>
                <w:numId w:val="28"/>
              </w:numPr>
              <w:rPr>
                <w:sz w:val="18"/>
                <w:szCs w:val="18"/>
              </w:rPr>
            </w:pPr>
            <w:r w:rsidRPr="00852B7D">
              <w:rPr>
                <w:sz w:val="18"/>
                <w:szCs w:val="18"/>
              </w:rPr>
              <w:t>A history of stroke within one month of treatment initiation or any history of haemorrhagic or lacunar stroke;</w:t>
            </w:r>
          </w:p>
          <w:p w:rsidR="00C11F95" w:rsidRDefault="00C11F95" w:rsidP="00C11F95">
            <w:pPr>
              <w:pStyle w:val="TableText"/>
              <w:numPr>
                <w:ilvl w:val="0"/>
                <w:numId w:val="28"/>
              </w:numPr>
              <w:rPr>
                <w:sz w:val="18"/>
                <w:szCs w:val="18"/>
              </w:rPr>
            </w:pPr>
            <w:r w:rsidRPr="00852B7D">
              <w:rPr>
                <w:sz w:val="18"/>
                <w:szCs w:val="18"/>
              </w:rPr>
              <w:t>Severe heart failure with a known ejection fraction less than 30% or New York Heart Association class III or IV symptoms;</w:t>
            </w:r>
          </w:p>
          <w:p w:rsidR="00C11F95" w:rsidRDefault="00C11F95" w:rsidP="00C11F95">
            <w:pPr>
              <w:pStyle w:val="TableText"/>
              <w:numPr>
                <w:ilvl w:val="0"/>
                <w:numId w:val="28"/>
              </w:numPr>
              <w:rPr>
                <w:sz w:val="18"/>
                <w:szCs w:val="18"/>
              </w:rPr>
            </w:pPr>
            <w:r w:rsidRPr="00852B7D">
              <w:rPr>
                <w:sz w:val="18"/>
                <w:szCs w:val="18"/>
              </w:rPr>
              <w:t>An estimated glomerular filtration rate less than 15 mL/min;</w:t>
            </w:r>
          </w:p>
          <w:p w:rsidR="00DE32C9" w:rsidRDefault="00302CC6" w:rsidP="00302CC6">
            <w:pPr>
              <w:pStyle w:val="TableText"/>
              <w:numPr>
                <w:ilvl w:val="0"/>
                <w:numId w:val="28"/>
              </w:numPr>
              <w:rPr>
                <w:b/>
                <w:bCs w:val="0"/>
                <w:color w:val="333333"/>
                <w:sz w:val="18"/>
                <w:szCs w:val="18"/>
              </w:rPr>
            </w:pPr>
            <w:r>
              <w:rPr>
                <w:sz w:val="18"/>
                <w:szCs w:val="18"/>
              </w:rPr>
              <w:t xml:space="preserve">A requirement for </w:t>
            </w:r>
            <w:r w:rsidR="00C11F95" w:rsidRPr="00852B7D">
              <w:rPr>
                <w:sz w:val="18"/>
                <w:szCs w:val="18"/>
              </w:rPr>
              <w:t>dual antiplatelet therapy, other non-ASA antiplatelet therapy, or higher dose oral anticoagulant therapy.</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453"/>
        </w:trPr>
        <w:tc>
          <w:tcPr>
            <w:tcW w:w="5000" w:type="pct"/>
            <w:gridSpan w:val="7"/>
            <w:vAlign w:val="center"/>
            <w:hideMark/>
          </w:tcPr>
          <w:p w:rsidR="00DE32C9" w:rsidRPr="004A0894" w:rsidRDefault="00DE32C9" w:rsidP="00B43C2C">
            <w:pPr>
              <w:rPr>
                <w:rFonts w:ascii="Arial Narrow" w:hAnsi="Arial Narrow"/>
                <w:color w:val="333333"/>
                <w:sz w:val="18"/>
                <w:szCs w:val="18"/>
              </w:rPr>
            </w:pPr>
            <w:r w:rsidRPr="004A0894">
              <w:rPr>
                <w:rFonts w:ascii="Arial Narrow" w:hAnsi="Arial Narrow"/>
                <w:b/>
                <w:bCs/>
                <w:color w:val="333333"/>
                <w:sz w:val="18"/>
                <w:szCs w:val="18"/>
              </w:rPr>
              <w:t>Treatment criteria:</w:t>
            </w:r>
          </w:p>
          <w:p w:rsidR="00DE32C9" w:rsidRDefault="00DE32C9" w:rsidP="00B43C2C">
            <w:pPr>
              <w:autoSpaceDE w:val="0"/>
              <w:autoSpaceDN w:val="0"/>
              <w:adjustRightInd w:val="0"/>
              <w:rPr>
                <w:rFonts w:ascii="Arial Narrow" w:hAnsi="Arial Narrow" w:cs="Arial Narrow"/>
                <w:iCs/>
                <w:strike/>
                <w:sz w:val="18"/>
                <w:szCs w:val="18"/>
              </w:rPr>
            </w:pPr>
            <w:r w:rsidRPr="004A0894">
              <w:rPr>
                <w:rFonts w:ascii="Arial Narrow" w:hAnsi="Arial Narrow" w:cs="Arial Narrow"/>
                <w:iCs/>
                <w:strike/>
                <w:sz w:val="18"/>
                <w:szCs w:val="18"/>
              </w:rPr>
              <w:t xml:space="preserve">Patient initiation must be by a specialist or in consultation with a specialist. </w:t>
            </w:r>
          </w:p>
          <w:p w:rsidR="00DE32C9" w:rsidRPr="004A0894" w:rsidRDefault="00DE32C9" w:rsidP="00B43C2C">
            <w:pPr>
              <w:autoSpaceDE w:val="0"/>
              <w:autoSpaceDN w:val="0"/>
              <w:adjustRightInd w:val="0"/>
              <w:rPr>
                <w:rFonts w:ascii="Arial Narrow" w:hAnsi="Arial Narrow"/>
                <w:i/>
                <w:color w:val="333333"/>
                <w:sz w:val="18"/>
                <w:szCs w:val="18"/>
              </w:rPr>
            </w:pPr>
            <w:r>
              <w:rPr>
                <w:rFonts w:ascii="Arial Narrow" w:hAnsi="Arial Narrow" w:cs="Arial Narrow"/>
                <w:i/>
                <w:iCs/>
                <w:sz w:val="18"/>
                <w:szCs w:val="18"/>
              </w:rPr>
              <w:t>Must be treated by or in consultation with a s</w:t>
            </w:r>
            <w:r w:rsidR="0093000A">
              <w:rPr>
                <w:rFonts w:ascii="Arial Narrow" w:hAnsi="Arial Narrow" w:cs="Arial Narrow"/>
                <w:i/>
                <w:iCs/>
                <w:sz w:val="18"/>
                <w:szCs w:val="18"/>
              </w:rPr>
              <w:t>pecialist physician.</w:t>
            </w:r>
          </w:p>
        </w:tc>
      </w:tr>
      <w:tr w:rsidR="00DE32C9" w:rsidRPr="00120A12" w:rsidTr="00F951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7"/>
            <w:vAlign w:val="center"/>
          </w:tcPr>
          <w:p w:rsidR="00DE32C9" w:rsidRPr="000E412D" w:rsidRDefault="00DE32C9" w:rsidP="00B43C2C">
            <w:pPr>
              <w:rPr>
                <w:rFonts w:ascii="Arial Narrow" w:hAnsi="Arial Narrow"/>
                <w:b/>
                <w:i/>
                <w:sz w:val="18"/>
                <w:szCs w:val="18"/>
              </w:rPr>
            </w:pPr>
            <w:r w:rsidRPr="000E412D">
              <w:rPr>
                <w:rFonts w:ascii="Arial Narrow" w:hAnsi="Arial Narrow"/>
                <w:b/>
                <w:i/>
                <w:sz w:val="18"/>
                <w:szCs w:val="18"/>
              </w:rPr>
              <w:t xml:space="preserve">Administrative Advice: </w:t>
            </w:r>
          </w:p>
          <w:p w:rsidR="00DE32C9" w:rsidRPr="00C82B56" w:rsidRDefault="00DE32C9" w:rsidP="00B43C2C">
            <w:pPr>
              <w:rPr>
                <w:rFonts w:ascii="Arial Narrow" w:hAnsi="Arial Narrow"/>
                <w:b/>
                <w:i/>
                <w:sz w:val="18"/>
                <w:szCs w:val="18"/>
              </w:rPr>
            </w:pPr>
            <w:r w:rsidRPr="00C82B56">
              <w:rPr>
                <w:rFonts w:ascii="Arial Narrow" w:hAnsi="Arial Narrow"/>
                <w:b/>
                <w:bCs/>
                <w:i/>
                <w:sz w:val="18"/>
                <w:szCs w:val="18"/>
              </w:rPr>
              <w:t>Shared Care Model</w:t>
            </w:r>
            <w:r w:rsidRPr="00C82B56">
              <w:rPr>
                <w:rFonts w:ascii="Arial Narrow" w:hAnsi="Arial Narrow"/>
                <w:b/>
                <w:i/>
                <w:sz w:val="18"/>
                <w:szCs w:val="18"/>
              </w:rPr>
              <w:t>:</w:t>
            </w:r>
          </w:p>
          <w:p w:rsidR="00DE32C9" w:rsidRPr="000E412D" w:rsidRDefault="00DE32C9" w:rsidP="00B43C2C">
            <w:pPr>
              <w:rPr>
                <w:rFonts w:ascii="Arial Narrow" w:hAnsi="Arial Narrow"/>
                <w:sz w:val="20"/>
                <w:szCs w:val="20"/>
              </w:rPr>
            </w:pPr>
            <w:r w:rsidRPr="00C82B56">
              <w:rPr>
                <w:rFonts w:ascii="Arial Narrow" w:hAnsi="Arial Narrow"/>
                <w:i/>
                <w:sz w:val="18"/>
                <w:szCs w:val="18"/>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4750F7" w:rsidRDefault="004750F7" w:rsidP="004750F7">
      <w:pPr>
        <w:pStyle w:val="TableFooter"/>
      </w:pPr>
      <w:r>
        <w:t>Source: Requested restriction, Tables 1.4-1 and 1.4-2, pp.51-54 of the resubmission</w:t>
      </w:r>
    </w:p>
    <w:p w:rsidR="004750F7" w:rsidRDefault="004750F7" w:rsidP="00F95126">
      <w:pPr>
        <w:pStyle w:val="TableFigureFooter"/>
      </w:pPr>
      <w:r>
        <w:rPr>
          <w:vertAlign w:val="superscript"/>
        </w:rPr>
        <w:t>*</w:t>
      </w:r>
      <w:r>
        <w:t>Effective DPMQ shown is post 10% anniversary price cut</w:t>
      </w:r>
    </w:p>
    <w:p w:rsidR="006E5546" w:rsidRPr="005472C5" w:rsidRDefault="006E5546" w:rsidP="006E5546">
      <w:pPr>
        <w:pStyle w:val="ExecSumBodyText"/>
      </w:pPr>
      <w:r w:rsidRPr="005472C5">
        <w:t xml:space="preserve">The resubmission proposed a special pricing arrangement. No special pricing arrangement was offered in the March 2019 submission. The effective </w:t>
      </w:r>
      <w:r w:rsidR="004D15DF">
        <w:t>DMPQ</w:t>
      </w:r>
      <w:r w:rsidRPr="005472C5">
        <w:t xml:space="preserve"> represents a discount of approximately </w:t>
      </w:r>
      <w:r w:rsidR="00FC537F">
        <w:rPr>
          <w:noProof/>
          <w:color w:val="000000"/>
          <w:highlight w:val="black"/>
        </w:rPr>
        <w:t>'''''''''</w:t>
      </w:r>
      <w:r w:rsidRPr="005472C5">
        <w:t xml:space="preserve">% after adjusting for </w:t>
      </w:r>
      <w:r w:rsidR="00E001DB">
        <w:t xml:space="preserve">an </w:t>
      </w:r>
      <w:r w:rsidRPr="005472C5">
        <w:t>expected 10-year F1 anniversary price cut (from April 2020).</w:t>
      </w:r>
      <w:r w:rsidR="004D15DF">
        <w:t xml:space="preserve"> The pre-PBAC response proposed a further </w:t>
      </w:r>
      <w:r w:rsidR="00FC537F">
        <w:rPr>
          <w:noProof/>
          <w:color w:val="000000"/>
          <w:highlight w:val="black"/>
        </w:rPr>
        <w:t>'''''</w:t>
      </w:r>
      <w:r w:rsidR="004D15DF">
        <w:t>% price reduction, resulting in</w:t>
      </w:r>
      <w:r w:rsidR="00592BC8">
        <w:t xml:space="preserve"> a revised effective DP</w:t>
      </w:r>
      <w:r w:rsidR="00F5728A">
        <w:t>M</w:t>
      </w:r>
      <w:r w:rsidR="00592BC8">
        <w:t>Q</w:t>
      </w:r>
      <w:r w:rsidR="00F5728A">
        <w:t xml:space="preserve"> of $</w:t>
      </w:r>
      <w:r w:rsidR="00FC537F">
        <w:rPr>
          <w:noProof/>
          <w:color w:val="000000"/>
          <w:highlight w:val="black"/>
        </w:rPr>
        <w:t>''''''''''''</w:t>
      </w:r>
      <w:r w:rsidR="00592BC8">
        <w:t>,</w:t>
      </w:r>
      <w:r w:rsidR="004D15DF">
        <w:t xml:space="preserve"> an</w:t>
      </w:r>
      <w:r w:rsidR="00592BC8">
        <w:t>d a revised</w:t>
      </w:r>
      <w:r w:rsidR="004D15DF">
        <w:t xml:space="preserve"> approved ex-manufacturer price (AEMP) of $</w:t>
      </w:r>
      <w:r w:rsidR="00FC537F">
        <w:rPr>
          <w:noProof/>
          <w:color w:val="000000"/>
          <w:highlight w:val="black"/>
        </w:rPr>
        <w:t>''''''''''</w:t>
      </w:r>
      <w:r w:rsidR="004D15DF">
        <w:t xml:space="preserve"> (</w:t>
      </w:r>
      <w:r w:rsidR="00592BC8">
        <w:t xml:space="preserve">reduced </w:t>
      </w:r>
      <w:r w:rsidR="004D15DF">
        <w:t>from $</w:t>
      </w:r>
      <w:r w:rsidR="00FC537F">
        <w:rPr>
          <w:noProof/>
          <w:color w:val="000000"/>
          <w:highlight w:val="black"/>
        </w:rPr>
        <w:t>'''''''''''</w:t>
      </w:r>
      <w:r w:rsidR="004D15DF">
        <w:t xml:space="preserve"> in the resubmission). </w:t>
      </w:r>
    </w:p>
    <w:p w:rsidR="00DD1ACF" w:rsidRPr="00CC2A1B" w:rsidRDefault="00DD1ACF" w:rsidP="00A75C66">
      <w:pPr>
        <w:pStyle w:val="ExecSumBodyText"/>
      </w:pPr>
      <w:r w:rsidRPr="005472C5">
        <w:t xml:space="preserve">The restriction </w:t>
      </w:r>
      <w:r w:rsidR="00ED7CE4" w:rsidRPr="005472C5">
        <w:t xml:space="preserve">proposed in the resubmission </w:t>
      </w:r>
      <w:r w:rsidRPr="005472C5">
        <w:t>attempts to define groups at higher baseline cardiovascular risk, who will derive greater benefit from treatment, using specific clinical characteristics</w:t>
      </w:r>
      <w:r w:rsidR="00E332E3" w:rsidRPr="005472C5">
        <w:t xml:space="preserve"> (including PAD (with or without CAD), CAD with heart failure, and CAD with CKD)</w:t>
      </w:r>
      <w:r w:rsidRPr="005472C5">
        <w:t>. However</w:t>
      </w:r>
      <w:r w:rsidR="00302CC6">
        <w:t>,</w:t>
      </w:r>
      <w:r w:rsidRPr="005472C5">
        <w:t xml:space="preserve"> these groups differ in their levels of risk and may exclude some high risk patients (e.g. with diabetes, with multiple </w:t>
      </w:r>
      <w:r w:rsidR="00B81835" w:rsidRPr="005472C5">
        <w:t xml:space="preserve">prior </w:t>
      </w:r>
      <w:r w:rsidRPr="005472C5">
        <w:t xml:space="preserve">events). The commentary considered that alternative methods to identify high risk patients who would derive the highest absolute benefit could be considered, for example use of a cardiovascular risk score that identifies patients at similar levels of baseline risk. However, the ESC recognised (as did the </w:t>
      </w:r>
      <w:r w:rsidR="00D21377">
        <w:t>Pre-Sub-Committee Response (</w:t>
      </w:r>
      <w:r w:rsidRPr="005472C5">
        <w:t>PSCR)</w:t>
      </w:r>
      <w:r w:rsidR="00D21377">
        <w:t>)</w:t>
      </w:r>
      <w:r w:rsidRPr="005472C5">
        <w:t xml:space="preserve"> that there is no validated scoring </w:t>
      </w:r>
      <w:r w:rsidRPr="00CC2A1B">
        <w:t>system in this population.</w:t>
      </w:r>
    </w:p>
    <w:p w:rsidR="000A2207" w:rsidRPr="00CC2A1B" w:rsidRDefault="00DE5FAA" w:rsidP="000A2207">
      <w:pPr>
        <w:pStyle w:val="ExecSumBodyText"/>
      </w:pPr>
      <w:r w:rsidRPr="00CC2A1B">
        <w:t xml:space="preserve">When compared to the previous submission, the ESC considered the nominated patient subgroups </w:t>
      </w:r>
      <w:r w:rsidR="000A2207" w:rsidRPr="00CC2A1B">
        <w:t>were</w:t>
      </w:r>
      <w:r w:rsidRPr="00CC2A1B">
        <w:t xml:space="preserve"> more representative of those who would benefit most from rivaroxaban</w:t>
      </w:r>
      <w:r w:rsidR="00743731" w:rsidRPr="00CC2A1B">
        <w:t xml:space="preserve">, but that some further refinement would be required </w:t>
      </w:r>
      <w:r w:rsidR="000A2207" w:rsidRPr="00CC2A1B">
        <w:rPr>
          <w:rFonts w:cstheme="minorHAnsi"/>
        </w:rPr>
        <w:t xml:space="preserve">to define the optimal patient population, and </w:t>
      </w:r>
      <w:r w:rsidR="008C4A16" w:rsidRPr="00CC2A1B">
        <w:rPr>
          <w:rFonts w:cstheme="minorHAnsi"/>
        </w:rPr>
        <w:t>to increase</w:t>
      </w:r>
      <w:r w:rsidR="000A2207" w:rsidRPr="00CC2A1B">
        <w:rPr>
          <w:rFonts w:cstheme="minorHAnsi"/>
        </w:rPr>
        <w:t xml:space="preserve"> consistency with the </w:t>
      </w:r>
      <w:r w:rsidR="00ED7CE4" w:rsidRPr="00CC2A1B">
        <w:rPr>
          <w:rFonts w:cstheme="minorHAnsi"/>
        </w:rPr>
        <w:t>recommended restriction</w:t>
      </w:r>
      <w:r w:rsidR="001B1F2E" w:rsidRPr="00CC2A1B">
        <w:rPr>
          <w:rFonts w:cstheme="minorHAnsi"/>
        </w:rPr>
        <w:t>s</w:t>
      </w:r>
      <w:r w:rsidR="00ED7CE4" w:rsidRPr="00CC2A1B">
        <w:rPr>
          <w:rFonts w:cstheme="minorHAnsi"/>
        </w:rPr>
        <w:t xml:space="preserve"> for </w:t>
      </w:r>
      <w:r w:rsidR="00B81835" w:rsidRPr="00CC2A1B">
        <w:rPr>
          <w:rFonts w:cstheme="minorHAnsi"/>
        </w:rPr>
        <w:t>other secondary prevention strategies, especially lipid lowering therapy</w:t>
      </w:r>
      <w:r w:rsidR="008C4A16" w:rsidRPr="00065A6C">
        <w:rPr>
          <w:rFonts w:cstheme="minorHAnsi"/>
        </w:rPr>
        <w:t>. As such</w:t>
      </w:r>
      <w:r w:rsidR="000A2207" w:rsidRPr="00065A6C">
        <w:rPr>
          <w:rFonts w:cstheme="minorHAnsi"/>
        </w:rPr>
        <w:t>, the</w:t>
      </w:r>
      <w:r w:rsidR="00065A6C">
        <w:rPr>
          <w:rFonts w:cstheme="minorHAnsi"/>
        </w:rPr>
        <w:t xml:space="preserve"> PBAC agreed with the following advice that </w:t>
      </w:r>
      <w:r w:rsidR="000A2207" w:rsidRPr="00065A6C">
        <w:rPr>
          <w:rFonts w:cstheme="minorHAnsi"/>
        </w:rPr>
        <w:t xml:space="preserve">ESC </w:t>
      </w:r>
      <w:r w:rsidR="00065A6C">
        <w:rPr>
          <w:rFonts w:cstheme="minorHAnsi"/>
        </w:rPr>
        <w:t xml:space="preserve">had </w:t>
      </w:r>
      <w:r w:rsidR="000A2207" w:rsidRPr="00065A6C">
        <w:rPr>
          <w:rFonts w:cstheme="minorHAnsi"/>
        </w:rPr>
        <w:t>provided regarding the proposed criteria:</w:t>
      </w:r>
      <w:r w:rsidR="000A2207" w:rsidRPr="00CC2A1B">
        <w:rPr>
          <w:rFonts w:cstheme="minorHAnsi"/>
        </w:rPr>
        <w:t xml:space="preserve"> </w:t>
      </w:r>
    </w:p>
    <w:p w:rsidR="000A2207" w:rsidRPr="005472C5" w:rsidRDefault="00077BAD" w:rsidP="000A2207">
      <w:pPr>
        <w:pStyle w:val="ListParagraph"/>
        <w:numPr>
          <w:ilvl w:val="0"/>
          <w:numId w:val="25"/>
        </w:numPr>
        <w:spacing w:after="120" w:line="259" w:lineRule="auto"/>
        <w:rPr>
          <w:rFonts w:asciiTheme="minorHAnsi" w:hAnsiTheme="minorHAnsi" w:cstheme="minorHAnsi"/>
        </w:rPr>
      </w:pPr>
      <w:r w:rsidRPr="005472C5">
        <w:rPr>
          <w:rFonts w:asciiTheme="minorHAnsi" w:hAnsiTheme="minorHAnsi" w:cstheme="minorHAnsi"/>
        </w:rPr>
        <w:t xml:space="preserve">Inclusion </w:t>
      </w:r>
      <w:r w:rsidR="000A2207" w:rsidRPr="005472C5">
        <w:rPr>
          <w:rFonts w:asciiTheme="minorHAnsi" w:hAnsiTheme="minorHAnsi" w:cstheme="minorHAnsi"/>
        </w:rPr>
        <w:t>of a</w:t>
      </w:r>
      <w:r w:rsidR="00E332E3" w:rsidRPr="005472C5">
        <w:rPr>
          <w:rFonts w:asciiTheme="minorHAnsi" w:hAnsiTheme="minorHAnsi" w:cstheme="minorHAnsi"/>
        </w:rPr>
        <w:t>n additional</w:t>
      </w:r>
      <w:r w:rsidR="000A2207" w:rsidRPr="005472C5">
        <w:rPr>
          <w:rFonts w:asciiTheme="minorHAnsi" w:hAnsiTheme="minorHAnsi" w:cstheme="minorHAnsi"/>
        </w:rPr>
        <w:t xml:space="preserve"> risk factor to the CAD criteria</w:t>
      </w:r>
      <w:r w:rsidR="00E332E3" w:rsidRPr="005472C5">
        <w:rPr>
          <w:rFonts w:asciiTheme="minorHAnsi" w:hAnsiTheme="minorHAnsi" w:cstheme="minorHAnsi"/>
        </w:rPr>
        <w:t xml:space="preserve"> to </w:t>
      </w:r>
      <w:r w:rsidR="001C2473" w:rsidRPr="005472C5">
        <w:rPr>
          <w:rFonts w:asciiTheme="minorHAnsi" w:hAnsiTheme="minorHAnsi" w:cstheme="minorHAnsi"/>
        </w:rPr>
        <w:t>allow</w:t>
      </w:r>
      <w:r w:rsidR="008C4A16" w:rsidRPr="005472C5">
        <w:rPr>
          <w:rFonts w:asciiTheme="minorHAnsi" w:hAnsiTheme="minorHAnsi" w:cstheme="minorHAnsi"/>
        </w:rPr>
        <w:t xml:space="preserve"> use in</w:t>
      </w:r>
      <w:r w:rsidR="000A2207" w:rsidRPr="005472C5">
        <w:rPr>
          <w:rFonts w:asciiTheme="minorHAnsi" w:hAnsiTheme="minorHAnsi" w:cstheme="minorHAnsi"/>
        </w:rPr>
        <w:t xml:space="preserve"> patients </w:t>
      </w:r>
      <w:r w:rsidR="00E332E3" w:rsidRPr="005472C5">
        <w:rPr>
          <w:rFonts w:asciiTheme="minorHAnsi" w:hAnsiTheme="minorHAnsi" w:cstheme="minorHAnsi"/>
        </w:rPr>
        <w:t>with</w:t>
      </w:r>
      <w:r w:rsidR="000A2207" w:rsidRPr="005472C5">
        <w:rPr>
          <w:rFonts w:asciiTheme="minorHAnsi" w:hAnsiTheme="minorHAnsi" w:cstheme="minorHAnsi"/>
        </w:rPr>
        <w:t xml:space="preserve"> diabetes mellitus and at least one of the following: age </w:t>
      </w:r>
      <w:r w:rsidRPr="005472C5">
        <w:rPr>
          <w:rFonts w:asciiTheme="minorHAnsi" w:hAnsiTheme="minorHAnsi" w:cstheme="minorHAnsi"/>
        </w:rPr>
        <w:t xml:space="preserve">≥ </w:t>
      </w:r>
      <w:r w:rsidR="000A2207" w:rsidRPr="005472C5">
        <w:rPr>
          <w:rFonts w:asciiTheme="minorHAnsi" w:hAnsiTheme="minorHAnsi" w:cstheme="minorHAnsi"/>
        </w:rPr>
        <w:t>60</w:t>
      </w:r>
      <w:r w:rsidR="00E332E3" w:rsidRPr="005472C5">
        <w:rPr>
          <w:rFonts w:asciiTheme="minorHAnsi" w:hAnsiTheme="minorHAnsi" w:cstheme="minorHAnsi"/>
        </w:rPr>
        <w:t xml:space="preserve"> years</w:t>
      </w:r>
      <w:r w:rsidR="000A2207" w:rsidRPr="005472C5">
        <w:rPr>
          <w:rFonts w:asciiTheme="minorHAnsi" w:hAnsiTheme="minorHAnsi" w:cstheme="minorHAnsi"/>
        </w:rPr>
        <w:t xml:space="preserve">; microalbuminuria; or </w:t>
      </w:r>
      <w:r w:rsidRPr="005472C5">
        <w:rPr>
          <w:rFonts w:asciiTheme="minorHAnsi" w:hAnsiTheme="minorHAnsi" w:cstheme="minorHAnsi"/>
        </w:rPr>
        <w:t>patients</w:t>
      </w:r>
      <w:r w:rsidR="000A2207" w:rsidRPr="005472C5">
        <w:rPr>
          <w:rFonts w:asciiTheme="minorHAnsi" w:hAnsiTheme="minorHAnsi" w:cstheme="minorHAnsi"/>
        </w:rPr>
        <w:t xml:space="preserve"> of Aboriginal or Torres Strait Islander de</w:t>
      </w:r>
      <w:r w:rsidR="00B81835" w:rsidRPr="005472C5">
        <w:rPr>
          <w:rFonts w:asciiTheme="minorHAnsi" w:hAnsiTheme="minorHAnsi" w:cstheme="minorHAnsi"/>
        </w:rPr>
        <w:t>s</w:t>
      </w:r>
      <w:r w:rsidR="000A2207" w:rsidRPr="005472C5">
        <w:rPr>
          <w:rFonts w:asciiTheme="minorHAnsi" w:hAnsiTheme="minorHAnsi" w:cstheme="minorHAnsi"/>
        </w:rPr>
        <w:t xml:space="preserve">cent. </w:t>
      </w:r>
    </w:p>
    <w:p w:rsidR="000A2207" w:rsidRPr="005472C5" w:rsidRDefault="00DD1ACF" w:rsidP="000A2207">
      <w:pPr>
        <w:pStyle w:val="ListParagraph"/>
        <w:numPr>
          <w:ilvl w:val="0"/>
          <w:numId w:val="25"/>
        </w:numPr>
        <w:spacing w:after="120" w:line="259" w:lineRule="auto"/>
        <w:rPr>
          <w:rFonts w:asciiTheme="minorHAnsi" w:hAnsiTheme="minorHAnsi" w:cstheme="minorHAnsi"/>
        </w:rPr>
      </w:pPr>
      <w:r w:rsidRPr="005472C5">
        <w:t>For patients with heart failure, t</w:t>
      </w:r>
      <w:r w:rsidR="000A2207" w:rsidRPr="005472C5">
        <w:t xml:space="preserve">he addition of an upper limit of 50% for left ventricular ejection fraction (LVEF) in order to exclude heart failure with preserved </w:t>
      </w:r>
      <w:r w:rsidR="000A2207" w:rsidRPr="005472C5">
        <w:lastRenderedPageBreak/>
        <w:t xml:space="preserve">ejection fraction (HFpEF), which is not the intended population (i.e. LVEF must be 30% </w:t>
      </w:r>
      <w:r w:rsidR="008C4A16" w:rsidRPr="005472C5">
        <w:t>or greater, but less than 50%</w:t>
      </w:r>
      <w:r w:rsidR="000A2207" w:rsidRPr="005472C5">
        <w:t xml:space="preserve">). </w:t>
      </w:r>
    </w:p>
    <w:p w:rsidR="002322F2" w:rsidRPr="00CC2A1B" w:rsidRDefault="00811F2B" w:rsidP="002322F2">
      <w:pPr>
        <w:pStyle w:val="ExecSumBodyText"/>
        <w:rPr>
          <w:rFonts w:cstheme="minorHAnsi"/>
        </w:rPr>
      </w:pPr>
      <w:r w:rsidRPr="00CC2A1B">
        <w:t xml:space="preserve">The requested restriction </w:t>
      </w:r>
      <w:r w:rsidR="00D130E6">
        <w:t xml:space="preserve">(in the resubmission) </w:t>
      </w:r>
      <w:r w:rsidRPr="00CC2A1B">
        <w:t>include</w:t>
      </w:r>
      <w:r w:rsidR="00D130E6">
        <w:t>d</w:t>
      </w:r>
      <w:r w:rsidRPr="00CC2A1B">
        <w:t xml:space="preserve"> all patients with PAD, </w:t>
      </w:r>
      <w:r w:rsidR="008533D1" w:rsidRPr="00CC2A1B">
        <w:t xml:space="preserve">which is </w:t>
      </w:r>
      <w:r w:rsidRPr="00CC2A1B">
        <w:t xml:space="preserve">a heterogeneous group at </w:t>
      </w:r>
      <w:r w:rsidR="00A04971" w:rsidRPr="00CC2A1B">
        <w:t>substantially different</w:t>
      </w:r>
      <w:r w:rsidRPr="00CC2A1B">
        <w:t xml:space="preserve"> levels of cardiovascular risk</w:t>
      </w:r>
      <w:r w:rsidR="002322F2" w:rsidRPr="00CC2A1B">
        <w:t xml:space="preserve"> including patients with carotid artery stenosis at increased risk of stroke, and patients with lower extremity arterial disease at increased risk of limb events</w:t>
      </w:r>
      <w:r w:rsidRPr="00CC2A1B">
        <w:t xml:space="preserve">. </w:t>
      </w:r>
      <w:r w:rsidR="002322F2" w:rsidRPr="00623E3D">
        <w:t>In March 2019, t</w:t>
      </w:r>
      <w:r w:rsidR="008533D1" w:rsidRPr="00623E3D">
        <w:t xml:space="preserve">he PBAC considered that a population with a more favourable risk-benefit profile may include patients with CAD and PAD, or patients with CAD or PAD who have other high risk factors such as diabetes or recurrent events (paragraph 7.4, rivaroxaban Public Summary Document, March 2019 PBAC meeting). </w:t>
      </w:r>
      <w:r w:rsidRPr="00623E3D">
        <w:t>Although</w:t>
      </w:r>
      <w:r w:rsidRPr="00CC2A1B">
        <w:t xml:space="preserve"> there may be a clinical need for </w:t>
      </w:r>
      <w:r w:rsidR="00DE560B" w:rsidRPr="00CC2A1B">
        <w:t xml:space="preserve">effective </w:t>
      </w:r>
      <w:r w:rsidRPr="00CC2A1B">
        <w:t>treatments for PAD, the</w:t>
      </w:r>
      <w:r w:rsidR="00A04971" w:rsidRPr="00CC2A1B">
        <w:t xml:space="preserve"> ESC </w:t>
      </w:r>
      <w:r w:rsidR="0046682B" w:rsidRPr="00CC2A1B">
        <w:t xml:space="preserve">considered </w:t>
      </w:r>
      <w:r w:rsidR="00A04971" w:rsidRPr="00CC2A1B">
        <w:t>that the</w:t>
      </w:r>
      <w:r w:rsidRPr="00CC2A1B">
        <w:t xml:space="preserve"> </w:t>
      </w:r>
      <w:r w:rsidR="00B81835" w:rsidRPr="00CC2A1B">
        <w:t xml:space="preserve">absolute benefit in the whole </w:t>
      </w:r>
      <w:r w:rsidR="00B81835" w:rsidRPr="00065A6C">
        <w:t xml:space="preserve">PAD population was the same or lower than the ITT population in COMPASS and therefore that the </w:t>
      </w:r>
      <w:r w:rsidRPr="00065A6C">
        <w:t>optimal population with PAD who would derive the highest absolute benefit from treatment with rivaroxaban need</w:t>
      </w:r>
      <w:r w:rsidR="00313D02">
        <w:t>ed</w:t>
      </w:r>
      <w:r w:rsidRPr="00065A6C">
        <w:t xml:space="preserve"> to be more clearly defined.</w:t>
      </w:r>
      <w:r w:rsidR="008533D1" w:rsidRPr="00065A6C">
        <w:t xml:space="preserve"> </w:t>
      </w:r>
      <w:r w:rsidR="008533D1" w:rsidRPr="00065A6C">
        <w:rPr>
          <w:rFonts w:cstheme="minorHAnsi"/>
        </w:rPr>
        <w:t xml:space="preserve">The </w:t>
      </w:r>
      <w:r w:rsidR="002322F2" w:rsidRPr="00065A6C">
        <w:rPr>
          <w:rFonts w:cstheme="minorHAnsi"/>
        </w:rPr>
        <w:t xml:space="preserve">ESC considered that it would be appropriate for the restriction to require that patients with PAD have </w:t>
      </w:r>
      <w:r w:rsidR="00B81835" w:rsidRPr="00065A6C">
        <w:rPr>
          <w:rFonts w:cstheme="minorHAnsi"/>
        </w:rPr>
        <w:t xml:space="preserve">concomitant CAD or have </w:t>
      </w:r>
      <w:r w:rsidR="008533D1" w:rsidRPr="00065A6C">
        <w:rPr>
          <w:rFonts w:cstheme="minorHAnsi"/>
        </w:rPr>
        <w:t>addition</w:t>
      </w:r>
      <w:r w:rsidR="002322F2" w:rsidRPr="00065A6C">
        <w:rPr>
          <w:rFonts w:cstheme="minorHAnsi"/>
        </w:rPr>
        <w:t xml:space="preserve">al </w:t>
      </w:r>
      <w:r w:rsidR="008533D1" w:rsidRPr="00065A6C">
        <w:rPr>
          <w:rFonts w:cstheme="minorHAnsi"/>
        </w:rPr>
        <w:t>risk factors that replicate the criteria for CAD</w:t>
      </w:r>
      <w:r w:rsidR="002322F2" w:rsidRPr="00065A6C">
        <w:rPr>
          <w:rFonts w:cstheme="minorHAnsi"/>
        </w:rPr>
        <w:t>, that is that patients with PAD must have one or more of the following risk factors:</w:t>
      </w:r>
    </w:p>
    <w:p w:rsidR="002322F2" w:rsidRPr="005472C5" w:rsidRDefault="002322F2" w:rsidP="002322F2">
      <w:pPr>
        <w:pStyle w:val="Bulletpoints"/>
        <w:ind w:firstLine="273"/>
      </w:pPr>
      <w:r w:rsidRPr="005472C5">
        <w:t xml:space="preserve">Concomitant </w:t>
      </w:r>
      <w:r w:rsidR="00313D02">
        <w:t>CAD</w:t>
      </w:r>
      <w:r w:rsidR="008D068F" w:rsidRPr="005472C5">
        <w:t>;</w:t>
      </w:r>
    </w:p>
    <w:p w:rsidR="002322F2" w:rsidRPr="005472C5" w:rsidRDefault="002322F2" w:rsidP="002322F2">
      <w:pPr>
        <w:pStyle w:val="Bulletpoints"/>
        <w:ind w:left="1418" w:hanging="425"/>
      </w:pPr>
      <w:r w:rsidRPr="005472C5">
        <w:t>Diagnosed heart failure (left ventricular ejection fraction greater than or equal to 30% but less than 50%)</w:t>
      </w:r>
      <w:r w:rsidR="008D068F" w:rsidRPr="005472C5">
        <w:t>;</w:t>
      </w:r>
    </w:p>
    <w:p w:rsidR="002322F2" w:rsidRPr="005472C5" w:rsidRDefault="002322F2" w:rsidP="002322F2">
      <w:pPr>
        <w:pStyle w:val="Bulletpoints"/>
        <w:ind w:left="1418" w:hanging="425"/>
      </w:pPr>
      <w:r w:rsidRPr="005472C5">
        <w:t>Diagnosed kidney disease classified by an eGFR 15-</w:t>
      </w:r>
      <w:r w:rsidR="00B81835" w:rsidRPr="005472C5">
        <w:t>60mL</w:t>
      </w:r>
      <w:r w:rsidRPr="005472C5">
        <w:t>/min</w:t>
      </w:r>
      <w:r w:rsidR="008D068F" w:rsidRPr="005472C5">
        <w:t xml:space="preserve">; </w:t>
      </w:r>
      <w:r w:rsidR="00D47D06">
        <w:t>or</w:t>
      </w:r>
    </w:p>
    <w:p w:rsidR="00A86924" w:rsidRDefault="002322F2" w:rsidP="00FC3ABF">
      <w:pPr>
        <w:pStyle w:val="Bulletpoints"/>
        <w:ind w:left="1418" w:hanging="425"/>
      </w:pPr>
      <w:r w:rsidRPr="005472C5">
        <w:t xml:space="preserve">Diabetes </w:t>
      </w:r>
      <w:r w:rsidR="008D068F" w:rsidRPr="005472C5">
        <w:t>m</w:t>
      </w:r>
      <w:r w:rsidRPr="005472C5">
        <w:t>ellitus and</w:t>
      </w:r>
      <w:r w:rsidR="001C2473" w:rsidRPr="005472C5">
        <w:t>:</w:t>
      </w:r>
      <w:r w:rsidRPr="005472C5">
        <w:t xml:space="preserve"> age greater than or equal to 60</w:t>
      </w:r>
      <w:r w:rsidR="001C2473" w:rsidRPr="005472C5">
        <w:t>;</w:t>
      </w:r>
      <w:r w:rsidRPr="005472C5">
        <w:t xml:space="preserve"> concomitant microalbuminuria</w:t>
      </w:r>
      <w:r w:rsidR="001C2473" w:rsidRPr="005472C5">
        <w:t>;</w:t>
      </w:r>
      <w:r w:rsidRPr="005472C5">
        <w:t xml:space="preserve"> or of Aboriginal or Torres Strait Islander descent</w:t>
      </w:r>
      <w:r w:rsidR="00D47D06">
        <w:t>.</w:t>
      </w:r>
      <w:r w:rsidR="00A86924">
        <w:t xml:space="preserve"> </w:t>
      </w:r>
    </w:p>
    <w:p w:rsidR="00FC3ABF" w:rsidRDefault="00FC3ABF" w:rsidP="00FC3ABF">
      <w:pPr>
        <w:pStyle w:val="ExecSumBodyText"/>
      </w:pPr>
      <w:r>
        <w:t>The pre-PBAC response (p1) accepted the revisions to the restriction proposed by the ESC in the paragraphs above</w:t>
      </w:r>
      <w:r w:rsidR="00E82660">
        <w:t>, but noted that the sponsor</w:t>
      </w:r>
      <w:r w:rsidR="00A54FE8">
        <w:t xml:space="preserve"> was unable to</w:t>
      </w:r>
      <w:r w:rsidR="00E82660">
        <w:t xml:space="preserve"> undertake any further analyses of </w:t>
      </w:r>
      <w:r w:rsidR="00A54FE8">
        <w:t xml:space="preserve">the </w:t>
      </w:r>
      <w:r w:rsidR="00E82660">
        <w:t>COMPASS</w:t>
      </w:r>
      <w:r w:rsidR="00A54FE8">
        <w:t xml:space="preserve"> trial in these revised patient populations</w:t>
      </w:r>
      <w:r w:rsidR="00E82660">
        <w:t xml:space="preserve"> due to </w:t>
      </w:r>
      <w:r w:rsidR="00A54FE8">
        <w:t>a ‘</w:t>
      </w:r>
      <w:r w:rsidR="00E82660">
        <w:t>lack of data accessibility</w:t>
      </w:r>
      <w:r w:rsidR="00A54FE8">
        <w:t>’</w:t>
      </w:r>
      <w:r>
        <w:t xml:space="preserve">. </w:t>
      </w:r>
    </w:p>
    <w:p w:rsidR="00811F2B" w:rsidRPr="005472C5" w:rsidRDefault="00811F2B" w:rsidP="00811F2B">
      <w:pPr>
        <w:pStyle w:val="ExecSumBodyText"/>
      </w:pPr>
      <w:r w:rsidRPr="005472C5">
        <w:t xml:space="preserve">The requested restriction in the March 2019 submission </w:t>
      </w:r>
      <w:r w:rsidR="009E3122" w:rsidRPr="005472C5">
        <w:t>excluded use in patients with</w:t>
      </w:r>
      <w:r w:rsidRPr="005472C5">
        <w:t xml:space="preserve"> acute coronary syndrome, and </w:t>
      </w:r>
      <w:r w:rsidR="009E3122" w:rsidRPr="005472C5">
        <w:t xml:space="preserve">specified that use </w:t>
      </w:r>
      <w:r w:rsidRPr="005472C5">
        <w:t xml:space="preserve">should be in the chronic or stable phase of atherosclerotic disease. </w:t>
      </w:r>
      <w:r w:rsidR="009E3122" w:rsidRPr="005472C5">
        <w:t>In the resubmission, t</w:t>
      </w:r>
      <w:r w:rsidRPr="005472C5">
        <w:t xml:space="preserve">he requested restriction </w:t>
      </w:r>
      <w:r w:rsidR="009E3122" w:rsidRPr="005472C5">
        <w:t xml:space="preserve">was amended to </w:t>
      </w:r>
      <w:r w:rsidRPr="005472C5">
        <w:t>specif</w:t>
      </w:r>
      <w:r w:rsidR="009E3122" w:rsidRPr="005472C5">
        <w:t>y</w:t>
      </w:r>
      <w:r w:rsidRPr="005472C5">
        <w:t xml:space="preserve"> that rivaroxaban with aspirin should not be used in </w:t>
      </w:r>
      <w:r w:rsidR="00CF4848" w:rsidRPr="005472C5">
        <w:t>patients who require</w:t>
      </w:r>
      <w:r w:rsidRPr="005472C5">
        <w:t xml:space="preserve"> dual antiplatelet therapy, which implies patients will be in the chronic or stable phase of disease. </w:t>
      </w:r>
      <w:r w:rsidR="00DE560B" w:rsidRPr="005472C5">
        <w:t>The commentary considered that it was</w:t>
      </w:r>
      <w:r w:rsidRPr="005472C5">
        <w:t xml:space="preserve"> unclear in the proposed restriction at what point treatment should be initiated.</w:t>
      </w:r>
      <w:r w:rsidR="0032494A" w:rsidRPr="005472C5">
        <w:t xml:space="preserve"> </w:t>
      </w:r>
      <w:r w:rsidR="00DE560B" w:rsidRPr="00607CA5">
        <w:t>However, t</w:t>
      </w:r>
      <w:r w:rsidR="0032494A" w:rsidRPr="00607CA5">
        <w:t xml:space="preserve">he ESC </w:t>
      </w:r>
      <w:r w:rsidR="00DE560B" w:rsidRPr="00607CA5">
        <w:t xml:space="preserve">considered </w:t>
      </w:r>
      <w:r w:rsidR="0032494A" w:rsidRPr="00607CA5">
        <w:t>that the duration of use of dual antiplatelet therapy following an acute event, such as an acute coronary syndrome or percutaneous revascularisation, was covered in appropriate guidelines and subject to evolution, but that clinicians would generally be aware of, and would follow, these guidelines.</w:t>
      </w:r>
    </w:p>
    <w:p w:rsidR="00B424F7" w:rsidRPr="00572790" w:rsidRDefault="00280FD4" w:rsidP="00811F2B">
      <w:pPr>
        <w:pStyle w:val="ExecSumBodyText"/>
      </w:pPr>
      <w:r w:rsidRPr="00572790">
        <w:t>The resubmission estimated that 3,600 patients would require grandfathered access in Year 1</w:t>
      </w:r>
      <w:r w:rsidR="001B3492" w:rsidRPr="00572790">
        <w:t>, however t</w:t>
      </w:r>
      <w:r w:rsidRPr="00572790">
        <w:t>he resubmission did not propose a separate grandfathered restriction</w:t>
      </w:r>
      <w:r w:rsidR="001B3492" w:rsidRPr="00572790">
        <w:t xml:space="preserve">. </w:t>
      </w:r>
      <w:r w:rsidR="001B3492" w:rsidRPr="00FC3ABF">
        <w:t xml:space="preserve">The ESC </w:t>
      </w:r>
      <w:r w:rsidR="00B424F7" w:rsidRPr="00FC3ABF">
        <w:t xml:space="preserve">emphasised that any grandfathered restriction would need to </w:t>
      </w:r>
      <w:r w:rsidR="00B424F7" w:rsidRPr="00FC3ABF">
        <w:lastRenderedPageBreak/>
        <w:t xml:space="preserve">ensure that patients </w:t>
      </w:r>
      <w:r w:rsidR="00292AA1" w:rsidRPr="00FC3ABF">
        <w:t xml:space="preserve">had </w:t>
      </w:r>
      <w:r w:rsidR="00B424F7" w:rsidRPr="00FC3ABF">
        <w:t>met the PBS initiation criteria at the time of commencement of rivaroxaban.</w:t>
      </w:r>
      <w:r w:rsidRPr="00572790">
        <w:t xml:space="preserve"> </w:t>
      </w:r>
    </w:p>
    <w:p w:rsidR="00280FD4" w:rsidRPr="00FC3ABF" w:rsidRDefault="00B424F7" w:rsidP="00B424F7">
      <w:pPr>
        <w:pStyle w:val="ExecSumBodyText"/>
      </w:pPr>
      <w:r w:rsidRPr="00FC3ABF">
        <w:t>The ESC considered that a separate continuing restriction may also be required given that a patient’s renal function and LVEF may change over time and thus, without a continuing restriction, some patients who initially meet the criteria woul</w:t>
      </w:r>
      <w:r w:rsidR="0093000A">
        <w:t>d no longer continue to do so.</w:t>
      </w:r>
    </w:p>
    <w:p w:rsidR="00E332E3" w:rsidRPr="00F236E0" w:rsidRDefault="00E332E3" w:rsidP="00811F2B">
      <w:pPr>
        <w:pStyle w:val="ExecSumBodyText"/>
      </w:pPr>
      <w:r w:rsidRPr="00FC3ABF">
        <w:t>There is a significant potential</w:t>
      </w:r>
      <w:r w:rsidRPr="005472C5">
        <w:t xml:space="preserve"> for leakage as the requested restriction is narrower than the TGA indication (PAD and/or CAD)</w:t>
      </w:r>
      <w:r w:rsidR="009E5698" w:rsidRPr="005472C5">
        <w:t>, and t</w:t>
      </w:r>
      <w:r w:rsidRPr="005472C5">
        <w:t xml:space="preserve">he resubmission requested a </w:t>
      </w:r>
      <w:r w:rsidRPr="005472C5">
        <w:rPr>
          <w:rFonts w:cstheme="minorHAnsi"/>
        </w:rPr>
        <w:t>streamlined authority restriction, consistent with the current rivaroxaban listings.</w:t>
      </w:r>
    </w:p>
    <w:p w:rsidR="00F236E0" w:rsidRPr="005472C5" w:rsidRDefault="00F236E0" w:rsidP="00F236E0">
      <w:pPr>
        <w:pStyle w:val="ExecSumBodyText"/>
        <w:numPr>
          <w:ilvl w:val="0"/>
          <w:numId w:val="0"/>
        </w:numPr>
        <w:ind w:left="720"/>
      </w:pPr>
      <w:r w:rsidRPr="00F236E0">
        <w:rPr>
          <w:i/>
          <w:snapToGrid/>
          <w:lang w:val="en-US"/>
        </w:rPr>
        <w:t>For more detail on PBAC’s view, see section 7 PBAC outcome.</w:t>
      </w:r>
    </w:p>
    <w:p w:rsidR="00B50DB8" w:rsidRPr="00407F2D" w:rsidRDefault="00203181" w:rsidP="004E18E9">
      <w:pPr>
        <w:pStyle w:val="2-SectionHeading"/>
      </w:pPr>
      <w:bookmarkStart w:id="8" w:name="_Toc27421947"/>
      <w:r>
        <w:t xml:space="preserve">Population and </w:t>
      </w:r>
      <w:r w:rsidR="008E0D3C">
        <w:t>d</w:t>
      </w:r>
      <w:r>
        <w:t>isease</w:t>
      </w:r>
      <w:bookmarkEnd w:id="8"/>
    </w:p>
    <w:p w:rsidR="00B062F2" w:rsidRPr="00B062F2" w:rsidRDefault="00B062F2" w:rsidP="00B062F2">
      <w:pPr>
        <w:pStyle w:val="ExecSumBodyText"/>
      </w:pPr>
      <w:r w:rsidRPr="00B062F2">
        <w:t xml:space="preserve">Atherosclerosis is a progressive disease characterised by the accumulation of lipids and fibrous elements in the large arteries. Stable CAD is predominantly an atherosclerotic disease with narrowing of coronary arteries that give rise to episodes of myocardial ischaemia causing angina pectoris. PAD is also typically caused by atherosclerosis and is broadly defined as a progressive stenosis or occlusion of any of the arteries except the coronary and intracranial arteries. CAD and PAD share </w:t>
      </w:r>
      <w:r w:rsidR="00A04971">
        <w:t>the same</w:t>
      </w:r>
      <w:r w:rsidRPr="00B062F2">
        <w:t xml:space="preserve"> risk factors; both increase with increasing age and </w:t>
      </w:r>
      <w:r w:rsidR="001C6753">
        <w:t>the variable clinical characteristics and presentations result in variable</w:t>
      </w:r>
      <w:r w:rsidRPr="00B062F2">
        <w:t xml:space="preserve"> </w:t>
      </w:r>
      <w:r w:rsidR="001C6753">
        <w:t xml:space="preserve">overall </w:t>
      </w:r>
      <w:r w:rsidRPr="00B062F2">
        <w:t xml:space="preserve">risk of future major cardiovascular events. </w:t>
      </w:r>
    </w:p>
    <w:p w:rsidR="00B062F2" w:rsidRPr="00B062F2" w:rsidRDefault="00B062F2" w:rsidP="00B062F2">
      <w:pPr>
        <w:pStyle w:val="ExecSumBodyText"/>
      </w:pPr>
      <w:r w:rsidRPr="00B062F2">
        <w:t xml:space="preserve">Atherosclerosis can have long, stable periods interrupted by unstable periods, typically due to an acute atherothrombotic event. </w:t>
      </w:r>
      <w:r w:rsidR="008533D1">
        <w:t>The r</w:t>
      </w:r>
      <w:r w:rsidRPr="00B062F2">
        <w:t xml:space="preserve">isk of future major cardiovascular events varies considerably between patients with stable disease as compared to those with unstable disease and also based on evidence of more generalised atherosclerotic disease and previous atherothrombotic events. </w:t>
      </w:r>
    </w:p>
    <w:p w:rsidR="00B062F2" w:rsidRPr="00B062F2" w:rsidRDefault="00B062F2" w:rsidP="00B062F2">
      <w:pPr>
        <w:pStyle w:val="ExecSumBodyText"/>
      </w:pPr>
      <w:r w:rsidRPr="00B062F2">
        <w:t>The resubmission positions rivaroxaban 2.5 mg in combination with low dose aspirin as an alternative to low dose aspirin monotherapy for the secondary prevention of thrombotic cardiovascular events for patients with CAD and/or PAD with additional risk factors that place them at high risk of future events</w:t>
      </w:r>
      <w:r w:rsidR="00DF38EA">
        <w:t xml:space="preserve">, referred to as the </w:t>
      </w:r>
      <w:r w:rsidR="008533D1">
        <w:t>‘</w:t>
      </w:r>
      <w:r w:rsidR="00DF38EA">
        <w:t>pooled target population</w:t>
      </w:r>
      <w:r w:rsidR="008533D1">
        <w:t>’</w:t>
      </w:r>
      <w:r w:rsidRPr="00B062F2">
        <w:t xml:space="preserve">. Treatment is initiated at any time following resolution of acute events </w:t>
      </w:r>
      <w:r w:rsidR="00A04971">
        <w:t>but</w:t>
      </w:r>
      <w:r w:rsidRPr="00B062F2">
        <w:t xml:space="preserve"> is not to be administered in patients who are also eligible for dual antiplatelet therapy. </w:t>
      </w:r>
    </w:p>
    <w:p w:rsidR="007A1AA4" w:rsidRDefault="007A1AA4" w:rsidP="00AC5A05">
      <w:pPr>
        <w:pStyle w:val="ExecSumBodyText"/>
      </w:pPr>
      <w:r w:rsidRPr="000B6B6A">
        <w:t>The pooled high risk population identified in the resubmission was based on an analysis of the</w:t>
      </w:r>
      <w:r w:rsidR="008229CA" w:rsidRPr="000B6B6A">
        <w:t xml:space="preserve"> key</w:t>
      </w:r>
      <w:r w:rsidRPr="000B6B6A">
        <w:t xml:space="preserve"> COMPASS trial </w:t>
      </w:r>
      <w:r w:rsidR="008229CA" w:rsidRPr="000B6B6A">
        <w:t>(</w:t>
      </w:r>
      <w:r w:rsidRPr="000B6B6A">
        <w:t>Anand e</w:t>
      </w:r>
      <w:r w:rsidR="008229CA" w:rsidRPr="000B6B6A">
        <w:t>t al</w:t>
      </w:r>
      <w:r w:rsidR="00AC5A05">
        <w:t>,</w:t>
      </w:r>
      <w:r w:rsidR="008229CA" w:rsidRPr="000B6B6A">
        <w:t xml:space="preserve"> </w:t>
      </w:r>
      <w:r w:rsidRPr="000B6B6A">
        <w:t xml:space="preserve">2019). The authors </w:t>
      </w:r>
      <w:r w:rsidR="008229CA" w:rsidRPr="000B6B6A">
        <w:t xml:space="preserve">applied a modified version of the Reduction of Atherothrombosis for Continued Health (REACH) registry </w:t>
      </w:r>
      <w:r w:rsidR="0033379A" w:rsidRPr="000B6B6A">
        <w:t xml:space="preserve">cardiovascular </w:t>
      </w:r>
      <w:r w:rsidR="008229CA" w:rsidRPr="000B6B6A">
        <w:t xml:space="preserve">risk score to the COMPASS trial patients and used the median score to divide </w:t>
      </w:r>
      <w:r w:rsidR="0033379A" w:rsidRPr="000B6B6A">
        <w:t>patients into low- (&lt;13) or high-risk (</w:t>
      </w:r>
      <w:r w:rsidR="0033379A" w:rsidRPr="000B6B6A">
        <w:rPr>
          <w:rFonts w:cstheme="minorHAnsi"/>
        </w:rPr>
        <w:t>≥</w:t>
      </w:r>
      <w:r w:rsidR="0033379A" w:rsidRPr="000B6B6A">
        <w:t xml:space="preserve">13) groups. The publication </w:t>
      </w:r>
      <w:r w:rsidRPr="000B6B6A">
        <w:t>identified components</w:t>
      </w:r>
      <w:r w:rsidR="0033379A" w:rsidRPr="000B6B6A">
        <w:t xml:space="preserve"> of the REACH score</w:t>
      </w:r>
      <w:r w:rsidRPr="000B6B6A">
        <w:t xml:space="preserve"> that had a 30-month incidence risk at least equivalent or greater than those with a REACH score of 13+, which included patients with ≥2 vascular beds affected, those with low eGFR, and those with a history of HF. </w:t>
      </w:r>
      <w:r w:rsidR="00DF38EA" w:rsidRPr="000B6B6A">
        <w:t>T</w:t>
      </w:r>
      <w:r w:rsidRPr="000B6B6A">
        <w:t xml:space="preserve">he </w:t>
      </w:r>
      <w:r w:rsidRPr="000B6B6A">
        <w:lastRenderedPageBreak/>
        <w:t xml:space="preserve">results of this study were based on the application of the REACH risk score to a highly selected trial population. Any deviations from the population in practice will alter the baseline risk, and the corresponding absolute risk reduction. </w:t>
      </w:r>
    </w:p>
    <w:p w:rsidR="00AC5A05" w:rsidRDefault="00AC5A05" w:rsidP="00AC5A05">
      <w:pPr>
        <w:pStyle w:val="ExecSumBodyText"/>
      </w:pPr>
      <w:r>
        <w:t>The pre-PBAC response stated that the analyse</w:t>
      </w:r>
      <w:r w:rsidRPr="00AC5A05">
        <w:t xml:space="preserve">s by Anand et al, 2019 </w:t>
      </w:r>
      <w:r>
        <w:t xml:space="preserve">also </w:t>
      </w:r>
      <w:r w:rsidRPr="00AC5A05">
        <w:t xml:space="preserve">identified patients with diabetes as </w:t>
      </w:r>
      <w:r>
        <w:t xml:space="preserve">a </w:t>
      </w:r>
      <w:r w:rsidRPr="00AC5A05">
        <w:t xml:space="preserve">distinct subgroup </w:t>
      </w:r>
      <w:r>
        <w:t xml:space="preserve">who are </w:t>
      </w:r>
      <w:r w:rsidRPr="00AC5A05">
        <w:t>at high risk.</w:t>
      </w:r>
    </w:p>
    <w:p w:rsidR="00F236E0" w:rsidRPr="000B6B6A" w:rsidRDefault="00F236E0" w:rsidP="00F236E0">
      <w:pPr>
        <w:pStyle w:val="ExecSumBodyText"/>
        <w:numPr>
          <w:ilvl w:val="0"/>
          <w:numId w:val="0"/>
        </w:numPr>
        <w:ind w:left="720"/>
      </w:pPr>
      <w:r w:rsidRPr="00F236E0">
        <w:rPr>
          <w:i/>
          <w:snapToGrid/>
          <w:lang w:val="en-US"/>
        </w:rPr>
        <w:t>For more detail on PBAC’s view, see section 7 PBAC outcome.</w:t>
      </w:r>
    </w:p>
    <w:p w:rsidR="00B50DB8" w:rsidRPr="00407F2D" w:rsidRDefault="00B50DB8" w:rsidP="004E18E9">
      <w:pPr>
        <w:pStyle w:val="2-SectionHeading"/>
      </w:pPr>
      <w:bookmarkStart w:id="9" w:name="_Toc27421948"/>
      <w:r w:rsidRPr="00407F2D">
        <w:t>Comparator</w:t>
      </w:r>
      <w:bookmarkEnd w:id="9"/>
    </w:p>
    <w:p w:rsidR="007A1AA4" w:rsidRPr="009001C9" w:rsidRDefault="007A1AA4" w:rsidP="00DF38EA">
      <w:pPr>
        <w:pStyle w:val="ExecSumBodyText"/>
        <w:rPr>
          <w:snapToGrid/>
          <w:lang w:val="en-US"/>
        </w:rPr>
      </w:pPr>
      <w:r w:rsidRPr="009001C9">
        <w:rPr>
          <w:snapToGrid/>
          <w:lang w:val="en-US"/>
        </w:rPr>
        <w:t xml:space="preserve">The resubmission nominated aspirin </w:t>
      </w:r>
      <w:r w:rsidR="00527E7A" w:rsidRPr="009001C9">
        <w:rPr>
          <w:snapToGrid/>
          <w:lang w:val="en-US"/>
        </w:rPr>
        <w:t xml:space="preserve">alone </w:t>
      </w:r>
      <w:r w:rsidRPr="009001C9">
        <w:rPr>
          <w:snapToGrid/>
          <w:lang w:val="en-US"/>
        </w:rPr>
        <w:t>as the main comparator</w:t>
      </w:r>
      <w:r w:rsidR="00145822" w:rsidRPr="009001C9">
        <w:rPr>
          <w:snapToGrid/>
          <w:lang w:val="en-US"/>
        </w:rPr>
        <w:t xml:space="preserve"> for rivaroxaban plus aspirin</w:t>
      </w:r>
      <w:r w:rsidR="006351BD" w:rsidRPr="009001C9">
        <w:rPr>
          <w:snapToGrid/>
          <w:lang w:val="en-US"/>
        </w:rPr>
        <w:t>, which was consistent with the previous submission</w:t>
      </w:r>
      <w:r w:rsidR="00DF38EA" w:rsidRPr="009001C9">
        <w:rPr>
          <w:snapToGrid/>
          <w:lang w:val="en-US"/>
        </w:rPr>
        <w:t>. The PBAC previously accepted aspirin as an appropriate comparator (paragraph 7.6, Rivaroxaban Public Summary Document, March 2019 PBAC meeting).</w:t>
      </w:r>
      <w:r w:rsidR="00FB2FF6" w:rsidRPr="009001C9">
        <w:rPr>
          <w:snapToGrid/>
          <w:lang w:val="en-US"/>
        </w:rPr>
        <w:t xml:space="preserve"> </w:t>
      </w:r>
    </w:p>
    <w:p w:rsidR="007A1AA4" w:rsidRPr="009001C9" w:rsidRDefault="007A1AA4" w:rsidP="00882E3C">
      <w:pPr>
        <w:pStyle w:val="ExecSumBodyText"/>
        <w:rPr>
          <w:snapToGrid/>
          <w:lang w:val="en-US"/>
        </w:rPr>
      </w:pPr>
      <w:r w:rsidRPr="009001C9">
        <w:rPr>
          <w:snapToGrid/>
          <w:lang w:val="en-US"/>
        </w:rPr>
        <w:t xml:space="preserve">Alternative comparators such as antiplatelet therapies (aspirin in combination with clopidogrel, or clopidogrel monotherapy) were not considered to be relevant comparators in the resubmission. </w:t>
      </w:r>
      <w:r w:rsidR="001F10F8" w:rsidRPr="009001C9">
        <w:rPr>
          <w:snapToGrid/>
          <w:lang w:val="en-US"/>
        </w:rPr>
        <w:t>The resubmission argued that these are indicated for short term management of acute coronary syndromes, and patients with an indication for dual antiplatelet therapy are excluded from the proposed restriction.</w:t>
      </w:r>
    </w:p>
    <w:p w:rsidR="007A1AA4" w:rsidRPr="009001C9" w:rsidRDefault="00743B5D" w:rsidP="0074784C">
      <w:pPr>
        <w:pStyle w:val="ExecSumBodyText"/>
        <w:rPr>
          <w:snapToGrid/>
          <w:lang w:val="en-US"/>
        </w:rPr>
      </w:pPr>
      <w:r w:rsidRPr="009001C9">
        <w:rPr>
          <w:snapToGrid/>
          <w:lang w:val="en-US"/>
        </w:rPr>
        <w:t>I</w:t>
      </w:r>
      <w:r w:rsidR="001F10F8" w:rsidRPr="009001C9">
        <w:rPr>
          <w:snapToGrid/>
          <w:lang w:val="en-US"/>
        </w:rPr>
        <w:t xml:space="preserve">n most guidelines dual antiplatelet therapy (clopidogrel </w:t>
      </w:r>
      <w:r w:rsidR="001D61EB" w:rsidRPr="009001C9">
        <w:rPr>
          <w:snapToGrid/>
          <w:lang w:val="en-US"/>
        </w:rPr>
        <w:t xml:space="preserve">+ aspirin) is indicated for </w:t>
      </w:r>
      <w:r w:rsidR="00A04971" w:rsidRPr="009001C9">
        <w:rPr>
          <w:snapToGrid/>
          <w:lang w:val="en-US"/>
        </w:rPr>
        <w:t>12 months following</w:t>
      </w:r>
      <w:r w:rsidR="001D61EB" w:rsidRPr="009001C9">
        <w:rPr>
          <w:snapToGrid/>
          <w:lang w:val="en-US"/>
        </w:rPr>
        <w:t xml:space="preserve"> the short term management of acute coronary syndromes</w:t>
      </w:r>
      <w:r w:rsidR="007A1AA4" w:rsidRPr="009001C9">
        <w:rPr>
          <w:snapToGrid/>
          <w:lang w:val="en-US"/>
        </w:rPr>
        <w:t>.</w:t>
      </w:r>
      <w:r w:rsidR="0074784C" w:rsidRPr="009001C9">
        <w:t xml:space="preserve"> </w:t>
      </w:r>
      <w:r w:rsidR="0074784C" w:rsidRPr="009001C9">
        <w:rPr>
          <w:snapToGrid/>
          <w:lang w:val="en-US"/>
        </w:rPr>
        <w:t xml:space="preserve">Previously, the ESC and the PBAC considered that the use of long-term dual anti-platelet therapy following ACS (e.g. for longer than twelve months after an acute event) is increasing in clinical practice in patients at low risk of bleeding, who would likely represent a key part of the rivaroxaban target population. Thus, the ESC and PBAC </w:t>
      </w:r>
      <w:r w:rsidR="009978BC" w:rsidRPr="009001C9">
        <w:rPr>
          <w:snapToGrid/>
          <w:lang w:val="en-US"/>
        </w:rPr>
        <w:t xml:space="preserve">previously </w:t>
      </w:r>
      <w:r w:rsidR="0074784C" w:rsidRPr="009001C9">
        <w:rPr>
          <w:snapToGrid/>
          <w:lang w:val="en-US"/>
        </w:rPr>
        <w:t>considered that clopidogrel may be a relevant comparator in a sub-group of patients</w:t>
      </w:r>
      <w:r w:rsidR="0074784C" w:rsidRPr="009001C9">
        <w:rPr>
          <w:i/>
          <w:snapToGrid/>
          <w:lang w:val="en-US"/>
        </w:rPr>
        <w:t xml:space="preserve"> </w:t>
      </w:r>
      <w:r w:rsidR="0074784C" w:rsidRPr="009001C9">
        <w:rPr>
          <w:snapToGrid/>
          <w:lang w:val="en-US"/>
        </w:rPr>
        <w:t>(paragraph 5.4, rivaroxaban Public Summary Document, March 2019 PBAC meeting).</w:t>
      </w:r>
    </w:p>
    <w:p w:rsidR="007A1AA4" w:rsidRPr="009001C9" w:rsidRDefault="006E496D" w:rsidP="009978BC">
      <w:pPr>
        <w:pStyle w:val="ExecSumBodyText"/>
        <w:rPr>
          <w:snapToGrid/>
          <w:lang w:val="en-US"/>
        </w:rPr>
      </w:pPr>
      <w:r w:rsidRPr="009001C9">
        <w:rPr>
          <w:snapToGrid/>
          <w:lang w:val="en-US"/>
        </w:rPr>
        <w:t xml:space="preserve">This corresponds with the observed use of antiplatelet agents in the proposed high risk subgroups in the COMPASS trial, with </w:t>
      </w:r>
      <w:r w:rsidR="007A1AA4" w:rsidRPr="009001C9">
        <w:rPr>
          <w:snapToGrid/>
          <w:lang w:val="en-US"/>
        </w:rPr>
        <w:t>up to 11%</w:t>
      </w:r>
      <w:r w:rsidRPr="009001C9">
        <w:rPr>
          <w:snapToGrid/>
          <w:lang w:val="en-US"/>
        </w:rPr>
        <w:t xml:space="preserve"> of patients in the high risk subgroups </w:t>
      </w:r>
      <w:r w:rsidR="007A1AA4" w:rsidRPr="009001C9">
        <w:rPr>
          <w:snapToGrid/>
          <w:lang w:val="en-US"/>
        </w:rPr>
        <w:t>report</w:t>
      </w:r>
      <w:r w:rsidRPr="009001C9">
        <w:rPr>
          <w:snapToGrid/>
          <w:lang w:val="en-US"/>
        </w:rPr>
        <w:t>ing</w:t>
      </w:r>
      <w:r w:rsidR="007A1AA4" w:rsidRPr="009001C9">
        <w:rPr>
          <w:snapToGrid/>
          <w:lang w:val="en-US"/>
        </w:rPr>
        <w:t xml:space="preserve"> use of clopidogrel at baseline</w:t>
      </w:r>
      <w:r w:rsidR="001D61EB" w:rsidRPr="009001C9">
        <w:rPr>
          <w:snapToGrid/>
          <w:lang w:val="en-US"/>
        </w:rPr>
        <w:t xml:space="preserve">. </w:t>
      </w:r>
      <w:r w:rsidRPr="009001C9">
        <w:rPr>
          <w:snapToGrid/>
          <w:lang w:val="en-US"/>
        </w:rPr>
        <w:t>Collectively,</w:t>
      </w:r>
      <w:r w:rsidR="00743B5D" w:rsidRPr="009001C9">
        <w:rPr>
          <w:snapToGrid/>
          <w:lang w:val="en-US"/>
        </w:rPr>
        <w:t xml:space="preserve"> the evaluation considered that</w:t>
      </w:r>
      <w:r w:rsidRPr="009001C9">
        <w:rPr>
          <w:snapToGrid/>
          <w:lang w:val="en-US"/>
        </w:rPr>
        <w:t xml:space="preserve"> t</w:t>
      </w:r>
      <w:r w:rsidR="001D61EB" w:rsidRPr="009001C9">
        <w:rPr>
          <w:snapToGrid/>
          <w:lang w:val="en-US"/>
        </w:rPr>
        <w:t xml:space="preserve">his suggests clopidogrel </w:t>
      </w:r>
      <w:r w:rsidR="00A04971" w:rsidRPr="009001C9">
        <w:rPr>
          <w:snapToGrid/>
          <w:lang w:val="en-US"/>
        </w:rPr>
        <w:t>could</w:t>
      </w:r>
      <w:r w:rsidR="001D61EB" w:rsidRPr="009001C9">
        <w:rPr>
          <w:snapToGrid/>
          <w:lang w:val="en-US"/>
        </w:rPr>
        <w:t xml:space="preserve"> be considered an alternative comparator</w:t>
      </w:r>
      <w:r w:rsidRPr="009001C9">
        <w:rPr>
          <w:snapToGrid/>
          <w:lang w:val="en-US"/>
        </w:rPr>
        <w:t>, particularly in populations with a higher level of baseline cardiovascular risk</w:t>
      </w:r>
      <w:r w:rsidR="001D61EB" w:rsidRPr="009001C9">
        <w:rPr>
          <w:snapToGrid/>
          <w:lang w:val="en-US"/>
        </w:rPr>
        <w:t>.</w:t>
      </w:r>
      <w:r w:rsidR="001A389D" w:rsidRPr="009001C9">
        <w:rPr>
          <w:snapToGrid/>
          <w:lang w:val="en-US"/>
        </w:rPr>
        <w:t xml:space="preserve"> </w:t>
      </w:r>
      <w:r w:rsidR="009978BC" w:rsidRPr="009001C9">
        <w:rPr>
          <w:snapToGrid/>
          <w:lang w:val="en-US"/>
        </w:rPr>
        <w:t>While the ESC considered that clopidogrel (in combination with aspirin) may be a relevant comparator, the extent of the overlapping population would likely be small particularly if</w:t>
      </w:r>
      <w:r w:rsidR="001215CD" w:rsidRPr="009001C9">
        <w:rPr>
          <w:snapToGrid/>
          <w:lang w:val="en-US"/>
        </w:rPr>
        <w:t xml:space="preserve"> current</w:t>
      </w:r>
      <w:r w:rsidR="009978BC" w:rsidRPr="009001C9">
        <w:rPr>
          <w:snapToGrid/>
          <w:lang w:val="en-US"/>
        </w:rPr>
        <w:t xml:space="preserve"> clinical guidelines for use of dual anti-platelet</w:t>
      </w:r>
      <w:r w:rsidR="00E26356" w:rsidRPr="009001C9">
        <w:rPr>
          <w:snapToGrid/>
          <w:lang w:val="en-US"/>
        </w:rPr>
        <w:t xml:space="preserve"> therapy</w:t>
      </w:r>
      <w:r w:rsidR="009978BC" w:rsidRPr="009001C9">
        <w:rPr>
          <w:snapToGrid/>
          <w:lang w:val="en-US"/>
        </w:rPr>
        <w:t xml:space="preserve"> </w:t>
      </w:r>
      <w:r w:rsidR="00E26356" w:rsidRPr="009001C9">
        <w:rPr>
          <w:snapToGrid/>
          <w:lang w:val="en-US"/>
        </w:rPr>
        <w:t>are followed</w:t>
      </w:r>
      <w:r w:rsidR="001A389D" w:rsidRPr="009001C9">
        <w:rPr>
          <w:snapToGrid/>
          <w:lang w:val="en-US"/>
        </w:rPr>
        <w:t>.</w:t>
      </w:r>
    </w:p>
    <w:p w:rsidR="00F236E0" w:rsidRPr="007A1AA4" w:rsidRDefault="00F236E0" w:rsidP="00F236E0">
      <w:pPr>
        <w:pStyle w:val="ExecSumBodyText"/>
        <w:numPr>
          <w:ilvl w:val="0"/>
          <w:numId w:val="0"/>
        </w:numPr>
        <w:ind w:left="720"/>
        <w:rPr>
          <w:snapToGrid/>
          <w:lang w:val="en-US"/>
        </w:rPr>
      </w:pPr>
      <w:r w:rsidRPr="00F236E0">
        <w:rPr>
          <w:i/>
          <w:snapToGrid/>
          <w:lang w:val="en-US"/>
        </w:rPr>
        <w:t>For more detail on PBAC’s view, see section 7 PBAC outcome.</w:t>
      </w:r>
    </w:p>
    <w:p w:rsidR="00223D5A" w:rsidRPr="00407F2D" w:rsidRDefault="00223D5A" w:rsidP="00223D5A">
      <w:pPr>
        <w:pStyle w:val="2-SectionHeading"/>
        <w:numPr>
          <w:ilvl w:val="0"/>
          <w:numId w:val="1"/>
        </w:numPr>
      </w:pPr>
      <w:bookmarkStart w:id="10" w:name="_Toc27421949"/>
      <w:bookmarkStart w:id="11" w:name="_Toc22897640"/>
      <w:r>
        <w:t>C</w:t>
      </w:r>
      <w:r w:rsidRPr="00407F2D">
        <w:t>onsideration of the evidence</w:t>
      </w:r>
      <w:bookmarkEnd w:id="10"/>
    </w:p>
    <w:p w:rsidR="007601CC" w:rsidRPr="007601CC" w:rsidRDefault="007601CC" w:rsidP="007601CC">
      <w:pPr>
        <w:pStyle w:val="3-SubsectionHeading"/>
      </w:pPr>
      <w:bookmarkStart w:id="12" w:name="_Toc27421950"/>
      <w:r w:rsidRPr="007601CC">
        <w:t>Sponsor hearing</w:t>
      </w:r>
    </w:p>
    <w:p w:rsidR="00F775CA" w:rsidRPr="00F775CA" w:rsidRDefault="00F775CA" w:rsidP="00F775CA">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There was no hearing for this item. </w:t>
      </w:r>
    </w:p>
    <w:p w:rsidR="007601CC" w:rsidRPr="007601CC" w:rsidRDefault="007601CC" w:rsidP="007601CC">
      <w:pPr>
        <w:pStyle w:val="3-SubsectionHeading"/>
      </w:pPr>
      <w:r w:rsidRPr="007601CC">
        <w:lastRenderedPageBreak/>
        <w:t>Consumer comments</w:t>
      </w:r>
    </w:p>
    <w:p w:rsidR="007601CC" w:rsidRPr="003C1035" w:rsidRDefault="003C1035" w:rsidP="003C1035">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PBAC noted and welcomed the input from health care professionals (3) and organisations (1) via the Consumer Comments facility on the PBS website. The comments described a range of benefits of treatment with rivaroxaban in combination with aspirin </w:t>
      </w:r>
      <w:r w:rsidRPr="00BE5FAF">
        <w:rPr>
          <w:rFonts w:asciiTheme="minorHAnsi" w:hAnsiTheme="minorHAnsi"/>
          <w:bCs/>
        </w:rPr>
        <w:t>including i</w:t>
      </w:r>
      <w:r w:rsidR="007819B0">
        <w:rPr>
          <w:rFonts w:asciiTheme="minorHAnsi" w:hAnsiTheme="minorHAnsi"/>
          <w:bCs/>
        </w:rPr>
        <w:t>mproved cardiovascular outcomes (e.g. myocardial infarction, stroke and cardiovascular death) and reduction in amputation rates for patients with PAD, noting that there are limited therapeutic options for the treatment of PAD in Australia</w:t>
      </w:r>
      <w:r w:rsidR="00313D02">
        <w:rPr>
          <w:rFonts w:asciiTheme="minorHAnsi" w:hAnsiTheme="minorHAnsi"/>
          <w:bCs/>
        </w:rPr>
        <w:t>,</w:t>
      </w:r>
      <w:r w:rsidR="007819B0">
        <w:rPr>
          <w:rFonts w:asciiTheme="minorHAnsi" w:hAnsiTheme="minorHAnsi"/>
          <w:bCs/>
        </w:rPr>
        <w:t xml:space="preserve"> with Indigenous Australians </w:t>
      </w:r>
      <w:r w:rsidR="00121338">
        <w:rPr>
          <w:rFonts w:asciiTheme="minorHAnsi" w:hAnsiTheme="minorHAnsi"/>
          <w:bCs/>
        </w:rPr>
        <w:t>being most at risk.</w:t>
      </w:r>
      <w:r w:rsidR="007819B0">
        <w:rPr>
          <w:rFonts w:asciiTheme="minorHAnsi" w:hAnsiTheme="minorHAnsi"/>
          <w:bCs/>
        </w:rPr>
        <w:t xml:space="preserve"> The </w:t>
      </w:r>
      <w:r w:rsidRPr="00BE5FAF">
        <w:t xml:space="preserve">comments </w:t>
      </w:r>
      <w:r w:rsidR="00121338">
        <w:t xml:space="preserve">from Diabetes Australia noted that </w:t>
      </w:r>
      <w:r w:rsidR="001B44E0">
        <w:t xml:space="preserve">reducing the </w:t>
      </w:r>
      <w:r w:rsidR="00121338">
        <w:t xml:space="preserve">complications </w:t>
      </w:r>
      <w:r w:rsidR="001B44E0">
        <w:t>of</w:t>
      </w:r>
      <w:r w:rsidR="00842D92">
        <w:t xml:space="preserve"> </w:t>
      </w:r>
      <w:r w:rsidR="00121338">
        <w:t>diabetes</w:t>
      </w:r>
      <w:r w:rsidR="00093FAF">
        <w:t xml:space="preserve"> </w:t>
      </w:r>
      <w:r w:rsidR="001B44E0">
        <w:t>(such as stroke, heart disease and vascular disease)</w:t>
      </w:r>
      <w:r w:rsidR="00313D02">
        <w:t xml:space="preserve"> </w:t>
      </w:r>
      <w:r w:rsidR="00121338">
        <w:t xml:space="preserve">is a major element </w:t>
      </w:r>
      <w:r w:rsidR="00B43C2C">
        <w:t>of the</w:t>
      </w:r>
      <w:r w:rsidR="00121338">
        <w:t xml:space="preserve"> Australian National Diabetes Strategy 2016-2020. </w:t>
      </w:r>
    </w:p>
    <w:p w:rsidR="00B60939" w:rsidRPr="00C9624D" w:rsidRDefault="00B60939" w:rsidP="002E4F02">
      <w:pPr>
        <w:pStyle w:val="3-SubsectionHeading"/>
      </w:pPr>
      <w:r w:rsidRPr="00C9624D">
        <w:t>Clinical trial</w:t>
      </w:r>
      <w:bookmarkEnd w:id="11"/>
      <w:bookmarkEnd w:id="12"/>
      <w:r w:rsidR="007601CC">
        <w:t>s</w:t>
      </w:r>
    </w:p>
    <w:p w:rsidR="00D44284" w:rsidRPr="000B6B6A" w:rsidRDefault="00A73134" w:rsidP="00D44284">
      <w:pPr>
        <w:pStyle w:val="ExecSumBodyText"/>
        <w:rPr>
          <w:color w:val="0066FF"/>
        </w:rPr>
      </w:pPr>
      <w:r w:rsidRPr="000B6B6A">
        <w:rPr>
          <w:snapToGrid/>
          <w:lang w:val="en-US"/>
        </w:rPr>
        <w:t xml:space="preserve">The </w:t>
      </w:r>
      <w:r w:rsidR="001D61EB" w:rsidRPr="000B6B6A">
        <w:rPr>
          <w:snapToGrid/>
          <w:lang w:val="en-US"/>
        </w:rPr>
        <w:t>re</w:t>
      </w:r>
      <w:r w:rsidRPr="000B6B6A">
        <w:rPr>
          <w:snapToGrid/>
          <w:lang w:val="en-US"/>
        </w:rPr>
        <w:t xml:space="preserve">submission </w:t>
      </w:r>
      <w:r w:rsidR="00D5243B" w:rsidRPr="000B6B6A">
        <w:rPr>
          <w:snapToGrid/>
          <w:lang w:val="en-US"/>
        </w:rPr>
        <w:t>wa</w:t>
      </w:r>
      <w:r w:rsidR="001D61EB" w:rsidRPr="000B6B6A">
        <w:rPr>
          <w:snapToGrid/>
          <w:lang w:val="en-US"/>
        </w:rPr>
        <w:t xml:space="preserve">s based on </w:t>
      </w:r>
      <w:r w:rsidRPr="000B6B6A">
        <w:rPr>
          <w:snapToGrid/>
          <w:lang w:val="en-US"/>
        </w:rPr>
        <w:t>one head-to-head trial</w:t>
      </w:r>
      <w:r w:rsidR="00D44284" w:rsidRPr="000B6B6A">
        <w:rPr>
          <w:snapToGrid/>
          <w:lang w:val="en-US"/>
        </w:rPr>
        <w:t>, in which patients were</w:t>
      </w:r>
      <w:r w:rsidR="00D44284" w:rsidRPr="00A42106">
        <w:rPr>
          <w:snapToGrid/>
        </w:rPr>
        <w:t xml:space="preserve"> randomised</w:t>
      </w:r>
      <w:r w:rsidR="00D44284" w:rsidRPr="000B6B6A">
        <w:rPr>
          <w:snapToGrid/>
          <w:lang w:val="en-US"/>
        </w:rPr>
        <w:t xml:space="preserve"> in a 1:1:1 ratio to rivaroxaban 2.5 mg twice daily in combination with aspirin 100 mg once daily, or rivaroxaban 5 mg monotherapy twice daily, or aspirin 100 mg</w:t>
      </w:r>
      <w:r w:rsidR="001D61EB" w:rsidRPr="000B6B6A">
        <w:rPr>
          <w:snapToGrid/>
          <w:lang w:val="en-US"/>
        </w:rPr>
        <w:t xml:space="preserve"> monotherapy</w:t>
      </w:r>
      <w:r w:rsidRPr="000B6B6A">
        <w:rPr>
          <w:snapToGrid/>
          <w:lang w:val="en-US"/>
        </w:rPr>
        <w:t xml:space="preserve"> (n=</w:t>
      </w:r>
      <w:r w:rsidR="008135A7" w:rsidRPr="000B6B6A">
        <w:rPr>
          <w:snapToGrid/>
          <w:lang w:val="en-US"/>
        </w:rPr>
        <w:t>27,395</w:t>
      </w:r>
      <w:r w:rsidR="001D61EB" w:rsidRPr="000B6B6A">
        <w:rPr>
          <w:snapToGrid/>
          <w:lang w:val="en-US"/>
        </w:rPr>
        <w:t>; COMPASS</w:t>
      </w:r>
      <w:r w:rsidRPr="000B6B6A">
        <w:rPr>
          <w:snapToGrid/>
          <w:lang w:val="en-US"/>
        </w:rPr>
        <w:t>)</w:t>
      </w:r>
      <w:r w:rsidR="00D44284" w:rsidRPr="000B6B6A">
        <w:rPr>
          <w:snapToGrid/>
          <w:lang w:val="en-US"/>
        </w:rPr>
        <w:t>.</w:t>
      </w:r>
      <w:r w:rsidR="0074784C" w:rsidRPr="000B6B6A">
        <w:rPr>
          <w:snapToGrid/>
          <w:lang w:val="en-US"/>
        </w:rPr>
        <w:t xml:space="preserve"> The COMPASS trial has previously been considered by the PBAC.</w:t>
      </w:r>
      <w:r w:rsidR="007B00AD">
        <w:rPr>
          <w:snapToGrid/>
          <w:lang w:val="en-US"/>
        </w:rPr>
        <w:t xml:space="preserve"> </w:t>
      </w:r>
    </w:p>
    <w:p w:rsidR="007F1017" w:rsidRPr="000B6B6A" w:rsidRDefault="00D44284" w:rsidP="00D44284">
      <w:pPr>
        <w:pStyle w:val="ExecSumBodyText"/>
        <w:rPr>
          <w:color w:val="0066FF"/>
        </w:rPr>
      </w:pPr>
      <w:r w:rsidRPr="000B6B6A">
        <w:rPr>
          <w:snapToGrid/>
          <w:lang w:val="en-US"/>
        </w:rPr>
        <w:t>The resubmission presented</w:t>
      </w:r>
      <w:r w:rsidR="008135A7" w:rsidRPr="000B6B6A">
        <w:rPr>
          <w:snapToGrid/>
          <w:lang w:val="en-US"/>
        </w:rPr>
        <w:t xml:space="preserve"> additional subgroup analyses based on cardiovascular risk </w:t>
      </w:r>
      <w:r w:rsidR="008135A7" w:rsidRPr="00BA4837">
        <w:rPr>
          <w:snapToGrid/>
          <w:lang w:val="en-US"/>
        </w:rPr>
        <w:t xml:space="preserve">factors. </w:t>
      </w:r>
      <w:r w:rsidR="0074784C" w:rsidRPr="00BA4837">
        <w:rPr>
          <w:snapToGrid/>
          <w:lang w:val="en-US"/>
        </w:rPr>
        <w:t xml:space="preserve">Data from the CAD &amp; HF and the CAD &amp; CKD </w:t>
      </w:r>
      <w:r w:rsidR="008135A7" w:rsidRPr="00BA4837">
        <w:rPr>
          <w:snapToGrid/>
          <w:lang w:val="en-US"/>
        </w:rPr>
        <w:t>subgroup analyses have not previously been considered by PBAC</w:t>
      </w:r>
      <w:r w:rsidR="00A73134" w:rsidRPr="00BA4837">
        <w:rPr>
          <w:snapToGrid/>
          <w:lang w:val="en-US"/>
        </w:rPr>
        <w:t>.</w:t>
      </w:r>
      <w:r w:rsidR="00A73134" w:rsidRPr="000B6B6A">
        <w:rPr>
          <w:snapToGrid/>
          <w:lang w:val="en-US"/>
        </w:rPr>
        <w:t xml:space="preserve"> </w:t>
      </w:r>
    </w:p>
    <w:p w:rsidR="00D44284" w:rsidRPr="000B6B6A" w:rsidRDefault="00D44284" w:rsidP="00D44284">
      <w:pPr>
        <w:pStyle w:val="ExecSumBodyText"/>
        <w:rPr>
          <w:color w:val="0066FF"/>
        </w:rPr>
      </w:pPr>
      <w:r w:rsidRPr="000B6B6A">
        <w:t xml:space="preserve">The COMPASS trial used a partial factorial design. Patients who successfully completed the run-in phase were randomised 1:1:1 to rivaroxaban 2.5 mg twice daily in combination with aspirin 100 mg once daily, rivaroxaban 5 mg twice daily, or aspirin 100 mg once daily. Additionally, patients without an existing continuous need for </w:t>
      </w:r>
      <w:r w:rsidRPr="005472C5">
        <w:t>treatment with a proton pump inhibitor</w:t>
      </w:r>
      <w:r w:rsidR="00753893" w:rsidRPr="005472C5">
        <w:t xml:space="preserve"> (PPI)</w:t>
      </w:r>
      <w:r w:rsidRPr="005472C5">
        <w:t xml:space="preserve"> were randomised to pantoprazole or placebo. </w:t>
      </w:r>
      <w:r w:rsidR="00753893" w:rsidRPr="005472C5">
        <w:t xml:space="preserve">The ESC noted that the baseline use of non-study PPIs in this population was high (36%). </w:t>
      </w:r>
      <w:r w:rsidRPr="005472C5">
        <w:t>The objective for pantoprazole randomisation was to determine whether pantoprazole 40 mg once daily compared with placebo reduces the risk of upper gastrointestinal bleeding, ulceration, or obstruction or perforation in patients receiving antithrombotic study medications.</w:t>
      </w:r>
      <w:r w:rsidR="00753893" w:rsidRPr="005472C5">
        <w:t xml:space="preserve"> </w:t>
      </w:r>
      <w:r w:rsidR="003D46C9" w:rsidRPr="005472C5">
        <w:t>The ESC considered t</w:t>
      </w:r>
      <w:r w:rsidR="00753893" w:rsidRPr="005472C5">
        <w:t>here may be lower levels of PPI use in Australian clinical practice than in the COMPASS trial.</w:t>
      </w:r>
      <w:r w:rsidR="00753893" w:rsidRPr="00523EEF">
        <w:rPr>
          <w:i/>
        </w:rPr>
        <w:t xml:space="preserve"> </w:t>
      </w:r>
    </w:p>
    <w:p w:rsidR="00862502" w:rsidRPr="000B6B6A" w:rsidRDefault="00A73134" w:rsidP="002E4F02">
      <w:pPr>
        <w:pStyle w:val="ExecSumBodyText"/>
      </w:pPr>
      <w:r w:rsidRPr="000B6B6A">
        <w:rPr>
          <w:snapToGrid/>
          <w:lang w:val="en-US"/>
        </w:rPr>
        <w:t xml:space="preserve">Details of the </w:t>
      </w:r>
      <w:r w:rsidR="006351BD" w:rsidRPr="000B6B6A">
        <w:rPr>
          <w:snapToGrid/>
          <w:lang w:val="en-US"/>
        </w:rPr>
        <w:t>trial</w:t>
      </w:r>
      <w:r w:rsidRPr="000B6B6A">
        <w:rPr>
          <w:snapToGrid/>
          <w:lang w:val="en-US"/>
        </w:rPr>
        <w:t xml:space="preserve"> presented in the </w:t>
      </w:r>
      <w:r w:rsidR="006351BD" w:rsidRPr="000B6B6A">
        <w:rPr>
          <w:snapToGrid/>
          <w:lang w:val="en-US"/>
        </w:rPr>
        <w:t>re</w:t>
      </w:r>
      <w:r w:rsidRPr="000B6B6A">
        <w:rPr>
          <w:snapToGrid/>
          <w:lang w:val="en-US"/>
        </w:rPr>
        <w:t xml:space="preserve">submission are provided in </w:t>
      </w:r>
      <w:r w:rsidR="008A27E8" w:rsidRPr="000B6B6A">
        <w:rPr>
          <w:snapToGrid/>
          <w:lang w:val="en-US"/>
        </w:rPr>
        <w:t>Table 3</w:t>
      </w:r>
      <w:r w:rsidRPr="000B6B6A">
        <w:rPr>
          <w:snapToGrid/>
          <w:lang w:val="en-US"/>
        </w:rPr>
        <w:t xml:space="preserve"> below.</w:t>
      </w:r>
      <w:r w:rsidR="00BC591F" w:rsidRPr="000B6B6A">
        <w:rPr>
          <w:snapToGrid/>
          <w:lang w:val="en-US"/>
        </w:rPr>
        <w:t xml:space="preserve"> </w:t>
      </w:r>
    </w:p>
    <w:p w:rsidR="008E0D3C" w:rsidRPr="002E4F02" w:rsidRDefault="008E0D3C" w:rsidP="00230DB1">
      <w:pPr>
        <w:pStyle w:val="TableFigureCaption"/>
      </w:pPr>
      <w:r w:rsidRPr="002E4F02">
        <w:lastRenderedPageBreak/>
        <w:t xml:space="preserve">Table </w:t>
      </w:r>
      <w:r w:rsidR="008A27E8">
        <w:t>3</w:t>
      </w:r>
      <w:r w:rsidRPr="002E4F02">
        <w:t>:</w:t>
      </w:r>
      <w:r w:rsidR="00BC591F" w:rsidRPr="002E4F02">
        <w:t xml:space="preserve"> </w:t>
      </w:r>
      <w:r w:rsidRPr="002E4F02">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8E0D3C" w:rsidRPr="00B41614" w:rsidTr="00682BA6">
        <w:trPr>
          <w:cantSplit/>
          <w:tblHeader/>
        </w:trPr>
        <w:tc>
          <w:tcPr>
            <w:tcW w:w="795" w:type="pct"/>
            <w:vAlign w:val="center"/>
          </w:tcPr>
          <w:p w:rsidR="008E0D3C" w:rsidRPr="00B41614" w:rsidRDefault="008E0D3C" w:rsidP="00EC5836">
            <w:pPr>
              <w:pStyle w:val="Tableheadingrow"/>
              <w:jc w:val="center"/>
            </w:pPr>
            <w:r w:rsidRPr="00B41614">
              <w:t>Trial ID</w:t>
            </w:r>
          </w:p>
        </w:tc>
        <w:tc>
          <w:tcPr>
            <w:tcW w:w="2803" w:type="pct"/>
            <w:vAlign w:val="center"/>
          </w:tcPr>
          <w:p w:rsidR="008E0D3C" w:rsidRPr="00B41614" w:rsidRDefault="008E0D3C" w:rsidP="002E4F02">
            <w:pPr>
              <w:pStyle w:val="Tableheadingrow"/>
            </w:pPr>
            <w:r w:rsidRPr="00B41614">
              <w:t>Protocol title/ Publication title</w:t>
            </w:r>
          </w:p>
        </w:tc>
        <w:tc>
          <w:tcPr>
            <w:tcW w:w="1402" w:type="pct"/>
            <w:vAlign w:val="center"/>
          </w:tcPr>
          <w:p w:rsidR="008E0D3C" w:rsidRPr="00B41614" w:rsidRDefault="008E0D3C" w:rsidP="002E4F02">
            <w:pPr>
              <w:pStyle w:val="Tableheadingrow"/>
            </w:pPr>
            <w:r w:rsidRPr="00B41614">
              <w:t>Publication citation</w:t>
            </w:r>
          </w:p>
        </w:tc>
      </w:tr>
      <w:tr w:rsidR="006351BD" w:rsidRPr="00CB38A8" w:rsidTr="00BB732D">
        <w:trPr>
          <w:cantSplit/>
        </w:trPr>
        <w:tc>
          <w:tcPr>
            <w:tcW w:w="795" w:type="pct"/>
            <w:vMerge w:val="restart"/>
            <w:vAlign w:val="center"/>
          </w:tcPr>
          <w:p w:rsidR="006351BD" w:rsidRPr="00CB38A8" w:rsidRDefault="006351BD" w:rsidP="006351BD">
            <w:pPr>
              <w:pStyle w:val="TableText"/>
              <w:jc w:val="center"/>
              <w:rPr>
                <w:rFonts w:ascii="Times" w:hAnsi="Times"/>
              </w:rPr>
            </w:pPr>
            <w:r>
              <w:t>COMPASS</w:t>
            </w:r>
          </w:p>
        </w:tc>
        <w:tc>
          <w:tcPr>
            <w:tcW w:w="2803" w:type="pct"/>
            <w:tcBorders>
              <w:bottom w:val="nil"/>
            </w:tcBorders>
            <w:vAlign w:val="center"/>
          </w:tcPr>
          <w:p w:rsidR="006351BD" w:rsidRPr="00AB6248" w:rsidRDefault="006351BD" w:rsidP="006351BD">
            <w:pPr>
              <w:pStyle w:val="TableText"/>
            </w:pPr>
            <w:r w:rsidRPr="007642BB">
              <w:rPr>
                <w:szCs w:val="18"/>
              </w:rPr>
              <w:t xml:space="preserve">A Randomized Controlled Trial of Rivaroxaban for the Prevention of Major Cardiovascular Events in Patients With Coronary or Peripheral Artery Disease (COMPASS - Cardiovascular </w:t>
            </w:r>
            <w:r w:rsidR="00A42106" w:rsidRPr="007642BB">
              <w:rPr>
                <w:szCs w:val="18"/>
              </w:rPr>
              <w:t>Outcomes</w:t>
            </w:r>
            <w:r w:rsidRPr="007642BB">
              <w:rPr>
                <w:szCs w:val="18"/>
              </w:rPr>
              <w:t xml:space="preserve"> for People Using Anticoagulation </w:t>
            </w:r>
            <w:r w:rsidR="00A42106" w:rsidRPr="007642BB">
              <w:rPr>
                <w:szCs w:val="18"/>
              </w:rPr>
              <w:t>Strategies</w:t>
            </w:r>
            <w:r w:rsidRPr="007642BB">
              <w:rPr>
                <w:szCs w:val="18"/>
              </w:rPr>
              <w:t>).</w:t>
            </w:r>
          </w:p>
        </w:tc>
        <w:tc>
          <w:tcPr>
            <w:tcW w:w="1402" w:type="pct"/>
            <w:tcBorders>
              <w:bottom w:val="nil"/>
            </w:tcBorders>
            <w:vAlign w:val="center"/>
          </w:tcPr>
          <w:p w:rsidR="006351BD" w:rsidRPr="00CB38A8" w:rsidRDefault="006351BD" w:rsidP="006351BD">
            <w:pPr>
              <w:pStyle w:val="TableText"/>
              <w:rPr>
                <w:rFonts w:ascii="Times" w:hAnsi="Times"/>
              </w:rPr>
            </w:pPr>
            <w:r>
              <w:t>Internal study report; 16 October 2017</w:t>
            </w:r>
          </w:p>
        </w:tc>
      </w:tr>
      <w:tr w:rsidR="006351BD" w:rsidRPr="00CB38A8" w:rsidTr="00BB732D">
        <w:trPr>
          <w:cantSplit/>
        </w:trPr>
        <w:tc>
          <w:tcPr>
            <w:tcW w:w="795" w:type="pct"/>
            <w:vMerge/>
            <w:vAlign w:val="center"/>
          </w:tcPr>
          <w:p w:rsidR="006351BD" w:rsidRPr="00CB38A8" w:rsidRDefault="006351BD" w:rsidP="006351BD">
            <w:pPr>
              <w:pStyle w:val="TableText"/>
              <w:jc w:val="center"/>
            </w:pPr>
          </w:p>
        </w:tc>
        <w:tc>
          <w:tcPr>
            <w:tcW w:w="2803" w:type="pct"/>
            <w:tcBorders>
              <w:top w:val="nil"/>
              <w:bottom w:val="nil"/>
            </w:tcBorders>
            <w:vAlign w:val="center"/>
          </w:tcPr>
          <w:p w:rsidR="006351BD" w:rsidRPr="00E34A35" w:rsidRDefault="006351BD" w:rsidP="006351BD">
            <w:pPr>
              <w:pStyle w:val="TableText"/>
            </w:pPr>
            <w:r w:rsidRPr="00E510B5">
              <w:rPr>
                <w:szCs w:val="18"/>
              </w:rPr>
              <w:t>Eikelboom et al.</w:t>
            </w:r>
            <w:r>
              <w:rPr>
                <w:szCs w:val="18"/>
              </w:rPr>
              <w:t xml:space="preserve"> (2017).</w:t>
            </w:r>
            <w:r w:rsidRPr="00E510B5">
              <w:rPr>
                <w:szCs w:val="18"/>
              </w:rPr>
              <w:t xml:space="preserve"> Rivaroxaban with or without Aspirin in Stable Cardiovascular Disease. </w:t>
            </w:r>
          </w:p>
        </w:tc>
        <w:tc>
          <w:tcPr>
            <w:tcW w:w="1402" w:type="pct"/>
            <w:tcBorders>
              <w:top w:val="nil"/>
              <w:bottom w:val="nil"/>
            </w:tcBorders>
            <w:vAlign w:val="center"/>
          </w:tcPr>
          <w:p w:rsidR="006351BD" w:rsidRPr="00E34A35" w:rsidRDefault="006351BD" w:rsidP="006351BD">
            <w:pPr>
              <w:pStyle w:val="TableText"/>
            </w:pPr>
            <w:r>
              <w:rPr>
                <w:szCs w:val="18"/>
              </w:rPr>
              <w:t>NEJM</w:t>
            </w:r>
            <w:r w:rsidRPr="00E510B5">
              <w:rPr>
                <w:szCs w:val="18"/>
              </w:rPr>
              <w:t xml:space="preserve"> </w:t>
            </w:r>
            <w:r>
              <w:rPr>
                <w:szCs w:val="18"/>
              </w:rPr>
              <w:t>377(14): 1319-1330</w:t>
            </w:r>
          </w:p>
        </w:tc>
      </w:tr>
      <w:tr w:rsidR="006351BD" w:rsidRPr="00CB38A8" w:rsidTr="00CD0F71">
        <w:trPr>
          <w:cantSplit/>
        </w:trPr>
        <w:tc>
          <w:tcPr>
            <w:tcW w:w="795" w:type="pct"/>
            <w:vMerge/>
            <w:vAlign w:val="center"/>
          </w:tcPr>
          <w:p w:rsidR="006351BD" w:rsidRPr="00CB38A8" w:rsidRDefault="006351BD" w:rsidP="006351BD">
            <w:pPr>
              <w:pStyle w:val="TableText"/>
              <w:jc w:val="center"/>
            </w:pPr>
          </w:p>
        </w:tc>
        <w:tc>
          <w:tcPr>
            <w:tcW w:w="2803" w:type="pct"/>
            <w:tcBorders>
              <w:top w:val="nil"/>
              <w:bottom w:val="nil"/>
            </w:tcBorders>
            <w:vAlign w:val="center"/>
          </w:tcPr>
          <w:p w:rsidR="006351BD" w:rsidRPr="00AB6248" w:rsidRDefault="006351BD" w:rsidP="006351BD">
            <w:pPr>
              <w:pStyle w:val="TableText"/>
              <w:rPr>
                <w:lang w:val="en-US"/>
              </w:rPr>
            </w:pPr>
            <w:r w:rsidRPr="00A75CB2">
              <w:rPr>
                <w:szCs w:val="18"/>
              </w:rPr>
              <w:t>Anand et al. (2019) Rivaroxaban plus aspirin in relation to vascular risk in the COMPASS trial.</w:t>
            </w:r>
          </w:p>
        </w:tc>
        <w:tc>
          <w:tcPr>
            <w:tcW w:w="1402" w:type="pct"/>
            <w:tcBorders>
              <w:top w:val="nil"/>
              <w:bottom w:val="nil"/>
            </w:tcBorders>
            <w:vAlign w:val="center"/>
          </w:tcPr>
          <w:p w:rsidR="006351BD" w:rsidRPr="00AB6248" w:rsidRDefault="006351BD" w:rsidP="006351BD">
            <w:pPr>
              <w:pStyle w:val="TableText"/>
              <w:rPr>
                <w:i/>
                <w:lang w:val="en-US"/>
              </w:rPr>
            </w:pPr>
            <w:r>
              <w:rPr>
                <w:szCs w:val="18"/>
              </w:rPr>
              <w:t>J Am Coll Cardiol</w:t>
            </w:r>
            <w:r w:rsidRPr="00A75CB2">
              <w:rPr>
                <w:szCs w:val="18"/>
              </w:rPr>
              <w:t xml:space="preserve"> 73(25): 3271-3280</w:t>
            </w:r>
          </w:p>
        </w:tc>
      </w:tr>
      <w:tr w:rsidR="006351BD" w:rsidRPr="00CB38A8" w:rsidTr="00CD0F71">
        <w:trPr>
          <w:cantSplit/>
        </w:trPr>
        <w:tc>
          <w:tcPr>
            <w:tcW w:w="795" w:type="pct"/>
            <w:vMerge/>
            <w:vAlign w:val="center"/>
          </w:tcPr>
          <w:p w:rsidR="006351BD" w:rsidRPr="00CB38A8" w:rsidRDefault="006351BD" w:rsidP="006351BD">
            <w:pPr>
              <w:pStyle w:val="TableText"/>
              <w:jc w:val="center"/>
              <w:rPr>
                <w:rFonts w:ascii="Times" w:hAnsi="Times"/>
              </w:rPr>
            </w:pPr>
          </w:p>
        </w:tc>
        <w:tc>
          <w:tcPr>
            <w:tcW w:w="2803" w:type="pct"/>
            <w:tcBorders>
              <w:top w:val="nil"/>
              <w:bottom w:val="nil"/>
            </w:tcBorders>
            <w:vAlign w:val="center"/>
          </w:tcPr>
          <w:p w:rsidR="006351BD" w:rsidRPr="00CB38A8" w:rsidRDefault="006351BD" w:rsidP="006351BD">
            <w:pPr>
              <w:pStyle w:val="TableText"/>
              <w:rPr>
                <w:rFonts w:ascii="Times" w:hAnsi="Times"/>
              </w:rPr>
            </w:pPr>
            <w:r w:rsidRPr="00E510B5">
              <w:rPr>
                <w:szCs w:val="18"/>
                <w:lang w:val="en-US"/>
              </w:rPr>
              <w:t>Anand et al.</w:t>
            </w:r>
            <w:r>
              <w:rPr>
                <w:szCs w:val="18"/>
                <w:lang w:val="en-US"/>
              </w:rPr>
              <w:t xml:space="preserve"> (2018).</w:t>
            </w:r>
            <w:r w:rsidRPr="00E510B5">
              <w:rPr>
                <w:szCs w:val="18"/>
                <w:lang w:val="en-US"/>
              </w:rPr>
              <w:t xml:space="preserve"> Major Adverse Limb Events and Mortality in Patients With Peripheral Artery Disease: The COMPASS Trial. </w:t>
            </w:r>
          </w:p>
        </w:tc>
        <w:tc>
          <w:tcPr>
            <w:tcW w:w="1402" w:type="pct"/>
            <w:tcBorders>
              <w:top w:val="nil"/>
              <w:bottom w:val="nil"/>
            </w:tcBorders>
            <w:vAlign w:val="center"/>
          </w:tcPr>
          <w:p w:rsidR="006351BD" w:rsidRPr="004A2558" w:rsidRDefault="006351BD" w:rsidP="006351BD">
            <w:pPr>
              <w:pStyle w:val="TableText"/>
            </w:pPr>
            <w:r w:rsidRPr="006E1DFF">
              <w:rPr>
                <w:szCs w:val="18"/>
              </w:rPr>
              <w:t>J Am Coll Cardiol</w:t>
            </w:r>
            <w:r>
              <w:rPr>
                <w:szCs w:val="18"/>
              </w:rPr>
              <w:t xml:space="preserve"> </w:t>
            </w:r>
            <w:r w:rsidRPr="00E510B5">
              <w:rPr>
                <w:szCs w:val="18"/>
                <w:lang w:val="en-US"/>
              </w:rPr>
              <w:t>71 (20):</w:t>
            </w:r>
            <w:r>
              <w:rPr>
                <w:szCs w:val="18"/>
                <w:lang w:val="en-US"/>
              </w:rPr>
              <w:t xml:space="preserve"> </w:t>
            </w:r>
            <w:r w:rsidRPr="00E510B5">
              <w:rPr>
                <w:szCs w:val="18"/>
                <w:lang w:val="en-US"/>
              </w:rPr>
              <w:t>2306-2</w:t>
            </w:r>
            <w:r>
              <w:rPr>
                <w:szCs w:val="18"/>
                <w:lang w:val="en-US"/>
              </w:rPr>
              <w:t>315</w:t>
            </w:r>
          </w:p>
        </w:tc>
      </w:tr>
      <w:tr w:rsidR="006351BD" w:rsidRPr="00CB38A8" w:rsidTr="00BB732D">
        <w:trPr>
          <w:cantSplit/>
        </w:trPr>
        <w:tc>
          <w:tcPr>
            <w:tcW w:w="795" w:type="pct"/>
            <w:vMerge/>
            <w:vAlign w:val="center"/>
          </w:tcPr>
          <w:p w:rsidR="006351BD" w:rsidRPr="00CB38A8" w:rsidRDefault="006351BD" w:rsidP="006351BD">
            <w:pPr>
              <w:pStyle w:val="TableText"/>
              <w:jc w:val="center"/>
            </w:pPr>
          </w:p>
        </w:tc>
        <w:tc>
          <w:tcPr>
            <w:tcW w:w="2803" w:type="pct"/>
            <w:tcBorders>
              <w:top w:val="nil"/>
              <w:bottom w:val="nil"/>
            </w:tcBorders>
            <w:vAlign w:val="center"/>
          </w:tcPr>
          <w:p w:rsidR="006351BD" w:rsidRPr="00E34A35" w:rsidRDefault="006351BD" w:rsidP="006351BD">
            <w:pPr>
              <w:pStyle w:val="TableText"/>
            </w:pPr>
            <w:r w:rsidRPr="00E510B5">
              <w:rPr>
                <w:szCs w:val="18"/>
              </w:rPr>
              <w:t>Anand et al.</w:t>
            </w:r>
            <w:r>
              <w:rPr>
                <w:szCs w:val="18"/>
              </w:rPr>
              <w:t xml:space="preserve"> (2017).</w:t>
            </w:r>
            <w:r w:rsidRPr="00E510B5">
              <w:rPr>
                <w:szCs w:val="18"/>
              </w:rPr>
              <w:t xml:space="preserve"> Rivaroxaban with or without aspirin in patients with stable peripheral or carotid artery disease: An international, randomised, double-blind, placebo-controlled trial. </w:t>
            </w:r>
          </w:p>
        </w:tc>
        <w:tc>
          <w:tcPr>
            <w:tcW w:w="1402" w:type="pct"/>
            <w:tcBorders>
              <w:top w:val="nil"/>
              <w:bottom w:val="nil"/>
            </w:tcBorders>
            <w:vAlign w:val="center"/>
          </w:tcPr>
          <w:p w:rsidR="006351BD" w:rsidRPr="00CB38A8" w:rsidRDefault="006351BD" w:rsidP="006351BD">
            <w:pPr>
              <w:pStyle w:val="TableText"/>
              <w:rPr>
                <w:i/>
              </w:rPr>
            </w:pPr>
            <w:r w:rsidRPr="00E510B5">
              <w:rPr>
                <w:szCs w:val="18"/>
              </w:rPr>
              <w:t>The Lancet S0140-6736(17)</w:t>
            </w:r>
            <w:r>
              <w:rPr>
                <w:szCs w:val="18"/>
              </w:rPr>
              <w:t xml:space="preserve">: </w:t>
            </w:r>
            <w:r w:rsidRPr="00E510B5">
              <w:rPr>
                <w:szCs w:val="18"/>
              </w:rPr>
              <w:t>32409-1.</w:t>
            </w:r>
          </w:p>
        </w:tc>
      </w:tr>
      <w:tr w:rsidR="006351BD" w:rsidRPr="00CB38A8" w:rsidTr="00CD0F71">
        <w:trPr>
          <w:cantSplit/>
        </w:trPr>
        <w:tc>
          <w:tcPr>
            <w:tcW w:w="795" w:type="pct"/>
            <w:vMerge/>
            <w:vAlign w:val="center"/>
          </w:tcPr>
          <w:p w:rsidR="006351BD" w:rsidRPr="00CB38A8" w:rsidRDefault="006351BD" w:rsidP="006351BD">
            <w:pPr>
              <w:pStyle w:val="TableText"/>
              <w:jc w:val="center"/>
            </w:pPr>
          </w:p>
        </w:tc>
        <w:tc>
          <w:tcPr>
            <w:tcW w:w="2803" w:type="pct"/>
            <w:tcBorders>
              <w:top w:val="nil"/>
              <w:bottom w:val="nil"/>
            </w:tcBorders>
            <w:vAlign w:val="center"/>
          </w:tcPr>
          <w:p w:rsidR="006351BD" w:rsidRPr="00804917" w:rsidRDefault="006351BD" w:rsidP="006351BD">
            <w:pPr>
              <w:pStyle w:val="TableText"/>
            </w:pPr>
            <w:r w:rsidRPr="00E510B5">
              <w:rPr>
                <w:szCs w:val="18"/>
              </w:rPr>
              <w:t xml:space="preserve">Connolly et al., Rivaroxaban with or without aspirin in patients with stable coronary artery disease: An international, randomised, double-blind, placebo-controlled trial. </w:t>
            </w:r>
          </w:p>
        </w:tc>
        <w:tc>
          <w:tcPr>
            <w:tcW w:w="1402" w:type="pct"/>
            <w:tcBorders>
              <w:top w:val="nil"/>
              <w:bottom w:val="nil"/>
            </w:tcBorders>
            <w:vAlign w:val="center"/>
          </w:tcPr>
          <w:p w:rsidR="006351BD" w:rsidRPr="005C3BD2" w:rsidRDefault="006351BD" w:rsidP="006351BD">
            <w:pPr>
              <w:pStyle w:val="TableText"/>
              <w:rPr>
                <w:rFonts w:ascii="Times" w:hAnsi="Times"/>
              </w:rPr>
            </w:pPr>
            <w:r w:rsidRPr="00E510B5">
              <w:rPr>
                <w:szCs w:val="18"/>
              </w:rPr>
              <w:t>The Lancet S0140-6736(17)</w:t>
            </w:r>
            <w:r>
              <w:rPr>
                <w:szCs w:val="18"/>
              </w:rPr>
              <w:t xml:space="preserve">: </w:t>
            </w:r>
            <w:r w:rsidRPr="00E510B5">
              <w:rPr>
                <w:szCs w:val="18"/>
              </w:rPr>
              <w:t>32458-3.</w:t>
            </w:r>
          </w:p>
        </w:tc>
      </w:tr>
      <w:tr w:rsidR="006351BD" w:rsidRPr="00CB38A8" w:rsidTr="00CD0F71">
        <w:trPr>
          <w:cantSplit/>
        </w:trPr>
        <w:tc>
          <w:tcPr>
            <w:tcW w:w="795" w:type="pct"/>
            <w:vMerge/>
            <w:vAlign w:val="center"/>
          </w:tcPr>
          <w:p w:rsidR="006351BD" w:rsidRPr="00CB38A8" w:rsidRDefault="006351BD" w:rsidP="006351BD">
            <w:pPr>
              <w:pStyle w:val="TableText"/>
              <w:jc w:val="center"/>
            </w:pPr>
          </w:p>
        </w:tc>
        <w:tc>
          <w:tcPr>
            <w:tcW w:w="2803" w:type="pct"/>
            <w:tcBorders>
              <w:top w:val="nil"/>
              <w:bottom w:val="nil"/>
            </w:tcBorders>
            <w:vAlign w:val="center"/>
          </w:tcPr>
          <w:p w:rsidR="006351BD" w:rsidRPr="00CB38A8" w:rsidRDefault="006351BD" w:rsidP="006351BD">
            <w:pPr>
              <w:pStyle w:val="TableText"/>
              <w:rPr>
                <w:rFonts w:ascii="Times" w:hAnsi="Times"/>
              </w:rPr>
            </w:pPr>
            <w:r w:rsidRPr="00A75CB2">
              <w:rPr>
                <w:szCs w:val="18"/>
              </w:rPr>
              <w:t>Fox et al. (2019b) Rivaroxaban plus aspirin in patients with vascular disease and renal dysfunction: From the COMPASS trial.</w:t>
            </w:r>
          </w:p>
        </w:tc>
        <w:tc>
          <w:tcPr>
            <w:tcW w:w="1402" w:type="pct"/>
            <w:tcBorders>
              <w:top w:val="nil"/>
              <w:bottom w:val="nil"/>
            </w:tcBorders>
            <w:vAlign w:val="center"/>
          </w:tcPr>
          <w:p w:rsidR="006351BD" w:rsidRPr="00CB38A8" w:rsidRDefault="006351BD" w:rsidP="006351BD">
            <w:pPr>
              <w:pStyle w:val="TableText"/>
              <w:rPr>
                <w:rFonts w:ascii="Times" w:hAnsi="Times"/>
              </w:rPr>
            </w:pPr>
            <w:r>
              <w:rPr>
                <w:szCs w:val="18"/>
              </w:rPr>
              <w:t>J Am Coll Cardiol 73(18): 2243-2250.</w:t>
            </w:r>
          </w:p>
        </w:tc>
      </w:tr>
      <w:tr w:rsidR="006351BD" w:rsidRPr="00CB38A8" w:rsidTr="006351BD">
        <w:trPr>
          <w:cantSplit/>
        </w:trPr>
        <w:tc>
          <w:tcPr>
            <w:tcW w:w="795" w:type="pct"/>
            <w:vMerge/>
            <w:vAlign w:val="center"/>
          </w:tcPr>
          <w:p w:rsidR="006351BD" w:rsidRPr="00CB38A8" w:rsidRDefault="006351BD" w:rsidP="006351BD">
            <w:pPr>
              <w:keepNext/>
              <w:keepLines/>
            </w:pPr>
          </w:p>
        </w:tc>
        <w:tc>
          <w:tcPr>
            <w:tcW w:w="2803" w:type="pct"/>
            <w:tcBorders>
              <w:top w:val="nil"/>
              <w:bottom w:val="nil"/>
            </w:tcBorders>
            <w:vAlign w:val="center"/>
          </w:tcPr>
          <w:p w:rsidR="006351BD" w:rsidRPr="00AC45E8" w:rsidRDefault="006351BD" w:rsidP="006351BD">
            <w:pPr>
              <w:pStyle w:val="TableText"/>
            </w:pPr>
            <w:r w:rsidRPr="00E21CFC">
              <w:rPr>
                <w:szCs w:val="18"/>
              </w:rPr>
              <w:t>Branch et al. (2019) Rivaroxaban with or without aspirin in patients with heart failure and chronic coronary or peripheral artery disease.</w:t>
            </w:r>
          </w:p>
        </w:tc>
        <w:tc>
          <w:tcPr>
            <w:tcW w:w="1402" w:type="pct"/>
            <w:tcBorders>
              <w:top w:val="nil"/>
              <w:bottom w:val="nil"/>
            </w:tcBorders>
            <w:vAlign w:val="center"/>
          </w:tcPr>
          <w:p w:rsidR="006351BD" w:rsidRPr="00AC45E8" w:rsidRDefault="006351BD" w:rsidP="006351BD">
            <w:pPr>
              <w:pStyle w:val="TableText"/>
            </w:pPr>
            <w:r>
              <w:rPr>
                <w:szCs w:val="18"/>
              </w:rPr>
              <w:t>Circulation 140: 529-537.</w:t>
            </w:r>
          </w:p>
        </w:tc>
      </w:tr>
      <w:tr w:rsidR="006351BD" w:rsidRPr="00CB38A8" w:rsidTr="006351BD">
        <w:trPr>
          <w:cantSplit/>
        </w:trPr>
        <w:tc>
          <w:tcPr>
            <w:tcW w:w="795" w:type="pct"/>
            <w:vMerge/>
            <w:vAlign w:val="center"/>
          </w:tcPr>
          <w:p w:rsidR="006351BD" w:rsidRPr="00CB38A8" w:rsidRDefault="006351BD" w:rsidP="006351BD">
            <w:pPr>
              <w:keepNext/>
              <w:keepLines/>
            </w:pPr>
          </w:p>
        </w:tc>
        <w:tc>
          <w:tcPr>
            <w:tcW w:w="2803" w:type="pct"/>
            <w:tcBorders>
              <w:top w:val="nil"/>
              <w:bottom w:val="nil"/>
            </w:tcBorders>
            <w:vAlign w:val="center"/>
          </w:tcPr>
          <w:p w:rsidR="006351BD" w:rsidRDefault="006351BD" w:rsidP="006351BD">
            <w:pPr>
              <w:pStyle w:val="TableText"/>
            </w:pPr>
            <w:r w:rsidRPr="00E21CFC">
              <w:rPr>
                <w:szCs w:val="18"/>
              </w:rPr>
              <w:t>Eikelboom et al. (2019). Major Bleeding in Patients With Coronary or Peripheral Artery Disease Treated With Rivaroxaban Plus Aspirin.</w:t>
            </w:r>
          </w:p>
        </w:tc>
        <w:tc>
          <w:tcPr>
            <w:tcW w:w="1402" w:type="pct"/>
            <w:tcBorders>
              <w:top w:val="nil"/>
              <w:bottom w:val="nil"/>
            </w:tcBorders>
            <w:vAlign w:val="center"/>
          </w:tcPr>
          <w:p w:rsidR="006351BD" w:rsidRDefault="006351BD" w:rsidP="006351BD">
            <w:pPr>
              <w:pStyle w:val="TableText"/>
              <w:rPr>
                <w:i/>
              </w:rPr>
            </w:pPr>
            <w:r w:rsidRPr="00E21CFC">
              <w:rPr>
                <w:szCs w:val="18"/>
              </w:rPr>
              <w:t>J Am Coll Cardiol</w:t>
            </w:r>
            <w:r>
              <w:rPr>
                <w:szCs w:val="18"/>
              </w:rPr>
              <w:t xml:space="preserve"> 74 (12): 1519-</w:t>
            </w:r>
            <w:r w:rsidRPr="00E21CFC">
              <w:rPr>
                <w:szCs w:val="18"/>
              </w:rPr>
              <w:t>1528.</w:t>
            </w:r>
          </w:p>
        </w:tc>
      </w:tr>
      <w:tr w:rsidR="006351BD" w:rsidRPr="00CB38A8" w:rsidTr="006351BD">
        <w:trPr>
          <w:cantSplit/>
        </w:trPr>
        <w:tc>
          <w:tcPr>
            <w:tcW w:w="795" w:type="pct"/>
            <w:vMerge/>
            <w:vAlign w:val="center"/>
          </w:tcPr>
          <w:p w:rsidR="006351BD" w:rsidRPr="00CB38A8" w:rsidRDefault="006351BD" w:rsidP="006351BD">
            <w:pPr>
              <w:keepNext/>
              <w:keepLines/>
            </w:pPr>
          </w:p>
        </w:tc>
        <w:tc>
          <w:tcPr>
            <w:tcW w:w="2803" w:type="pct"/>
            <w:tcBorders>
              <w:top w:val="nil"/>
              <w:bottom w:val="nil"/>
            </w:tcBorders>
            <w:vAlign w:val="center"/>
          </w:tcPr>
          <w:p w:rsidR="006351BD" w:rsidRDefault="006351BD" w:rsidP="006351BD">
            <w:pPr>
              <w:pStyle w:val="TableText"/>
            </w:pPr>
            <w:r w:rsidRPr="00E21CFC">
              <w:rPr>
                <w:szCs w:val="18"/>
              </w:rPr>
              <w:t xml:space="preserve">Lamy et al. (2019). Rivaroxaban, Aspirin, or Both to Prevent Early Coronary Bypass Graft Occlusion: The COMPASS-CABG Study. </w:t>
            </w:r>
          </w:p>
        </w:tc>
        <w:tc>
          <w:tcPr>
            <w:tcW w:w="1402" w:type="pct"/>
            <w:tcBorders>
              <w:top w:val="nil"/>
              <w:bottom w:val="nil"/>
            </w:tcBorders>
            <w:vAlign w:val="center"/>
          </w:tcPr>
          <w:p w:rsidR="006351BD" w:rsidRDefault="006351BD" w:rsidP="006351BD">
            <w:pPr>
              <w:pStyle w:val="TableText"/>
              <w:rPr>
                <w:i/>
              </w:rPr>
            </w:pPr>
            <w:r w:rsidRPr="00E21CFC">
              <w:rPr>
                <w:szCs w:val="18"/>
              </w:rPr>
              <w:t>J Am Coll Cardiol 2019; 73 (2): 121-130.</w:t>
            </w:r>
          </w:p>
        </w:tc>
      </w:tr>
      <w:tr w:rsidR="006351BD" w:rsidRPr="00CB38A8" w:rsidTr="006351BD">
        <w:trPr>
          <w:cantSplit/>
        </w:trPr>
        <w:tc>
          <w:tcPr>
            <w:tcW w:w="795" w:type="pct"/>
            <w:vMerge/>
            <w:vAlign w:val="center"/>
          </w:tcPr>
          <w:p w:rsidR="006351BD" w:rsidRPr="00CB38A8" w:rsidRDefault="006351BD" w:rsidP="006351BD">
            <w:pPr>
              <w:keepNext/>
              <w:keepLines/>
            </w:pPr>
          </w:p>
        </w:tc>
        <w:tc>
          <w:tcPr>
            <w:tcW w:w="2803" w:type="pct"/>
            <w:tcBorders>
              <w:top w:val="nil"/>
              <w:bottom w:val="nil"/>
            </w:tcBorders>
            <w:vAlign w:val="center"/>
          </w:tcPr>
          <w:p w:rsidR="006351BD" w:rsidRDefault="006351BD" w:rsidP="006351BD">
            <w:pPr>
              <w:pStyle w:val="TableText"/>
            </w:pPr>
            <w:r w:rsidRPr="00E21CFC">
              <w:rPr>
                <w:szCs w:val="18"/>
              </w:rPr>
              <w:t xml:space="preserve">Sharma et al. (2019). Stroke Outcomes in the COMPASS Trial. </w:t>
            </w:r>
          </w:p>
        </w:tc>
        <w:tc>
          <w:tcPr>
            <w:tcW w:w="1402" w:type="pct"/>
            <w:tcBorders>
              <w:top w:val="nil"/>
              <w:bottom w:val="nil"/>
            </w:tcBorders>
            <w:vAlign w:val="center"/>
          </w:tcPr>
          <w:p w:rsidR="006351BD" w:rsidRDefault="006351BD" w:rsidP="006351BD">
            <w:pPr>
              <w:pStyle w:val="TableText"/>
              <w:rPr>
                <w:i/>
              </w:rPr>
            </w:pPr>
            <w:r w:rsidRPr="00E21CFC">
              <w:rPr>
                <w:szCs w:val="18"/>
              </w:rPr>
              <w:t>Circulation 2019; 139 (9): 1134-1145.</w:t>
            </w:r>
          </w:p>
        </w:tc>
      </w:tr>
      <w:tr w:rsidR="006351BD" w:rsidRPr="00CB38A8" w:rsidTr="006351BD">
        <w:trPr>
          <w:cantSplit/>
        </w:trPr>
        <w:tc>
          <w:tcPr>
            <w:tcW w:w="795" w:type="pct"/>
            <w:vMerge/>
            <w:vAlign w:val="center"/>
          </w:tcPr>
          <w:p w:rsidR="006351BD" w:rsidRPr="00CB38A8" w:rsidRDefault="006351BD" w:rsidP="006351BD">
            <w:pPr>
              <w:keepNext/>
              <w:keepLines/>
            </w:pPr>
          </w:p>
        </w:tc>
        <w:tc>
          <w:tcPr>
            <w:tcW w:w="2803" w:type="pct"/>
            <w:tcBorders>
              <w:top w:val="nil"/>
              <w:bottom w:val="nil"/>
            </w:tcBorders>
            <w:vAlign w:val="center"/>
          </w:tcPr>
          <w:p w:rsidR="006351BD" w:rsidRDefault="006351BD" w:rsidP="006351BD">
            <w:pPr>
              <w:pStyle w:val="TableText"/>
            </w:pPr>
            <w:r w:rsidRPr="00C94885">
              <w:rPr>
                <w:szCs w:val="18"/>
              </w:rPr>
              <w:t xml:space="preserve">Moayyedi et al. (2019a). Safety of Proton Pump Inhibitors Based on a Large, Multi-Year, Randomised Trial of Patients Receiving Rivaroxaban or Aspirin. </w:t>
            </w:r>
          </w:p>
        </w:tc>
        <w:tc>
          <w:tcPr>
            <w:tcW w:w="1402" w:type="pct"/>
            <w:tcBorders>
              <w:top w:val="nil"/>
              <w:bottom w:val="nil"/>
            </w:tcBorders>
            <w:vAlign w:val="center"/>
          </w:tcPr>
          <w:p w:rsidR="006351BD" w:rsidRDefault="00184CC5" w:rsidP="006351BD">
            <w:pPr>
              <w:pStyle w:val="TableText"/>
              <w:rPr>
                <w:i/>
              </w:rPr>
            </w:pPr>
            <w:r w:rsidRPr="00C94885">
              <w:rPr>
                <w:szCs w:val="18"/>
              </w:rPr>
              <w:t>Gastroente</w:t>
            </w:r>
            <w:r>
              <w:rPr>
                <w:szCs w:val="18"/>
              </w:rPr>
              <w:t>rology</w:t>
            </w:r>
            <w:r w:rsidR="006351BD">
              <w:rPr>
                <w:szCs w:val="18"/>
              </w:rPr>
              <w:t xml:space="preserve"> 157 (3): 682691.e2.</w:t>
            </w:r>
          </w:p>
        </w:tc>
      </w:tr>
      <w:tr w:rsidR="006351BD" w:rsidRPr="00CB38A8" w:rsidTr="00CD0F71">
        <w:trPr>
          <w:cantSplit/>
        </w:trPr>
        <w:tc>
          <w:tcPr>
            <w:tcW w:w="795" w:type="pct"/>
            <w:vMerge/>
            <w:vAlign w:val="center"/>
          </w:tcPr>
          <w:p w:rsidR="006351BD" w:rsidRPr="00CB38A8" w:rsidRDefault="006351BD" w:rsidP="006351BD">
            <w:pPr>
              <w:keepNext/>
              <w:keepLines/>
            </w:pPr>
          </w:p>
        </w:tc>
        <w:tc>
          <w:tcPr>
            <w:tcW w:w="2803" w:type="pct"/>
            <w:tcBorders>
              <w:top w:val="nil"/>
            </w:tcBorders>
            <w:vAlign w:val="center"/>
          </w:tcPr>
          <w:p w:rsidR="006351BD" w:rsidRDefault="006351BD" w:rsidP="006351BD">
            <w:pPr>
              <w:pStyle w:val="TableText"/>
            </w:pPr>
            <w:r w:rsidRPr="00C94885">
              <w:rPr>
                <w:szCs w:val="18"/>
              </w:rPr>
              <w:t xml:space="preserve">Moayyedi et al. (2019b). Pantoprazole to Prevent Gastroduodenal Events in Patients Receiving Rivaroxaban and/or Aspirin in a Randomised, Double-Blind, Placebo-Controlled Trial. </w:t>
            </w:r>
          </w:p>
        </w:tc>
        <w:tc>
          <w:tcPr>
            <w:tcW w:w="1402" w:type="pct"/>
            <w:tcBorders>
              <w:top w:val="nil"/>
            </w:tcBorders>
            <w:vAlign w:val="center"/>
          </w:tcPr>
          <w:p w:rsidR="006351BD" w:rsidRDefault="006351BD" w:rsidP="006351BD">
            <w:pPr>
              <w:pStyle w:val="TableText"/>
              <w:rPr>
                <w:i/>
              </w:rPr>
            </w:pPr>
            <w:r w:rsidRPr="00C94885">
              <w:rPr>
                <w:szCs w:val="18"/>
              </w:rPr>
              <w:t>Gastroenterology 157 (2): 403-412.e5.</w:t>
            </w:r>
          </w:p>
        </w:tc>
      </w:tr>
    </w:tbl>
    <w:p w:rsidR="008E0D3C" w:rsidRDefault="006351BD" w:rsidP="006351BD">
      <w:pPr>
        <w:pStyle w:val="TableFooter"/>
        <w:widowControl/>
      </w:pPr>
      <w:r w:rsidRPr="00875DBE">
        <w:t>Source: Tab</w:t>
      </w:r>
      <w:r>
        <w:t xml:space="preserve">le 2.2-1, p.67; Table 2.2-2, p.67; Table 2.2-3, p.68 </w:t>
      </w:r>
      <w:r w:rsidRPr="00D13A3E">
        <w:t xml:space="preserve">of the </w:t>
      </w:r>
      <w:r>
        <w:t>resubmission.</w:t>
      </w:r>
    </w:p>
    <w:p w:rsidR="006351BD" w:rsidRPr="00B1011F" w:rsidRDefault="006351BD" w:rsidP="006351BD">
      <w:pPr>
        <w:pStyle w:val="TableFooter"/>
        <w:widowControl/>
        <w:rPr>
          <w:sz w:val="20"/>
        </w:rPr>
      </w:pPr>
    </w:p>
    <w:p w:rsidR="007F1017" w:rsidRPr="00EC5836" w:rsidRDefault="008F120A" w:rsidP="00EC5836">
      <w:pPr>
        <w:pStyle w:val="ExecSumBodyText"/>
        <w:rPr>
          <w:color w:val="0066FF"/>
        </w:rPr>
      </w:pPr>
      <w:r w:rsidRPr="00B50DB8">
        <w:t xml:space="preserve">The key features of the </w:t>
      </w:r>
      <w:r w:rsidR="006351BD">
        <w:t>COMPASS trial</w:t>
      </w:r>
      <w:r w:rsidRPr="00B50DB8">
        <w:t xml:space="preserve"> are summarised in </w:t>
      </w:r>
      <w:r w:rsidR="00A37BB1">
        <w:t>Table 4</w:t>
      </w:r>
      <w:r w:rsidRPr="00B50DB8">
        <w:t xml:space="preserve"> below.</w:t>
      </w:r>
    </w:p>
    <w:p w:rsidR="007F1017" w:rsidRPr="00EC5836" w:rsidRDefault="007F1017" w:rsidP="00230DB1">
      <w:pPr>
        <w:pStyle w:val="TableFigureCaption"/>
      </w:pPr>
      <w:r w:rsidRPr="00EC5836">
        <w:t xml:space="preserve">Table </w:t>
      </w:r>
      <w:r w:rsidR="00A37BB1">
        <w:t>4</w:t>
      </w:r>
      <w:r w:rsidRPr="00EC5836">
        <w:t>: Key features of the included 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77"/>
        <w:gridCol w:w="558"/>
        <w:gridCol w:w="805"/>
        <w:gridCol w:w="487"/>
        <w:gridCol w:w="2396"/>
        <w:gridCol w:w="2131"/>
        <w:gridCol w:w="1763"/>
      </w:tblGrid>
      <w:tr w:rsidR="00B41614" w:rsidRPr="00B41614" w:rsidTr="00D44284">
        <w:trPr>
          <w:cantSplit/>
          <w:tblHeader/>
        </w:trPr>
        <w:tc>
          <w:tcPr>
            <w:tcW w:w="0" w:type="auto"/>
            <w:shd w:val="clear" w:color="auto" w:fill="auto"/>
            <w:vAlign w:val="center"/>
          </w:tcPr>
          <w:p w:rsidR="007F1017" w:rsidRPr="00B41614" w:rsidRDefault="007F1017" w:rsidP="001E34DF">
            <w:pPr>
              <w:pStyle w:val="Tableheadingrow"/>
            </w:pPr>
            <w:r w:rsidRPr="00B41614">
              <w:t>Trial</w:t>
            </w:r>
          </w:p>
        </w:tc>
        <w:tc>
          <w:tcPr>
            <w:tcW w:w="0" w:type="auto"/>
            <w:shd w:val="clear" w:color="auto" w:fill="auto"/>
            <w:vAlign w:val="center"/>
          </w:tcPr>
          <w:p w:rsidR="007F1017" w:rsidRPr="00B41614" w:rsidRDefault="007F1017" w:rsidP="00EC5836">
            <w:pPr>
              <w:pStyle w:val="Tableheadingrow"/>
              <w:jc w:val="center"/>
            </w:pPr>
            <w:r w:rsidRPr="00B41614">
              <w:t>N</w:t>
            </w:r>
          </w:p>
        </w:tc>
        <w:tc>
          <w:tcPr>
            <w:tcW w:w="0" w:type="auto"/>
            <w:shd w:val="clear" w:color="auto" w:fill="auto"/>
            <w:vAlign w:val="center"/>
          </w:tcPr>
          <w:p w:rsidR="007F1017" w:rsidRPr="00B41614" w:rsidRDefault="007F1017" w:rsidP="00EC5836">
            <w:pPr>
              <w:pStyle w:val="Tableheadingrow"/>
              <w:jc w:val="center"/>
            </w:pPr>
            <w:r w:rsidRPr="00B41614">
              <w:t>Design/ duration</w:t>
            </w:r>
          </w:p>
        </w:tc>
        <w:tc>
          <w:tcPr>
            <w:tcW w:w="0" w:type="auto"/>
            <w:shd w:val="clear" w:color="auto" w:fill="auto"/>
            <w:vAlign w:val="center"/>
          </w:tcPr>
          <w:p w:rsidR="007F1017" w:rsidRPr="00B41614" w:rsidRDefault="007F1017" w:rsidP="00EC5836">
            <w:pPr>
              <w:pStyle w:val="Tableheadingrow"/>
              <w:jc w:val="center"/>
            </w:pPr>
            <w:r w:rsidRPr="00B41614">
              <w:t>Risk of bias</w:t>
            </w:r>
          </w:p>
        </w:tc>
        <w:tc>
          <w:tcPr>
            <w:tcW w:w="0" w:type="auto"/>
            <w:shd w:val="clear" w:color="auto" w:fill="auto"/>
            <w:vAlign w:val="center"/>
          </w:tcPr>
          <w:p w:rsidR="007F1017" w:rsidRPr="00B41614" w:rsidRDefault="007F1017" w:rsidP="00EC5836">
            <w:pPr>
              <w:pStyle w:val="Tableheadingrow"/>
              <w:jc w:val="center"/>
            </w:pPr>
            <w:r w:rsidRPr="00B41614">
              <w:t>Patient population</w:t>
            </w:r>
          </w:p>
        </w:tc>
        <w:tc>
          <w:tcPr>
            <w:tcW w:w="0" w:type="auto"/>
            <w:shd w:val="clear" w:color="auto" w:fill="auto"/>
            <w:vAlign w:val="center"/>
          </w:tcPr>
          <w:p w:rsidR="007F1017" w:rsidRPr="00B41614" w:rsidRDefault="007F1017" w:rsidP="00EC5836">
            <w:pPr>
              <w:pStyle w:val="Tableheadingrow"/>
              <w:jc w:val="center"/>
            </w:pPr>
            <w:r w:rsidRPr="00B41614">
              <w:t>Outcome(s)</w:t>
            </w:r>
          </w:p>
        </w:tc>
        <w:tc>
          <w:tcPr>
            <w:tcW w:w="0" w:type="auto"/>
            <w:shd w:val="clear" w:color="auto" w:fill="auto"/>
            <w:vAlign w:val="center"/>
          </w:tcPr>
          <w:p w:rsidR="007F1017" w:rsidRPr="00B41614" w:rsidRDefault="007F1017" w:rsidP="00EC5836">
            <w:pPr>
              <w:pStyle w:val="Tableheadingrow"/>
              <w:jc w:val="center"/>
            </w:pPr>
            <w:r w:rsidRPr="00B41614">
              <w:t>Use in modelled evaluation</w:t>
            </w:r>
          </w:p>
        </w:tc>
      </w:tr>
      <w:tr w:rsidR="007F1017" w:rsidRPr="00E2771E" w:rsidTr="00D44284">
        <w:trPr>
          <w:cantSplit/>
        </w:trPr>
        <w:tc>
          <w:tcPr>
            <w:tcW w:w="0" w:type="auto"/>
            <w:gridSpan w:val="7"/>
            <w:shd w:val="clear" w:color="auto" w:fill="auto"/>
            <w:vAlign w:val="center"/>
          </w:tcPr>
          <w:p w:rsidR="007F1017" w:rsidRPr="00EC5836" w:rsidRDefault="00D44284" w:rsidP="00D44284">
            <w:pPr>
              <w:pStyle w:val="Tableheadingrow"/>
            </w:pPr>
            <w:r>
              <w:t>Rivaroxaban in combination with aspirin versus aspirin monotherapy</w:t>
            </w:r>
          </w:p>
        </w:tc>
      </w:tr>
      <w:tr w:rsidR="00D44284" w:rsidRPr="00E2771E" w:rsidTr="00D44284">
        <w:trPr>
          <w:cantSplit/>
        </w:trPr>
        <w:tc>
          <w:tcPr>
            <w:tcW w:w="0" w:type="auto"/>
            <w:shd w:val="clear" w:color="auto" w:fill="auto"/>
            <w:vAlign w:val="center"/>
          </w:tcPr>
          <w:p w:rsidR="00D44284" w:rsidRPr="00E2771E" w:rsidRDefault="00D44284" w:rsidP="00D44284">
            <w:pPr>
              <w:pStyle w:val="TableText"/>
              <w:rPr>
                <w:lang w:val="en-US"/>
              </w:rPr>
            </w:pPr>
            <w:r>
              <w:rPr>
                <w:lang w:val="en-US"/>
              </w:rPr>
              <w:t>COMPASS</w:t>
            </w:r>
          </w:p>
        </w:tc>
        <w:tc>
          <w:tcPr>
            <w:tcW w:w="0" w:type="auto"/>
            <w:shd w:val="clear" w:color="auto" w:fill="auto"/>
            <w:vAlign w:val="center"/>
          </w:tcPr>
          <w:p w:rsidR="00D44284" w:rsidRPr="00E2771E" w:rsidRDefault="00D44284" w:rsidP="00D44284">
            <w:pPr>
              <w:pStyle w:val="TableText"/>
              <w:jc w:val="center"/>
              <w:rPr>
                <w:lang w:val="en-US"/>
              </w:rPr>
            </w:pPr>
            <w:r w:rsidRPr="00D51F22">
              <w:t>27,395</w:t>
            </w:r>
          </w:p>
        </w:tc>
        <w:tc>
          <w:tcPr>
            <w:tcW w:w="0" w:type="auto"/>
            <w:shd w:val="clear" w:color="auto" w:fill="auto"/>
            <w:vAlign w:val="center"/>
          </w:tcPr>
          <w:p w:rsidR="00D44284" w:rsidRPr="00E2771E" w:rsidRDefault="00D44284" w:rsidP="00D44284">
            <w:pPr>
              <w:pStyle w:val="Tabletext0"/>
              <w:jc w:val="center"/>
              <w:rPr>
                <w:lang w:val="en-US"/>
              </w:rPr>
            </w:pPr>
            <w:r w:rsidRPr="00D51F22">
              <w:rPr>
                <w:lang w:val="en-US"/>
              </w:rPr>
              <w:t>MC, R, DB, PC</w:t>
            </w:r>
          </w:p>
          <w:p w:rsidR="00D44284" w:rsidRPr="00E2771E" w:rsidRDefault="00D44284" w:rsidP="00D44284">
            <w:pPr>
              <w:pStyle w:val="TableText"/>
              <w:jc w:val="center"/>
              <w:rPr>
                <w:lang w:val="en-US"/>
              </w:rPr>
            </w:pPr>
            <w:r>
              <w:rPr>
                <w:lang w:val="en-US"/>
              </w:rPr>
              <w:t>1.7 years</w:t>
            </w:r>
          </w:p>
        </w:tc>
        <w:tc>
          <w:tcPr>
            <w:tcW w:w="0" w:type="auto"/>
            <w:shd w:val="clear" w:color="auto" w:fill="auto"/>
            <w:vAlign w:val="center"/>
          </w:tcPr>
          <w:p w:rsidR="00D44284" w:rsidRPr="00123902" w:rsidRDefault="00D44284" w:rsidP="00D44284">
            <w:pPr>
              <w:pStyle w:val="TableText"/>
              <w:jc w:val="center"/>
              <w:rPr>
                <w:i/>
                <w:lang w:val="en-US"/>
              </w:rPr>
            </w:pPr>
            <w:r w:rsidRPr="00E2771E">
              <w:rPr>
                <w:lang w:val="en-US"/>
              </w:rPr>
              <w:t>Low</w:t>
            </w:r>
          </w:p>
        </w:tc>
        <w:tc>
          <w:tcPr>
            <w:tcW w:w="0" w:type="auto"/>
            <w:shd w:val="clear" w:color="auto" w:fill="auto"/>
            <w:vAlign w:val="center"/>
          </w:tcPr>
          <w:p w:rsidR="00D44284" w:rsidRPr="00E2771E" w:rsidRDefault="00D44284" w:rsidP="00D44284">
            <w:pPr>
              <w:pStyle w:val="TableText"/>
              <w:jc w:val="center"/>
              <w:rPr>
                <w:lang w:val="en-US"/>
              </w:rPr>
            </w:pPr>
            <w:r w:rsidRPr="00D51F22">
              <w:t>Adults with stable atherosclerotic disease of the coronary and/or peripheral arteries, following resolution of one or more acute episodes</w:t>
            </w:r>
          </w:p>
        </w:tc>
        <w:tc>
          <w:tcPr>
            <w:tcW w:w="0" w:type="auto"/>
            <w:shd w:val="clear" w:color="auto" w:fill="auto"/>
            <w:vAlign w:val="center"/>
          </w:tcPr>
          <w:p w:rsidR="00D44284" w:rsidRPr="00E2771E" w:rsidRDefault="00D44284" w:rsidP="00D44284">
            <w:pPr>
              <w:pStyle w:val="TableText"/>
              <w:jc w:val="center"/>
              <w:rPr>
                <w:lang w:val="en-US"/>
              </w:rPr>
            </w:pPr>
            <w:r>
              <w:rPr>
                <w:lang w:val="en-US"/>
              </w:rPr>
              <w:t>Composite of time to first event including myocardial infarction, stroke, or cardiovascular death; major bleeding</w:t>
            </w:r>
          </w:p>
        </w:tc>
        <w:tc>
          <w:tcPr>
            <w:tcW w:w="0" w:type="auto"/>
            <w:shd w:val="clear" w:color="auto" w:fill="auto"/>
            <w:vAlign w:val="center"/>
          </w:tcPr>
          <w:p w:rsidR="00D44284" w:rsidRPr="00E2771E" w:rsidRDefault="00D44284" w:rsidP="00D44284">
            <w:pPr>
              <w:pStyle w:val="TableText"/>
              <w:jc w:val="center"/>
              <w:rPr>
                <w:lang w:val="en-US"/>
              </w:rPr>
            </w:pPr>
            <w:r>
              <w:rPr>
                <w:lang w:val="en-US"/>
              </w:rPr>
              <w:t>Major adverse cardiovascular events; major bleeding; other vascular events</w:t>
            </w:r>
          </w:p>
        </w:tc>
      </w:tr>
    </w:tbl>
    <w:p w:rsidR="00045017" w:rsidRDefault="00045017" w:rsidP="00EC5836">
      <w:pPr>
        <w:pStyle w:val="TableFigureFooter"/>
      </w:pPr>
      <w:r>
        <w:t>Source:</w:t>
      </w:r>
      <w:r w:rsidR="00D44284" w:rsidRPr="00D44284">
        <w:t xml:space="preserve"> Table 2.3-2, pp.</w:t>
      </w:r>
      <w:r w:rsidR="00D44284">
        <w:t>76-77; Table 2.4-1, p.81</w:t>
      </w:r>
      <w:r w:rsidR="00D44284" w:rsidRPr="00D44284">
        <w:t>; Table 2.4-5, p.</w:t>
      </w:r>
      <w:r w:rsidR="00D44284">
        <w:t>100; Table 2.4-8</w:t>
      </w:r>
      <w:r w:rsidR="00D44284" w:rsidRPr="00D44284">
        <w:t>, pp.</w:t>
      </w:r>
      <w:r w:rsidR="00D44284">
        <w:t>107-11</w:t>
      </w:r>
      <w:r w:rsidR="00D44284" w:rsidRPr="00D44284">
        <w:t xml:space="preserve">2 of the </w:t>
      </w:r>
      <w:r w:rsidR="00D44284">
        <w:t>re</w:t>
      </w:r>
      <w:r w:rsidR="00D44284" w:rsidRPr="00D44284">
        <w:t>submission</w:t>
      </w:r>
      <w:r>
        <w:t xml:space="preserve"> </w:t>
      </w:r>
    </w:p>
    <w:p w:rsidR="00620C25" w:rsidRPr="00B1011F" w:rsidRDefault="00D44284" w:rsidP="00B424F7">
      <w:pPr>
        <w:pStyle w:val="TableFigureFooter"/>
        <w:spacing w:after="240"/>
        <w:rPr>
          <w:sz w:val="20"/>
        </w:rPr>
      </w:pPr>
      <w:r>
        <w:t xml:space="preserve">Abbreviations: </w:t>
      </w:r>
      <w:r w:rsidR="00620C25" w:rsidRPr="0072416F">
        <w:t>DB</w:t>
      </w:r>
      <w:r>
        <w:t>,</w:t>
      </w:r>
      <w:r w:rsidR="00620C25">
        <w:t xml:space="preserve"> </w:t>
      </w:r>
      <w:r w:rsidR="00620C25" w:rsidRPr="0072416F">
        <w:t>double blind; MC</w:t>
      </w:r>
      <w:r>
        <w:t>,</w:t>
      </w:r>
      <w:r w:rsidR="00620C25">
        <w:t xml:space="preserve"> </w:t>
      </w:r>
      <w:r w:rsidR="00620C25" w:rsidRPr="0072416F">
        <w:t xml:space="preserve">multi-centre; </w:t>
      </w:r>
      <w:r w:rsidR="00937824">
        <w:t>PC, placebo controlled</w:t>
      </w:r>
      <w:r w:rsidR="00620C25" w:rsidRPr="0072416F">
        <w:t>; R</w:t>
      </w:r>
      <w:r w:rsidR="00937824">
        <w:t>,</w:t>
      </w:r>
      <w:r w:rsidR="00620C25">
        <w:t xml:space="preserve"> </w:t>
      </w:r>
      <w:r w:rsidR="00620C25" w:rsidRPr="0072416F">
        <w:t>randomised.</w:t>
      </w:r>
    </w:p>
    <w:p w:rsidR="00BA4837" w:rsidRPr="005472C5" w:rsidRDefault="00937824" w:rsidP="00935E69">
      <w:pPr>
        <w:pStyle w:val="ExecSumBodyText"/>
      </w:pPr>
      <w:r w:rsidRPr="005472C5">
        <w:t xml:space="preserve">The COMPASS trial was stopped prematurely, due to a recommendation for early termination from the independent data and safety monitoring board at the first formal interim analysis for efficacy (50% of planned events), due to a consistent difference in the primary efficacy outcome in favour of rivaroxaban plus aspirin. </w:t>
      </w:r>
      <w:r w:rsidRPr="005472C5">
        <w:lastRenderedPageBreak/>
        <w:t xml:space="preserve">Historically, trials </w:t>
      </w:r>
      <w:r w:rsidR="00E26356" w:rsidRPr="005472C5">
        <w:t xml:space="preserve">that </w:t>
      </w:r>
      <w:r w:rsidRPr="005472C5">
        <w:t xml:space="preserve">are terminated prematurely have been at risk of overestimating </w:t>
      </w:r>
      <w:r w:rsidR="00E26356" w:rsidRPr="005472C5">
        <w:t xml:space="preserve">the </w:t>
      </w:r>
      <w:r w:rsidRPr="005472C5">
        <w:t>treatment effect, an issue which is acknowledged in the discussion of the primary COMPASS publication. The</w:t>
      </w:r>
      <w:r w:rsidR="00CD0F71" w:rsidRPr="005472C5">
        <w:t xml:space="preserve"> corresponding</w:t>
      </w:r>
      <w:r w:rsidRPr="005472C5">
        <w:t xml:space="preserve"> reduction in the number of overall events available for analysis reduce</w:t>
      </w:r>
      <w:r w:rsidR="00004664" w:rsidRPr="005472C5">
        <w:t>s</w:t>
      </w:r>
      <w:r w:rsidRPr="005472C5">
        <w:t xml:space="preserve"> the statistical power of the subgroup analyses presented by the resubmission</w:t>
      </w:r>
      <w:r w:rsidR="008B3A0C" w:rsidRPr="005472C5">
        <w:t xml:space="preserve">, as well as reducing the duration of the </w:t>
      </w:r>
      <w:r w:rsidR="00753893" w:rsidRPr="005472C5">
        <w:t>trial</w:t>
      </w:r>
      <w:r w:rsidR="001215CD" w:rsidRPr="005472C5">
        <w:t xml:space="preserve"> and hence the median duration of therapy with rivaroxaban</w:t>
      </w:r>
      <w:r w:rsidR="00753893" w:rsidRPr="005472C5">
        <w:t xml:space="preserve">. </w:t>
      </w:r>
    </w:p>
    <w:p w:rsidR="0074784C" w:rsidRPr="005472C5" w:rsidRDefault="0074784C" w:rsidP="00004664">
      <w:pPr>
        <w:pStyle w:val="ExecSumBodyText"/>
      </w:pPr>
      <w:r w:rsidRPr="005472C5">
        <w:t xml:space="preserve">It is likely that there will be differences in the demographics and disease characteristics between the </w:t>
      </w:r>
      <w:r w:rsidR="004E0381" w:rsidRPr="005472C5">
        <w:t xml:space="preserve">pooled target subgroup identified from the </w:t>
      </w:r>
      <w:r w:rsidRPr="005472C5">
        <w:t>COMPASS population</w:t>
      </w:r>
      <w:r w:rsidR="004E0381" w:rsidRPr="005472C5">
        <w:t>,</w:t>
      </w:r>
      <w:r w:rsidRPr="005472C5">
        <w:t xml:space="preserve"> and Australian patients under the proposed PBS restriction. This may have two possible implications: 1) possible differences in the underlying risk of having an event between the populations and 2) if these characteristics are treatment effect modifiers, then the treatment effect of rivaroxaban in the Australian population may be different to that observed in COMPASS. Based on the comparison of patient demographics and disease characteristics presented in the submission, the</w:t>
      </w:r>
      <w:r w:rsidR="009245B9" w:rsidRPr="005472C5">
        <w:t xml:space="preserve"> evaluation considered that the</w:t>
      </w:r>
      <w:r w:rsidRPr="005472C5">
        <w:t xml:space="preserve"> underlying risk of having an event may be different between the Australian population and COMPASS as there </w:t>
      </w:r>
      <w:r w:rsidRPr="003D1C66">
        <w:t>are differences in the proportions of patients with known risk modifiers such as myocardial infarction, coronary revascularisation, diabetes and smoking.</w:t>
      </w:r>
      <w:r w:rsidR="00004664" w:rsidRPr="003D1C66">
        <w:t xml:space="preserve"> The comparisons in the resubmission were based on the Western Australian linked health dataset and the Australian subgroup of the REACH registry. The ESC considered </w:t>
      </w:r>
      <w:r w:rsidR="001215CD" w:rsidRPr="003D1C66">
        <w:t xml:space="preserve">that, despite having significant limitations, </w:t>
      </w:r>
      <w:r w:rsidR="00004664" w:rsidRPr="003D1C66">
        <w:t>these provided the most reliable data on the likely Australian PBS population.</w:t>
      </w:r>
      <w:r w:rsidR="00523EEF" w:rsidRPr="005472C5">
        <w:t xml:space="preserve"> </w:t>
      </w:r>
    </w:p>
    <w:p w:rsidR="00671232" w:rsidRPr="00DA2857" w:rsidRDefault="00AA21B4" w:rsidP="00B81835">
      <w:pPr>
        <w:pStyle w:val="ExecSumBodyText"/>
      </w:pPr>
      <w:r w:rsidRPr="005472C5">
        <w:t xml:space="preserve">The PBAC previously considered that the magnitude of the incremental treatment benefit when added to ideal medical management of cardiovascular risk is unknown (paragraph 7.7, rivaroxaban PSD, March 2019). </w:t>
      </w:r>
      <w:r w:rsidR="00A87C2D" w:rsidRPr="005472C5">
        <w:t>The PSCR provided a comparison of the baseline medication use in COMPASS compared with that reported in the Australian sub</w:t>
      </w:r>
      <w:r w:rsidR="00A42106">
        <w:t>-</w:t>
      </w:r>
      <w:r w:rsidR="00A87C2D" w:rsidRPr="005472C5">
        <w:t xml:space="preserve">study of the REACH registry and </w:t>
      </w:r>
      <w:r w:rsidRPr="005472C5">
        <w:t>stated there was high u</w:t>
      </w:r>
      <w:r w:rsidR="00437B67" w:rsidRPr="005472C5">
        <w:t>se</w:t>
      </w:r>
      <w:r w:rsidRPr="005472C5">
        <w:t xml:space="preserve"> of therapies </w:t>
      </w:r>
      <w:r w:rsidR="00A87C2D" w:rsidRPr="005472C5">
        <w:t>for</w:t>
      </w:r>
      <w:r w:rsidRPr="005472C5">
        <w:t xml:space="preserve"> the standard management of modifiable CV risk factors in COMPASS compared with </w:t>
      </w:r>
      <w:r w:rsidR="00273076" w:rsidRPr="005472C5">
        <w:t>the Australian</w:t>
      </w:r>
      <w:r w:rsidRPr="005472C5">
        <w:t xml:space="preserve"> registry</w:t>
      </w:r>
      <w:r w:rsidR="00273076" w:rsidRPr="005472C5">
        <w:t xml:space="preserve"> data</w:t>
      </w:r>
      <w:r w:rsidR="00A87C2D" w:rsidRPr="005472C5">
        <w:t>. The ESC considered that while s</w:t>
      </w:r>
      <w:r w:rsidR="009245B9" w:rsidRPr="005472C5">
        <w:t>pecific background</w:t>
      </w:r>
      <w:r w:rsidR="009245B9" w:rsidRPr="0055407F">
        <w:rPr>
          <w:i/>
        </w:rPr>
        <w:t xml:space="preserve"> </w:t>
      </w:r>
      <w:r w:rsidR="009245B9" w:rsidRPr="00DA2857">
        <w:t>therapies were</w:t>
      </w:r>
      <w:r w:rsidR="00A87C2D" w:rsidRPr="00DA2857">
        <w:t xml:space="preserve"> not mandated in</w:t>
      </w:r>
      <w:r w:rsidR="00E844B6" w:rsidRPr="00DA2857">
        <w:t xml:space="preserve"> COMPASS, </w:t>
      </w:r>
      <w:r w:rsidR="001215CD" w:rsidRPr="00DA2857">
        <w:t xml:space="preserve">overall </w:t>
      </w:r>
      <w:r w:rsidR="00E844B6" w:rsidRPr="00DA2857">
        <w:t>patients appeared to be wel</w:t>
      </w:r>
      <w:r w:rsidR="009245B9" w:rsidRPr="00DA2857">
        <w:t>l treated</w:t>
      </w:r>
      <w:r w:rsidR="00E844B6" w:rsidRPr="00DA2857">
        <w:t xml:space="preserve"> with background medi</w:t>
      </w:r>
      <w:r w:rsidR="00004664" w:rsidRPr="00DA2857">
        <w:t>c</w:t>
      </w:r>
      <w:r w:rsidR="00E844B6" w:rsidRPr="00DA2857">
        <w:t>ations generally matching those reported in the Australian</w:t>
      </w:r>
      <w:r w:rsidR="00273076" w:rsidRPr="00DA2857">
        <w:t xml:space="preserve"> registry</w:t>
      </w:r>
      <w:r w:rsidR="00E844B6" w:rsidRPr="00DA2857">
        <w:t xml:space="preserve"> data. </w:t>
      </w:r>
    </w:p>
    <w:p w:rsidR="009245B9" w:rsidRPr="00DA2857" w:rsidRDefault="00671232" w:rsidP="00071CB3">
      <w:pPr>
        <w:pStyle w:val="ExecSumBodyText"/>
      </w:pPr>
      <w:r w:rsidRPr="00DA2857">
        <w:t>The PSCR stated that patients in COMPASS who were on lipid lowering agents at baseline had a lower risk of major adverse cardiovascular events than those who were not (event rate in the aspirin alone arm was 5.25%</w:t>
      </w:r>
      <w:r w:rsidR="00667E1B" w:rsidRPr="00DA2857">
        <w:t xml:space="preserve"> versus 7.02%, respectively). The PSCR stated that</w:t>
      </w:r>
      <w:r w:rsidRPr="00DA2857">
        <w:t xml:space="preserve"> use of lipid-lowering agents was not a treatment effect modifier (interaction p = 0.4685)</w:t>
      </w:r>
      <w:r w:rsidR="00667E1B" w:rsidRPr="00DA2857">
        <w:t>. However, the ESC noted that evolocumab was recommended by the PBAC in November 2019 for the treatment of non-familial hypercholesterolaemia in patients who have atherosclerotic cardiovascular disease and additional high-risk factors</w:t>
      </w:r>
      <w:r w:rsidR="00667E1B" w:rsidRPr="00DA2857">
        <w:rPr>
          <w:rStyle w:val="FootnoteReference"/>
        </w:rPr>
        <w:footnoteReference w:id="1"/>
      </w:r>
      <w:r w:rsidR="00667E1B" w:rsidRPr="00DA2857">
        <w:t xml:space="preserve">. The ESC considered that the potential availability of </w:t>
      </w:r>
      <w:r w:rsidR="00667E1B" w:rsidRPr="00DA2857">
        <w:lastRenderedPageBreak/>
        <w:t>evolocumab for a</w:t>
      </w:r>
      <w:r w:rsidR="00071CB3" w:rsidRPr="00DA2857">
        <w:t xml:space="preserve"> proportion of the eligible</w:t>
      </w:r>
      <w:r w:rsidR="00667E1B" w:rsidRPr="00DA2857">
        <w:t xml:space="preserve"> population </w:t>
      </w:r>
      <w:r w:rsidR="00071CB3" w:rsidRPr="00DA2857">
        <w:t>may</w:t>
      </w:r>
      <w:r w:rsidR="00667E1B" w:rsidRPr="00DA2857">
        <w:t xml:space="preserve"> </w:t>
      </w:r>
      <w:r w:rsidR="00071CB3" w:rsidRPr="00DA2857">
        <w:t>lead to further differences in the baseline risk of the COMPASS trial population subgroups and the target Australian population</w:t>
      </w:r>
      <w:r w:rsidR="00B005BC" w:rsidRPr="00DA2857">
        <w:t>.</w:t>
      </w:r>
    </w:p>
    <w:p w:rsidR="0074784C" w:rsidRPr="00DA2857" w:rsidRDefault="0074784C" w:rsidP="0074784C">
      <w:pPr>
        <w:pStyle w:val="ExecSumBodyText"/>
      </w:pPr>
      <w:r w:rsidRPr="00DA2857">
        <w:t xml:space="preserve">The COMPASS trial excluded patients who were a high bleeding risk; those who had experienced a recent stroke or previous haemorrhagic or lacunar stroke; severe heart failure; and advanced stable kidney disease (estimated GFR &lt;15 mL per minute). </w:t>
      </w:r>
      <w:r w:rsidR="001215CD" w:rsidRPr="00DA2857">
        <w:t xml:space="preserve">The ESC noted that these are listed as exclusions in the proposed restriction. However, the ESC also </w:t>
      </w:r>
      <w:r w:rsidR="00F04144">
        <w:t xml:space="preserve">considered </w:t>
      </w:r>
      <w:r w:rsidR="001215CD" w:rsidRPr="00DA2857">
        <w:t xml:space="preserve">that </w:t>
      </w:r>
      <w:r w:rsidR="00025EAC" w:rsidRPr="00DA2857">
        <w:t xml:space="preserve">in </w:t>
      </w:r>
      <w:r w:rsidRPr="00DA2857">
        <w:t xml:space="preserve">clinical practice, it will be essential to carefully screen for </w:t>
      </w:r>
      <w:r w:rsidR="00025EAC" w:rsidRPr="00DA2857">
        <w:t xml:space="preserve">other </w:t>
      </w:r>
      <w:r w:rsidRPr="00DA2857">
        <w:t xml:space="preserve">factors that increase bleeding risk, such as prior bleeding, older age, </w:t>
      </w:r>
      <w:r w:rsidR="00025EAC" w:rsidRPr="00DA2857">
        <w:t xml:space="preserve">less advanced </w:t>
      </w:r>
      <w:r w:rsidRPr="00DA2857">
        <w:t xml:space="preserve">kidney disease, anaemia, and low body weight when considering the </w:t>
      </w:r>
      <w:r w:rsidR="00025EAC" w:rsidRPr="00DA2857">
        <w:t>overall risk</w:t>
      </w:r>
      <w:r w:rsidR="00115242" w:rsidRPr="00DA2857">
        <w:t>-</w:t>
      </w:r>
      <w:r w:rsidR="00025EAC" w:rsidRPr="00DA2857">
        <w:t>benefit</w:t>
      </w:r>
      <w:r w:rsidR="00115242" w:rsidRPr="00DA2857">
        <w:t xml:space="preserve"> ratio</w:t>
      </w:r>
      <w:r w:rsidR="00025EAC" w:rsidRPr="00DA2857">
        <w:t xml:space="preserve"> with the </w:t>
      </w:r>
      <w:r w:rsidRPr="00DA2857">
        <w:t>addition of rivaroxaban to established regimens.</w:t>
      </w:r>
    </w:p>
    <w:p w:rsidR="00B60939" w:rsidRPr="00C9624D" w:rsidRDefault="00B60939" w:rsidP="00EC5836">
      <w:pPr>
        <w:pStyle w:val="3-SubsectionHeading"/>
      </w:pPr>
      <w:bookmarkStart w:id="13" w:name="_Toc22897641"/>
      <w:bookmarkStart w:id="14" w:name="_Toc27421951"/>
      <w:r w:rsidRPr="00C9624D">
        <w:t>Comparative effectiveness</w:t>
      </w:r>
      <w:bookmarkEnd w:id="13"/>
      <w:bookmarkEnd w:id="14"/>
    </w:p>
    <w:p w:rsidR="000A156C" w:rsidRPr="000B6B6A" w:rsidRDefault="000A156C" w:rsidP="000A156C">
      <w:pPr>
        <w:pStyle w:val="ExecSumBodyText"/>
      </w:pPr>
      <w:r w:rsidRPr="000B6B6A">
        <w:t>The resubmission noted that the COMPASS trial was only powered to detect a difference for the primary composite outcome in the ITT population. The resubmission relie</w:t>
      </w:r>
      <w:r w:rsidR="00F04144">
        <w:t>d</w:t>
      </w:r>
      <w:r w:rsidRPr="000B6B6A">
        <w:t xml:space="preserve"> on the results of a number of secondary and tertiary outcomes conducted across various pr</w:t>
      </w:r>
      <w:r w:rsidRPr="006F38F8">
        <w:t xml:space="preserve">especified and posthoc subgroups to make its clinical claim. Due to the premature stopping of the COMPASS trial, </w:t>
      </w:r>
      <w:r w:rsidR="009B7D36">
        <w:t>the total number of events was</w:t>
      </w:r>
      <w:r w:rsidRPr="006F38F8">
        <w:t xml:space="preserve"> lower than predicted in the protocol. This further reduce</w:t>
      </w:r>
      <w:r w:rsidR="00F04144">
        <w:t>d</w:t>
      </w:r>
      <w:r w:rsidRPr="006F38F8">
        <w:t xml:space="preserve"> the available power to make subgroup comparisons, particularly for those subgroups which were defined posthoc. Further, the resubmission did not conduct treatment by subgroup interaction testing for the new subgroups presented, and did not correct for multiple statistical testing, despite a large number of statistical</w:t>
      </w:r>
      <w:r w:rsidRPr="000B6B6A">
        <w:t xml:space="preserve"> tests being conducted to inform the subgroup comparisons presented here. </w:t>
      </w:r>
      <w:r w:rsidR="008B3A0C" w:rsidRPr="00DA2857">
        <w:t xml:space="preserve">The PSCR </w:t>
      </w:r>
      <w:r w:rsidR="003E327B" w:rsidRPr="00DA2857">
        <w:t>outlined that subgroup analyses were</w:t>
      </w:r>
      <w:r w:rsidR="002D1C34" w:rsidRPr="00DA2857">
        <w:t xml:space="preserve"> required to address the PBAC’s previous concerns that utilisation should be more highly targeted to patients who are likely to achieve the most favourable risk-benefit profile. </w:t>
      </w:r>
      <w:r w:rsidR="003D6B64" w:rsidRPr="00DA2857">
        <w:t xml:space="preserve">The ESC </w:t>
      </w:r>
      <w:r w:rsidR="00B64EFA" w:rsidRPr="00DA2857">
        <w:t xml:space="preserve">recognised the limitations </w:t>
      </w:r>
      <w:r w:rsidR="002D1C34" w:rsidRPr="00DA2857">
        <w:t xml:space="preserve">of the subgroup analyses </w:t>
      </w:r>
      <w:r w:rsidR="00B64EFA" w:rsidRPr="00DA2857">
        <w:t xml:space="preserve">and </w:t>
      </w:r>
      <w:r w:rsidR="004722FF" w:rsidRPr="00DA2857">
        <w:t>considered</w:t>
      </w:r>
      <w:r w:rsidR="008B3A0C" w:rsidRPr="00DA2857">
        <w:t xml:space="preserve"> that the r</w:t>
      </w:r>
      <w:r w:rsidRPr="00DA2857">
        <w:t>esults of</w:t>
      </w:r>
      <w:r w:rsidR="008B3A0C" w:rsidRPr="00DA2857">
        <w:t xml:space="preserve"> these</w:t>
      </w:r>
      <w:r w:rsidRPr="00DA2857">
        <w:t xml:space="preserve"> subgroup comparisons </w:t>
      </w:r>
      <w:r w:rsidR="00D03591">
        <w:t>would need to</w:t>
      </w:r>
      <w:r w:rsidR="00D03591" w:rsidRPr="00DA2857">
        <w:t xml:space="preserve"> </w:t>
      </w:r>
      <w:r w:rsidRPr="00DA2857">
        <w:t>be interpreted with caution.</w:t>
      </w:r>
    </w:p>
    <w:p w:rsidR="00B34FE2" w:rsidRPr="000B6B6A" w:rsidRDefault="00CD0F71" w:rsidP="00CD0F71">
      <w:pPr>
        <w:pStyle w:val="ExecSumBodyText"/>
      </w:pPr>
      <w:r w:rsidRPr="000B6B6A">
        <w:t xml:space="preserve">The results of the primary outcome (proportion of patients who experienced myocardial infarction, stroke, or cardiovascular death), and key cardiovascular outcomes, </w:t>
      </w:r>
      <w:r w:rsidR="003409CD" w:rsidRPr="000B6B6A">
        <w:t xml:space="preserve">for the ITT and key high-risk subgroups presented by the resubmission, </w:t>
      </w:r>
      <w:r w:rsidRPr="000B6B6A">
        <w:t xml:space="preserve">are summarised in Table </w:t>
      </w:r>
      <w:r w:rsidR="00A37BB1" w:rsidRPr="000B6B6A">
        <w:t>5</w:t>
      </w:r>
      <w:r w:rsidRPr="000B6B6A">
        <w:t>.</w:t>
      </w:r>
    </w:p>
    <w:p w:rsidR="005D26B4" w:rsidRDefault="00173565" w:rsidP="00230DB1">
      <w:pPr>
        <w:pStyle w:val="TableFigureCaption"/>
      </w:pPr>
      <w:r w:rsidRPr="00EC5836">
        <w:lastRenderedPageBreak/>
        <w:t xml:space="preserve">Table </w:t>
      </w:r>
      <w:r w:rsidR="00A37BB1">
        <w:t>5</w:t>
      </w:r>
      <w:r w:rsidR="005D26B4" w:rsidRPr="00EC5836">
        <w:t xml:space="preserve">: Results of </w:t>
      </w:r>
      <w:r w:rsidR="00CD0F71">
        <w:t>cardiovascular outcomes in the COMPASS trial (ITT) and relevant subgroups</w:t>
      </w:r>
    </w:p>
    <w:tbl>
      <w:tblPr>
        <w:tblStyle w:val="MSDTableGrid2"/>
        <w:tblW w:w="0" w:type="auto"/>
        <w:tblCellMar>
          <w:left w:w="57" w:type="dxa"/>
          <w:right w:w="57" w:type="dxa"/>
        </w:tblCellMar>
        <w:tblLook w:val="04A0" w:firstRow="1" w:lastRow="0" w:firstColumn="1" w:lastColumn="0" w:noHBand="0" w:noVBand="1"/>
        <w:tblCaption w:val="Table 5: Results of cardiovascular outcomes in the COMPASS trial (ITT) and relevant subgroups"/>
        <w:tblDescription w:val="Table 5: Results of cardiovascular outcomes in the COMPASS trial (ITT) and relevant subgroups"/>
      </w:tblPr>
      <w:tblGrid>
        <w:gridCol w:w="1464"/>
        <w:gridCol w:w="1697"/>
        <w:gridCol w:w="1525"/>
        <w:gridCol w:w="1537"/>
        <w:gridCol w:w="1320"/>
        <w:gridCol w:w="1473"/>
      </w:tblGrid>
      <w:tr w:rsidR="00CD0F71" w:rsidRPr="00CD0F71" w:rsidTr="00D32BF3">
        <w:trPr>
          <w:tblHeader/>
        </w:trPr>
        <w:tc>
          <w:tcPr>
            <w:tcW w:w="1464" w:type="dxa"/>
            <w:vAlign w:val="center"/>
          </w:tcPr>
          <w:p w:rsidR="00CD0F71" w:rsidRPr="00CD0F71" w:rsidRDefault="00CD0F71" w:rsidP="00CD0F71">
            <w:pPr>
              <w:keepNext/>
              <w:keepLines/>
              <w:jc w:val="left"/>
              <w:rPr>
                <w:rFonts w:ascii="Arial Narrow" w:hAnsi="Arial Narrow"/>
                <w:sz w:val="20"/>
                <w:szCs w:val="20"/>
              </w:rPr>
            </w:pPr>
          </w:p>
        </w:tc>
        <w:tc>
          <w:tcPr>
            <w:tcW w:w="1697" w:type="dxa"/>
            <w:vAlign w:val="center"/>
          </w:tcPr>
          <w:p w:rsidR="00CD0F71" w:rsidRPr="00CD0F71" w:rsidRDefault="00CD0F71" w:rsidP="00CD0F71">
            <w:pPr>
              <w:keepNext/>
              <w:keepLines/>
              <w:jc w:val="center"/>
              <w:rPr>
                <w:rFonts w:ascii="Arial Narrow" w:hAnsi="Arial Narrow" w:cs="Times New Roman"/>
                <w:b/>
                <w:bCs/>
                <w:sz w:val="20"/>
                <w:szCs w:val="20"/>
              </w:rPr>
            </w:pPr>
            <w:r w:rsidRPr="00CD0F71">
              <w:rPr>
                <w:rFonts w:ascii="Arial Narrow" w:hAnsi="Arial Narrow" w:cs="Times New Roman"/>
                <w:b/>
                <w:bCs/>
                <w:sz w:val="20"/>
                <w:szCs w:val="20"/>
              </w:rPr>
              <w:t>Rivaroxaban 2.5 mg + aspirin 100 mg, n/N (%)</w:t>
            </w:r>
          </w:p>
        </w:tc>
        <w:tc>
          <w:tcPr>
            <w:tcW w:w="1525" w:type="dxa"/>
            <w:vAlign w:val="center"/>
          </w:tcPr>
          <w:p w:rsidR="00CD0F71" w:rsidRPr="00CD0F71" w:rsidRDefault="00CD0F71" w:rsidP="00CD0F71">
            <w:pPr>
              <w:keepNext/>
              <w:keepLines/>
              <w:jc w:val="center"/>
              <w:rPr>
                <w:rFonts w:ascii="Arial Narrow" w:hAnsi="Arial Narrow" w:cs="Times New Roman"/>
                <w:b/>
                <w:bCs/>
                <w:sz w:val="20"/>
                <w:szCs w:val="20"/>
              </w:rPr>
            </w:pPr>
            <w:r w:rsidRPr="00CD0F71">
              <w:rPr>
                <w:rFonts w:ascii="Arial Narrow" w:hAnsi="Arial Narrow" w:cs="Times New Roman"/>
                <w:b/>
                <w:bCs/>
                <w:sz w:val="20"/>
                <w:szCs w:val="20"/>
              </w:rPr>
              <w:t>Aspirin 100 mg, n/N (%)</w:t>
            </w:r>
          </w:p>
        </w:tc>
        <w:tc>
          <w:tcPr>
            <w:tcW w:w="1537" w:type="dxa"/>
            <w:vAlign w:val="center"/>
          </w:tcPr>
          <w:p w:rsidR="00CD0F71" w:rsidRPr="00CD0F71" w:rsidRDefault="00CD0F71" w:rsidP="00CD0F71">
            <w:pPr>
              <w:keepNext/>
              <w:keepLines/>
              <w:jc w:val="center"/>
              <w:rPr>
                <w:rFonts w:ascii="Arial Narrow" w:hAnsi="Arial Narrow" w:cs="Times New Roman"/>
                <w:b/>
                <w:bCs/>
                <w:sz w:val="20"/>
                <w:szCs w:val="20"/>
              </w:rPr>
            </w:pPr>
            <w:r w:rsidRPr="00CD0F71">
              <w:rPr>
                <w:rFonts w:ascii="Arial Narrow" w:hAnsi="Arial Narrow" w:cs="Times New Roman"/>
                <w:b/>
                <w:bCs/>
                <w:sz w:val="20"/>
                <w:szCs w:val="20"/>
              </w:rPr>
              <w:t xml:space="preserve">Absolute risk difference % </w:t>
            </w:r>
          </w:p>
        </w:tc>
        <w:tc>
          <w:tcPr>
            <w:tcW w:w="1320" w:type="dxa"/>
            <w:vAlign w:val="center"/>
          </w:tcPr>
          <w:p w:rsidR="00CD0F71" w:rsidRPr="00CD0F71" w:rsidRDefault="00CD0F71" w:rsidP="00CD0F71">
            <w:pPr>
              <w:keepNext/>
              <w:keepLines/>
              <w:jc w:val="center"/>
              <w:rPr>
                <w:rFonts w:ascii="Arial Narrow" w:hAnsi="Arial Narrow" w:cs="Times New Roman"/>
                <w:b/>
                <w:bCs/>
                <w:sz w:val="20"/>
                <w:szCs w:val="20"/>
              </w:rPr>
            </w:pPr>
            <w:r w:rsidRPr="00CD0F71">
              <w:rPr>
                <w:rFonts w:ascii="Arial Narrow" w:hAnsi="Arial Narrow" w:cs="Times New Roman"/>
                <w:b/>
                <w:bCs/>
                <w:sz w:val="20"/>
                <w:szCs w:val="20"/>
              </w:rPr>
              <w:t>NNT/NNH</w:t>
            </w:r>
          </w:p>
        </w:tc>
        <w:tc>
          <w:tcPr>
            <w:tcW w:w="1473" w:type="dxa"/>
            <w:vAlign w:val="center"/>
          </w:tcPr>
          <w:p w:rsidR="00CD0F71" w:rsidRPr="00CD0F71" w:rsidRDefault="00CD0F71" w:rsidP="00CD0F71">
            <w:pPr>
              <w:keepNext/>
              <w:keepLines/>
              <w:jc w:val="center"/>
              <w:rPr>
                <w:rFonts w:ascii="Arial Narrow" w:hAnsi="Arial Narrow" w:cs="Times New Roman"/>
                <w:b/>
                <w:bCs/>
                <w:sz w:val="20"/>
                <w:szCs w:val="20"/>
              </w:rPr>
            </w:pPr>
            <w:r w:rsidRPr="00CD0F71">
              <w:rPr>
                <w:rFonts w:ascii="Arial Narrow" w:hAnsi="Arial Narrow" w:cs="Times New Roman"/>
                <w:b/>
                <w:bCs/>
                <w:sz w:val="20"/>
                <w:szCs w:val="20"/>
              </w:rPr>
              <w:t>Hazard ratio (95% CI)</w:t>
            </w:r>
          </w:p>
        </w:tc>
      </w:tr>
      <w:tr w:rsidR="00CD0F71" w:rsidRPr="00CD0F71" w:rsidTr="00CD0F71">
        <w:tc>
          <w:tcPr>
            <w:tcW w:w="9016" w:type="dxa"/>
            <w:gridSpan w:val="6"/>
            <w:vAlign w:val="center"/>
          </w:tcPr>
          <w:p w:rsidR="00CD0F71" w:rsidRPr="00CD0F71" w:rsidRDefault="00CD0F71" w:rsidP="00CD0F71">
            <w:pPr>
              <w:keepNext/>
              <w:keepLines/>
              <w:jc w:val="left"/>
              <w:rPr>
                <w:rFonts w:ascii="Arial Narrow" w:hAnsi="Arial Narrow" w:cs="Times New Roman"/>
                <w:b/>
                <w:bCs/>
                <w:sz w:val="20"/>
                <w:szCs w:val="20"/>
              </w:rPr>
            </w:pPr>
            <w:r w:rsidRPr="00CD0F71">
              <w:rPr>
                <w:rFonts w:ascii="Arial Narrow" w:hAnsi="Arial Narrow" w:cs="Times New Roman"/>
                <w:b/>
                <w:bCs/>
                <w:sz w:val="20"/>
                <w:szCs w:val="20"/>
              </w:rPr>
              <w:t>Primary outcome (composite of myocardial infarction, any stroke, or cardiovascular death)</w:t>
            </w:r>
          </w:p>
        </w:tc>
      </w:tr>
      <w:tr w:rsidR="00CD0F71" w:rsidRPr="00CD0F71" w:rsidTr="00CD0F71">
        <w:tc>
          <w:tcPr>
            <w:tcW w:w="1464" w:type="dxa"/>
            <w:tcBorders>
              <w:top w:val="single" w:sz="4" w:space="0" w:color="auto"/>
              <w:left w:val="single" w:sz="4" w:space="0" w:color="auto"/>
              <w:bottom w:val="single" w:sz="4" w:space="0" w:color="auto"/>
              <w:right w:val="single" w:sz="4" w:space="0" w:color="auto"/>
            </w:tcBorders>
            <w:vAlign w:val="center"/>
          </w:tcPr>
          <w:p w:rsidR="00CD0F71" w:rsidRPr="00CD0F71" w:rsidRDefault="00CD0F71" w:rsidP="00CD0F71">
            <w:pPr>
              <w:keepNext/>
              <w:jc w:val="left"/>
              <w:rPr>
                <w:rFonts w:ascii="Arial Narrow" w:hAnsi="Arial Narrow" w:cs="Times New Roman"/>
                <w:bCs/>
                <w:sz w:val="20"/>
                <w:szCs w:val="20"/>
              </w:rPr>
            </w:pPr>
            <w:r w:rsidRPr="00CD0F71">
              <w:rPr>
                <w:rFonts w:ascii="Arial Narrow" w:hAnsi="Arial Narrow" w:cs="Times New Roman"/>
                <w:bCs/>
                <w:sz w:val="20"/>
                <w:szCs w:val="20"/>
              </w:rPr>
              <w:t>ITT population</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CD0F71" w:rsidRDefault="00CD0F71" w:rsidP="00CD0F71">
            <w:pPr>
              <w:keepNext/>
              <w:jc w:val="center"/>
              <w:rPr>
                <w:rFonts w:ascii="Arial Narrow" w:hAnsi="Arial Narrow" w:cs="Times New Roman"/>
                <w:bCs/>
                <w:sz w:val="20"/>
                <w:szCs w:val="20"/>
              </w:rPr>
            </w:pPr>
            <w:r w:rsidRPr="00CD0F71">
              <w:rPr>
                <w:rFonts w:ascii="Arial Narrow" w:hAnsi="Arial Narrow" w:cs="Times New Roman"/>
                <w:bCs/>
                <w:sz w:val="20"/>
                <w:szCs w:val="20"/>
              </w:rPr>
              <w:t>379/9251 (4.1)</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CD0F71" w:rsidRDefault="00CD0F71" w:rsidP="00CD0F71">
            <w:pPr>
              <w:keepNext/>
              <w:jc w:val="center"/>
              <w:rPr>
                <w:rFonts w:ascii="Arial Narrow" w:eastAsia="Calibri" w:hAnsi="Arial Narrow" w:cs="Calibri"/>
                <w:sz w:val="20"/>
                <w:szCs w:val="20"/>
                <w:lang w:eastAsia="en-US"/>
              </w:rPr>
            </w:pPr>
            <w:r w:rsidRPr="00CD0F71">
              <w:rPr>
                <w:rFonts w:ascii="Arial Narrow" w:eastAsia="Calibri" w:hAnsi="Arial Narrow" w:cs="Calibri"/>
                <w:sz w:val="20"/>
                <w:szCs w:val="20"/>
                <w:lang w:eastAsia="en-US"/>
              </w:rPr>
              <w:t>496/9126 (5.4)</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CD0F71" w:rsidRDefault="00CD0F71" w:rsidP="00CD0F71">
            <w:pPr>
              <w:keepNext/>
              <w:jc w:val="center"/>
              <w:rPr>
                <w:rFonts w:ascii="Arial Narrow" w:hAnsi="Arial Narrow" w:cs="Times New Roman"/>
                <w:bCs/>
                <w:sz w:val="20"/>
                <w:szCs w:val="20"/>
              </w:rPr>
            </w:pPr>
            <w:r w:rsidRPr="00CD0F71">
              <w:rPr>
                <w:rFonts w:ascii="Arial Narrow" w:hAnsi="Arial Narrow" w:cs="Times New Roman"/>
                <w:bCs/>
                <w:sz w:val="20"/>
                <w:szCs w:val="20"/>
              </w:rPr>
              <w:t>-1.3382</w:t>
            </w:r>
          </w:p>
        </w:tc>
        <w:tc>
          <w:tcPr>
            <w:tcW w:w="1320" w:type="dxa"/>
            <w:tcBorders>
              <w:top w:val="single" w:sz="4" w:space="0" w:color="auto"/>
              <w:left w:val="single" w:sz="4" w:space="0" w:color="auto"/>
              <w:bottom w:val="single" w:sz="4" w:space="0" w:color="auto"/>
              <w:right w:val="single" w:sz="4" w:space="0" w:color="auto"/>
            </w:tcBorders>
            <w:vAlign w:val="center"/>
          </w:tcPr>
          <w:p w:rsidR="00CD0F71" w:rsidRPr="00CD0F71" w:rsidRDefault="00CD0F71" w:rsidP="00CD0F71">
            <w:pPr>
              <w:keepNext/>
              <w:jc w:val="center"/>
              <w:rPr>
                <w:rFonts w:ascii="Arial Narrow" w:hAnsi="Arial Narrow" w:cs="Times New Roman"/>
                <w:b/>
                <w:bCs/>
                <w:sz w:val="20"/>
                <w:szCs w:val="20"/>
              </w:rPr>
            </w:pPr>
            <w:r w:rsidRPr="00CD0F71">
              <w:rPr>
                <w:rFonts w:ascii="Arial Narrow" w:hAnsi="Arial Narrow" w:cs="Times New Roman"/>
                <w:bCs/>
                <w:sz w:val="20"/>
                <w:szCs w:val="20"/>
              </w:rPr>
              <w:t>75</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CD0F71" w:rsidRDefault="00CD0F71" w:rsidP="00CD0F71">
            <w:pPr>
              <w:keepNext/>
              <w:jc w:val="center"/>
              <w:rPr>
                <w:rFonts w:ascii="Arial Narrow" w:hAnsi="Arial Narrow" w:cs="Times New Roman"/>
                <w:b/>
                <w:bCs/>
                <w:sz w:val="20"/>
                <w:szCs w:val="20"/>
              </w:rPr>
            </w:pPr>
            <w:r w:rsidRPr="00CD0F71">
              <w:rPr>
                <w:rFonts w:ascii="Arial Narrow" w:hAnsi="Arial Narrow" w:cs="Times New Roman"/>
                <w:b/>
                <w:bCs/>
                <w:sz w:val="20"/>
                <w:szCs w:val="20"/>
              </w:rPr>
              <w:t>0.76 (0.66, 0.86)</w:t>
            </w:r>
          </w:p>
        </w:tc>
      </w:tr>
      <w:tr w:rsidR="00CD0F71" w:rsidRPr="00CD0F71" w:rsidTr="00CD0F71">
        <w:tc>
          <w:tcPr>
            <w:tcW w:w="1464" w:type="dxa"/>
            <w:vAlign w:val="center"/>
          </w:tcPr>
          <w:p w:rsidR="00CD0F71" w:rsidRPr="00CD0F71" w:rsidRDefault="00CD0F71" w:rsidP="00CD0F71">
            <w:pPr>
              <w:keepNext/>
              <w:jc w:val="left"/>
              <w:rPr>
                <w:rFonts w:ascii="Arial Narrow" w:hAnsi="Arial Narrow" w:cs="Times New Roman"/>
                <w:bCs/>
                <w:sz w:val="20"/>
                <w:szCs w:val="20"/>
              </w:rPr>
            </w:pPr>
            <w:r w:rsidRPr="00CD0F71">
              <w:rPr>
                <w:rFonts w:ascii="Arial Narrow" w:hAnsi="Arial Narrow" w:cs="Times New Roman"/>
                <w:bCs/>
                <w:sz w:val="20"/>
                <w:szCs w:val="20"/>
              </w:rPr>
              <w:t>Pooled subgroup</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jc w:val="center"/>
              <w:rPr>
                <w:rFonts w:ascii="Arial Narrow" w:hAnsi="Arial Narrow" w:cs="Times New Roman"/>
                <w:sz w:val="20"/>
                <w:szCs w:val="20"/>
                <w:highlight w:val="black"/>
                <w:lang w:eastAsia="en-US"/>
              </w:rPr>
            </w:pPr>
            <w:r>
              <w:rPr>
                <w:rFonts w:ascii="Arial Narrow" w:hAnsi="Arial Narrow" w:cs="Times New Roman"/>
                <w:noProof/>
                <w:color w:val="000000"/>
                <w:sz w:val="20"/>
                <w:szCs w:val="20"/>
                <w:highlight w:val="black"/>
                <w:lang w:eastAsia="en-US"/>
              </w:rPr>
              <w:t>''''''''''''''''''''' ''''''''''</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jc w:val="center"/>
              <w:rPr>
                <w:rFonts w:ascii="Arial Narrow" w:hAnsi="Arial Narrow" w:cs="Times New Roman"/>
                <w:sz w:val="20"/>
                <w:szCs w:val="20"/>
                <w:highlight w:val="black"/>
                <w:lang w:eastAsia="en-US"/>
              </w:rPr>
            </w:pPr>
            <w:r>
              <w:rPr>
                <w:rFonts w:ascii="Arial Narrow" w:hAnsi="Arial Narrow" w:cs="Times New Roman"/>
                <w:noProof/>
                <w:color w:val="000000"/>
                <w:sz w:val="20"/>
                <w:szCs w:val="20"/>
                <w:highlight w:val="black"/>
                <w:lang w:eastAsia="en-US"/>
              </w:rPr>
              <w:t>''''''''''''''''''''''' ''''''''''''</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jc w:val="center"/>
              <w:rPr>
                <w:rFonts w:ascii="Arial Narrow" w:hAnsi="Arial Narrow" w:cs="Times New Roman"/>
                <w:sz w:val="20"/>
                <w:szCs w:val="20"/>
                <w:highlight w:val="black"/>
                <w:lang w:eastAsia="en-US"/>
              </w:rPr>
            </w:pPr>
            <w:r>
              <w:rPr>
                <w:rFonts w:ascii="Arial Narrow" w:hAnsi="Arial Narrow" w:cs="Times New Roman"/>
                <w:noProof/>
                <w:color w:val="000000"/>
                <w:sz w:val="20"/>
                <w:szCs w:val="20"/>
                <w:highlight w:val="black"/>
                <w:lang w:eastAsia="en-US"/>
              </w:rPr>
              <w:t>''''''''''''''''''''</w:t>
            </w:r>
          </w:p>
        </w:tc>
        <w:tc>
          <w:tcPr>
            <w:tcW w:w="1320"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jc w:val="center"/>
              <w:rPr>
                <w:rFonts w:ascii="Arial Narrow" w:hAnsi="Arial Narrow" w:cs="Times New Roman"/>
                <w:sz w:val="20"/>
                <w:szCs w:val="20"/>
                <w:highlight w:val="black"/>
                <w:lang w:eastAsia="en-US"/>
              </w:rPr>
            </w:pPr>
            <w:r>
              <w:rPr>
                <w:rFonts w:ascii="Arial Narrow" w:hAnsi="Arial Narrow" w:cs="Times New Roman"/>
                <w:noProof/>
                <w:color w:val="000000"/>
                <w:sz w:val="20"/>
                <w:szCs w:val="20"/>
                <w:highlight w:val="black"/>
                <w:lang w:eastAsia="en-US"/>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jc w:val="center"/>
              <w:rPr>
                <w:rFonts w:ascii="Arial Narrow" w:hAnsi="Arial Narrow" w:cs="Times New Roman"/>
                <w:b/>
                <w:sz w:val="20"/>
                <w:szCs w:val="20"/>
                <w:highlight w:val="black"/>
                <w:lang w:eastAsia="en-US"/>
              </w:rPr>
            </w:pPr>
            <w:r>
              <w:rPr>
                <w:rFonts w:ascii="Arial Narrow" w:hAnsi="Arial Narrow" w:cs="Times New Roman"/>
                <w:b/>
                <w:noProof/>
                <w:color w:val="000000"/>
                <w:sz w:val="20"/>
                <w:szCs w:val="20"/>
                <w:highlight w:val="black"/>
                <w:lang w:eastAsia="en-US"/>
              </w:rPr>
              <w:t>''''''''' '''''''''''' '''''''''</w:t>
            </w:r>
          </w:p>
        </w:tc>
      </w:tr>
      <w:tr w:rsidR="00CD0F71" w:rsidRPr="00CD0F71" w:rsidTr="00CD0F71">
        <w:tc>
          <w:tcPr>
            <w:tcW w:w="1464" w:type="dxa"/>
            <w:vAlign w:val="center"/>
          </w:tcPr>
          <w:p w:rsidR="00CD0F71" w:rsidRPr="00CD0F71" w:rsidRDefault="00CD0F71" w:rsidP="00CD0F71">
            <w:pPr>
              <w:keepNext/>
              <w:jc w:val="left"/>
              <w:rPr>
                <w:rFonts w:ascii="Arial Narrow" w:hAnsi="Arial Narrow" w:cs="Times New Roman"/>
                <w:bCs/>
                <w:sz w:val="20"/>
                <w:szCs w:val="20"/>
              </w:rPr>
            </w:pPr>
            <w:r w:rsidRPr="00CD0F71">
              <w:rPr>
                <w:rFonts w:ascii="Arial Narrow" w:hAnsi="Arial Narrow" w:cs="Times New Roman"/>
                <w:bCs/>
                <w:sz w:val="20"/>
                <w:szCs w:val="20"/>
              </w:rPr>
              <w:t xml:space="preserve">PAD </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w:t>
            </w:r>
          </w:p>
        </w:tc>
        <w:tc>
          <w:tcPr>
            <w:tcW w:w="1320"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b/>
                <w:sz w:val="20"/>
                <w:szCs w:val="20"/>
                <w:highlight w:val="black"/>
                <w:lang w:eastAsia="en-US"/>
              </w:rPr>
            </w:pPr>
            <w:r>
              <w:rPr>
                <w:rFonts w:ascii="Arial Narrow" w:eastAsia="Calibri" w:hAnsi="Arial Narrow" w:cs="Calibri"/>
                <w:b/>
                <w:noProof/>
                <w:color w:val="000000"/>
                <w:sz w:val="20"/>
                <w:szCs w:val="20"/>
                <w:highlight w:val="black"/>
                <w:lang w:eastAsia="en-US"/>
              </w:rPr>
              <w:t>'''''''' '''''''''' '''''''''''</w:t>
            </w:r>
          </w:p>
        </w:tc>
      </w:tr>
      <w:tr w:rsidR="00CD0F71" w:rsidRPr="00CD0F71" w:rsidTr="00CD0F71">
        <w:tc>
          <w:tcPr>
            <w:tcW w:w="1464" w:type="dxa"/>
            <w:vAlign w:val="center"/>
          </w:tcPr>
          <w:p w:rsidR="00CD0F71" w:rsidRPr="000B6B6A" w:rsidRDefault="00CD0F71" w:rsidP="00CD0F71">
            <w:pPr>
              <w:keepNext/>
              <w:jc w:val="left"/>
              <w:rPr>
                <w:rFonts w:ascii="Arial Narrow" w:hAnsi="Arial Narrow" w:cs="Times New Roman"/>
                <w:bCs/>
                <w:sz w:val="20"/>
                <w:szCs w:val="20"/>
                <w:vertAlign w:val="superscript"/>
              </w:rPr>
            </w:pPr>
            <w:r w:rsidRPr="000B6B6A">
              <w:rPr>
                <w:rFonts w:ascii="Arial Narrow" w:hAnsi="Arial Narrow" w:cs="Times New Roman"/>
                <w:bCs/>
                <w:sz w:val="20"/>
                <w:szCs w:val="20"/>
              </w:rPr>
              <w:t>PAD only</w:t>
            </w:r>
            <w:r w:rsidRPr="000B6B6A">
              <w:rPr>
                <w:rFonts w:ascii="Arial Narrow" w:hAnsi="Arial Narrow" w:cs="Times New Roman"/>
                <w:bCs/>
                <w:sz w:val="20"/>
                <w:szCs w:val="20"/>
                <w:vertAlign w:val="superscript"/>
              </w:rPr>
              <w:t>a</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w:t>
            </w:r>
          </w:p>
        </w:tc>
        <w:tc>
          <w:tcPr>
            <w:tcW w:w="1320"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 ''''''''''''</w:t>
            </w:r>
          </w:p>
        </w:tc>
      </w:tr>
      <w:tr w:rsidR="00CD0F71" w:rsidRPr="00CD0F71" w:rsidTr="00CD0F71">
        <w:tc>
          <w:tcPr>
            <w:tcW w:w="1464" w:type="dxa"/>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CAD &amp; PAD</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w:t>
            </w:r>
          </w:p>
        </w:tc>
        <w:tc>
          <w:tcPr>
            <w:tcW w:w="1320"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b/>
                <w:sz w:val="20"/>
                <w:szCs w:val="20"/>
                <w:highlight w:val="black"/>
                <w:lang w:eastAsia="en-US"/>
              </w:rPr>
            </w:pPr>
            <w:r>
              <w:rPr>
                <w:rFonts w:ascii="Arial Narrow" w:eastAsia="Calibri" w:hAnsi="Arial Narrow" w:cs="Calibri"/>
                <w:b/>
                <w:noProof/>
                <w:color w:val="000000"/>
                <w:sz w:val="20"/>
                <w:szCs w:val="20"/>
                <w:highlight w:val="black"/>
                <w:lang w:eastAsia="en-US"/>
              </w:rPr>
              <w:t>''''''''' '''''''''''' '''''''''''</w:t>
            </w:r>
          </w:p>
        </w:tc>
      </w:tr>
      <w:tr w:rsidR="00CD0F71" w:rsidRPr="00CD0F71" w:rsidTr="00CD0F71">
        <w:tc>
          <w:tcPr>
            <w:tcW w:w="1464" w:type="dxa"/>
            <w:tcBorders>
              <w:bottom w:val="single" w:sz="4" w:space="0" w:color="auto"/>
            </w:tcBorders>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CAD &amp; HF</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w:t>
            </w:r>
          </w:p>
        </w:tc>
        <w:tc>
          <w:tcPr>
            <w:tcW w:w="1320"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b/>
                <w:sz w:val="20"/>
                <w:szCs w:val="20"/>
                <w:highlight w:val="black"/>
                <w:lang w:eastAsia="en-US"/>
              </w:rPr>
            </w:pPr>
            <w:r>
              <w:rPr>
                <w:rFonts w:ascii="Arial Narrow" w:eastAsia="Calibri" w:hAnsi="Arial Narrow" w:cs="Calibri"/>
                <w:b/>
                <w:noProof/>
                <w:color w:val="000000"/>
                <w:sz w:val="20"/>
                <w:szCs w:val="20"/>
                <w:highlight w:val="black"/>
                <w:lang w:eastAsia="en-US"/>
              </w:rPr>
              <w:t>'''''''' '''''''''' '''''''''</w:t>
            </w:r>
          </w:p>
        </w:tc>
      </w:tr>
      <w:tr w:rsidR="00CD0F71" w:rsidRPr="00CD0F71" w:rsidTr="00CD0F71">
        <w:tc>
          <w:tcPr>
            <w:tcW w:w="1464" w:type="dxa"/>
            <w:tcBorders>
              <w:bottom w:val="double" w:sz="4" w:space="0" w:color="auto"/>
            </w:tcBorders>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CAD &amp; CKD</w:t>
            </w:r>
          </w:p>
        </w:tc>
        <w:tc>
          <w:tcPr>
            <w:tcW w:w="1697" w:type="dxa"/>
            <w:tcBorders>
              <w:top w:val="single" w:sz="4" w:space="0" w:color="auto"/>
              <w:left w:val="single" w:sz="4" w:space="0" w:color="auto"/>
              <w:bottom w:val="doub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w:t>
            </w:r>
          </w:p>
        </w:tc>
        <w:tc>
          <w:tcPr>
            <w:tcW w:w="1525" w:type="dxa"/>
            <w:tcBorders>
              <w:top w:val="single" w:sz="4" w:space="0" w:color="auto"/>
              <w:left w:val="single" w:sz="4" w:space="0" w:color="auto"/>
              <w:bottom w:val="doub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w:t>
            </w:r>
          </w:p>
        </w:tc>
        <w:tc>
          <w:tcPr>
            <w:tcW w:w="1537" w:type="dxa"/>
            <w:tcBorders>
              <w:top w:val="single" w:sz="4" w:space="0" w:color="auto"/>
              <w:left w:val="single" w:sz="4" w:space="0" w:color="auto"/>
              <w:bottom w:val="doub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w:t>
            </w:r>
          </w:p>
        </w:tc>
        <w:tc>
          <w:tcPr>
            <w:tcW w:w="1320" w:type="dxa"/>
            <w:tcBorders>
              <w:top w:val="single" w:sz="4" w:space="0" w:color="auto"/>
              <w:left w:val="single" w:sz="4" w:space="0" w:color="auto"/>
              <w:bottom w:val="doub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w:t>
            </w:r>
          </w:p>
        </w:tc>
        <w:tc>
          <w:tcPr>
            <w:tcW w:w="1473" w:type="dxa"/>
            <w:tcBorders>
              <w:top w:val="single" w:sz="4" w:space="0" w:color="auto"/>
              <w:left w:val="single" w:sz="4" w:space="0" w:color="auto"/>
              <w:bottom w:val="doub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b/>
                <w:sz w:val="20"/>
                <w:szCs w:val="20"/>
                <w:highlight w:val="black"/>
                <w:lang w:eastAsia="en-US"/>
              </w:rPr>
            </w:pPr>
            <w:r>
              <w:rPr>
                <w:rFonts w:ascii="Arial Narrow" w:eastAsia="Calibri" w:hAnsi="Arial Narrow" w:cs="Calibri"/>
                <w:b/>
                <w:noProof/>
                <w:color w:val="000000"/>
                <w:sz w:val="20"/>
                <w:szCs w:val="20"/>
                <w:highlight w:val="black"/>
                <w:lang w:eastAsia="en-US"/>
              </w:rPr>
              <w:t>''''''''' '''''''''' '''''''''''</w:t>
            </w:r>
          </w:p>
        </w:tc>
      </w:tr>
      <w:tr w:rsidR="00CD0F71" w:rsidRPr="00CD0F71" w:rsidTr="00CD0F71">
        <w:tc>
          <w:tcPr>
            <w:tcW w:w="1464" w:type="dxa"/>
            <w:tcBorders>
              <w:top w:val="double" w:sz="4" w:space="0" w:color="auto"/>
            </w:tcBorders>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 xml:space="preserve">Complement of pooled subgroup </w:t>
            </w:r>
          </w:p>
        </w:tc>
        <w:tc>
          <w:tcPr>
            <w:tcW w:w="1697" w:type="dxa"/>
            <w:tcBorders>
              <w:top w:val="doub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w:t>
            </w:r>
          </w:p>
        </w:tc>
        <w:tc>
          <w:tcPr>
            <w:tcW w:w="1525" w:type="dxa"/>
            <w:tcBorders>
              <w:top w:val="doub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w:t>
            </w:r>
          </w:p>
        </w:tc>
        <w:tc>
          <w:tcPr>
            <w:tcW w:w="1537" w:type="dxa"/>
            <w:tcBorders>
              <w:top w:val="doub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w:t>
            </w:r>
          </w:p>
        </w:tc>
        <w:tc>
          <w:tcPr>
            <w:tcW w:w="1320" w:type="dxa"/>
            <w:tcBorders>
              <w:top w:val="doub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 '''''''''''''</w:t>
            </w:r>
          </w:p>
        </w:tc>
      </w:tr>
      <w:tr w:rsidR="00CD0F71" w:rsidRPr="00CD0F71" w:rsidTr="00CD0F71">
        <w:tc>
          <w:tcPr>
            <w:tcW w:w="9016" w:type="dxa"/>
            <w:gridSpan w:val="6"/>
            <w:tcBorders>
              <w:right w:val="single" w:sz="4" w:space="0" w:color="auto"/>
            </w:tcBorders>
            <w:vAlign w:val="center"/>
          </w:tcPr>
          <w:p w:rsidR="00CD0F71" w:rsidRPr="000B6B6A" w:rsidRDefault="00CD0F71" w:rsidP="00CD0F71">
            <w:pPr>
              <w:keepNext/>
              <w:jc w:val="left"/>
              <w:rPr>
                <w:rFonts w:ascii="Arial Narrow" w:hAnsi="Arial Narrow" w:cs="Times New Roman"/>
                <w:b/>
                <w:bCs/>
                <w:sz w:val="20"/>
                <w:szCs w:val="20"/>
              </w:rPr>
            </w:pPr>
            <w:r w:rsidRPr="000B6B6A">
              <w:rPr>
                <w:rFonts w:ascii="Arial Narrow" w:hAnsi="Arial Narrow" w:cs="Times New Roman"/>
                <w:b/>
                <w:bCs/>
                <w:sz w:val="20"/>
                <w:szCs w:val="20"/>
              </w:rPr>
              <w:t>Myocardial infarction</w:t>
            </w:r>
          </w:p>
        </w:tc>
      </w:tr>
      <w:tr w:rsidR="00CD0F71" w:rsidRPr="00CD0F71" w:rsidTr="00CD0F71">
        <w:tc>
          <w:tcPr>
            <w:tcW w:w="1464" w:type="dxa"/>
            <w:tcBorders>
              <w:top w:val="single" w:sz="4" w:space="0" w:color="auto"/>
              <w:left w:val="single" w:sz="4" w:space="0" w:color="auto"/>
              <w:bottom w:val="single" w:sz="4" w:space="0" w:color="auto"/>
              <w:right w:val="single" w:sz="4" w:space="0" w:color="auto"/>
            </w:tcBorders>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ITT population</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0B6B6A" w:rsidRDefault="00CD0F71" w:rsidP="00CD0F71">
            <w:pPr>
              <w:keepNext/>
              <w:jc w:val="center"/>
              <w:rPr>
                <w:rFonts w:ascii="Arial Narrow" w:hAnsi="Arial Narrow" w:cs="Times New Roman"/>
                <w:bCs/>
                <w:sz w:val="20"/>
                <w:szCs w:val="20"/>
              </w:rPr>
            </w:pPr>
            <w:r w:rsidRPr="000B6B6A">
              <w:rPr>
                <w:rFonts w:ascii="Arial Narrow" w:hAnsi="Arial Narrow" w:cs="Times New Roman"/>
                <w:bCs/>
                <w:sz w:val="20"/>
                <w:szCs w:val="20"/>
              </w:rPr>
              <w:t>178/9152 (1.9)</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0B6B6A" w:rsidRDefault="00CD0F71" w:rsidP="00CD0F71">
            <w:pPr>
              <w:keepNext/>
              <w:jc w:val="center"/>
              <w:rPr>
                <w:rFonts w:ascii="Arial Narrow" w:hAnsi="Arial Narrow" w:cs="Times New Roman"/>
                <w:bCs/>
                <w:sz w:val="20"/>
                <w:szCs w:val="20"/>
              </w:rPr>
            </w:pPr>
            <w:r w:rsidRPr="000B6B6A">
              <w:rPr>
                <w:rFonts w:ascii="Arial Narrow" w:hAnsi="Arial Narrow" w:cs="Times New Roman"/>
                <w:bCs/>
                <w:sz w:val="20"/>
                <w:szCs w:val="20"/>
              </w:rPr>
              <w:t>205/9126 (2.2)</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0B6B6A" w:rsidRDefault="00CD0F71" w:rsidP="00CD0F71">
            <w:pPr>
              <w:keepNext/>
              <w:jc w:val="center"/>
              <w:rPr>
                <w:rFonts w:ascii="Arial Narrow" w:hAnsi="Arial Narrow" w:cs="Times New Roman"/>
                <w:bCs/>
                <w:sz w:val="20"/>
                <w:szCs w:val="20"/>
              </w:rPr>
            </w:pPr>
            <w:r w:rsidRPr="000B6B6A">
              <w:rPr>
                <w:rFonts w:ascii="Arial Narrow" w:hAnsi="Arial Narrow" w:cs="Times New Roman"/>
                <w:bCs/>
                <w:sz w:val="20"/>
                <w:szCs w:val="20"/>
              </w:rPr>
              <w:t>-0.3014</w:t>
            </w:r>
          </w:p>
        </w:tc>
        <w:tc>
          <w:tcPr>
            <w:tcW w:w="1320" w:type="dxa"/>
            <w:tcBorders>
              <w:top w:val="single" w:sz="4" w:space="0" w:color="auto"/>
              <w:left w:val="single" w:sz="4" w:space="0" w:color="auto"/>
              <w:bottom w:val="single" w:sz="4" w:space="0" w:color="auto"/>
              <w:right w:val="single" w:sz="4" w:space="0" w:color="auto"/>
            </w:tcBorders>
            <w:vAlign w:val="center"/>
          </w:tcPr>
          <w:p w:rsidR="00CD0F71" w:rsidRPr="000B6B6A" w:rsidRDefault="00CD0F71" w:rsidP="00CD0F71">
            <w:pPr>
              <w:keepNext/>
              <w:jc w:val="center"/>
              <w:rPr>
                <w:rFonts w:ascii="Arial Narrow" w:hAnsi="Arial Narrow" w:cs="Times New Roman"/>
                <w:b/>
                <w:bCs/>
                <w:sz w:val="20"/>
                <w:szCs w:val="20"/>
              </w:rPr>
            </w:pPr>
            <w:r w:rsidRPr="000B6B6A">
              <w:rPr>
                <w:rFonts w:ascii="Arial Narrow" w:hAnsi="Arial Narrow" w:cs="Times New Roman"/>
                <w:bCs/>
                <w:sz w:val="20"/>
                <w:szCs w:val="20"/>
              </w:rPr>
              <w:t>332</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0B6B6A" w:rsidRDefault="00CD0F71" w:rsidP="00CD0F71">
            <w:pPr>
              <w:keepNext/>
              <w:jc w:val="center"/>
              <w:rPr>
                <w:rFonts w:ascii="Arial Narrow" w:hAnsi="Arial Narrow" w:cs="Times New Roman"/>
                <w:b/>
                <w:bCs/>
                <w:sz w:val="20"/>
                <w:szCs w:val="20"/>
              </w:rPr>
            </w:pPr>
            <w:r w:rsidRPr="000B6B6A">
              <w:rPr>
                <w:rFonts w:ascii="Arial Narrow" w:hAnsi="Arial Narrow" w:cs="Times New Roman"/>
                <w:bCs/>
                <w:sz w:val="20"/>
              </w:rPr>
              <w:t>0.86 (0.70, 1.05)</w:t>
            </w:r>
          </w:p>
        </w:tc>
      </w:tr>
      <w:tr w:rsidR="00CD0F71" w:rsidRPr="00CD0F71" w:rsidTr="00CD0F71">
        <w:tc>
          <w:tcPr>
            <w:tcW w:w="1464" w:type="dxa"/>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Pooled subgroup</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 ''''''''''''</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 '''''''''''</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w:t>
            </w:r>
          </w:p>
        </w:tc>
        <w:tc>
          <w:tcPr>
            <w:tcW w:w="1320"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szCs w:val="20"/>
                <w:highlight w:val="black"/>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szCs w:val="20"/>
                <w:highlight w:val="black"/>
              </w:rPr>
              <w:t>''''''''''' ''''''''''''''' ''''''''''''''</w:t>
            </w:r>
          </w:p>
        </w:tc>
      </w:tr>
      <w:tr w:rsidR="00CD0F71" w:rsidRPr="00CD0F71" w:rsidTr="00CD0F71">
        <w:tc>
          <w:tcPr>
            <w:tcW w:w="1464" w:type="dxa"/>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 xml:space="preserve">PAD </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 ''''''''''''</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 ''''''''''</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w:t>
            </w:r>
          </w:p>
        </w:tc>
        <w:tc>
          <w:tcPr>
            <w:tcW w:w="1320"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szCs w:val="20"/>
                <w:highlight w:val="black"/>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szCs w:val="20"/>
                <w:highlight w:val="black"/>
              </w:rPr>
              <w:t>'''''''''' '''''''''''''''' ''''''''''''</w:t>
            </w:r>
          </w:p>
        </w:tc>
      </w:tr>
      <w:tr w:rsidR="00CD0F71" w:rsidRPr="00CD0F71" w:rsidTr="00CD0F71">
        <w:tc>
          <w:tcPr>
            <w:tcW w:w="1464" w:type="dxa"/>
            <w:vAlign w:val="center"/>
          </w:tcPr>
          <w:p w:rsidR="00CD0F71" w:rsidRPr="000B6B6A" w:rsidRDefault="00CD0F71" w:rsidP="00CD0F71">
            <w:pPr>
              <w:keepNext/>
              <w:jc w:val="left"/>
              <w:rPr>
                <w:rFonts w:ascii="Arial Narrow" w:hAnsi="Arial Narrow" w:cs="Times New Roman"/>
                <w:bCs/>
                <w:sz w:val="20"/>
                <w:szCs w:val="20"/>
                <w:vertAlign w:val="superscript"/>
              </w:rPr>
            </w:pPr>
            <w:r w:rsidRPr="000B6B6A">
              <w:rPr>
                <w:rFonts w:ascii="Arial Narrow" w:hAnsi="Arial Narrow" w:cs="Times New Roman"/>
                <w:bCs/>
                <w:sz w:val="20"/>
                <w:szCs w:val="20"/>
              </w:rPr>
              <w:t>PAD only</w:t>
            </w:r>
            <w:r w:rsidRPr="000B6B6A">
              <w:rPr>
                <w:rFonts w:ascii="Arial Narrow" w:hAnsi="Arial Narrow" w:cs="Times New Roman"/>
                <w:bCs/>
                <w:sz w:val="20"/>
                <w:szCs w:val="20"/>
                <w:vertAlign w:val="superscript"/>
              </w:rPr>
              <w:t>a</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 ''''''''''</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 '''''''''''</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w:t>
            </w:r>
          </w:p>
        </w:tc>
        <w:tc>
          <w:tcPr>
            <w:tcW w:w="1320"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szCs w:val="20"/>
                <w:highlight w:val="black"/>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szCs w:val="20"/>
                <w:highlight w:val="black"/>
              </w:rPr>
              <w:t>''''''''''' ''''''''''''' ''''''''''''</w:t>
            </w:r>
          </w:p>
        </w:tc>
      </w:tr>
      <w:tr w:rsidR="00CD0F71" w:rsidRPr="00CD0F71" w:rsidTr="00CD0F71">
        <w:tc>
          <w:tcPr>
            <w:tcW w:w="1464" w:type="dxa"/>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CAD &amp; PAD</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 '''''''''''</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 ''''''''''''</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w:t>
            </w:r>
          </w:p>
        </w:tc>
        <w:tc>
          <w:tcPr>
            <w:tcW w:w="1320"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szCs w:val="20"/>
                <w:highlight w:val="black"/>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szCs w:val="20"/>
                <w:highlight w:val="black"/>
              </w:rPr>
              <w:t>'''''''''' '''''''''''''' ''''''''''''</w:t>
            </w:r>
          </w:p>
        </w:tc>
      </w:tr>
      <w:tr w:rsidR="00CD0F71" w:rsidRPr="00CD0F71" w:rsidTr="00CD0F71">
        <w:tc>
          <w:tcPr>
            <w:tcW w:w="1464" w:type="dxa"/>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CAD &amp; HF</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 '''''''''''</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 ''''''''''''</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w:t>
            </w:r>
          </w:p>
        </w:tc>
        <w:tc>
          <w:tcPr>
            <w:tcW w:w="1320"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szCs w:val="20"/>
                <w:highlight w:val="black"/>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szCs w:val="20"/>
                <w:highlight w:val="black"/>
              </w:rPr>
              <w:t>'''''''''''' '''''''''''' '''''''''''''</w:t>
            </w:r>
          </w:p>
        </w:tc>
      </w:tr>
      <w:tr w:rsidR="00CD0F71" w:rsidRPr="00CD0F71" w:rsidTr="00CD0F71">
        <w:tc>
          <w:tcPr>
            <w:tcW w:w="1464" w:type="dxa"/>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CAD &amp; CKD</w:t>
            </w:r>
          </w:p>
        </w:tc>
        <w:tc>
          <w:tcPr>
            <w:tcW w:w="1697" w:type="dxa"/>
            <w:tcBorders>
              <w:top w:val="single" w:sz="4" w:space="0" w:color="auto"/>
              <w:left w:val="single" w:sz="4" w:space="0" w:color="auto"/>
              <w:bottom w:val="doub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 ''''''''''''</w:t>
            </w:r>
          </w:p>
        </w:tc>
        <w:tc>
          <w:tcPr>
            <w:tcW w:w="1525" w:type="dxa"/>
            <w:tcBorders>
              <w:top w:val="single" w:sz="4" w:space="0" w:color="auto"/>
              <w:left w:val="single" w:sz="4" w:space="0" w:color="auto"/>
              <w:bottom w:val="doub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 ''''''''''</w:t>
            </w:r>
          </w:p>
        </w:tc>
        <w:tc>
          <w:tcPr>
            <w:tcW w:w="1537" w:type="dxa"/>
            <w:tcBorders>
              <w:top w:val="single" w:sz="4" w:space="0" w:color="auto"/>
              <w:left w:val="single" w:sz="4" w:space="0" w:color="auto"/>
              <w:bottom w:val="doub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w:t>
            </w:r>
          </w:p>
        </w:tc>
        <w:tc>
          <w:tcPr>
            <w:tcW w:w="1320" w:type="dxa"/>
            <w:tcBorders>
              <w:top w:val="single" w:sz="4" w:space="0" w:color="auto"/>
              <w:left w:val="single" w:sz="4" w:space="0" w:color="auto"/>
              <w:bottom w:val="doub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szCs w:val="20"/>
                <w:highlight w:val="black"/>
              </w:rPr>
              <w:t>''''''''</w:t>
            </w:r>
          </w:p>
        </w:tc>
        <w:tc>
          <w:tcPr>
            <w:tcW w:w="1473" w:type="dxa"/>
            <w:tcBorders>
              <w:top w:val="single" w:sz="4" w:space="0" w:color="auto"/>
              <w:left w:val="single" w:sz="4" w:space="0" w:color="auto"/>
              <w:bottom w:val="doub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szCs w:val="20"/>
                <w:highlight w:val="black"/>
              </w:rPr>
              <w:t>'''''''''' '''''''''''' ''''''''''''''</w:t>
            </w:r>
          </w:p>
        </w:tc>
      </w:tr>
      <w:tr w:rsidR="00CD0F71" w:rsidRPr="00CD0F71" w:rsidTr="00CD0F71">
        <w:tc>
          <w:tcPr>
            <w:tcW w:w="1464" w:type="dxa"/>
            <w:tcBorders>
              <w:top w:val="double" w:sz="4" w:space="0" w:color="auto"/>
            </w:tcBorders>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 xml:space="preserve">Complement of pooled subgroup </w:t>
            </w:r>
          </w:p>
        </w:tc>
        <w:tc>
          <w:tcPr>
            <w:tcW w:w="1697" w:type="dxa"/>
            <w:tcBorders>
              <w:top w:val="doub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w:t>
            </w:r>
          </w:p>
        </w:tc>
        <w:tc>
          <w:tcPr>
            <w:tcW w:w="1525" w:type="dxa"/>
            <w:tcBorders>
              <w:top w:val="doub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w:t>
            </w:r>
          </w:p>
        </w:tc>
        <w:tc>
          <w:tcPr>
            <w:tcW w:w="1537" w:type="dxa"/>
            <w:tcBorders>
              <w:top w:val="doub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szCs w:val="20"/>
                <w:highlight w:val="black"/>
              </w:rPr>
              <w:t>'''''''''''''''''''</w:t>
            </w:r>
          </w:p>
        </w:tc>
        <w:tc>
          <w:tcPr>
            <w:tcW w:w="1320" w:type="dxa"/>
            <w:tcBorders>
              <w:top w:val="doub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w:t>
            </w:r>
          </w:p>
        </w:tc>
        <w:tc>
          <w:tcPr>
            <w:tcW w:w="1473" w:type="dxa"/>
            <w:tcBorders>
              <w:top w:val="doub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 '''''''''''''</w:t>
            </w:r>
          </w:p>
        </w:tc>
      </w:tr>
      <w:tr w:rsidR="00CD0F71" w:rsidRPr="00CD0F71" w:rsidTr="00CD0F71">
        <w:tc>
          <w:tcPr>
            <w:tcW w:w="9016" w:type="dxa"/>
            <w:gridSpan w:val="6"/>
            <w:tcBorders>
              <w:right w:val="single" w:sz="4" w:space="0" w:color="auto"/>
            </w:tcBorders>
            <w:vAlign w:val="center"/>
          </w:tcPr>
          <w:p w:rsidR="00CD0F71" w:rsidRPr="000B6B6A" w:rsidRDefault="00C140C0" w:rsidP="00CD0F71">
            <w:pPr>
              <w:keepNext/>
              <w:jc w:val="left"/>
              <w:rPr>
                <w:rFonts w:ascii="Arial Narrow" w:hAnsi="Arial Narrow" w:cs="Times New Roman"/>
                <w:b/>
                <w:bCs/>
                <w:sz w:val="20"/>
                <w:szCs w:val="20"/>
              </w:rPr>
            </w:pPr>
            <w:r w:rsidRPr="000B6B6A">
              <w:rPr>
                <w:rFonts w:ascii="Arial Narrow" w:hAnsi="Arial Narrow" w:cs="Times New Roman"/>
                <w:b/>
                <w:bCs/>
                <w:sz w:val="20"/>
                <w:szCs w:val="20"/>
              </w:rPr>
              <w:t>Isch</w:t>
            </w:r>
            <w:r w:rsidR="00D60EA6" w:rsidRPr="000B6B6A">
              <w:rPr>
                <w:rFonts w:ascii="Arial Narrow" w:hAnsi="Arial Narrow" w:cs="Times New Roman"/>
                <w:b/>
                <w:bCs/>
                <w:sz w:val="20"/>
                <w:szCs w:val="20"/>
              </w:rPr>
              <w:t>a</w:t>
            </w:r>
            <w:r w:rsidR="00CD0F71" w:rsidRPr="000B6B6A">
              <w:rPr>
                <w:rFonts w:ascii="Arial Narrow" w:hAnsi="Arial Narrow" w:cs="Times New Roman"/>
                <w:b/>
                <w:bCs/>
                <w:sz w:val="20"/>
                <w:szCs w:val="20"/>
              </w:rPr>
              <w:t>emic stroke</w:t>
            </w:r>
          </w:p>
        </w:tc>
      </w:tr>
      <w:tr w:rsidR="00CD0F71" w:rsidRPr="00CD0F71" w:rsidTr="00CD0F71">
        <w:tc>
          <w:tcPr>
            <w:tcW w:w="1464" w:type="dxa"/>
            <w:tcBorders>
              <w:top w:val="single" w:sz="4" w:space="0" w:color="auto"/>
              <w:left w:val="single" w:sz="4" w:space="0" w:color="auto"/>
              <w:bottom w:val="single" w:sz="4" w:space="0" w:color="auto"/>
              <w:right w:val="single" w:sz="4" w:space="0" w:color="auto"/>
            </w:tcBorders>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ITT population</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0B6B6A" w:rsidRDefault="00CD0F71" w:rsidP="00CD0F71">
            <w:pPr>
              <w:keepNext/>
              <w:jc w:val="center"/>
              <w:rPr>
                <w:rFonts w:ascii="Arial Narrow" w:hAnsi="Arial Narrow" w:cs="Times New Roman"/>
                <w:bCs/>
                <w:sz w:val="20"/>
                <w:szCs w:val="20"/>
              </w:rPr>
            </w:pPr>
            <w:r w:rsidRPr="000B6B6A">
              <w:rPr>
                <w:rFonts w:ascii="Arial Narrow" w:hAnsi="Arial Narrow" w:cs="Times New Roman"/>
                <w:bCs/>
                <w:sz w:val="20"/>
              </w:rPr>
              <w:t>64/9152 (0.7)</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0B6B6A" w:rsidRDefault="00CD0F71" w:rsidP="00CD0F71">
            <w:pPr>
              <w:keepNext/>
              <w:jc w:val="center"/>
              <w:rPr>
                <w:rFonts w:ascii="Arial Narrow" w:hAnsi="Arial Narrow" w:cs="Times New Roman"/>
                <w:bCs/>
                <w:sz w:val="20"/>
                <w:szCs w:val="20"/>
              </w:rPr>
            </w:pPr>
            <w:r w:rsidRPr="000B6B6A">
              <w:rPr>
                <w:rFonts w:ascii="Arial Narrow" w:hAnsi="Arial Narrow" w:cs="Times New Roman"/>
                <w:bCs/>
                <w:sz w:val="20"/>
              </w:rPr>
              <w:t>125/9126 (1.4)</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0B6B6A" w:rsidRDefault="00CD0F71" w:rsidP="00CD0F71">
            <w:pPr>
              <w:keepNext/>
              <w:jc w:val="center"/>
              <w:rPr>
                <w:rFonts w:ascii="Arial Narrow" w:hAnsi="Arial Narrow" w:cs="Times New Roman"/>
                <w:bCs/>
                <w:sz w:val="20"/>
                <w:szCs w:val="20"/>
              </w:rPr>
            </w:pPr>
            <w:r w:rsidRPr="000B6B6A">
              <w:rPr>
                <w:rFonts w:ascii="Arial Narrow" w:hAnsi="Arial Narrow" w:cs="Times New Roman"/>
                <w:bCs/>
                <w:sz w:val="20"/>
              </w:rPr>
              <w:t>-0.6704</w:t>
            </w:r>
          </w:p>
        </w:tc>
        <w:tc>
          <w:tcPr>
            <w:tcW w:w="1320" w:type="dxa"/>
            <w:tcBorders>
              <w:top w:val="single" w:sz="4" w:space="0" w:color="auto"/>
              <w:left w:val="single" w:sz="4" w:space="0" w:color="auto"/>
              <w:bottom w:val="single" w:sz="4" w:space="0" w:color="auto"/>
              <w:right w:val="single" w:sz="4" w:space="0" w:color="auto"/>
            </w:tcBorders>
            <w:vAlign w:val="center"/>
          </w:tcPr>
          <w:p w:rsidR="00CD0F71" w:rsidRPr="000B6B6A" w:rsidRDefault="00CD0F71" w:rsidP="00CD0F71">
            <w:pPr>
              <w:keepNext/>
              <w:jc w:val="center"/>
              <w:rPr>
                <w:rFonts w:ascii="Arial Narrow" w:hAnsi="Arial Narrow" w:cs="Times New Roman"/>
                <w:b/>
                <w:bCs/>
                <w:sz w:val="20"/>
                <w:szCs w:val="20"/>
              </w:rPr>
            </w:pPr>
            <w:r w:rsidRPr="000B6B6A">
              <w:rPr>
                <w:rFonts w:ascii="Arial Narrow" w:hAnsi="Arial Narrow" w:cs="Times New Roman"/>
                <w:bCs/>
                <w:sz w:val="20"/>
              </w:rPr>
              <w:t>149</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0B6B6A" w:rsidRDefault="00CD0F71" w:rsidP="00CD0F71">
            <w:pPr>
              <w:keepNext/>
              <w:jc w:val="center"/>
              <w:rPr>
                <w:rFonts w:ascii="Arial Narrow" w:hAnsi="Arial Narrow" w:cs="Times New Roman"/>
                <w:b/>
                <w:bCs/>
                <w:sz w:val="20"/>
                <w:szCs w:val="20"/>
              </w:rPr>
            </w:pPr>
            <w:r w:rsidRPr="000B6B6A">
              <w:rPr>
                <w:rFonts w:ascii="Arial Narrow" w:hAnsi="Arial Narrow" w:cs="Times New Roman"/>
                <w:b/>
                <w:bCs/>
                <w:sz w:val="20"/>
              </w:rPr>
              <w:t>0.51 (0.38, 0.69)</w:t>
            </w:r>
          </w:p>
        </w:tc>
      </w:tr>
      <w:tr w:rsidR="00CD0F71" w:rsidRPr="00CD0F71" w:rsidTr="00CD0F71">
        <w:tc>
          <w:tcPr>
            <w:tcW w:w="1464" w:type="dxa"/>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Pooled subgroup</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w:t>
            </w:r>
          </w:p>
        </w:tc>
        <w:tc>
          <w:tcPr>
            <w:tcW w:w="1320" w:type="dxa"/>
            <w:tcBorders>
              <w:top w:val="single" w:sz="4" w:space="0" w:color="auto"/>
              <w:left w:val="nil"/>
              <w:bottom w:val="single" w:sz="4" w:space="0" w:color="auto"/>
              <w:right w:val="nil"/>
            </w:tcBorders>
            <w:shd w:val="clear" w:color="auto" w:fill="auto"/>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Calibri"/>
                <w:bCs/>
                <w:noProof/>
                <w:color w:val="000000"/>
                <w:sz w:val="20"/>
                <w:highlight w:val="black"/>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
                <w:bCs/>
                <w:noProof/>
                <w:color w:val="000000"/>
                <w:sz w:val="20"/>
                <w:highlight w:val="black"/>
              </w:rPr>
              <w:t>''''''''' ''''''''''' '''''''''''</w:t>
            </w:r>
          </w:p>
        </w:tc>
      </w:tr>
      <w:tr w:rsidR="00CD0F71" w:rsidRPr="00CD0F71" w:rsidTr="00CD0F71">
        <w:tc>
          <w:tcPr>
            <w:tcW w:w="1464" w:type="dxa"/>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PAD</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w:t>
            </w:r>
          </w:p>
        </w:tc>
        <w:tc>
          <w:tcPr>
            <w:tcW w:w="1320" w:type="dxa"/>
            <w:tcBorders>
              <w:top w:val="single" w:sz="4" w:space="0" w:color="auto"/>
              <w:left w:val="nil"/>
              <w:bottom w:val="single" w:sz="4" w:space="0" w:color="auto"/>
              <w:right w:val="nil"/>
            </w:tcBorders>
            <w:shd w:val="clear" w:color="auto" w:fill="auto"/>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Calibri"/>
                <w:bCs/>
                <w:noProof/>
                <w:color w:val="000000"/>
                <w:sz w:val="20"/>
                <w:szCs w:val="22"/>
                <w:highlight w:val="black"/>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
                <w:bCs/>
                <w:noProof/>
                <w:color w:val="000000"/>
                <w:sz w:val="20"/>
                <w:highlight w:val="black"/>
              </w:rPr>
              <w:t>''''''''' '''''''''''' '''''''''</w:t>
            </w:r>
          </w:p>
        </w:tc>
      </w:tr>
      <w:tr w:rsidR="00CD0F71" w:rsidRPr="00CD0F71" w:rsidTr="00CD0F71">
        <w:tc>
          <w:tcPr>
            <w:tcW w:w="1464" w:type="dxa"/>
            <w:vAlign w:val="center"/>
          </w:tcPr>
          <w:p w:rsidR="00CD0F71" w:rsidRPr="000B6B6A" w:rsidRDefault="00CD0F71" w:rsidP="00CD0F71">
            <w:pPr>
              <w:keepNext/>
              <w:jc w:val="left"/>
              <w:rPr>
                <w:rFonts w:ascii="Arial Narrow" w:hAnsi="Arial Narrow" w:cs="Times New Roman"/>
                <w:bCs/>
                <w:sz w:val="20"/>
                <w:szCs w:val="20"/>
                <w:vertAlign w:val="superscript"/>
              </w:rPr>
            </w:pPr>
            <w:r w:rsidRPr="000B6B6A">
              <w:rPr>
                <w:rFonts w:ascii="Arial Narrow" w:hAnsi="Arial Narrow" w:cs="Times New Roman"/>
                <w:bCs/>
                <w:sz w:val="20"/>
                <w:szCs w:val="20"/>
              </w:rPr>
              <w:t>PAD only</w:t>
            </w:r>
            <w:r w:rsidRPr="000B6B6A">
              <w:rPr>
                <w:rFonts w:ascii="Arial Narrow" w:hAnsi="Arial Narrow" w:cs="Times New Roman"/>
                <w:bCs/>
                <w:sz w:val="20"/>
                <w:szCs w:val="20"/>
                <w:vertAlign w:val="superscript"/>
              </w:rPr>
              <w:t>a</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w:t>
            </w:r>
          </w:p>
        </w:tc>
        <w:tc>
          <w:tcPr>
            <w:tcW w:w="1320" w:type="dxa"/>
            <w:tcBorders>
              <w:top w:val="single" w:sz="4" w:space="0" w:color="auto"/>
              <w:left w:val="nil"/>
              <w:bottom w:val="single" w:sz="4" w:space="0" w:color="auto"/>
              <w:right w:val="nil"/>
            </w:tcBorders>
            <w:shd w:val="clear" w:color="auto" w:fill="auto"/>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highlight w:val="black"/>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highlight w:val="black"/>
              </w:rPr>
              <w:t>'''''''''' '''''''''''''' ''''''''''''</w:t>
            </w:r>
          </w:p>
        </w:tc>
      </w:tr>
      <w:tr w:rsidR="00CD0F71" w:rsidRPr="00CD0F71" w:rsidTr="00CD0F71">
        <w:tc>
          <w:tcPr>
            <w:tcW w:w="1464" w:type="dxa"/>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CAD &amp; PAD</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w:t>
            </w:r>
          </w:p>
        </w:tc>
        <w:tc>
          <w:tcPr>
            <w:tcW w:w="1320" w:type="dxa"/>
            <w:tcBorders>
              <w:top w:val="single" w:sz="4" w:space="0" w:color="auto"/>
              <w:left w:val="nil"/>
              <w:bottom w:val="single" w:sz="4" w:space="0" w:color="auto"/>
              <w:right w:val="nil"/>
            </w:tcBorders>
            <w:shd w:val="clear" w:color="auto" w:fill="auto"/>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Calibri"/>
                <w:bCs/>
                <w:noProof/>
                <w:color w:val="000000"/>
                <w:sz w:val="20"/>
                <w:szCs w:val="22"/>
                <w:highlight w:val="black"/>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
                <w:bCs/>
                <w:noProof/>
                <w:color w:val="000000"/>
                <w:sz w:val="20"/>
                <w:highlight w:val="black"/>
              </w:rPr>
              <w:t xml:space="preserve">''''''''' '''''''''''' '''''''''' </w:t>
            </w:r>
          </w:p>
        </w:tc>
      </w:tr>
      <w:tr w:rsidR="00CD0F71" w:rsidRPr="00CD0F71" w:rsidTr="00CD0F71">
        <w:tc>
          <w:tcPr>
            <w:tcW w:w="1464" w:type="dxa"/>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CAD &amp; HF</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w:t>
            </w:r>
          </w:p>
        </w:tc>
        <w:tc>
          <w:tcPr>
            <w:tcW w:w="1320" w:type="dxa"/>
            <w:tcBorders>
              <w:top w:val="single" w:sz="4" w:space="0" w:color="auto"/>
              <w:left w:val="nil"/>
              <w:bottom w:val="single" w:sz="4" w:space="0" w:color="auto"/>
              <w:right w:val="nil"/>
            </w:tcBorders>
            <w:shd w:val="clear" w:color="auto" w:fill="auto"/>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Calibri"/>
                <w:bCs/>
                <w:noProof/>
                <w:color w:val="000000"/>
                <w:sz w:val="20"/>
                <w:szCs w:val="22"/>
                <w:highlight w:val="black"/>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
                <w:bCs/>
                <w:noProof/>
                <w:color w:val="000000"/>
                <w:sz w:val="20"/>
                <w:highlight w:val="black"/>
              </w:rPr>
              <w:t>''''''''' ''''''''''' ''''''''''</w:t>
            </w:r>
          </w:p>
        </w:tc>
      </w:tr>
      <w:tr w:rsidR="00CD0F71" w:rsidRPr="00CD0F71" w:rsidTr="00CD0F71">
        <w:tc>
          <w:tcPr>
            <w:tcW w:w="1464" w:type="dxa"/>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CAD &amp; CKD</w:t>
            </w:r>
          </w:p>
        </w:tc>
        <w:tc>
          <w:tcPr>
            <w:tcW w:w="1697" w:type="dxa"/>
            <w:tcBorders>
              <w:top w:val="single" w:sz="4" w:space="0" w:color="auto"/>
              <w:left w:val="single" w:sz="4" w:space="0" w:color="auto"/>
              <w:bottom w:val="doub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25" w:type="dxa"/>
            <w:tcBorders>
              <w:top w:val="single" w:sz="4" w:space="0" w:color="auto"/>
              <w:left w:val="single" w:sz="4" w:space="0" w:color="auto"/>
              <w:bottom w:val="doub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37" w:type="dxa"/>
            <w:tcBorders>
              <w:top w:val="single" w:sz="4" w:space="0" w:color="auto"/>
              <w:left w:val="single" w:sz="4" w:space="0" w:color="auto"/>
              <w:bottom w:val="doub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w:t>
            </w:r>
          </w:p>
        </w:tc>
        <w:tc>
          <w:tcPr>
            <w:tcW w:w="1320" w:type="dxa"/>
            <w:tcBorders>
              <w:top w:val="single" w:sz="4" w:space="0" w:color="auto"/>
              <w:left w:val="nil"/>
              <w:bottom w:val="double" w:sz="4" w:space="0" w:color="auto"/>
              <w:right w:val="nil"/>
            </w:tcBorders>
            <w:shd w:val="clear" w:color="auto" w:fill="auto"/>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Calibri"/>
                <w:bCs/>
                <w:noProof/>
                <w:color w:val="000000"/>
                <w:sz w:val="20"/>
                <w:szCs w:val="22"/>
                <w:highlight w:val="black"/>
              </w:rPr>
              <w:t>'''''''</w:t>
            </w:r>
          </w:p>
        </w:tc>
        <w:tc>
          <w:tcPr>
            <w:tcW w:w="1473" w:type="dxa"/>
            <w:tcBorders>
              <w:top w:val="single" w:sz="4" w:space="0" w:color="auto"/>
              <w:left w:val="single" w:sz="4" w:space="0" w:color="auto"/>
              <w:bottom w:val="doub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
                <w:bCs/>
                <w:noProof/>
                <w:color w:val="000000"/>
                <w:sz w:val="20"/>
                <w:highlight w:val="black"/>
              </w:rPr>
              <w:t>'''''''' '''''''''''' ''''''''''</w:t>
            </w:r>
          </w:p>
        </w:tc>
      </w:tr>
      <w:tr w:rsidR="00CD0F71" w:rsidRPr="00CD0F71" w:rsidTr="00CD0F71">
        <w:tc>
          <w:tcPr>
            <w:tcW w:w="1464" w:type="dxa"/>
            <w:tcBorders>
              <w:top w:val="double" w:sz="4" w:space="0" w:color="auto"/>
            </w:tcBorders>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 xml:space="preserve">Complement of pooled subgroup </w:t>
            </w:r>
          </w:p>
        </w:tc>
        <w:tc>
          <w:tcPr>
            <w:tcW w:w="1697" w:type="dxa"/>
            <w:tcBorders>
              <w:top w:val="doub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w:t>
            </w:r>
          </w:p>
        </w:tc>
        <w:tc>
          <w:tcPr>
            <w:tcW w:w="1525" w:type="dxa"/>
            <w:tcBorders>
              <w:top w:val="doub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w:t>
            </w:r>
          </w:p>
        </w:tc>
        <w:tc>
          <w:tcPr>
            <w:tcW w:w="1537" w:type="dxa"/>
            <w:tcBorders>
              <w:top w:val="doub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w:t>
            </w:r>
          </w:p>
        </w:tc>
        <w:tc>
          <w:tcPr>
            <w:tcW w:w="1320" w:type="dxa"/>
            <w:tcBorders>
              <w:top w:val="double" w:sz="4" w:space="0" w:color="auto"/>
              <w:left w:val="nil"/>
              <w:bottom w:val="single" w:sz="4" w:space="0" w:color="auto"/>
              <w:right w:val="nil"/>
            </w:tcBorders>
            <w:shd w:val="clear" w:color="auto" w:fill="auto"/>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2"/>
                <w:highlight w:val="black"/>
                <w:lang w:eastAsia="en-US"/>
              </w:rPr>
              <w:t>'''''''''</w:t>
            </w:r>
          </w:p>
        </w:tc>
        <w:tc>
          <w:tcPr>
            <w:tcW w:w="1473" w:type="dxa"/>
            <w:tcBorders>
              <w:top w:val="doub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xml:space="preserve"> '''''''''' ''''''''''''''' '''''''''''</w:t>
            </w:r>
          </w:p>
        </w:tc>
      </w:tr>
      <w:tr w:rsidR="00CD0F71" w:rsidRPr="00CD0F71" w:rsidTr="00CD0F71">
        <w:tc>
          <w:tcPr>
            <w:tcW w:w="9016" w:type="dxa"/>
            <w:gridSpan w:val="6"/>
            <w:tcBorders>
              <w:right w:val="single" w:sz="4" w:space="0" w:color="auto"/>
            </w:tcBorders>
            <w:vAlign w:val="center"/>
          </w:tcPr>
          <w:p w:rsidR="00CD0F71" w:rsidRPr="000B6B6A" w:rsidRDefault="00CD0F71" w:rsidP="00CD0F71">
            <w:pPr>
              <w:keepNext/>
              <w:jc w:val="left"/>
              <w:rPr>
                <w:rFonts w:ascii="Arial Narrow" w:hAnsi="Arial Narrow" w:cs="Times New Roman"/>
                <w:b/>
                <w:bCs/>
                <w:sz w:val="20"/>
                <w:szCs w:val="20"/>
              </w:rPr>
            </w:pPr>
            <w:r w:rsidRPr="000B6B6A">
              <w:rPr>
                <w:rFonts w:ascii="Arial Narrow" w:hAnsi="Arial Narrow" w:cs="Times New Roman"/>
                <w:b/>
                <w:bCs/>
                <w:sz w:val="20"/>
                <w:szCs w:val="20"/>
              </w:rPr>
              <w:t>Cardiovascular death</w:t>
            </w:r>
          </w:p>
        </w:tc>
      </w:tr>
      <w:tr w:rsidR="00CD0F71" w:rsidRPr="00CD0F71" w:rsidTr="00CD0F71">
        <w:tc>
          <w:tcPr>
            <w:tcW w:w="1464" w:type="dxa"/>
            <w:tcBorders>
              <w:top w:val="single" w:sz="4" w:space="0" w:color="auto"/>
              <w:left w:val="single" w:sz="4" w:space="0" w:color="auto"/>
              <w:bottom w:val="single" w:sz="4" w:space="0" w:color="auto"/>
              <w:right w:val="single" w:sz="4" w:space="0" w:color="auto"/>
            </w:tcBorders>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ITT population</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0B6B6A" w:rsidRDefault="00CD0F71" w:rsidP="00CD0F71">
            <w:pPr>
              <w:keepNext/>
              <w:jc w:val="center"/>
              <w:rPr>
                <w:rFonts w:ascii="Arial Narrow" w:hAnsi="Arial Narrow" w:cs="Times New Roman"/>
                <w:bCs/>
                <w:sz w:val="20"/>
                <w:szCs w:val="20"/>
              </w:rPr>
            </w:pPr>
            <w:r w:rsidRPr="000B6B6A">
              <w:rPr>
                <w:rFonts w:ascii="Arial Narrow" w:hAnsi="Arial Narrow" w:cs="Times New Roman"/>
                <w:bCs/>
                <w:sz w:val="20"/>
              </w:rPr>
              <w:t>160/9152 (1.7)</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0B6B6A" w:rsidRDefault="00CD0F71" w:rsidP="00CD0F71">
            <w:pPr>
              <w:keepNext/>
              <w:jc w:val="center"/>
              <w:rPr>
                <w:rFonts w:ascii="Arial Narrow" w:hAnsi="Arial Narrow" w:cs="Times New Roman"/>
                <w:bCs/>
                <w:sz w:val="20"/>
                <w:szCs w:val="20"/>
              </w:rPr>
            </w:pPr>
            <w:r w:rsidRPr="000B6B6A">
              <w:rPr>
                <w:rFonts w:ascii="Arial Narrow" w:hAnsi="Arial Narrow" w:cs="Times New Roman"/>
                <w:bCs/>
                <w:sz w:val="20"/>
              </w:rPr>
              <w:t>203/9126 (2.2)</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0B6B6A" w:rsidRDefault="00CD0F71" w:rsidP="00CD0F71">
            <w:pPr>
              <w:keepNext/>
              <w:jc w:val="center"/>
              <w:rPr>
                <w:rFonts w:ascii="Arial Narrow" w:hAnsi="Arial Narrow" w:cs="Times New Roman"/>
                <w:bCs/>
                <w:sz w:val="20"/>
                <w:szCs w:val="20"/>
              </w:rPr>
            </w:pPr>
            <w:r w:rsidRPr="000B6B6A">
              <w:rPr>
                <w:rFonts w:ascii="Arial Narrow" w:hAnsi="Arial Narrow" w:cs="Times New Roman"/>
                <w:bCs/>
                <w:sz w:val="20"/>
              </w:rPr>
              <w:t>-0.4762</w:t>
            </w:r>
          </w:p>
        </w:tc>
        <w:tc>
          <w:tcPr>
            <w:tcW w:w="1320" w:type="dxa"/>
            <w:tcBorders>
              <w:top w:val="single" w:sz="4" w:space="0" w:color="auto"/>
              <w:left w:val="single" w:sz="4" w:space="0" w:color="auto"/>
              <w:bottom w:val="single" w:sz="4" w:space="0" w:color="auto"/>
              <w:right w:val="single" w:sz="4" w:space="0" w:color="auto"/>
            </w:tcBorders>
            <w:vAlign w:val="center"/>
          </w:tcPr>
          <w:p w:rsidR="00CD0F71" w:rsidRPr="000B6B6A" w:rsidRDefault="00CD0F71" w:rsidP="00CD0F71">
            <w:pPr>
              <w:keepNext/>
              <w:jc w:val="center"/>
              <w:rPr>
                <w:rFonts w:ascii="Arial Narrow" w:hAnsi="Arial Narrow" w:cs="Times New Roman"/>
                <w:b/>
                <w:bCs/>
                <w:sz w:val="20"/>
                <w:szCs w:val="20"/>
              </w:rPr>
            </w:pPr>
            <w:r w:rsidRPr="000B6B6A">
              <w:rPr>
                <w:rFonts w:ascii="Arial Narrow" w:hAnsi="Arial Narrow" w:cs="Times New Roman"/>
                <w:bCs/>
                <w:sz w:val="20"/>
              </w:rPr>
              <w:t>210</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0B6B6A" w:rsidRDefault="00CD0F71" w:rsidP="00CD0F71">
            <w:pPr>
              <w:keepNext/>
              <w:jc w:val="center"/>
              <w:rPr>
                <w:rFonts w:ascii="Arial Narrow" w:hAnsi="Arial Narrow" w:cs="Times New Roman"/>
                <w:b/>
                <w:bCs/>
                <w:sz w:val="20"/>
                <w:szCs w:val="20"/>
              </w:rPr>
            </w:pPr>
            <w:r w:rsidRPr="000B6B6A">
              <w:rPr>
                <w:rFonts w:ascii="Arial Narrow" w:hAnsi="Arial Narrow" w:cs="Times New Roman"/>
                <w:b/>
                <w:bCs/>
                <w:sz w:val="20"/>
              </w:rPr>
              <w:t>0.78 (0.64, 0.96)</w:t>
            </w:r>
          </w:p>
        </w:tc>
      </w:tr>
      <w:tr w:rsidR="00CD0F71" w:rsidRPr="00CD0F71" w:rsidTr="00CD0F71">
        <w:tc>
          <w:tcPr>
            <w:tcW w:w="1464" w:type="dxa"/>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Pooled subgroup</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w:t>
            </w:r>
          </w:p>
        </w:tc>
        <w:tc>
          <w:tcPr>
            <w:tcW w:w="1320"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highlight w:val="black"/>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
                <w:bCs/>
                <w:noProof/>
                <w:color w:val="000000"/>
                <w:sz w:val="20"/>
                <w:highlight w:val="black"/>
              </w:rPr>
              <w:t>'''''''' ''''''''''' ''''''''''</w:t>
            </w:r>
          </w:p>
        </w:tc>
      </w:tr>
      <w:tr w:rsidR="00CD0F71" w:rsidRPr="00CD0F71" w:rsidTr="00CD0F71">
        <w:tc>
          <w:tcPr>
            <w:tcW w:w="1464" w:type="dxa"/>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 xml:space="preserve">PAD </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w:t>
            </w:r>
          </w:p>
        </w:tc>
        <w:tc>
          <w:tcPr>
            <w:tcW w:w="1320"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highlight w:val="black"/>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highlight w:val="black"/>
              </w:rPr>
              <w:t>'''''''''' ''''''''''''''' '''''''''''''</w:t>
            </w:r>
          </w:p>
        </w:tc>
      </w:tr>
      <w:tr w:rsidR="00CD0F71" w:rsidRPr="00CD0F71" w:rsidTr="00CD0F71">
        <w:tc>
          <w:tcPr>
            <w:tcW w:w="1464" w:type="dxa"/>
            <w:vAlign w:val="center"/>
          </w:tcPr>
          <w:p w:rsidR="00CD0F71" w:rsidRPr="000B6B6A" w:rsidRDefault="00CD0F71" w:rsidP="00CD0F71">
            <w:pPr>
              <w:keepNext/>
              <w:jc w:val="left"/>
              <w:rPr>
                <w:rFonts w:ascii="Arial Narrow" w:hAnsi="Arial Narrow" w:cs="Times New Roman"/>
                <w:bCs/>
                <w:sz w:val="20"/>
                <w:szCs w:val="20"/>
                <w:vertAlign w:val="superscript"/>
              </w:rPr>
            </w:pPr>
            <w:r w:rsidRPr="000B6B6A">
              <w:rPr>
                <w:rFonts w:ascii="Arial Narrow" w:hAnsi="Arial Narrow" w:cs="Times New Roman"/>
                <w:bCs/>
                <w:sz w:val="20"/>
                <w:szCs w:val="20"/>
              </w:rPr>
              <w:t>PAD only</w:t>
            </w:r>
            <w:r w:rsidRPr="000B6B6A">
              <w:rPr>
                <w:rFonts w:ascii="Arial Narrow" w:hAnsi="Arial Narrow" w:cs="Times New Roman"/>
                <w:bCs/>
                <w:sz w:val="20"/>
                <w:szCs w:val="20"/>
                <w:vertAlign w:val="superscript"/>
              </w:rPr>
              <w:t>a</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w:t>
            </w:r>
          </w:p>
        </w:tc>
        <w:tc>
          <w:tcPr>
            <w:tcW w:w="1320"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highlight w:val="black"/>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highlight w:val="black"/>
              </w:rPr>
              <w:t>''''''''''' ''''''''''''' '''''''''''''</w:t>
            </w:r>
          </w:p>
        </w:tc>
      </w:tr>
      <w:tr w:rsidR="00CD0F71" w:rsidRPr="00CD0F71" w:rsidTr="00CD0F71">
        <w:tc>
          <w:tcPr>
            <w:tcW w:w="1464" w:type="dxa"/>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CAD &amp; PAD</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w:t>
            </w:r>
          </w:p>
        </w:tc>
        <w:tc>
          <w:tcPr>
            <w:tcW w:w="1320"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highlight w:val="black"/>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highlight w:val="black"/>
              </w:rPr>
              <w:t>'''''''''' '''''''''''''' '''''''''''''</w:t>
            </w:r>
          </w:p>
        </w:tc>
      </w:tr>
      <w:tr w:rsidR="00CD0F71" w:rsidRPr="00CD0F71" w:rsidTr="00CD0F71">
        <w:tc>
          <w:tcPr>
            <w:tcW w:w="1464" w:type="dxa"/>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CAD &amp; HF</w:t>
            </w:r>
          </w:p>
        </w:tc>
        <w:tc>
          <w:tcPr>
            <w:tcW w:w="169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25"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37"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w:t>
            </w:r>
          </w:p>
        </w:tc>
        <w:tc>
          <w:tcPr>
            <w:tcW w:w="1320"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highlight w:val="black"/>
              </w:rPr>
              <w:t>''''''</w:t>
            </w:r>
          </w:p>
        </w:tc>
        <w:tc>
          <w:tcPr>
            <w:tcW w:w="1473" w:type="dxa"/>
            <w:tcBorders>
              <w:top w:val="sing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highlight w:val="black"/>
              </w:rPr>
              <w:t>''''''''''' ''''''''''''''' '''''''''''''</w:t>
            </w:r>
          </w:p>
        </w:tc>
      </w:tr>
      <w:tr w:rsidR="00CD0F71" w:rsidRPr="00CD0F71" w:rsidTr="00CD0F71">
        <w:tc>
          <w:tcPr>
            <w:tcW w:w="1464" w:type="dxa"/>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CAD &amp; CKD</w:t>
            </w:r>
          </w:p>
        </w:tc>
        <w:tc>
          <w:tcPr>
            <w:tcW w:w="1697" w:type="dxa"/>
            <w:tcBorders>
              <w:top w:val="single" w:sz="4" w:space="0" w:color="auto"/>
              <w:left w:val="single" w:sz="4" w:space="0" w:color="auto"/>
              <w:bottom w:val="doub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25" w:type="dxa"/>
            <w:tcBorders>
              <w:top w:val="single" w:sz="4" w:space="0" w:color="auto"/>
              <w:left w:val="single" w:sz="4" w:space="0" w:color="auto"/>
              <w:bottom w:val="doub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 '''''''''''</w:t>
            </w:r>
          </w:p>
        </w:tc>
        <w:tc>
          <w:tcPr>
            <w:tcW w:w="1537" w:type="dxa"/>
            <w:tcBorders>
              <w:top w:val="single" w:sz="4" w:space="0" w:color="auto"/>
              <w:left w:val="single" w:sz="4" w:space="0" w:color="auto"/>
              <w:bottom w:val="doub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w:t>
            </w:r>
          </w:p>
        </w:tc>
        <w:tc>
          <w:tcPr>
            <w:tcW w:w="1320" w:type="dxa"/>
            <w:tcBorders>
              <w:top w:val="single" w:sz="4" w:space="0" w:color="auto"/>
              <w:left w:val="single" w:sz="4" w:space="0" w:color="auto"/>
              <w:bottom w:val="doub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highlight w:val="black"/>
              </w:rPr>
              <w:t>'''''''''</w:t>
            </w:r>
          </w:p>
        </w:tc>
        <w:tc>
          <w:tcPr>
            <w:tcW w:w="1473" w:type="dxa"/>
            <w:tcBorders>
              <w:top w:val="single" w:sz="4" w:space="0" w:color="auto"/>
              <w:left w:val="single" w:sz="4" w:space="0" w:color="auto"/>
              <w:bottom w:val="double" w:sz="4" w:space="0" w:color="auto"/>
              <w:right w:val="single" w:sz="4" w:space="0" w:color="auto"/>
            </w:tcBorders>
            <w:vAlign w:val="center"/>
          </w:tcPr>
          <w:p w:rsidR="00CD0F71" w:rsidRPr="00FC537F" w:rsidRDefault="00FC537F" w:rsidP="00CD0F71">
            <w:pPr>
              <w:keepNext/>
              <w:jc w:val="center"/>
              <w:rPr>
                <w:rFonts w:ascii="Arial Narrow" w:hAnsi="Arial Narrow" w:cs="Times New Roman"/>
                <w:b/>
                <w:bCs/>
                <w:sz w:val="20"/>
                <w:szCs w:val="20"/>
                <w:highlight w:val="black"/>
              </w:rPr>
            </w:pPr>
            <w:r>
              <w:rPr>
                <w:rFonts w:ascii="Arial Narrow" w:hAnsi="Arial Narrow" w:cs="Times New Roman"/>
                <w:bCs/>
                <w:noProof/>
                <w:color w:val="000000"/>
                <w:sz w:val="20"/>
                <w:highlight w:val="black"/>
              </w:rPr>
              <w:t>'''''''''' '''''''''''' ''''''''''''</w:t>
            </w:r>
          </w:p>
        </w:tc>
      </w:tr>
      <w:tr w:rsidR="00CD0F71" w:rsidRPr="00CD0F71" w:rsidTr="00CD0F71">
        <w:tc>
          <w:tcPr>
            <w:tcW w:w="1464" w:type="dxa"/>
            <w:tcBorders>
              <w:top w:val="double" w:sz="4" w:space="0" w:color="auto"/>
            </w:tcBorders>
            <w:vAlign w:val="center"/>
          </w:tcPr>
          <w:p w:rsidR="00CD0F71" w:rsidRPr="000B6B6A" w:rsidRDefault="00CD0F71" w:rsidP="00CD0F71">
            <w:pPr>
              <w:keepNext/>
              <w:jc w:val="left"/>
              <w:rPr>
                <w:rFonts w:ascii="Arial Narrow" w:hAnsi="Arial Narrow" w:cs="Times New Roman"/>
                <w:bCs/>
                <w:sz w:val="20"/>
                <w:szCs w:val="20"/>
              </w:rPr>
            </w:pPr>
            <w:r w:rsidRPr="000B6B6A">
              <w:rPr>
                <w:rFonts w:ascii="Arial Narrow" w:hAnsi="Arial Narrow" w:cs="Times New Roman"/>
                <w:bCs/>
                <w:sz w:val="20"/>
                <w:szCs w:val="20"/>
              </w:rPr>
              <w:t xml:space="preserve">Complement of pooled subgroup </w:t>
            </w:r>
          </w:p>
        </w:tc>
        <w:tc>
          <w:tcPr>
            <w:tcW w:w="1697" w:type="dxa"/>
            <w:tcBorders>
              <w:top w:val="doub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w:t>
            </w:r>
          </w:p>
        </w:tc>
        <w:tc>
          <w:tcPr>
            <w:tcW w:w="1525" w:type="dxa"/>
            <w:tcBorders>
              <w:top w:val="doub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w:t>
            </w:r>
          </w:p>
        </w:tc>
        <w:tc>
          <w:tcPr>
            <w:tcW w:w="1537" w:type="dxa"/>
            <w:tcBorders>
              <w:top w:val="doub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hAnsi="Arial Narrow" w:cs="Times New Roman"/>
                <w:bCs/>
                <w:sz w:val="20"/>
                <w:szCs w:val="20"/>
                <w:highlight w:val="black"/>
              </w:rPr>
            </w:pPr>
            <w:r>
              <w:rPr>
                <w:rFonts w:ascii="Arial Narrow" w:hAnsi="Arial Narrow" w:cs="Times New Roman"/>
                <w:bCs/>
                <w:noProof/>
                <w:color w:val="000000"/>
                <w:sz w:val="20"/>
                <w:highlight w:val="black"/>
              </w:rPr>
              <w:t>''''''''''''''''</w:t>
            </w:r>
          </w:p>
        </w:tc>
        <w:tc>
          <w:tcPr>
            <w:tcW w:w="1320" w:type="dxa"/>
            <w:tcBorders>
              <w:top w:val="doub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w:t>
            </w:r>
          </w:p>
        </w:tc>
        <w:tc>
          <w:tcPr>
            <w:tcW w:w="1473" w:type="dxa"/>
            <w:tcBorders>
              <w:top w:val="double" w:sz="4" w:space="0" w:color="auto"/>
              <w:left w:val="single" w:sz="4" w:space="0" w:color="auto"/>
              <w:bottom w:val="single" w:sz="4" w:space="0" w:color="auto"/>
              <w:right w:val="single" w:sz="4" w:space="0" w:color="auto"/>
            </w:tcBorders>
            <w:vAlign w:val="center"/>
          </w:tcPr>
          <w:p w:rsidR="00CD0F71" w:rsidRPr="00FC537F" w:rsidRDefault="00FC537F" w:rsidP="00CD0F71">
            <w:pPr>
              <w:keepNext/>
              <w:jc w:val="center"/>
              <w:rPr>
                <w:rFonts w:ascii="Arial Narrow" w:eastAsia="Calibri" w:hAnsi="Arial Narrow" w:cs="Calibri"/>
                <w:sz w:val="20"/>
                <w:szCs w:val="20"/>
                <w:highlight w:val="black"/>
                <w:lang w:eastAsia="en-US"/>
              </w:rPr>
            </w:pPr>
            <w:r>
              <w:rPr>
                <w:rFonts w:ascii="Arial Narrow" w:eastAsia="Calibri" w:hAnsi="Arial Narrow" w:cs="Calibri"/>
                <w:noProof/>
                <w:color w:val="000000"/>
                <w:sz w:val="20"/>
                <w:szCs w:val="20"/>
                <w:highlight w:val="black"/>
                <w:lang w:eastAsia="en-US"/>
              </w:rPr>
              <w:t>'''''''''' ''''''''''''''' ''''''''''''''</w:t>
            </w:r>
          </w:p>
        </w:tc>
      </w:tr>
    </w:tbl>
    <w:p w:rsidR="00CD0F71" w:rsidRPr="00CD0F71" w:rsidRDefault="00CD0F71" w:rsidP="00CD0F71">
      <w:pPr>
        <w:rPr>
          <w:rFonts w:ascii="Arial Narrow" w:hAnsi="Arial Narrow"/>
          <w:snapToGrid w:val="0"/>
          <w:sz w:val="18"/>
          <w:szCs w:val="22"/>
          <w:lang w:eastAsia="en-US"/>
        </w:rPr>
      </w:pPr>
      <w:r w:rsidRPr="00CD0F71">
        <w:rPr>
          <w:rFonts w:ascii="Arial Narrow" w:hAnsi="Arial Narrow"/>
          <w:snapToGrid w:val="0"/>
          <w:sz w:val="18"/>
          <w:szCs w:val="22"/>
          <w:lang w:eastAsia="en-US"/>
        </w:rPr>
        <w:t>Source: Table 2.6-1 (p 145), Table 2.6-2 (p 146), Table 2.6-4 (p 148) of the resubmission; Table 9-2 (p 124) of the COMPASS trial report</w:t>
      </w:r>
    </w:p>
    <w:p w:rsidR="00CD0F71" w:rsidRPr="00CD0F71" w:rsidRDefault="00CD0F71" w:rsidP="00CD0F71">
      <w:pPr>
        <w:rPr>
          <w:rFonts w:ascii="Arial Narrow" w:hAnsi="Arial Narrow"/>
          <w:snapToGrid w:val="0"/>
          <w:sz w:val="18"/>
          <w:szCs w:val="22"/>
          <w:lang w:eastAsia="en-US"/>
        </w:rPr>
      </w:pPr>
      <w:r w:rsidRPr="00CD0F71">
        <w:rPr>
          <w:rFonts w:ascii="Arial Narrow" w:hAnsi="Arial Narrow"/>
          <w:snapToGrid w:val="0"/>
          <w:sz w:val="18"/>
          <w:szCs w:val="22"/>
          <w:lang w:eastAsia="en-US"/>
        </w:rPr>
        <w:t>Abbreviations:</w:t>
      </w:r>
      <w:r w:rsidR="0093000A">
        <w:rPr>
          <w:rFonts w:ascii="Arial Narrow" w:hAnsi="Arial Narrow"/>
          <w:snapToGrid w:val="0"/>
          <w:sz w:val="18"/>
          <w:szCs w:val="22"/>
          <w:lang w:eastAsia="en-US"/>
        </w:rPr>
        <w:t xml:space="preserve"> </w:t>
      </w:r>
      <w:r w:rsidRPr="00CD0F71">
        <w:rPr>
          <w:rFonts w:ascii="Arial Narrow" w:hAnsi="Arial Narrow"/>
          <w:snapToGrid w:val="0"/>
          <w:sz w:val="18"/>
          <w:szCs w:val="22"/>
          <w:lang w:eastAsia="en-US"/>
        </w:rPr>
        <w:t>CAD, coronary artery disease; CI, confidence interval; CKD, chronic kidney disease; HF, heart failure; NNH, number needed to harm; NNT, number needed to treat; NR, not reported; PAD, peripheral artery disease.</w:t>
      </w:r>
    </w:p>
    <w:p w:rsidR="00CD0F71" w:rsidRPr="00CD0F71" w:rsidRDefault="00CD0F71" w:rsidP="00CD0F71">
      <w:pPr>
        <w:widowControl w:val="0"/>
        <w:rPr>
          <w:rFonts w:ascii="Arial Narrow" w:hAnsi="Arial Narrow"/>
          <w:snapToGrid w:val="0"/>
          <w:sz w:val="18"/>
          <w:szCs w:val="22"/>
          <w:lang w:eastAsia="en-US"/>
        </w:rPr>
      </w:pPr>
      <w:r w:rsidRPr="00CD0F71">
        <w:rPr>
          <w:rFonts w:ascii="Arial Narrow" w:hAnsi="Arial Narrow"/>
          <w:snapToGrid w:val="0"/>
          <w:sz w:val="18"/>
          <w:szCs w:val="22"/>
          <w:vertAlign w:val="superscript"/>
          <w:lang w:eastAsia="en-US"/>
        </w:rPr>
        <w:t>a</w:t>
      </w:r>
      <w:r w:rsidRPr="00CD0F71">
        <w:rPr>
          <w:rFonts w:ascii="Arial Narrow" w:hAnsi="Arial Narrow"/>
          <w:snapToGrid w:val="0"/>
          <w:sz w:val="18"/>
          <w:szCs w:val="22"/>
          <w:lang w:eastAsia="en-US"/>
        </w:rPr>
        <w:t xml:space="preserve"> PAD only represents patients who have PAD without CAD</w:t>
      </w:r>
      <w:r w:rsidR="00F04144">
        <w:rPr>
          <w:rFonts w:ascii="Arial Narrow" w:hAnsi="Arial Narrow"/>
          <w:snapToGrid w:val="0"/>
          <w:sz w:val="18"/>
          <w:szCs w:val="22"/>
          <w:lang w:eastAsia="en-US"/>
        </w:rPr>
        <w:t>. This patient group was included in the resubmission’s proposed restriction, but was further refined in the ESC Advice and pre-PBAC response.</w:t>
      </w:r>
    </w:p>
    <w:p w:rsidR="003409CD" w:rsidRPr="00CD0F71" w:rsidRDefault="003409CD" w:rsidP="00CD0F71">
      <w:pPr>
        <w:rPr>
          <w:rFonts w:ascii="Arial Narrow" w:hAnsi="Arial Narrow"/>
          <w:i/>
          <w:snapToGrid w:val="0"/>
          <w:sz w:val="18"/>
          <w:szCs w:val="22"/>
          <w:lang w:eastAsia="en-US"/>
        </w:rPr>
      </w:pPr>
    </w:p>
    <w:p w:rsidR="006B373F" w:rsidRPr="00DA2857" w:rsidRDefault="008A27E8" w:rsidP="008A27E8">
      <w:pPr>
        <w:pStyle w:val="ExecSumBodyText"/>
      </w:pPr>
      <w:r w:rsidRPr="00DA2857">
        <w:t xml:space="preserve">Treatment with rivaroxaban plus aspirin was associated with a statistically significant reduction in the proportion of patients who experienced the composite primary efficacy outcome compared with aspirin alone in the ITT population and most of the high risk subgroups. </w:t>
      </w:r>
      <w:r w:rsidR="002D797C" w:rsidRPr="00DA2857">
        <w:t>Statistically significant reductions were also</w:t>
      </w:r>
      <w:r w:rsidRPr="00DA2857">
        <w:t xml:space="preserve"> observed </w:t>
      </w:r>
      <w:r w:rsidR="002D797C" w:rsidRPr="00DA2857">
        <w:t xml:space="preserve">in the ITT </w:t>
      </w:r>
      <w:r w:rsidR="002D797C" w:rsidRPr="00DA2857">
        <w:lastRenderedPageBreak/>
        <w:t xml:space="preserve">population </w:t>
      </w:r>
      <w:r w:rsidRPr="00DA2857">
        <w:t xml:space="preserve">for ischaemic stroke and cardiovascular death. The results for myocardial infarction were less certain </w:t>
      </w:r>
      <w:r w:rsidR="006E496D" w:rsidRPr="00DA2857">
        <w:t xml:space="preserve">(wide confidence intervals, did not reach statistical significance) </w:t>
      </w:r>
      <w:r w:rsidRPr="00DA2857">
        <w:t xml:space="preserve">across the populations, but </w:t>
      </w:r>
      <w:r w:rsidR="0083490F" w:rsidRPr="00DA2857">
        <w:t xml:space="preserve">the study was not powered for this and </w:t>
      </w:r>
      <w:r w:rsidR="00D03591">
        <w:t xml:space="preserve">the point estimate </w:t>
      </w:r>
      <w:r w:rsidRPr="00DA2857">
        <w:t xml:space="preserve">result favoured rivaroxaban plus aspirin. </w:t>
      </w:r>
    </w:p>
    <w:p w:rsidR="00091D3C" w:rsidRPr="00DA2857" w:rsidRDefault="008A27E8" w:rsidP="008A27E8">
      <w:pPr>
        <w:pStyle w:val="ExecSumBodyText"/>
      </w:pPr>
      <w:r w:rsidRPr="00DA2857">
        <w:t>The hazard ratios for the individual high risk subgroups</w:t>
      </w:r>
      <w:r w:rsidR="001E12F2" w:rsidRPr="00DA2857">
        <w:t xml:space="preserve"> (and the pooled subgroup)</w:t>
      </w:r>
      <w:r w:rsidRPr="00DA2857">
        <w:t xml:space="preserve"> were generally lower than those f</w:t>
      </w:r>
      <w:r w:rsidR="00004664" w:rsidRPr="00DA2857">
        <w:t>or</w:t>
      </w:r>
      <w:r w:rsidRPr="00DA2857">
        <w:t xml:space="preserve"> the ITT population,</w:t>
      </w:r>
      <w:r w:rsidR="0083490F" w:rsidRPr="00DA2857">
        <w:t xml:space="preserve"> with the noticeable exception of the PAD only subgroup,</w:t>
      </w:r>
      <w:r w:rsidRPr="00DA2857">
        <w:t xml:space="preserve"> however </w:t>
      </w:r>
      <w:r w:rsidR="00DB7004" w:rsidRPr="00DA2857">
        <w:t xml:space="preserve">the </w:t>
      </w:r>
      <w:r w:rsidRPr="00DA2857">
        <w:t>wider confidence intervals reflect the increased uncertainty associated with these estimates.</w:t>
      </w:r>
    </w:p>
    <w:p w:rsidR="002D797C" w:rsidRPr="00DA2857" w:rsidRDefault="002D797C" w:rsidP="008A27E8">
      <w:pPr>
        <w:pStyle w:val="ExecSumBodyText"/>
      </w:pPr>
      <w:r w:rsidRPr="00DA2857">
        <w:t>Figure 1 shows the cumulative incidence of the primar</w:t>
      </w:r>
      <w:r w:rsidR="00C22426">
        <w:t>y outcome over time in COMPASS.</w:t>
      </w:r>
    </w:p>
    <w:p w:rsidR="002D797C" w:rsidRPr="00DA2857" w:rsidRDefault="002D797C" w:rsidP="002D797C">
      <w:pPr>
        <w:pStyle w:val="TableFigureCaption"/>
      </w:pPr>
      <w:r w:rsidRPr="00DA2857">
        <w:t>Figure 1: Cumulative incidence of the composite primary outcome among participants receiving rivaroxaban 2.5 mg plus aspirin 100 mg, rivaroxaban 5 mg alone, or aspirin 100 mg alone</w:t>
      </w:r>
    </w:p>
    <w:p w:rsidR="002D797C" w:rsidRPr="00DA2857" w:rsidRDefault="002D797C" w:rsidP="002D797C">
      <w:pPr>
        <w:pStyle w:val="ExecSumBodyText"/>
        <w:numPr>
          <w:ilvl w:val="0"/>
          <w:numId w:val="0"/>
        </w:numPr>
        <w:ind w:left="720"/>
      </w:pPr>
      <w:r w:rsidRPr="00DA2857">
        <w:rPr>
          <w:noProof/>
        </w:rPr>
        <w:drawing>
          <wp:inline distT="0" distB="0" distL="0" distR="0" wp14:anchorId="664A7E91" wp14:editId="09F807E6">
            <wp:extent cx="4994844" cy="3282326"/>
            <wp:effectExtent l="0" t="0" r="0" b="0"/>
            <wp:docPr id="5" name="Picture 4" descr="Figure 1: Cumulative incidence of the composite primary outcome among participants receiving rivaroxaban 2.5 mg plus aspirin 100 mg, rivaroxaban 5 mg alone, or aspirin 100 mg alone" title="Figure 1: Cumulative incidence of the composite primary outcome among participants receiving rivaroxaban 2.5 mg plus aspirin 100 mg, rivaroxaban 5 mg alone, or aspirin 100 mg alone">
              <a:extLst xmlns:a="http://schemas.openxmlformats.org/drawingml/2006/main">
                <a:ext uri="{FF2B5EF4-FFF2-40B4-BE49-F238E27FC236}">
                  <a16:creationId xmlns:a16="http://schemas.microsoft.com/office/drawing/2014/main" id="{5C58EFE5-976A-E143-9352-816095BDE6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C58EFE5-976A-E143-9352-816095BDE673}"/>
                        </a:ext>
                      </a:extLst>
                    </pic:cNvPr>
                    <pic:cNvPicPr>
                      <a:picLocks noChangeAspect="1"/>
                    </pic:cNvPicPr>
                  </pic:nvPicPr>
                  <pic:blipFill rotWithShape="1">
                    <a:blip r:embed="rId8"/>
                    <a:srcRect l="-1713" t="9612" r="518" b="7475"/>
                    <a:stretch/>
                  </pic:blipFill>
                  <pic:spPr bwMode="auto">
                    <a:xfrm>
                      <a:off x="0" y="0"/>
                      <a:ext cx="4996811" cy="3283618"/>
                    </a:xfrm>
                    <a:prstGeom prst="rect">
                      <a:avLst/>
                    </a:prstGeom>
                    <a:ln>
                      <a:noFill/>
                    </a:ln>
                    <a:extLst>
                      <a:ext uri="{53640926-AAD7-44D8-BBD7-CCE9431645EC}">
                        <a14:shadowObscured xmlns:a14="http://schemas.microsoft.com/office/drawing/2010/main"/>
                      </a:ext>
                    </a:extLst>
                  </pic:spPr>
                </pic:pic>
              </a:graphicData>
            </a:graphic>
          </wp:inline>
        </w:drawing>
      </w:r>
    </w:p>
    <w:p w:rsidR="002D797C" w:rsidRPr="00DA2857" w:rsidRDefault="002D797C" w:rsidP="002D797C">
      <w:pPr>
        <w:pStyle w:val="TableFigureFooter"/>
      </w:pPr>
      <w:r w:rsidRPr="00DA2857">
        <w:t>Source: Figure 1, p8 Eikelboom et al (2017)</w:t>
      </w:r>
    </w:p>
    <w:p w:rsidR="002D797C" w:rsidRPr="00DA2857" w:rsidRDefault="002D797C" w:rsidP="002D797C">
      <w:pPr>
        <w:pStyle w:val="TableFigureFooter"/>
      </w:pPr>
      <w:r w:rsidRPr="00DA2857">
        <w:t>Note: The inset shows the same data on an expanded y-axis</w:t>
      </w:r>
    </w:p>
    <w:p w:rsidR="002D797C" w:rsidRPr="00DA2857" w:rsidRDefault="002D797C" w:rsidP="009E6B97">
      <w:pPr>
        <w:pStyle w:val="ExecSumBodyText"/>
      </w:pPr>
      <w:r w:rsidRPr="00DA2857">
        <w:t xml:space="preserve">The ESC noted </w:t>
      </w:r>
      <w:r w:rsidR="006A004A" w:rsidRPr="00DA2857">
        <w:t xml:space="preserve">there were limited long-term data available (median follow-up of </w:t>
      </w:r>
      <w:r w:rsidR="006532EB" w:rsidRPr="00DA2857">
        <w:t>23 months</w:t>
      </w:r>
      <w:r w:rsidR="006A004A" w:rsidRPr="00DA2857">
        <w:t xml:space="preserve">). The ESC </w:t>
      </w:r>
      <w:r w:rsidR="00004664" w:rsidRPr="00DA2857">
        <w:t xml:space="preserve">further </w:t>
      </w:r>
      <w:r w:rsidR="006A004A" w:rsidRPr="00DA2857">
        <w:t xml:space="preserve">noted </w:t>
      </w:r>
      <w:r w:rsidR="00743B5D" w:rsidRPr="00DA2857">
        <w:t xml:space="preserve">the Kaplan-Meier curves did not indicate a </w:t>
      </w:r>
      <w:r w:rsidRPr="00DA2857">
        <w:t xml:space="preserve">convergence </w:t>
      </w:r>
      <w:r w:rsidR="00743B5D" w:rsidRPr="00DA2857">
        <w:t xml:space="preserve">in the treatment effect </w:t>
      </w:r>
      <w:r w:rsidRPr="00DA2857">
        <w:t xml:space="preserve">over time, </w:t>
      </w:r>
      <w:r w:rsidR="00025EAC" w:rsidRPr="00DA2857">
        <w:t xml:space="preserve">however </w:t>
      </w:r>
      <w:r w:rsidR="006B373F" w:rsidRPr="00DA2857">
        <w:t xml:space="preserve">noted the number of patients at risk was relatively </w:t>
      </w:r>
      <w:r w:rsidR="00743B5D" w:rsidRPr="00DA2857">
        <w:t>low</w:t>
      </w:r>
      <w:r w:rsidR="006B373F" w:rsidRPr="00DA2857">
        <w:t xml:space="preserve"> toward the end of the curves.</w:t>
      </w:r>
    </w:p>
    <w:p w:rsidR="003409CD" w:rsidRPr="00CD0F71" w:rsidRDefault="003409CD" w:rsidP="009E6B97">
      <w:pPr>
        <w:pStyle w:val="ExecSumBodyText"/>
      </w:pPr>
      <w:r w:rsidRPr="00DA2857">
        <w:t xml:space="preserve">The results of peripheral outcomes in the COMPASS trial, </w:t>
      </w:r>
      <w:r w:rsidR="009E6B97" w:rsidRPr="00DA2857">
        <w:t>including acute limb isch</w:t>
      </w:r>
      <w:r w:rsidR="00B96D05" w:rsidRPr="00DA2857">
        <w:t>a</w:t>
      </w:r>
      <w:r w:rsidR="009E6B97" w:rsidRPr="00DA2857">
        <w:t>emia, major and minor amputations, and venous thromboembolism, for the ITT</w:t>
      </w:r>
      <w:r w:rsidR="009E6B97" w:rsidRPr="000B6B6A">
        <w:t xml:space="preserve"> and key high-risk subgroups presented by the resubmi</w:t>
      </w:r>
      <w:r w:rsidR="00A37BB1" w:rsidRPr="000B6B6A">
        <w:t xml:space="preserve">ssion, are summarised in Table </w:t>
      </w:r>
      <w:r w:rsidR="00A37BB1">
        <w:t>6</w:t>
      </w:r>
      <w:r w:rsidR="009E6B97">
        <w:t>.</w:t>
      </w:r>
    </w:p>
    <w:p w:rsidR="009E6B97" w:rsidRDefault="009E6B97" w:rsidP="006B373F">
      <w:pPr>
        <w:pStyle w:val="TableHeading"/>
        <w:keepLines/>
        <w:spacing w:after="0"/>
        <w:jc w:val="both"/>
      </w:pPr>
      <w:r>
        <w:lastRenderedPageBreak/>
        <w:t xml:space="preserve">Table </w:t>
      </w:r>
      <w:r w:rsidR="00A37BB1">
        <w:t>6</w:t>
      </w:r>
      <w:r>
        <w:t xml:space="preserve">: </w:t>
      </w:r>
      <w:r w:rsidRPr="00042D48">
        <w:t xml:space="preserve">Results of </w:t>
      </w:r>
      <w:r>
        <w:t>peripheral</w:t>
      </w:r>
      <w:r w:rsidRPr="00042D48">
        <w:t xml:space="preserve"> outcomes in the COMPASS trial (ITT) and relevant subgroups</w:t>
      </w:r>
    </w:p>
    <w:tbl>
      <w:tblPr>
        <w:tblStyle w:val="TableGrid"/>
        <w:tblW w:w="0" w:type="auto"/>
        <w:tblCellMar>
          <w:left w:w="57" w:type="dxa"/>
          <w:right w:w="57" w:type="dxa"/>
        </w:tblCellMar>
        <w:tblLook w:val="04A0" w:firstRow="1" w:lastRow="0" w:firstColumn="1" w:lastColumn="0" w:noHBand="0" w:noVBand="1"/>
        <w:tblCaption w:val="Table 6: Results of peripheral outcomes in the COMPASS trial (ITT) and relevant subgroups"/>
        <w:tblDescription w:val="Table 6: Results of peripheral outcomes in the COMPASS trial (ITT) and relevant subgroups"/>
      </w:tblPr>
      <w:tblGrid>
        <w:gridCol w:w="1543"/>
        <w:gridCol w:w="1606"/>
        <w:gridCol w:w="1514"/>
        <w:gridCol w:w="1523"/>
        <w:gridCol w:w="1396"/>
        <w:gridCol w:w="1434"/>
      </w:tblGrid>
      <w:tr w:rsidR="009E6B97" w:rsidRPr="003E2CA6" w:rsidTr="00935848">
        <w:trPr>
          <w:tblHeader/>
        </w:trPr>
        <w:tc>
          <w:tcPr>
            <w:tcW w:w="1543" w:type="dxa"/>
            <w:vAlign w:val="center"/>
          </w:tcPr>
          <w:p w:rsidR="009E6B97" w:rsidRPr="003E2CA6" w:rsidRDefault="009E6B97" w:rsidP="006B373F">
            <w:pPr>
              <w:keepNext/>
              <w:keepLines/>
              <w:rPr>
                <w:rFonts w:ascii="Arial Narrow" w:hAnsi="Arial Narrow"/>
                <w:sz w:val="20"/>
                <w:szCs w:val="20"/>
              </w:rPr>
            </w:pPr>
          </w:p>
        </w:tc>
        <w:tc>
          <w:tcPr>
            <w:tcW w:w="1606" w:type="dxa"/>
            <w:vAlign w:val="center"/>
          </w:tcPr>
          <w:p w:rsidR="009E6B97" w:rsidRPr="003E2CA6" w:rsidRDefault="009E6B97" w:rsidP="006B373F">
            <w:pPr>
              <w:pStyle w:val="TableText"/>
              <w:keepLines/>
              <w:jc w:val="center"/>
              <w:rPr>
                <w:b/>
                <w:szCs w:val="20"/>
              </w:rPr>
            </w:pPr>
            <w:r w:rsidRPr="003E2CA6">
              <w:rPr>
                <w:b/>
                <w:szCs w:val="20"/>
              </w:rPr>
              <w:t>Rivaroxaban 2.5 mg + aspirin 100</w:t>
            </w:r>
            <w:r>
              <w:rPr>
                <w:b/>
                <w:szCs w:val="20"/>
              </w:rPr>
              <w:t xml:space="preserve"> mg, n (%)</w:t>
            </w:r>
          </w:p>
        </w:tc>
        <w:tc>
          <w:tcPr>
            <w:tcW w:w="1514" w:type="dxa"/>
            <w:vAlign w:val="center"/>
          </w:tcPr>
          <w:p w:rsidR="009E6B97" w:rsidRPr="003E2CA6" w:rsidRDefault="009E6B97" w:rsidP="006B373F">
            <w:pPr>
              <w:pStyle w:val="TableText"/>
              <w:keepLines/>
              <w:jc w:val="center"/>
              <w:rPr>
                <w:b/>
                <w:szCs w:val="20"/>
              </w:rPr>
            </w:pPr>
            <w:r>
              <w:rPr>
                <w:b/>
                <w:szCs w:val="20"/>
              </w:rPr>
              <w:t>Aspirin 100 mg, n (%)</w:t>
            </w:r>
          </w:p>
        </w:tc>
        <w:tc>
          <w:tcPr>
            <w:tcW w:w="1523" w:type="dxa"/>
            <w:vAlign w:val="center"/>
          </w:tcPr>
          <w:p w:rsidR="009E6B97" w:rsidRPr="003E2CA6" w:rsidRDefault="009E6B97" w:rsidP="006B373F">
            <w:pPr>
              <w:pStyle w:val="TableText"/>
              <w:keepLines/>
              <w:jc w:val="center"/>
              <w:rPr>
                <w:b/>
                <w:szCs w:val="20"/>
              </w:rPr>
            </w:pPr>
            <w:r w:rsidRPr="003E2CA6">
              <w:rPr>
                <w:b/>
                <w:szCs w:val="20"/>
              </w:rPr>
              <w:t xml:space="preserve">Absolute risk </w:t>
            </w:r>
            <w:r w:rsidR="00A37BB1">
              <w:rPr>
                <w:b/>
                <w:szCs w:val="20"/>
              </w:rPr>
              <w:t>difference</w:t>
            </w:r>
            <w:r w:rsidRPr="003E2CA6">
              <w:rPr>
                <w:b/>
                <w:szCs w:val="20"/>
              </w:rPr>
              <w:t xml:space="preserve"> (%)</w:t>
            </w:r>
          </w:p>
        </w:tc>
        <w:tc>
          <w:tcPr>
            <w:tcW w:w="1396" w:type="dxa"/>
            <w:vAlign w:val="center"/>
          </w:tcPr>
          <w:p w:rsidR="009E6B97" w:rsidRPr="003E2CA6" w:rsidRDefault="009E6B97" w:rsidP="006B373F">
            <w:pPr>
              <w:pStyle w:val="TableText"/>
              <w:keepLines/>
              <w:jc w:val="center"/>
              <w:rPr>
                <w:b/>
                <w:szCs w:val="20"/>
              </w:rPr>
            </w:pPr>
            <w:r w:rsidRPr="003E2CA6">
              <w:rPr>
                <w:b/>
                <w:szCs w:val="20"/>
              </w:rPr>
              <w:t>NNT/NNH</w:t>
            </w:r>
          </w:p>
        </w:tc>
        <w:tc>
          <w:tcPr>
            <w:tcW w:w="1434" w:type="dxa"/>
            <w:vAlign w:val="center"/>
          </w:tcPr>
          <w:p w:rsidR="009E6B97" w:rsidRPr="003E2CA6" w:rsidRDefault="009E6B97" w:rsidP="006B373F">
            <w:pPr>
              <w:pStyle w:val="TableText"/>
              <w:keepLines/>
              <w:jc w:val="center"/>
              <w:rPr>
                <w:b/>
                <w:szCs w:val="20"/>
              </w:rPr>
            </w:pPr>
            <w:r w:rsidRPr="003E2CA6">
              <w:rPr>
                <w:b/>
                <w:szCs w:val="20"/>
              </w:rPr>
              <w:t>Hazard ratio (95% CI)</w:t>
            </w:r>
          </w:p>
        </w:tc>
      </w:tr>
      <w:tr w:rsidR="009E6B97" w:rsidRPr="003E2CA6" w:rsidTr="00935848">
        <w:tc>
          <w:tcPr>
            <w:tcW w:w="9016" w:type="dxa"/>
            <w:gridSpan w:val="6"/>
            <w:tcBorders>
              <w:top w:val="single" w:sz="4" w:space="0" w:color="auto"/>
              <w:left w:val="single" w:sz="4" w:space="0" w:color="auto"/>
              <w:bottom w:val="single" w:sz="4" w:space="0" w:color="auto"/>
              <w:right w:val="single" w:sz="4" w:space="0" w:color="auto"/>
            </w:tcBorders>
            <w:vAlign w:val="center"/>
          </w:tcPr>
          <w:p w:rsidR="009E6B97" w:rsidRPr="003E2CA6" w:rsidRDefault="009E6B97" w:rsidP="006B373F">
            <w:pPr>
              <w:pStyle w:val="Tablecentre"/>
              <w:keepLines/>
              <w:jc w:val="left"/>
              <w:rPr>
                <w:rFonts w:ascii="Arial Narrow" w:hAnsi="Arial Narrow"/>
                <w:b/>
              </w:rPr>
            </w:pPr>
            <w:r w:rsidRPr="003E2CA6">
              <w:rPr>
                <w:rFonts w:ascii="Arial Narrow" w:hAnsi="Arial Narrow"/>
                <w:b/>
              </w:rPr>
              <w:t>Acute limb ischaemia</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3E2CA6" w:rsidRDefault="009E6B97" w:rsidP="006B373F">
            <w:pPr>
              <w:pStyle w:val="TableText"/>
              <w:keepLines/>
              <w:rPr>
                <w:szCs w:val="20"/>
              </w:rPr>
            </w:pPr>
            <w:r w:rsidRPr="003E2CA6">
              <w:rPr>
                <w:szCs w:val="20"/>
              </w:rPr>
              <w:t>ITT population</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3E2CA6" w:rsidRDefault="009E6B97" w:rsidP="006B373F">
            <w:pPr>
              <w:pStyle w:val="TableText"/>
              <w:keepLines/>
              <w:jc w:val="center"/>
              <w:rPr>
                <w:szCs w:val="20"/>
              </w:rPr>
            </w:pPr>
            <w:r w:rsidRPr="003E2CA6">
              <w:rPr>
                <w:szCs w:val="20"/>
              </w:rPr>
              <w:t>22/9152 (0.2)</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3E2CA6" w:rsidRDefault="009E6B97" w:rsidP="006B373F">
            <w:pPr>
              <w:pStyle w:val="TableText"/>
              <w:keepLines/>
              <w:jc w:val="center"/>
              <w:rPr>
                <w:szCs w:val="20"/>
              </w:rPr>
            </w:pPr>
            <w:r w:rsidRPr="003E2CA6">
              <w:rPr>
                <w:szCs w:val="20"/>
              </w:rPr>
              <w:t>40/9126 (0.4)</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3E2CA6" w:rsidRDefault="009E6B97" w:rsidP="006B373F">
            <w:pPr>
              <w:pStyle w:val="TableText"/>
              <w:keepLines/>
              <w:jc w:val="center"/>
              <w:rPr>
                <w:szCs w:val="20"/>
              </w:rPr>
            </w:pPr>
            <w:r w:rsidRPr="003E2CA6">
              <w:rPr>
                <w:szCs w:val="20"/>
              </w:rPr>
              <w:t>-0.1979</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3E2CA6" w:rsidRDefault="009E6B97" w:rsidP="006B373F">
            <w:pPr>
              <w:pStyle w:val="Tablecentre"/>
              <w:keepLines/>
              <w:rPr>
                <w:rFonts w:ascii="Arial Narrow" w:hAnsi="Arial Narrow"/>
              </w:rPr>
            </w:pPr>
            <w:r w:rsidRPr="003E2CA6">
              <w:rPr>
                <w:rFonts w:ascii="Arial Narrow" w:hAnsi="Arial Narrow"/>
              </w:rPr>
              <w:t>505</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577C28" w:rsidRDefault="009E6B97" w:rsidP="006B373F">
            <w:pPr>
              <w:pStyle w:val="Tablecentre"/>
              <w:keepLines/>
              <w:rPr>
                <w:rFonts w:ascii="Arial Narrow" w:hAnsi="Arial Narrow"/>
                <w:b/>
              </w:rPr>
            </w:pPr>
            <w:r w:rsidRPr="00577C28">
              <w:rPr>
                <w:rFonts w:ascii="Arial Narrow" w:hAnsi="Arial Narrow"/>
                <w:b/>
              </w:rPr>
              <w:t>0.55 (0.32, 0.92)</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rPr>
                <w:szCs w:val="20"/>
                <w:highlight w:val="black"/>
              </w:rPr>
            </w:pPr>
            <w:r>
              <w:rPr>
                <w:noProof/>
                <w:color w:val="000000"/>
                <w:szCs w:val="20"/>
                <w:highlight w:val="black"/>
              </w:rPr>
              <w:t xml:space="preserve">'''''''''''''''' '''''''''''''''''''''''' </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0"/>
              <w:keepNext/>
              <w:keepLines/>
              <w:jc w:val="center"/>
              <w:rPr>
                <w:szCs w:val="20"/>
                <w:highlight w:val="black"/>
              </w:rPr>
            </w:pPr>
            <w:r>
              <w:rPr>
                <w:noProof/>
                <w:color w:val="000000"/>
                <w:szCs w:val="2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0"/>
              <w:keepNext/>
              <w:keepLines/>
              <w:jc w:val="center"/>
              <w:rPr>
                <w:szCs w:val="20"/>
                <w:highlight w:val="black"/>
              </w:rPr>
            </w:pPr>
            <w:r>
              <w:rPr>
                <w:noProof/>
                <w:color w:val="000000"/>
                <w:szCs w:val="2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0"/>
              <w:keepNext/>
              <w:keepLines/>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centre"/>
              <w:keepLines/>
              <w:rPr>
                <w:rFonts w:ascii="Arial Narrow" w:hAnsi="Arial Narrow"/>
                <w:highlight w:val="black"/>
              </w:rPr>
            </w:pPr>
            <w:r>
              <w:rPr>
                <w:rFonts w:ascii="Arial Narrow" w:hAnsi="Arial Narrow"/>
                <w:noProof/>
                <w:color w:val="00000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centre"/>
              <w:keepLines/>
              <w:rPr>
                <w:rFonts w:ascii="Arial Narrow" w:hAnsi="Arial Narrow"/>
                <w:b/>
                <w:highlight w:val="black"/>
              </w:rPr>
            </w:pPr>
            <w:r>
              <w:rPr>
                <w:rFonts w:ascii="Arial Narrow" w:hAnsi="Arial Narrow"/>
                <w:b/>
                <w:noProof/>
                <w:color w:val="000000"/>
                <w:highlight w:val="black"/>
              </w:rPr>
              <w:t>''''''''' '''''''''''' '''''''''''</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rPr>
                <w:szCs w:val="20"/>
                <w:highlight w:val="black"/>
              </w:rPr>
            </w:pPr>
            <w:r>
              <w:rPr>
                <w:noProof/>
                <w:color w:val="000000"/>
                <w:szCs w:val="20"/>
                <w:highlight w:val="black"/>
              </w:rPr>
              <w:t xml:space="preserve">'''''''''' </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jc w:val="center"/>
              <w:rPr>
                <w:szCs w:val="20"/>
                <w:highlight w:val="black"/>
              </w:rPr>
            </w:pPr>
            <w:r>
              <w:rPr>
                <w:noProof/>
                <w:color w:val="000000"/>
                <w:szCs w:val="2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jc w:val="center"/>
              <w:rPr>
                <w:szCs w:val="20"/>
                <w:highlight w:val="black"/>
              </w:rPr>
            </w:pPr>
            <w:r>
              <w:rPr>
                <w:noProof/>
                <w:color w:val="000000"/>
                <w:szCs w:val="2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centre"/>
              <w:keepLines/>
              <w:rPr>
                <w:rFonts w:ascii="Arial Narrow" w:hAnsi="Arial Narrow"/>
                <w:highlight w:val="black"/>
              </w:rPr>
            </w:pPr>
            <w:r>
              <w:rPr>
                <w:rFonts w:ascii="Arial Narrow" w:hAnsi="Arial Narrow"/>
                <w:noProof/>
                <w:color w:val="00000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centre"/>
              <w:keepLines/>
              <w:rPr>
                <w:rFonts w:ascii="Arial Narrow" w:hAnsi="Arial Narrow"/>
                <w:b/>
                <w:highlight w:val="black"/>
              </w:rPr>
            </w:pPr>
            <w:r>
              <w:rPr>
                <w:rFonts w:ascii="Arial Narrow" w:hAnsi="Arial Narrow"/>
                <w:b/>
                <w:noProof/>
                <w:color w:val="000000"/>
                <w:highlight w:val="black"/>
              </w:rPr>
              <w:t>'''''''' '''''''''''' '''''''''''</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rPr>
                <w:szCs w:val="20"/>
                <w:highlight w:val="black"/>
                <w:vertAlign w:val="superscript"/>
              </w:rPr>
            </w:pPr>
            <w:r>
              <w:rPr>
                <w:noProof/>
                <w:color w:val="000000"/>
                <w:szCs w:val="20"/>
                <w:highlight w:val="black"/>
              </w:rPr>
              <w:t>'''''''''''' ''''''''''''</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centre"/>
              <w:keepLines/>
              <w:rPr>
                <w:rFonts w:ascii="Arial Narrow" w:hAnsi="Arial Narrow"/>
                <w:highlight w:val="black"/>
              </w:rPr>
            </w:pPr>
            <w:r>
              <w:rPr>
                <w:rFonts w:ascii="Arial Narrow" w:hAnsi="Arial Narrow"/>
                <w:noProof/>
                <w:color w:val="00000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centre"/>
              <w:keepLines/>
              <w:rPr>
                <w:rFonts w:ascii="Arial Narrow" w:hAnsi="Arial Narrow"/>
                <w:highlight w:val="black"/>
              </w:rPr>
            </w:pPr>
            <w:r>
              <w:rPr>
                <w:rFonts w:ascii="Arial Narrow" w:hAnsi="Arial Narrow"/>
                <w:noProof/>
                <w:color w:val="00000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centre"/>
              <w:keepLines/>
              <w:rPr>
                <w:rFonts w:ascii="Arial Narrow" w:hAnsi="Arial Narrow"/>
                <w:highlight w:val="black"/>
              </w:rPr>
            </w:pPr>
            <w:r>
              <w:rPr>
                <w:rFonts w:ascii="Arial Narrow" w:hAnsi="Arial Narrow"/>
                <w:noProof/>
                <w:color w:val="00000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centre"/>
              <w:keepLines/>
              <w:rPr>
                <w:rFonts w:ascii="Arial Narrow" w:hAnsi="Arial Narrow"/>
                <w:b/>
                <w:highlight w:val="black"/>
              </w:rPr>
            </w:pPr>
            <w:r>
              <w:rPr>
                <w:rFonts w:ascii="Arial Narrow" w:hAnsi="Arial Narrow"/>
                <w:b/>
                <w:noProof/>
                <w:color w:val="000000"/>
                <w:highlight w:val="black"/>
              </w:rPr>
              <w:t>'''''''' '''''''''''' '''''''''''</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rPr>
                <w:szCs w:val="20"/>
                <w:highlight w:val="black"/>
              </w:rPr>
            </w:pPr>
            <w:r>
              <w:rPr>
                <w:noProof/>
                <w:color w:val="000000"/>
                <w:szCs w:val="20"/>
                <w:highlight w:val="black"/>
              </w:rPr>
              <w:t>'''''''''''' ' ''''''''''</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jc w:val="center"/>
              <w:rPr>
                <w:szCs w:val="20"/>
                <w:highlight w:val="black"/>
              </w:rPr>
            </w:pPr>
            <w:r>
              <w:rPr>
                <w:noProof/>
                <w:color w:val="000000"/>
                <w:szCs w:val="2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jc w:val="center"/>
              <w:rPr>
                <w:szCs w:val="20"/>
                <w:highlight w:val="black"/>
              </w:rPr>
            </w:pPr>
            <w:r>
              <w:rPr>
                <w:noProof/>
                <w:color w:val="000000"/>
                <w:szCs w:val="2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centre"/>
              <w:keepLines/>
              <w:rPr>
                <w:rFonts w:ascii="Arial Narrow" w:hAnsi="Arial Narrow"/>
                <w:highlight w:val="black"/>
              </w:rPr>
            </w:pPr>
            <w:r>
              <w:rPr>
                <w:rFonts w:ascii="Arial Narrow" w:hAnsi="Arial Narrow"/>
                <w:noProof/>
                <w:color w:val="00000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centre"/>
              <w:keepLines/>
              <w:rPr>
                <w:rFonts w:ascii="Arial Narrow" w:hAnsi="Arial Narrow"/>
                <w:highlight w:val="black"/>
              </w:rPr>
            </w:pPr>
            <w:r>
              <w:rPr>
                <w:rFonts w:ascii="Arial Narrow" w:hAnsi="Arial Narrow"/>
                <w:noProof/>
                <w:color w:val="000000"/>
                <w:highlight w:val="black"/>
              </w:rPr>
              <w:t>'''''''''' ''''''''''''''' ''''''''''''</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rPr>
                <w:szCs w:val="20"/>
                <w:highlight w:val="black"/>
              </w:rPr>
            </w:pPr>
            <w:r>
              <w:rPr>
                <w:noProof/>
                <w:color w:val="000000"/>
                <w:szCs w:val="20"/>
                <w:highlight w:val="black"/>
              </w:rPr>
              <w:t>'''''''''' ' ''''''''</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jc w:val="center"/>
              <w:rPr>
                <w:szCs w:val="20"/>
                <w:highlight w:val="black"/>
              </w:rPr>
            </w:pPr>
            <w:r>
              <w:rPr>
                <w:noProof/>
                <w:color w:val="000000"/>
                <w:szCs w:val="2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jc w:val="center"/>
              <w:rPr>
                <w:szCs w:val="20"/>
                <w:highlight w:val="black"/>
              </w:rPr>
            </w:pPr>
            <w:r>
              <w:rPr>
                <w:noProof/>
                <w:color w:val="000000"/>
                <w:szCs w:val="2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jc w:val="center"/>
              <w:rPr>
                <w:szCs w:val="20"/>
                <w:highlight w:val="black"/>
              </w:rPr>
            </w:pPr>
            <w:r>
              <w:rPr>
                <w:noProof/>
                <w:color w:val="000000"/>
                <w:szCs w:val="2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jc w:val="center"/>
              <w:rPr>
                <w:b/>
                <w:szCs w:val="20"/>
                <w:highlight w:val="black"/>
              </w:rPr>
            </w:pPr>
            <w:r>
              <w:rPr>
                <w:noProof/>
                <w:color w:val="000000"/>
                <w:szCs w:val="20"/>
                <w:highlight w:val="black"/>
              </w:rPr>
              <w:t>'''''''''</w:t>
            </w:r>
          </w:p>
        </w:tc>
      </w:tr>
      <w:tr w:rsidR="009E6B97" w:rsidRPr="003E2CA6" w:rsidTr="00935848">
        <w:tc>
          <w:tcPr>
            <w:tcW w:w="1543"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6B373F">
            <w:pPr>
              <w:pStyle w:val="TableText"/>
              <w:keepLines/>
              <w:rPr>
                <w:szCs w:val="20"/>
                <w:highlight w:val="black"/>
              </w:rPr>
            </w:pPr>
            <w:r>
              <w:rPr>
                <w:noProof/>
                <w:color w:val="000000"/>
                <w:szCs w:val="20"/>
                <w:highlight w:val="black"/>
              </w:rPr>
              <w:t>''''''''''''' ' ''''''''''''</w:t>
            </w:r>
          </w:p>
        </w:tc>
        <w:tc>
          <w:tcPr>
            <w:tcW w:w="1606"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6B373F">
            <w:pPr>
              <w:pStyle w:val="TableText"/>
              <w:keepLines/>
              <w:jc w:val="center"/>
              <w:rPr>
                <w:szCs w:val="20"/>
                <w:highlight w:val="black"/>
              </w:rPr>
            </w:pPr>
            <w:r>
              <w:rPr>
                <w:noProof/>
                <w:color w:val="000000"/>
                <w:szCs w:val="20"/>
                <w:highlight w:val="black"/>
              </w:rPr>
              <w:t>''''''''''''''''' ''''''''''</w:t>
            </w:r>
          </w:p>
        </w:tc>
        <w:tc>
          <w:tcPr>
            <w:tcW w:w="1514"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6B373F">
            <w:pPr>
              <w:pStyle w:val="TableText"/>
              <w:keepLines/>
              <w:jc w:val="center"/>
              <w:rPr>
                <w:szCs w:val="20"/>
                <w:highlight w:val="black"/>
              </w:rPr>
            </w:pPr>
            <w:r>
              <w:rPr>
                <w:noProof/>
                <w:color w:val="000000"/>
                <w:szCs w:val="20"/>
                <w:highlight w:val="black"/>
              </w:rPr>
              <w:t>''''''''''''''''''' ''''''''''</w:t>
            </w:r>
          </w:p>
        </w:tc>
        <w:tc>
          <w:tcPr>
            <w:tcW w:w="1523"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6B373F">
            <w:pPr>
              <w:pStyle w:val="TableText"/>
              <w:keepLines/>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6B373F">
            <w:pPr>
              <w:pStyle w:val="TableText"/>
              <w:keepLines/>
              <w:jc w:val="center"/>
              <w:rPr>
                <w:szCs w:val="20"/>
                <w:highlight w:val="black"/>
              </w:rPr>
            </w:pPr>
            <w:r>
              <w:rPr>
                <w:noProof/>
                <w:color w:val="000000"/>
                <w:szCs w:val="20"/>
                <w:highlight w:val="black"/>
              </w:rPr>
              <w:t>''''''''</w:t>
            </w:r>
          </w:p>
        </w:tc>
        <w:tc>
          <w:tcPr>
            <w:tcW w:w="1434"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6B373F">
            <w:pPr>
              <w:pStyle w:val="TableText"/>
              <w:keepLines/>
              <w:jc w:val="center"/>
              <w:rPr>
                <w:b/>
                <w:szCs w:val="20"/>
                <w:highlight w:val="black"/>
              </w:rPr>
            </w:pPr>
            <w:r>
              <w:rPr>
                <w:noProof/>
                <w:color w:val="000000"/>
                <w:szCs w:val="20"/>
                <w:highlight w:val="black"/>
              </w:rPr>
              <w:t>'''''''''</w:t>
            </w:r>
          </w:p>
        </w:tc>
      </w:tr>
      <w:tr w:rsidR="009E6B97" w:rsidRPr="003E2CA6" w:rsidTr="00935848">
        <w:tc>
          <w:tcPr>
            <w:tcW w:w="1543"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rPr>
                <w:szCs w:val="20"/>
                <w:highlight w:val="black"/>
              </w:rPr>
            </w:pPr>
            <w:r>
              <w:rPr>
                <w:noProof/>
                <w:color w:val="000000"/>
                <w:szCs w:val="20"/>
                <w:highlight w:val="black"/>
              </w:rPr>
              <w:t>'''''''''''''''''''''''''''' ''''' ''''''''''''''' '''''''''''''''''''''</w:t>
            </w:r>
          </w:p>
        </w:tc>
        <w:tc>
          <w:tcPr>
            <w:tcW w:w="1606"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jc w:val="center"/>
              <w:rPr>
                <w:szCs w:val="20"/>
                <w:highlight w:val="black"/>
              </w:rPr>
            </w:pPr>
            <w:r>
              <w:rPr>
                <w:noProof/>
                <w:color w:val="000000"/>
                <w:szCs w:val="20"/>
                <w:highlight w:val="black"/>
              </w:rPr>
              <w:t>'''''''''''''''' ''''' ''''''''</w:t>
            </w:r>
          </w:p>
        </w:tc>
        <w:tc>
          <w:tcPr>
            <w:tcW w:w="1514"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jc w:val="center"/>
              <w:rPr>
                <w:szCs w:val="20"/>
                <w:highlight w:val="black"/>
              </w:rPr>
            </w:pPr>
            <w:r>
              <w:rPr>
                <w:noProof/>
                <w:color w:val="000000"/>
                <w:szCs w:val="20"/>
                <w:highlight w:val="black"/>
              </w:rPr>
              <w:t>'''''''''''''''''' ''''' ''''''''''</w:t>
            </w:r>
          </w:p>
        </w:tc>
        <w:tc>
          <w:tcPr>
            <w:tcW w:w="1523"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jc w:val="center"/>
              <w:rPr>
                <w:szCs w:val="20"/>
                <w:highlight w:val="black"/>
              </w:rPr>
            </w:pPr>
            <w:r>
              <w:rPr>
                <w:noProof/>
                <w:color w:val="000000"/>
                <w:szCs w:val="20"/>
                <w:highlight w:val="black"/>
              </w:rPr>
              <w:t>''''''''''''''''''</w:t>
            </w:r>
          </w:p>
        </w:tc>
        <w:tc>
          <w:tcPr>
            <w:tcW w:w="1396"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jc w:val="center"/>
              <w:rPr>
                <w:szCs w:val="20"/>
                <w:highlight w:val="black"/>
              </w:rPr>
            </w:pPr>
            <w:r>
              <w:rPr>
                <w:noProof/>
                <w:color w:val="000000"/>
                <w:szCs w:val="20"/>
                <w:highlight w:val="black"/>
              </w:rPr>
              <w:t>''''''''''</w:t>
            </w:r>
          </w:p>
        </w:tc>
        <w:tc>
          <w:tcPr>
            <w:tcW w:w="1434"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6B373F">
            <w:pPr>
              <w:pStyle w:val="TableText"/>
              <w:keepLines/>
              <w:jc w:val="center"/>
              <w:rPr>
                <w:b/>
                <w:szCs w:val="20"/>
                <w:highlight w:val="black"/>
              </w:rPr>
            </w:pPr>
            <w:r>
              <w:rPr>
                <w:noProof/>
                <w:color w:val="000000"/>
                <w:szCs w:val="20"/>
                <w:highlight w:val="black"/>
              </w:rPr>
              <w:t>''''''''</w:t>
            </w:r>
          </w:p>
        </w:tc>
      </w:tr>
      <w:tr w:rsidR="009E6B97" w:rsidRPr="003E2CA6" w:rsidTr="00935848">
        <w:tc>
          <w:tcPr>
            <w:tcW w:w="9016" w:type="dxa"/>
            <w:gridSpan w:val="6"/>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Text"/>
              <w:keepNext w:val="0"/>
              <w:rPr>
                <w:b/>
                <w:szCs w:val="20"/>
              </w:rPr>
            </w:pPr>
            <w:r w:rsidRPr="00B32629">
              <w:rPr>
                <w:b/>
                <w:szCs w:val="20"/>
              </w:rPr>
              <w:t>Major amputation</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Text"/>
              <w:keepNext w:val="0"/>
              <w:rPr>
                <w:szCs w:val="20"/>
              </w:rPr>
            </w:pPr>
            <w:r w:rsidRPr="00B32629">
              <w:rPr>
                <w:szCs w:val="20"/>
              </w:rPr>
              <w:t>ITT population</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centre"/>
              <w:keepNext w:val="0"/>
              <w:rPr>
                <w:rFonts w:ascii="Arial Narrow" w:hAnsi="Arial Narrow"/>
              </w:rPr>
            </w:pPr>
            <w:r w:rsidRPr="00B32629">
              <w:rPr>
                <w:rFonts w:ascii="Arial Narrow" w:hAnsi="Arial Narrow"/>
              </w:rPr>
              <w:t>15/9152 (0.2)</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centre"/>
              <w:keepNext w:val="0"/>
              <w:rPr>
                <w:rFonts w:ascii="Arial Narrow" w:hAnsi="Arial Narrow"/>
              </w:rPr>
            </w:pPr>
            <w:r w:rsidRPr="00B32629">
              <w:rPr>
                <w:rFonts w:ascii="Arial Narrow" w:hAnsi="Arial Narrow"/>
              </w:rPr>
              <w:t>26/9126 (0.3)</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Text"/>
              <w:keepNext w:val="0"/>
              <w:jc w:val="center"/>
              <w:rPr>
                <w:szCs w:val="20"/>
              </w:rPr>
            </w:pPr>
            <w:r w:rsidRPr="00B32629">
              <w:rPr>
                <w:szCs w:val="20"/>
              </w:rPr>
              <w:t>-0.1210</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Text"/>
              <w:keepNext w:val="0"/>
              <w:jc w:val="center"/>
              <w:rPr>
                <w:szCs w:val="20"/>
              </w:rPr>
            </w:pPr>
            <w:r w:rsidRPr="00B32629">
              <w:rPr>
                <w:szCs w:val="20"/>
              </w:rPr>
              <w:t>826</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Text"/>
              <w:keepNext w:val="0"/>
              <w:jc w:val="center"/>
              <w:rPr>
                <w:szCs w:val="20"/>
              </w:rPr>
            </w:pPr>
            <w:r w:rsidRPr="00B32629">
              <w:rPr>
                <w:szCs w:val="20"/>
              </w:rPr>
              <w:t>0.57 (0.30, 1.09)</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rPr>
                <w:szCs w:val="20"/>
                <w:highlight w:val="black"/>
              </w:rPr>
            </w:pPr>
            <w:r>
              <w:rPr>
                <w:noProof/>
                <w:color w:val="000000"/>
                <w:szCs w:val="20"/>
                <w:highlight w:val="black"/>
              </w:rPr>
              <w:t xml:space="preserve">''''''''''''''' ''''''''''''''''''''''' </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 '''''''''''''</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rPr>
                <w:szCs w:val="20"/>
                <w:highlight w:val="black"/>
              </w:rPr>
            </w:pPr>
            <w:r>
              <w:rPr>
                <w:noProof/>
                <w:color w:val="000000"/>
                <w:szCs w:val="20"/>
                <w:highlight w:val="black"/>
              </w:rPr>
              <w:t xml:space="preserve">'''''''''' </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b/>
                <w:noProof/>
                <w:color w:val="000000"/>
                <w:szCs w:val="20"/>
                <w:highlight w:val="black"/>
              </w:rPr>
              <w:t>''''''''' '''''''''' '''''''''''</w:t>
            </w:r>
          </w:p>
        </w:tc>
      </w:tr>
      <w:tr w:rsidR="009E6B97" w:rsidRPr="00B6077D"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rPr>
                <w:szCs w:val="20"/>
                <w:highlight w:val="black"/>
                <w:vertAlign w:val="superscript"/>
              </w:rPr>
            </w:pPr>
            <w:r>
              <w:rPr>
                <w:noProof/>
                <w:color w:val="000000"/>
                <w:szCs w:val="20"/>
                <w:highlight w:val="black"/>
              </w:rPr>
              <w:t>'''''''''''' '''''''''''''</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rPr>
                <w:szCs w:val="20"/>
                <w:highlight w:val="black"/>
              </w:rPr>
            </w:pPr>
            <w:r>
              <w:rPr>
                <w:noProof/>
                <w:color w:val="000000"/>
                <w:szCs w:val="20"/>
                <w:highlight w:val="black"/>
              </w:rPr>
              <w:t>'''''''''''' ' ''''''''''</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 ''''''''''''''</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rPr>
                <w:szCs w:val="20"/>
                <w:highlight w:val="black"/>
              </w:rPr>
            </w:pPr>
            <w:r>
              <w:rPr>
                <w:noProof/>
                <w:color w:val="000000"/>
                <w:szCs w:val="20"/>
                <w:highlight w:val="black"/>
              </w:rPr>
              <w:t>'''''''''' ' '''''''</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r>
      <w:tr w:rsidR="009E6B97" w:rsidRPr="003E2CA6" w:rsidTr="00935848">
        <w:tc>
          <w:tcPr>
            <w:tcW w:w="1543"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203EE0">
            <w:pPr>
              <w:pStyle w:val="TableText"/>
              <w:keepNext w:val="0"/>
              <w:rPr>
                <w:szCs w:val="20"/>
                <w:highlight w:val="black"/>
              </w:rPr>
            </w:pPr>
            <w:r>
              <w:rPr>
                <w:noProof/>
                <w:color w:val="000000"/>
                <w:szCs w:val="20"/>
                <w:highlight w:val="black"/>
              </w:rPr>
              <w:t>'''''''''''' ' '''''''''''</w:t>
            </w:r>
          </w:p>
        </w:tc>
        <w:tc>
          <w:tcPr>
            <w:tcW w:w="1606"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 ''''''''''''</w:t>
            </w:r>
          </w:p>
        </w:tc>
        <w:tc>
          <w:tcPr>
            <w:tcW w:w="1514"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 ''''''''''''</w:t>
            </w:r>
          </w:p>
        </w:tc>
        <w:tc>
          <w:tcPr>
            <w:tcW w:w="1523"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434"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r>
      <w:tr w:rsidR="009E6B97" w:rsidRPr="003E2CA6" w:rsidTr="00935848">
        <w:tc>
          <w:tcPr>
            <w:tcW w:w="1543"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rPr>
                <w:szCs w:val="20"/>
                <w:highlight w:val="black"/>
              </w:rPr>
            </w:pPr>
            <w:r>
              <w:rPr>
                <w:noProof/>
                <w:color w:val="000000"/>
                <w:szCs w:val="20"/>
                <w:highlight w:val="black"/>
              </w:rPr>
              <w:t>''''''''''''''''''''''''''' ''''' '''''''''''''''' '''''''''''''''''''''''</w:t>
            </w:r>
          </w:p>
        </w:tc>
        <w:tc>
          <w:tcPr>
            <w:tcW w:w="1606"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14"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23"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396"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434"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b/>
                <w:szCs w:val="20"/>
                <w:highlight w:val="black"/>
              </w:rPr>
            </w:pPr>
            <w:r>
              <w:rPr>
                <w:noProof/>
                <w:color w:val="000000"/>
                <w:szCs w:val="20"/>
                <w:highlight w:val="black"/>
              </w:rPr>
              <w:t>''''''''</w:t>
            </w:r>
          </w:p>
        </w:tc>
      </w:tr>
      <w:tr w:rsidR="009E6B97" w:rsidRPr="003E2CA6" w:rsidTr="00935848">
        <w:tc>
          <w:tcPr>
            <w:tcW w:w="9016" w:type="dxa"/>
            <w:gridSpan w:val="6"/>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Text"/>
              <w:keepNext w:val="0"/>
              <w:rPr>
                <w:b/>
                <w:szCs w:val="20"/>
              </w:rPr>
            </w:pPr>
            <w:r w:rsidRPr="00B32629">
              <w:rPr>
                <w:b/>
                <w:szCs w:val="20"/>
              </w:rPr>
              <w:t>Minor amputation</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Text"/>
              <w:keepNext w:val="0"/>
              <w:rPr>
                <w:szCs w:val="20"/>
              </w:rPr>
            </w:pPr>
            <w:r w:rsidRPr="00B32629">
              <w:rPr>
                <w:szCs w:val="20"/>
              </w:rPr>
              <w:t>ITT population</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Text"/>
              <w:keepNext w:val="0"/>
              <w:jc w:val="center"/>
              <w:rPr>
                <w:szCs w:val="20"/>
              </w:rPr>
            </w:pPr>
            <w:r w:rsidRPr="00B32629">
              <w:rPr>
                <w:szCs w:val="20"/>
              </w:rPr>
              <w:t>17/9152 (0.2)</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Text"/>
              <w:keepNext w:val="0"/>
              <w:jc w:val="center"/>
              <w:rPr>
                <w:szCs w:val="20"/>
              </w:rPr>
            </w:pPr>
            <w:r w:rsidRPr="00B32629">
              <w:rPr>
                <w:szCs w:val="20"/>
              </w:rPr>
              <w:t>26/9126 (0.3)</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Text"/>
              <w:keepNext w:val="0"/>
              <w:jc w:val="center"/>
              <w:rPr>
                <w:szCs w:val="20"/>
              </w:rPr>
            </w:pPr>
            <w:r w:rsidRPr="00B32629">
              <w:rPr>
                <w:szCs w:val="20"/>
              </w:rPr>
              <w:t>-0.0991</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centre"/>
              <w:keepNext w:val="0"/>
              <w:rPr>
                <w:rFonts w:ascii="Arial Narrow" w:hAnsi="Arial Narrow"/>
              </w:rPr>
            </w:pPr>
            <w:r w:rsidRPr="00B32629">
              <w:rPr>
                <w:rFonts w:ascii="Arial Narrow" w:hAnsi="Arial Narrow"/>
              </w:rPr>
              <w:t>1009</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centre"/>
              <w:keepNext w:val="0"/>
              <w:rPr>
                <w:rFonts w:ascii="Arial Narrow" w:hAnsi="Arial Narrow"/>
              </w:rPr>
            </w:pPr>
            <w:r w:rsidRPr="00B32629">
              <w:rPr>
                <w:rFonts w:ascii="Arial Narrow" w:hAnsi="Arial Narrow"/>
              </w:rPr>
              <w:t>0.65 (0.35, 1.20)</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rPr>
                <w:szCs w:val="20"/>
                <w:highlight w:val="black"/>
              </w:rPr>
            </w:pPr>
            <w:r>
              <w:rPr>
                <w:noProof/>
                <w:color w:val="000000"/>
                <w:szCs w:val="20"/>
                <w:highlight w:val="black"/>
              </w:rPr>
              <w:t xml:space="preserve">'''''''''''''''''' ''''''''''''''''''''' </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 '''''''''''''' '''''''''''''</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rPr>
                <w:szCs w:val="20"/>
                <w:highlight w:val="black"/>
              </w:rPr>
            </w:pPr>
            <w:r>
              <w:rPr>
                <w:noProof/>
                <w:color w:val="000000"/>
                <w:szCs w:val="20"/>
                <w:highlight w:val="black"/>
              </w:rPr>
              <w:t>'''''''''' '''''''''</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 ''''''''''''''' ''''''''''''''</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rPr>
                <w:szCs w:val="20"/>
                <w:highlight w:val="black"/>
                <w:vertAlign w:val="superscript"/>
              </w:rPr>
            </w:pPr>
            <w:r>
              <w:rPr>
                <w:noProof/>
                <w:color w:val="000000"/>
                <w:szCs w:val="20"/>
                <w:highlight w:val="black"/>
              </w:rPr>
              <w:t>'''''''''' ''''''''''''''</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rPr>
                <w:szCs w:val="20"/>
                <w:highlight w:val="black"/>
              </w:rPr>
            </w:pPr>
            <w:r>
              <w:rPr>
                <w:noProof/>
                <w:color w:val="000000"/>
                <w:szCs w:val="20"/>
                <w:highlight w:val="black"/>
              </w:rPr>
              <w:t>''''''''''' ' ''''''''''''</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 ''''''''''''' ''''''''''''</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rPr>
                <w:szCs w:val="20"/>
                <w:highlight w:val="black"/>
              </w:rPr>
            </w:pPr>
            <w:r>
              <w:rPr>
                <w:noProof/>
                <w:color w:val="000000"/>
                <w:szCs w:val="20"/>
                <w:highlight w:val="black"/>
              </w:rPr>
              <w:t>''''''''''' ' ''''''''</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w:t>
            </w:r>
          </w:p>
        </w:tc>
      </w:tr>
      <w:tr w:rsidR="009E6B97" w:rsidRPr="003E2CA6" w:rsidTr="00935848">
        <w:tc>
          <w:tcPr>
            <w:tcW w:w="1543"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203EE0">
            <w:pPr>
              <w:pStyle w:val="TableText"/>
              <w:keepNext w:val="0"/>
              <w:rPr>
                <w:szCs w:val="20"/>
                <w:highlight w:val="black"/>
              </w:rPr>
            </w:pPr>
            <w:r>
              <w:rPr>
                <w:noProof/>
                <w:color w:val="000000"/>
                <w:szCs w:val="20"/>
                <w:highlight w:val="black"/>
              </w:rPr>
              <w:t>''''''''''' ' '''''''''''</w:t>
            </w:r>
          </w:p>
        </w:tc>
        <w:tc>
          <w:tcPr>
            <w:tcW w:w="1606"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14"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23"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w:t>
            </w:r>
          </w:p>
        </w:tc>
        <w:tc>
          <w:tcPr>
            <w:tcW w:w="1434"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w:t>
            </w:r>
          </w:p>
        </w:tc>
      </w:tr>
      <w:tr w:rsidR="009E6B97" w:rsidTr="00935848">
        <w:tc>
          <w:tcPr>
            <w:tcW w:w="1543"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rPr>
                <w:highlight w:val="black"/>
              </w:rPr>
            </w:pPr>
            <w:r>
              <w:rPr>
                <w:noProof/>
                <w:color w:val="000000"/>
                <w:szCs w:val="20"/>
                <w:highlight w:val="black"/>
              </w:rPr>
              <w:t>'''''''''''''''''''''''''''' ''''' '''''''''''''''''' ''''''''''''''''''''</w:t>
            </w:r>
          </w:p>
        </w:tc>
        <w:tc>
          <w:tcPr>
            <w:tcW w:w="1606"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highlight w:val="black"/>
              </w:rPr>
            </w:pPr>
            <w:r>
              <w:rPr>
                <w:noProof/>
                <w:color w:val="000000"/>
                <w:highlight w:val="black"/>
              </w:rPr>
              <w:t>'''''''''''''''''' '''''''''''''</w:t>
            </w:r>
          </w:p>
        </w:tc>
        <w:tc>
          <w:tcPr>
            <w:tcW w:w="1514"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highlight w:val="black"/>
              </w:rPr>
            </w:pPr>
            <w:r>
              <w:rPr>
                <w:noProof/>
                <w:color w:val="000000"/>
                <w:highlight w:val="black"/>
              </w:rPr>
              <w:t>'''''''''''''''' ''''''''''''''''</w:t>
            </w:r>
          </w:p>
        </w:tc>
        <w:tc>
          <w:tcPr>
            <w:tcW w:w="1523"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highlight w:val="black"/>
              </w:rPr>
            </w:pPr>
            <w:r>
              <w:rPr>
                <w:noProof/>
                <w:color w:val="000000"/>
                <w:highlight w:val="black"/>
              </w:rPr>
              <w:t>''''''''''''''''''''</w:t>
            </w:r>
          </w:p>
        </w:tc>
        <w:tc>
          <w:tcPr>
            <w:tcW w:w="1396"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highlight w:val="black"/>
              </w:rPr>
            </w:pPr>
            <w:r>
              <w:rPr>
                <w:noProof/>
                <w:color w:val="000000"/>
                <w:highlight w:val="black"/>
              </w:rPr>
              <w:t>''''''''''''</w:t>
            </w:r>
          </w:p>
        </w:tc>
        <w:tc>
          <w:tcPr>
            <w:tcW w:w="1434"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highlight w:val="black"/>
              </w:rPr>
            </w:pPr>
            <w:r>
              <w:rPr>
                <w:noProof/>
                <w:color w:val="000000"/>
                <w:highlight w:val="black"/>
              </w:rPr>
              <w:t>'''''''''</w:t>
            </w:r>
          </w:p>
        </w:tc>
      </w:tr>
      <w:tr w:rsidR="009E6B97" w:rsidRPr="003E2CA6" w:rsidTr="00935848">
        <w:tc>
          <w:tcPr>
            <w:tcW w:w="9016" w:type="dxa"/>
            <w:gridSpan w:val="6"/>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centre"/>
              <w:keepNext w:val="0"/>
              <w:jc w:val="left"/>
              <w:rPr>
                <w:rFonts w:ascii="Arial Narrow" w:hAnsi="Arial Narrow"/>
                <w:b/>
              </w:rPr>
            </w:pPr>
            <w:r w:rsidRPr="00B32629">
              <w:rPr>
                <w:rFonts w:ascii="Arial Narrow" w:hAnsi="Arial Narrow"/>
                <w:b/>
              </w:rPr>
              <w:t>Venous thromboembolism</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Text"/>
              <w:keepNext w:val="0"/>
              <w:rPr>
                <w:szCs w:val="20"/>
              </w:rPr>
            </w:pPr>
            <w:r w:rsidRPr="00B32629">
              <w:rPr>
                <w:szCs w:val="20"/>
              </w:rPr>
              <w:t>ITT population</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Text"/>
              <w:keepNext w:val="0"/>
              <w:jc w:val="center"/>
              <w:rPr>
                <w:szCs w:val="20"/>
              </w:rPr>
            </w:pPr>
            <w:r w:rsidRPr="00B32629">
              <w:rPr>
                <w:szCs w:val="20"/>
              </w:rPr>
              <w:t>25/9152 (0.3)</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Text"/>
              <w:keepNext w:val="0"/>
              <w:jc w:val="center"/>
              <w:rPr>
                <w:szCs w:val="20"/>
              </w:rPr>
            </w:pPr>
            <w:r w:rsidRPr="00B32629">
              <w:rPr>
                <w:szCs w:val="20"/>
              </w:rPr>
              <w:t>41/9126 (0.4)</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Text"/>
              <w:keepNext w:val="0"/>
              <w:jc w:val="center"/>
              <w:rPr>
                <w:szCs w:val="20"/>
              </w:rPr>
            </w:pPr>
            <w:r w:rsidRPr="00B32629">
              <w:rPr>
                <w:szCs w:val="20"/>
              </w:rPr>
              <w:t>-0.1761</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centre"/>
              <w:keepNext w:val="0"/>
              <w:rPr>
                <w:rFonts w:ascii="Arial Narrow" w:hAnsi="Arial Narrow"/>
              </w:rPr>
            </w:pPr>
            <w:r w:rsidRPr="00B32629">
              <w:rPr>
                <w:rFonts w:ascii="Arial Narrow" w:hAnsi="Arial Narrow"/>
              </w:rPr>
              <w:t>568</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B32629" w:rsidRDefault="009E6B97" w:rsidP="00203EE0">
            <w:pPr>
              <w:pStyle w:val="Tablecentre"/>
              <w:keepNext w:val="0"/>
              <w:rPr>
                <w:rFonts w:ascii="Arial Narrow" w:hAnsi="Arial Narrow"/>
              </w:rPr>
            </w:pPr>
            <w:r w:rsidRPr="00B32629">
              <w:rPr>
                <w:rFonts w:ascii="Arial Narrow" w:hAnsi="Arial Narrow"/>
              </w:rPr>
              <w:t>0.61 (0.37, 1.00)</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rPr>
                <w:szCs w:val="20"/>
                <w:highlight w:val="black"/>
              </w:rPr>
            </w:pPr>
            <w:r>
              <w:rPr>
                <w:noProof/>
                <w:color w:val="000000"/>
                <w:szCs w:val="20"/>
                <w:highlight w:val="black"/>
              </w:rPr>
              <w:t xml:space="preserve">'''''''''''''''' ''''''''''''''''''''' </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 '''''''''''''' ''''''''''''</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rPr>
                <w:szCs w:val="20"/>
                <w:highlight w:val="black"/>
              </w:rPr>
            </w:pPr>
            <w:r>
              <w:rPr>
                <w:noProof/>
                <w:color w:val="000000"/>
                <w:szCs w:val="20"/>
                <w:highlight w:val="black"/>
              </w:rPr>
              <w:t xml:space="preserve">'''''''''''' </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 ''''''''''''''' ''''''''''''''</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rPr>
                <w:szCs w:val="20"/>
                <w:highlight w:val="black"/>
                <w:vertAlign w:val="superscript"/>
              </w:rPr>
            </w:pPr>
            <w:r>
              <w:rPr>
                <w:noProof/>
                <w:color w:val="000000"/>
                <w:szCs w:val="20"/>
                <w:highlight w:val="black"/>
              </w:rPr>
              <w:t>''''''''''' ''''''''''''</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rPr>
                <w:szCs w:val="20"/>
                <w:highlight w:val="black"/>
              </w:rPr>
            </w:pPr>
            <w:r>
              <w:rPr>
                <w:noProof/>
                <w:color w:val="000000"/>
                <w:szCs w:val="20"/>
                <w:highlight w:val="black"/>
              </w:rPr>
              <w:t>''''''''''''' ' '''''''''''</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 ''''''''''''''' ''''''''''''</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rPr>
                <w:szCs w:val="20"/>
                <w:highlight w:val="black"/>
              </w:rPr>
            </w:pPr>
            <w:r>
              <w:rPr>
                <w:noProof/>
                <w:color w:val="000000"/>
                <w:szCs w:val="20"/>
                <w:highlight w:val="black"/>
              </w:rPr>
              <w:t>''''''''''' ' ''''''''</w:t>
            </w:r>
          </w:p>
        </w:tc>
        <w:tc>
          <w:tcPr>
            <w:tcW w:w="160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51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w:t>
            </w:r>
          </w:p>
        </w:tc>
      </w:tr>
      <w:tr w:rsidR="009E6B97"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rPr>
                <w:szCs w:val="20"/>
                <w:highlight w:val="black"/>
              </w:rPr>
            </w:pPr>
            <w:r>
              <w:rPr>
                <w:noProof/>
                <w:color w:val="000000"/>
                <w:szCs w:val="20"/>
                <w:highlight w:val="black"/>
              </w:rPr>
              <w:t>'''''''''''' ' '''''''''''</w:t>
            </w:r>
          </w:p>
        </w:tc>
        <w:tc>
          <w:tcPr>
            <w:tcW w:w="1606"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14"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 ''''''''''</w:t>
            </w:r>
          </w:p>
        </w:tc>
        <w:tc>
          <w:tcPr>
            <w:tcW w:w="1523"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203EE0">
            <w:pPr>
              <w:pStyle w:val="TableText"/>
              <w:keepNext w:val="0"/>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w:t>
            </w:r>
          </w:p>
        </w:tc>
        <w:tc>
          <w:tcPr>
            <w:tcW w:w="1434" w:type="dxa"/>
            <w:tcBorders>
              <w:top w:val="single" w:sz="4" w:space="0" w:color="auto"/>
              <w:left w:val="single" w:sz="4" w:space="0" w:color="auto"/>
              <w:bottom w:val="double" w:sz="4" w:space="0" w:color="auto"/>
              <w:right w:val="single" w:sz="4" w:space="0" w:color="auto"/>
            </w:tcBorders>
            <w:vAlign w:val="center"/>
          </w:tcPr>
          <w:p w:rsidR="009E6B97" w:rsidRPr="00FC537F" w:rsidRDefault="00FC537F" w:rsidP="00203EE0">
            <w:pPr>
              <w:pStyle w:val="Tablecentre"/>
              <w:keepNext w:val="0"/>
              <w:rPr>
                <w:rFonts w:ascii="Arial Narrow" w:hAnsi="Arial Narrow"/>
                <w:highlight w:val="black"/>
              </w:rPr>
            </w:pPr>
            <w:r>
              <w:rPr>
                <w:rFonts w:ascii="Arial Narrow" w:hAnsi="Arial Narrow"/>
                <w:noProof/>
                <w:color w:val="000000"/>
                <w:highlight w:val="black"/>
              </w:rPr>
              <w:t>''''''''''' ''''''''''''' ''''''''''''''</w:t>
            </w:r>
          </w:p>
        </w:tc>
      </w:tr>
      <w:tr w:rsidR="009E6B97" w:rsidTr="00935848">
        <w:tc>
          <w:tcPr>
            <w:tcW w:w="1543"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rPr>
                <w:highlight w:val="black"/>
              </w:rPr>
            </w:pPr>
            <w:r>
              <w:rPr>
                <w:noProof/>
                <w:color w:val="000000"/>
                <w:szCs w:val="20"/>
                <w:highlight w:val="black"/>
              </w:rPr>
              <w:t>''''''''''''''''''''''''''''' '''' '''''''''''''''''' '''''''''''''''''''''''</w:t>
            </w:r>
          </w:p>
        </w:tc>
        <w:tc>
          <w:tcPr>
            <w:tcW w:w="1606"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highlight w:val="black"/>
              </w:rPr>
            </w:pPr>
            <w:r>
              <w:rPr>
                <w:noProof/>
                <w:color w:val="000000"/>
                <w:highlight w:val="black"/>
              </w:rPr>
              <w:t>''''''''''''''''''''' ''''''''''</w:t>
            </w:r>
          </w:p>
        </w:tc>
        <w:tc>
          <w:tcPr>
            <w:tcW w:w="1514"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highlight w:val="black"/>
              </w:rPr>
            </w:pPr>
            <w:r>
              <w:rPr>
                <w:noProof/>
                <w:color w:val="000000"/>
                <w:highlight w:val="black"/>
              </w:rPr>
              <w:t>''''''''''''''''''' ''''''''''</w:t>
            </w:r>
          </w:p>
        </w:tc>
        <w:tc>
          <w:tcPr>
            <w:tcW w:w="1523"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highlight w:val="black"/>
              </w:rPr>
            </w:pPr>
            <w:r>
              <w:rPr>
                <w:noProof/>
                <w:color w:val="000000"/>
                <w:highlight w:val="black"/>
              </w:rPr>
              <w:t>''''''''''''''''</w:t>
            </w:r>
          </w:p>
        </w:tc>
        <w:tc>
          <w:tcPr>
            <w:tcW w:w="1396"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highlight w:val="black"/>
              </w:rPr>
            </w:pPr>
            <w:r>
              <w:rPr>
                <w:noProof/>
                <w:color w:val="000000"/>
                <w:highlight w:val="black"/>
              </w:rPr>
              <w:t>'''''''''</w:t>
            </w:r>
          </w:p>
        </w:tc>
        <w:tc>
          <w:tcPr>
            <w:tcW w:w="1434" w:type="dxa"/>
            <w:tcBorders>
              <w:top w:val="double" w:sz="4" w:space="0" w:color="auto"/>
              <w:left w:val="single" w:sz="4" w:space="0" w:color="auto"/>
              <w:bottom w:val="single" w:sz="4" w:space="0" w:color="auto"/>
              <w:right w:val="single" w:sz="4" w:space="0" w:color="auto"/>
            </w:tcBorders>
            <w:vAlign w:val="center"/>
          </w:tcPr>
          <w:p w:rsidR="009E6B97" w:rsidRPr="00FC537F" w:rsidRDefault="00FC537F" w:rsidP="00203EE0">
            <w:pPr>
              <w:pStyle w:val="TableText"/>
              <w:keepNext w:val="0"/>
              <w:jc w:val="center"/>
              <w:rPr>
                <w:highlight w:val="black"/>
              </w:rPr>
            </w:pPr>
            <w:r>
              <w:rPr>
                <w:noProof/>
                <w:color w:val="000000"/>
                <w:highlight w:val="black"/>
              </w:rPr>
              <w:t>''''''''''' '''''''''''' ''''''''''''</w:t>
            </w:r>
          </w:p>
        </w:tc>
      </w:tr>
    </w:tbl>
    <w:p w:rsidR="009E6B97" w:rsidRDefault="009E6B97" w:rsidP="00203EE0">
      <w:pPr>
        <w:pStyle w:val="TableFooter"/>
        <w:tabs>
          <w:tab w:val="left" w:pos="3310"/>
        </w:tabs>
        <w:rPr>
          <w:color w:val="3366FF"/>
        </w:rPr>
      </w:pPr>
      <w:r>
        <w:t xml:space="preserve">Source: Table 2.6-9 (p 153) of the resubmission; </w:t>
      </w:r>
      <w:r w:rsidRPr="003E2CA6">
        <w:t>Table 2/1, p. 217 ‘15786_query22_compass_add_heor_australia2new’, Appendix 5 of the resubmission</w:t>
      </w:r>
      <w:r>
        <w:t>; Table 9-30 (p 181) and Table 9-35 (p 188) of the COMPASS trial report</w:t>
      </w:r>
      <w:r>
        <w:tab/>
      </w:r>
    </w:p>
    <w:p w:rsidR="009E6B97" w:rsidRDefault="009E6B97" w:rsidP="00203EE0">
      <w:pPr>
        <w:pStyle w:val="TableFooter"/>
        <w:widowControl/>
      </w:pPr>
      <w:r>
        <w:t>Abbreviations: CAD, coronary artery disease; CI, confidence interval; CKD, chronic kidney disease; HF, heart failure; NE, not estimated; NNH, number needed to harm; NNT, number needed to treat; NR, not reported; PAD, peripheral artery disease</w:t>
      </w:r>
    </w:p>
    <w:p w:rsidR="009E6B97" w:rsidRPr="00B32629" w:rsidRDefault="009E6B97" w:rsidP="00F04144">
      <w:pPr>
        <w:pStyle w:val="TableFooter"/>
        <w:spacing w:after="240"/>
      </w:pPr>
      <w:r w:rsidRPr="00B32629">
        <w:rPr>
          <w:vertAlign w:val="superscript"/>
        </w:rPr>
        <w:t>a</w:t>
      </w:r>
      <w:r w:rsidRPr="00B32629">
        <w:t xml:space="preserve"> PAD only represents patients who have PAD without CAD; CAD yes includes patients who have PAD with CAD or CAD only (complement of PAD only)</w:t>
      </w:r>
      <w:r w:rsidR="00B32629" w:rsidRPr="00B32629">
        <w:t>. R</w:t>
      </w:r>
      <w:r w:rsidRPr="00B32629">
        <w:t xml:space="preserve">esults were calculated during the evaluation as the incidence of events in the PAD yes subgroup minus the incidence of </w:t>
      </w:r>
      <w:r w:rsidR="00B32629" w:rsidRPr="00B32629">
        <w:t>events in the CAD &amp; PAD subgroup.</w:t>
      </w:r>
    </w:p>
    <w:p w:rsidR="00297D20" w:rsidRPr="000B6B6A" w:rsidRDefault="00A37BB1" w:rsidP="00050115">
      <w:pPr>
        <w:pStyle w:val="ExecSumBodyText"/>
      </w:pPr>
      <w:r w:rsidRPr="000B6B6A">
        <w:lastRenderedPageBreak/>
        <w:t xml:space="preserve">In populations which explicitly include patients with PAD, there was a consistent reduction in acute limb ischaemia events in favour of treatment with rivaroxaban in combination with aspirin compared with aspirin monotherapy. The results for minor and major amputation and venous thromboembolism were less </w:t>
      </w:r>
      <w:r w:rsidRPr="003D1C66">
        <w:t xml:space="preserve">certain across the populations, but results favoured rivaroxaban plus aspirin. </w:t>
      </w:r>
      <w:r w:rsidR="009B7D36">
        <w:t>The total number of events</w:t>
      </w:r>
      <w:r w:rsidRPr="003D1C66">
        <w:t xml:space="preserve"> for peripheral outcomes were low</w:t>
      </w:r>
      <w:r w:rsidR="0083490F" w:rsidRPr="003D1C66">
        <w:t xml:space="preserve">, including </w:t>
      </w:r>
      <w:r w:rsidR="007B29B4" w:rsidRPr="003D1C66">
        <w:t xml:space="preserve">in </w:t>
      </w:r>
      <w:r w:rsidR="0083490F" w:rsidRPr="003D1C66">
        <w:t>the PAD only population</w:t>
      </w:r>
      <w:r w:rsidRPr="003D1C66">
        <w:t>. The confidence intervals in the individual subgroups were wide, reflecting uncertainty associated with these estimates. Hazard ratios were broadly not estimable for the CAD &amp; HF and CAD &amp; CKD subgroups, due to very low event rates.</w:t>
      </w:r>
      <w:r w:rsidRPr="000B6B6A">
        <w:t xml:space="preserve"> </w:t>
      </w:r>
    </w:p>
    <w:p w:rsidR="00050115" w:rsidRPr="000B6B6A" w:rsidRDefault="009245B9" w:rsidP="00050115">
      <w:pPr>
        <w:pStyle w:val="ExecSumBodyText"/>
      </w:pPr>
      <w:r>
        <w:t xml:space="preserve">Non-cardiovascular death was included in the </w:t>
      </w:r>
      <w:r w:rsidR="00F04144">
        <w:t xml:space="preserve">base case of the resubmission’s </w:t>
      </w:r>
      <w:r>
        <w:t xml:space="preserve">economic model. </w:t>
      </w:r>
      <w:r w:rsidR="00050115" w:rsidRPr="000B6B6A">
        <w:t xml:space="preserve">The results for </w:t>
      </w:r>
      <w:r w:rsidR="004E0381" w:rsidRPr="000B6B6A">
        <w:t>non-</w:t>
      </w:r>
      <w:r w:rsidR="00050115" w:rsidRPr="000B6B6A">
        <w:t xml:space="preserve">cardiovascular death in the ITT and nominated high risk subgroups are summarised in Table </w:t>
      </w:r>
      <w:r w:rsidR="00A37BB1" w:rsidRPr="000B6B6A">
        <w:t>7</w:t>
      </w:r>
      <w:r w:rsidR="00050115" w:rsidRPr="000B6B6A">
        <w:t>.</w:t>
      </w:r>
    </w:p>
    <w:p w:rsidR="00050115" w:rsidRDefault="00050115" w:rsidP="004E4D5A">
      <w:pPr>
        <w:pStyle w:val="TableHeading"/>
        <w:keepLines/>
        <w:spacing w:after="0"/>
        <w:jc w:val="both"/>
      </w:pPr>
      <w:r>
        <w:t xml:space="preserve">Table </w:t>
      </w:r>
      <w:r w:rsidR="00A37BB1">
        <w:t>7</w:t>
      </w:r>
      <w:r>
        <w:t xml:space="preserve">: </w:t>
      </w:r>
      <w:r w:rsidRPr="00042D48">
        <w:t xml:space="preserve">Results of </w:t>
      </w:r>
      <w:r>
        <w:t>non-cardiovascular death</w:t>
      </w:r>
      <w:r w:rsidRPr="00042D48">
        <w:t xml:space="preserve"> in the COMPASS trial (ITT) and relevant subgroups</w:t>
      </w:r>
    </w:p>
    <w:tbl>
      <w:tblPr>
        <w:tblStyle w:val="TableGrid"/>
        <w:tblW w:w="0" w:type="auto"/>
        <w:tblCellMar>
          <w:left w:w="57" w:type="dxa"/>
          <w:right w:w="57" w:type="dxa"/>
        </w:tblCellMar>
        <w:tblLook w:val="04A0" w:firstRow="1" w:lastRow="0" w:firstColumn="1" w:lastColumn="0" w:noHBand="0" w:noVBand="1"/>
        <w:tblCaption w:val="Table 7: Results of non-cardiovascular death in the COMPASS trial (ITT) and relevant subgroups"/>
        <w:tblDescription w:val="Table 7: Results of non-cardiovascular death in the COMPASS trial (ITT) and relevant subgroups"/>
      </w:tblPr>
      <w:tblGrid>
        <w:gridCol w:w="1543"/>
        <w:gridCol w:w="1606"/>
        <w:gridCol w:w="14"/>
        <w:gridCol w:w="1500"/>
        <w:gridCol w:w="15"/>
        <w:gridCol w:w="1539"/>
        <w:gridCol w:w="1324"/>
        <w:gridCol w:w="1475"/>
      </w:tblGrid>
      <w:tr w:rsidR="00050115" w:rsidRPr="003E2CA6" w:rsidTr="00D32BF3">
        <w:trPr>
          <w:tblHeader/>
        </w:trPr>
        <w:tc>
          <w:tcPr>
            <w:tcW w:w="1543" w:type="dxa"/>
            <w:vAlign w:val="center"/>
          </w:tcPr>
          <w:p w:rsidR="00050115" w:rsidRPr="003E2CA6" w:rsidRDefault="00050115" w:rsidP="004E4D5A">
            <w:pPr>
              <w:keepNext/>
              <w:keepLines/>
              <w:rPr>
                <w:rFonts w:ascii="Arial Narrow" w:hAnsi="Arial Narrow"/>
                <w:sz w:val="20"/>
                <w:szCs w:val="20"/>
              </w:rPr>
            </w:pPr>
          </w:p>
        </w:tc>
        <w:tc>
          <w:tcPr>
            <w:tcW w:w="1606" w:type="dxa"/>
            <w:vAlign w:val="center"/>
          </w:tcPr>
          <w:p w:rsidR="00050115" w:rsidRPr="003E2CA6" w:rsidRDefault="00050115" w:rsidP="004E4D5A">
            <w:pPr>
              <w:pStyle w:val="TableText"/>
              <w:keepLines/>
              <w:jc w:val="center"/>
              <w:rPr>
                <w:b/>
                <w:szCs w:val="20"/>
              </w:rPr>
            </w:pPr>
            <w:r w:rsidRPr="003E2CA6">
              <w:rPr>
                <w:b/>
                <w:szCs w:val="20"/>
              </w:rPr>
              <w:t>Rivaroxaban</w:t>
            </w:r>
            <w:r>
              <w:rPr>
                <w:b/>
                <w:szCs w:val="20"/>
              </w:rPr>
              <w:t xml:space="preserve"> 2.5 mg + aspirin 100 mg, n (%)</w:t>
            </w:r>
          </w:p>
        </w:tc>
        <w:tc>
          <w:tcPr>
            <w:tcW w:w="1514" w:type="dxa"/>
            <w:gridSpan w:val="2"/>
            <w:vAlign w:val="center"/>
          </w:tcPr>
          <w:p w:rsidR="00050115" w:rsidRPr="003E2CA6" w:rsidRDefault="00050115" w:rsidP="004E4D5A">
            <w:pPr>
              <w:pStyle w:val="TableText"/>
              <w:keepLines/>
              <w:jc w:val="center"/>
              <w:rPr>
                <w:b/>
                <w:szCs w:val="20"/>
              </w:rPr>
            </w:pPr>
            <w:r>
              <w:rPr>
                <w:b/>
                <w:szCs w:val="20"/>
              </w:rPr>
              <w:t>Aspirin 100 mg, n (%)</w:t>
            </w:r>
          </w:p>
        </w:tc>
        <w:tc>
          <w:tcPr>
            <w:tcW w:w="1554" w:type="dxa"/>
            <w:gridSpan w:val="2"/>
            <w:vAlign w:val="center"/>
          </w:tcPr>
          <w:p w:rsidR="00050115" w:rsidRPr="003E2CA6" w:rsidRDefault="00050115" w:rsidP="004E4D5A">
            <w:pPr>
              <w:pStyle w:val="TableText"/>
              <w:keepLines/>
              <w:jc w:val="center"/>
              <w:rPr>
                <w:b/>
                <w:szCs w:val="20"/>
              </w:rPr>
            </w:pPr>
            <w:r w:rsidRPr="003E2CA6">
              <w:rPr>
                <w:b/>
                <w:szCs w:val="20"/>
              </w:rPr>
              <w:t>Absolute risk reduction (%)</w:t>
            </w:r>
          </w:p>
        </w:tc>
        <w:tc>
          <w:tcPr>
            <w:tcW w:w="1324" w:type="dxa"/>
            <w:vAlign w:val="center"/>
          </w:tcPr>
          <w:p w:rsidR="00050115" w:rsidRPr="003E2CA6" w:rsidRDefault="00050115" w:rsidP="004E4D5A">
            <w:pPr>
              <w:pStyle w:val="TableText"/>
              <w:keepLines/>
              <w:jc w:val="center"/>
              <w:rPr>
                <w:b/>
                <w:szCs w:val="20"/>
              </w:rPr>
            </w:pPr>
            <w:r w:rsidRPr="003E2CA6">
              <w:rPr>
                <w:b/>
                <w:szCs w:val="20"/>
              </w:rPr>
              <w:t>NNT/NNH</w:t>
            </w:r>
          </w:p>
        </w:tc>
        <w:tc>
          <w:tcPr>
            <w:tcW w:w="1475" w:type="dxa"/>
            <w:vAlign w:val="center"/>
          </w:tcPr>
          <w:p w:rsidR="00050115" w:rsidRPr="003E2CA6" w:rsidRDefault="00050115" w:rsidP="004E4D5A">
            <w:pPr>
              <w:pStyle w:val="TableText"/>
              <w:keepLines/>
              <w:jc w:val="center"/>
              <w:rPr>
                <w:b/>
                <w:szCs w:val="20"/>
              </w:rPr>
            </w:pPr>
            <w:r w:rsidRPr="003E2CA6">
              <w:rPr>
                <w:b/>
                <w:szCs w:val="20"/>
              </w:rPr>
              <w:t>Hazard ratio (95% CI)</w:t>
            </w:r>
          </w:p>
        </w:tc>
      </w:tr>
      <w:tr w:rsidR="00050115" w:rsidRPr="003E2CA6" w:rsidTr="00935848">
        <w:tc>
          <w:tcPr>
            <w:tcW w:w="9016" w:type="dxa"/>
            <w:gridSpan w:val="8"/>
            <w:tcBorders>
              <w:top w:val="single" w:sz="4" w:space="0" w:color="auto"/>
              <w:left w:val="single" w:sz="4" w:space="0" w:color="auto"/>
              <w:bottom w:val="single" w:sz="4" w:space="0" w:color="auto"/>
              <w:right w:val="single" w:sz="4" w:space="0" w:color="auto"/>
            </w:tcBorders>
            <w:vAlign w:val="center"/>
          </w:tcPr>
          <w:p w:rsidR="00050115" w:rsidRPr="003E2CA6" w:rsidRDefault="00050115" w:rsidP="004E4D5A">
            <w:pPr>
              <w:pStyle w:val="Tablecentre"/>
              <w:jc w:val="left"/>
              <w:rPr>
                <w:rFonts w:ascii="Arial Narrow" w:hAnsi="Arial Narrow"/>
                <w:b/>
              </w:rPr>
            </w:pPr>
            <w:r>
              <w:rPr>
                <w:rFonts w:ascii="Arial Narrow" w:hAnsi="Arial Narrow"/>
                <w:b/>
              </w:rPr>
              <w:t>Non-cardiovascular death</w:t>
            </w:r>
          </w:p>
        </w:tc>
      </w:tr>
      <w:tr w:rsidR="00050115" w:rsidRPr="00A71622" w:rsidTr="00935848">
        <w:tc>
          <w:tcPr>
            <w:tcW w:w="1543" w:type="dxa"/>
            <w:tcBorders>
              <w:top w:val="single" w:sz="4" w:space="0" w:color="auto"/>
              <w:left w:val="single" w:sz="4" w:space="0" w:color="auto"/>
              <w:bottom w:val="single" w:sz="4" w:space="0" w:color="auto"/>
              <w:right w:val="single" w:sz="4" w:space="0" w:color="auto"/>
            </w:tcBorders>
            <w:vAlign w:val="center"/>
          </w:tcPr>
          <w:p w:rsidR="00050115" w:rsidRPr="00A71622" w:rsidRDefault="00050115" w:rsidP="004E4D5A">
            <w:pPr>
              <w:pStyle w:val="TableText"/>
              <w:rPr>
                <w:szCs w:val="20"/>
              </w:rPr>
            </w:pPr>
            <w:r w:rsidRPr="00A71622">
              <w:rPr>
                <w:szCs w:val="20"/>
              </w:rPr>
              <w:t>ITT population</w:t>
            </w:r>
          </w:p>
        </w:tc>
        <w:tc>
          <w:tcPr>
            <w:tcW w:w="1620" w:type="dxa"/>
            <w:gridSpan w:val="2"/>
            <w:tcBorders>
              <w:top w:val="single" w:sz="4" w:space="0" w:color="auto"/>
              <w:left w:val="single" w:sz="4" w:space="0" w:color="auto"/>
              <w:bottom w:val="single" w:sz="4" w:space="0" w:color="auto"/>
              <w:right w:val="single" w:sz="4" w:space="0" w:color="auto"/>
            </w:tcBorders>
            <w:vAlign w:val="center"/>
          </w:tcPr>
          <w:p w:rsidR="00050115" w:rsidRPr="00A71622" w:rsidRDefault="00050115" w:rsidP="004E4D5A">
            <w:pPr>
              <w:pStyle w:val="TableText"/>
              <w:jc w:val="center"/>
              <w:rPr>
                <w:szCs w:val="20"/>
              </w:rPr>
            </w:pPr>
            <w:r w:rsidRPr="00A71622">
              <w:rPr>
                <w:szCs w:val="20"/>
              </w:rPr>
              <w:t>153/9152 (1.7)</w:t>
            </w:r>
          </w:p>
        </w:tc>
        <w:tc>
          <w:tcPr>
            <w:tcW w:w="1515" w:type="dxa"/>
            <w:gridSpan w:val="2"/>
            <w:tcBorders>
              <w:top w:val="single" w:sz="4" w:space="0" w:color="auto"/>
              <w:left w:val="single" w:sz="4" w:space="0" w:color="auto"/>
              <w:bottom w:val="single" w:sz="4" w:space="0" w:color="auto"/>
              <w:right w:val="single" w:sz="4" w:space="0" w:color="auto"/>
            </w:tcBorders>
            <w:vAlign w:val="center"/>
          </w:tcPr>
          <w:p w:rsidR="00050115" w:rsidRPr="00A71622" w:rsidRDefault="00050115" w:rsidP="004E4D5A">
            <w:pPr>
              <w:pStyle w:val="TableText"/>
              <w:jc w:val="center"/>
              <w:rPr>
                <w:szCs w:val="20"/>
              </w:rPr>
            </w:pPr>
            <w:r w:rsidRPr="00A71622">
              <w:rPr>
                <w:szCs w:val="20"/>
              </w:rPr>
              <w:t>175/9126 (1.9)</w:t>
            </w:r>
          </w:p>
        </w:tc>
        <w:tc>
          <w:tcPr>
            <w:tcW w:w="1539" w:type="dxa"/>
            <w:tcBorders>
              <w:top w:val="single" w:sz="4" w:space="0" w:color="auto"/>
              <w:left w:val="single" w:sz="4" w:space="0" w:color="auto"/>
              <w:bottom w:val="single" w:sz="4" w:space="0" w:color="auto"/>
              <w:right w:val="single" w:sz="4" w:space="0" w:color="auto"/>
            </w:tcBorders>
            <w:vAlign w:val="center"/>
          </w:tcPr>
          <w:p w:rsidR="00050115" w:rsidRPr="00A71622" w:rsidRDefault="00050115" w:rsidP="004E4D5A">
            <w:pPr>
              <w:pStyle w:val="TableText"/>
              <w:jc w:val="center"/>
              <w:rPr>
                <w:szCs w:val="20"/>
              </w:rPr>
            </w:pPr>
            <w:r w:rsidRPr="00A71622">
              <w:rPr>
                <w:szCs w:val="20"/>
              </w:rPr>
              <w:t>-0.2458</w:t>
            </w:r>
          </w:p>
        </w:tc>
        <w:tc>
          <w:tcPr>
            <w:tcW w:w="1324" w:type="dxa"/>
            <w:tcBorders>
              <w:top w:val="single" w:sz="4" w:space="0" w:color="auto"/>
              <w:left w:val="single" w:sz="4" w:space="0" w:color="auto"/>
              <w:bottom w:val="single" w:sz="4" w:space="0" w:color="auto"/>
              <w:right w:val="single" w:sz="4" w:space="0" w:color="auto"/>
            </w:tcBorders>
            <w:vAlign w:val="center"/>
          </w:tcPr>
          <w:p w:rsidR="00050115" w:rsidRPr="00A71622" w:rsidRDefault="00050115" w:rsidP="004E4D5A">
            <w:pPr>
              <w:pStyle w:val="Tablecentre"/>
              <w:rPr>
                <w:rFonts w:ascii="Arial Narrow" w:hAnsi="Arial Narrow"/>
              </w:rPr>
            </w:pPr>
            <w:r w:rsidRPr="00A71622">
              <w:rPr>
                <w:rFonts w:ascii="Arial Narrow" w:hAnsi="Arial Narrow"/>
              </w:rPr>
              <w:t>407</w:t>
            </w:r>
          </w:p>
        </w:tc>
        <w:tc>
          <w:tcPr>
            <w:tcW w:w="1475" w:type="dxa"/>
            <w:tcBorders>
              <w:top w:val="single" w:sz="4" w:space="0" w:color="auto"/>
              <w:left w:val="single" w:sz="4" w:space="0" w:color="auto"/>
              <w:bottom w:val="single" w:sz="4" w:space="0" w:color="auto"/>
              <w:right w:val="single" w:sz="4" w:space="0" w:color="auto"/>
            </w:tcBorders>
            <w:vAlign w:val="center"/>
          </w:tcPr>
          <w:p w:rsidR="00050115" w:rsidRPr="00A71622" w:rsidRDefault="00050115" w:rsidP="004E4D5A">
            <w:pPr>
              <w:pStyle w:val="Tablecentre"/>
              <w:rPr>
                <w:rFonts w:ascii="Arial Narrow" w:hAnsi="Arial Narrow"/>
              </w:rPr>
            </w:pPr>
            <w:r w:rsidRPr="00A71622">
              <w:rPr>
                <w:rFonts w:ascii="Arial Narrow" w:hAnsi="Arial Narrow"/>
              </w:rPr>
              <w:t>0.87 (0.70, 1.08)</w:t>
            </w:r>
          </w:p>
        </w:tc>
      </w:tr>
      <w:tr w:rsidR="00050115"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rPr>
                <w:szCs w:val="20"/>
                <w:highlight w:val="black"/>
              </w:rPr>
            </w:pPr>
            <w:r>
              <w:rPr>
                <w:noProof/>
                <w:color w:val="000000"/>
                <w:szCs w:val="20"/>
                <w:highlight w:val="black"/>
              </w:rPr>
              <w:t xml:space="preserve">'''''''''''''''''' '''''''''''''''''''''''' </w:t>
            </w:r>
          </w:p>
        </w:tc>
        <w:tc>
          <w:tcPr>
            <w:tcW w:w="1606" w:type="dxa"/>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0"/>
              <w:keepNext/>
              <w:jc w:val="center"/>
              <w:rPr>
                <w:szCs w:val="20"/>
                <w:highlight w:val="black"/>
              </w:rPr>
            </w:pPr>
            <w:r>
              <w:rPr>
                <w:noProof/>
                <w:color w:val="000000"/>
                <w:szCs w:val="20"/>
                <w:highlight w:val="black"/>
              </w:rPr>
              <w:t>''''''''''''''''''''''' '''''''''''</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0"/>
              <w:keepNext/>
              <w:jc w:val="center"/>
              <w:rPr>
                <w:szCs w:val="20"/>
                <w:highlight w:val="black"/>
              </w:rPr>
            </w:pPr>
            <w:r>
              <w:rPr>
                <w:noProof/>
                <w:color w:val="000000"/>
                <w:szCs w:val="20"/>
                <w:highlight w:val="black"/>
              </w:rPr>
              <w:t>'''''''''''''''''''''' '''''''''''</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0"/>
              <w:keepNext/>
              <w:jc w:val="center"/>
              <w:rPr>
                <w:szCs w:val="20"/>
                <w:highlight w:val="black"/>
              </w:rPr>
            </w:pPr>
            <w:r>
              <w:rPr>
                <w:noProof/>
                <w:color w:val="000000"/>
                <w:szCs w:val="20"/>
                <w:highlight w:val="black"/>
              </w:rPr>
              <w:t>''''''''''''''''''''</w:t>
            </w:r>
          </w:p>
        </w:tc>
        <w:tc>
          <w:tcPr>
            <w:tcW w:w="1324" w:type="dxa"/>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centre"/>
              <w:rPr>
                <w:rFonts w:ascii="Arial Narrow" w:hAnsi="Arial Narrow"/>
                <w:highlight w:val="black"/>
              </w:rPr>
            </w:pPr>
            <w:r>
              <w:rPr>
                <w:rFonts w:ascii="Arial Narrow" w:hAnsi="Arial Narrow"/>
                <w:noProof/>
                <w:color w:val="000000"/>
                <w:highlight w:val="black"/>
              </w:rPr>
              <w:t>''''''''''</w:t>
            </w:r>
          </w:p>
        </w:tc>
        <w:tc>
          <w:tcPr>
            <w:tcW w:w="1475" w:type="dxa"/>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centre"/>
              <w:rPr>
                <w:rFonts w:ascii="Arial Narrow" w:hAnsi="Arial Narrow"/>
                <w:highlight w:val="black"/>
              </w:rPr>
            </w:pPr>
            <w:r>
              <w:rPr>
                <w:rFonts w:ascii="Arial Narrow" w:hAnsi="Arial Narrow"/>
                <w:noProof/>
                <w:color w:val="000000"/>
                <w:highlight w:val="black"/>
              </w:rPr>
              <w:t>'''''''''' ''''''''''''' '''''''''''''</w:t>
            </w:r>
          </w:p>
        </w:tc>
      </w:tr>
      <w:tr w:rsidR="00050115"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rPr>
                <w:szCs w:val="20"/>
                <w:highlight w:val="black"/>
              </w:rPr>
            </w:pPr>
            <w:r>
              <w:rPr>
                <w:noProof/>
                <w:color w:val="000000"/>
                <w:szCs w:val="20"/>
                <w:highlight w:val="black"/>
              </w:rPr>
              <w:t xml:space="preserve">'''''''''''' </w:t>
            </w:r>
          </w:p>
        </w:tc>
        <w:tc>
          <w:tcPr>
            <w:tcW w:w="1606" w:type="dxa"/>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jc w:val="center"/>
              <w:rPr>
                <w:szCs w:val="20"/>
                <w:highlight w:val="black"/>
              </w:rPr>
            </w:pPr>
            <w:r>
              <w:rPr>
                <w:noProof/>
                <w:color w:val="000000"/>
                <w:szCs w:val="20"/>
                <w:highlight w:val="black"/>
              </w:rPr>
              <w:t>'''''''''''''''''''' '''''''''''</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jc w:val="center"/>
              <w:rPr>
                <w:szCs w:val="20"/>
                <w:highlight w:val="black"/>
              </w:rPr>
            </w:pPr>
            <w:r>
              <w:rPr>
                <w:noProof/>
                <w:color w:val="000000"/>
                <w:szCs w:val="20"/>
                <w:highlight w:val="black"/>
              </w:rPr>
              <w:t>''''''''''''''''''''' ''''''''''</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jc w:val="center"/>
              <w:rPr>
                <w:szCs w:val="20"/>
                <w:highlight w:val="black"/>
              </w:rPr>
            </w:pPr>
            <w:r>
              <w:rPr>
                <w:noProof/>
                <w:color w:val="000000"/>
                <w:szCs w:val="20"/>
                <w:highlight w:val="black"/>
              </w:rPr>
              <w:t>'''''''''''''''''</w:t>
            </w:r>
          </w:p>
        </w:tc>
        <w:tc>
          <w:tcPr>
            <w:tcW w:w="1324" w:type="dxa"/>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centre"/>
              <w:rPr>
                <w:rFonts w:ascii="Arial Narrow" w:hAnsi="Arial Narrow"/>
                <w:highlight w:val="black"/>
              </w:rPr>
            </w:pPr>
            <w:r>
              <w:rPr>
                <w:rFonts w:ascii="Arial Narrow" w:hAnsi="Arial Narrow"/>
                <w:noProof/>
                <w:color w:val="000000"/>
                <w:highlight w:val="black"/>
              </w:rPr>
              <w:t>'''''''''''</w:t>
            </w:r>
          </w:p>
        </w:tc>
        <w:tc>
          <w:tcPr>
            <w:tcW w:w="1475" w:type="dxa"/>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centre"/>
              <w:rPr>
                <w:rFonts w:ascii="Arial Narrow" w:hAnsi="Arial Narrow"/>
                <w:highlight w:val="black"/>
              </w:rPr>
            </w:pPr>
            <w:r>
              <w:rPr>
                <w:rFonts w:ascii="Arial Narrow" w:hAnsi="Arial Narrow"/>
                <w:noProof/>
                <w:color w:val="000000"/>
                <w:highlight w:val="black"/>
              </w:rPr>
              <w:t>'''''''''''' '''''''''''''' ''''''''''''''</w:t>
            </w:r>
          </w:p>
        </w:tc>
      </w:tr>
      <w:tr w:rsidR="00050115"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rPr>
                <w:szCs w:val="20"/>
                <w:highlight w:val="black"/>
                <w:vertAlign w:val="superscript"/>
              </w:rPr>
            </w:pPr>
            <w:r>
              <w:rPr>
                <w:noProof/>
                <w:color w:val="000000"/>
                <w:szCs w:val="20"/>
                <w:highlight w:val="black"/>
              </w:rPr>
              <w:t>'''''''''' '''''''''''''</w:t>
            </w:r>
          </w:p>
        </w:tc>
        <w:tc>
          <w:tcPr>
            <w:tcW w:w="1606" w:type="dxa"/>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centre"/>
              <w:rPr>
                <w:rFonts w:ascii="Arial Narrow" w:hAnsi="Arial Narrow"/>
                <w:highlight w:val="black"/>
              </w:rPr>
            </w:pPr>
            <w:r>
              <w:rPr>
                <w:rFonts w:ascii="Arial Narrow" w:hAnsi="Arial Narrow"/>
                <w:noProof/>
                <w:color w:val="000000"/>
                <w:highlight w:val="black"/>
              </w:rPr>
              <w:t>''''''''''''''''' '''''''''''</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centre"/>
              <w:rPr>
                <w:rFonts w:ascii="Arial Narrow" w:hAnsi="Arial Narrow"/>
                <w:highlight w:val="black"/>
              </w:rPr>
            </w:pPr>
            <w:r>
              <w:rPr>
                <w:rFonts w:ascii="Arial Narrow" w:hAnsi="Arial Narrow"/>
                <w:noProof/>
                <w:color w:val="000000"/>
                <w:highlight w:val="black"/>
              </w:rPr>
              <w:t>''''''''''''''' ''''''''''''</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jc w:val="center"/>
              <w:rPr>
                <w:szCs w:val="20"/>
                <w:highlight w:val="black"/>
              </w:rPr>
            </w:pPr>
            <w:r>
              <w:rPr>
                <w:noProof/>
                <w:color w:val="000000"/>
                <w:szCs w:val="20"/>
                <w:highlight w:val="black"/>
              </w:rPr>
              <w:t>''''''''''''''''</w:t>
            </w:r>
          </w:p>
        </w:tc>
        <w:tc>
          <w:tcPr>
            <w:tcW w:w="1324" w:type="dxa"/>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centre"/>
              <w:rPr>
                <w:rFonts w:ascii="Arial Narrow" w:hAnsi="Arial Narrow"/>
                <w:highlight w:val="black"/>
              </w:rPr>
            </w:pPr>
            <w:r>
              <w:rPr>
                <w:rFonts w:ascii="Arial Narrow" w:hAnsi="Arial Narrow"/>
                <w:noProof/>
                <w:color w:val="000000"/>
                <w:highlight w:val="black"/>
              </w:rPr>
              <w:t>''''''</w:t>
            </w:r>
          </w:p>
        </w:tc>
        <w:tc>
          <w:tcPr>
            <w:tcW w:w="1475" w:type="dxa"/>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centre"/>
              <w:rPr>
                <w:rFonts w:ascii="Arial Narrow" w:hAnsi="Arial Narrow"/>
                <w:highlight w:val="black"/>
              </w:rPr>
            </w:pPr>
            <w:r>
              <w:rPr>
                <w:rFonts w:ascii="Arial Narrow" w:hAnsi="Arial Narrow"/>
                <w:noProof/>
                <w:color w:val="000000"/>
                <w:highlight w:val="black"/>
              </w:rPr>
              <w:t>'''''''''''' ''''''''''''' '''''''''''</w:t>
            </w:r>
          </w:p>
        </w:tc>
      </w:tr>
      <w:tr w:rsidR="00050115"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rPr>
                <w:szCs w:val="20"/>
                <w:highlight w:val="black"/>
              </w:rPr>
            </w:pPr>
            <w:r>
              <w:rPr>
                <w:noProof/>
                <w:color w:val="000000"/>
                <w:szCs w:val="20"/>
                <w:highlight w:val="black"/>
              </w:rPr>
              <w:t>'''''''''''' ' '''''''''''</w:t>
            </w:r>
          </w:p>
        </w:tc>
        <w:tc>
          <w:tcPr>
            <w:tcW w:w="1606" w:type="dxa"/>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jc w:val="center"/>
              <w:rPr>
                <w:szCs w:val="20"/>
                <w:highlight w:val="black"/>
              </w:rPr>
            </w:pPr>
            <w:r>
              <w:rPr>
                <w:noProof/>
                <w:color w:val="000000"/>
                <w:szCs w:val="20"/>
                <w:highlight w:val="black"/>
              </w:rPr>
              <w:t>'''''''''''''''''''' ''''''''''''</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jc w:val="center"/>
              <w:rPr>
                <w:szCs w:val="20"/>
                <w:highlight w:val="black"/>
              </w:rPr>
            </w:pPr>
            <w:r>
              <w:rPr>
                <w:noProof/>
                <w:color w:val="000000"/>
                <w:szCs w:val="20"/>
                <w:highlight w:val="black"/>
              </w:rPr>
              <w:t>''''''''''''''''''''' '''''''''''</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jc w:val="center"/>
              <w:rPr>
                <w:szCs w:val="20"/>
                <w:highlight w:val="black"/>
              </w:rPr>
            </w:pPr>
            <w:r>
              <w:rPr>
                <w:noProof/>
                <w:color w:val="000000"/>
                <w:szCs w:val="20"/>
                <w:highlight w:val="black"/>
              </w:rPr>
              <w:t>'''''''''''''''''''</w:t>
            </w:r>
          </w:p>
        </w:tc>
        <w:tc>
          <w:tcPr>
            <w:tcW w:w="1324" w:type="dxa"/>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centre"/>
              <w:rPr>
                <w:rFonts w:ascii="Arial Narrow" w:hAnsi="Arial Narrow"/>
                <w:highlight w:val="black"/>
              </w:rPr>
            </w:pPr>
            <w:r>
              <w:rPr>
                <w:rFonts w:ascii="Arial Narrow" w:hAnsi="Arial Narrow"/>
                <w:noProof/>
                <w:color w:val="000000"/>
                <w:highlight w:val="black"/>
              </w:rPr>
              <w:t>'''''''''</w:t>
            </w:r>
          </w:p>
        </w:tc>
        <w:tc>
          <w:tcPr>
            <w:tcW w:w="1475" w:type="dxa"/>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centre"/>
              <w:rPr>
                <w:rFonts w:ascii="Arial Narrow" w:hAnsi="Arial Narrow"/>
                <w:highlight w:val="black"/>
              </w:rPr>
            </w:pPr>
            <w:r>
              <w:rPr>
                <w:rFonts w:ascii="Arial Narrow" w:hAnsi="Arial Narrow"/>
                <w:noProof/>
                <w:color w:val="000000"/>
                <w:highlight w:val="black"/>
              </w:rPr>
              <w:t>'''''''''' '''''''''''''''' '''''''''''</w:t>
            </w:r>
          </w:p>
        </w:tc>
      </w:tr>
      <w:tr w:rsidR="00050115" w:rsidRPr="003E2CA6" w:rsidTr="00935848">
        <w:tc>
          <w:tcPr>
            <w:tcW w:w="1543" w:type="dxa"/>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rPr>
                <w:szCs w:val="20"/>
                <w:highlight w:val="black"/>
              </w:rPr>
            </w:pPr>
            <w:r>
              <w:rPr>
                <w:noProof/>
                <w:color w:val="000000"/>
                <w:szCs w:val="20"/>
                <w:highlight w:val="black"/>
              </w:rPr>
              <w:t>''''''''''' ' ''''''''</w:t>
            </w:r>
          </w:p>
        </w:tc>
        <w:tc>
          <w:tcPr>
            <w:tcW w:w="1606" w:type="dxa"/>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jc w:val="center"/>
              <w:rPr>
                <w:szCs w:val="20"/>
                <w:highlight w:val="black"/>
              </w:rPr>
            </w:pPr>
            <w:r>
              <w:rPr>
                <w:noProof/>
                <w:color w:val="000000"/>
                <w:szCs w:val="20"/>
                <w:highlight w:val="black"/>
              </w:rPr>
              <w:t>''''''''''''''''' ''''''''''</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jc w:val="center"/>
              <w:rPr>
                <w:szCs w:val="20"/>
                <w:highlight w:val="black"/>
              </w:rPr>
            </w:pPr>
            <w:r>
              <w:rPr>
                <w:noProof/>
                <w:color w:val="000000"/>
                <w:szCs w:val="20"/>
                <w:highlight w:val="black"/>
              </w:rPr>
              <w:t>''''''''''''''''''''' ''''''''''</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jc w:val="center"/>
              <w:rPr>
                <w:szCs w:val="20"/>
                <w:highlight w:val="black"/>
              </w:rPr>
            </w:pPr>
            <w:r>
              <w:rPr>
                <w:noProof/>
                <w:color w:val="000000"/>
                <w:szCs w:val="20"/>
                <w:highlight w:val="black"/>
              </w:rPr>
              <w:t>''''''''''''''''''</w:t>
            </w:r>
          </w:p>
        </w:tc>
        <w:tc>
          <w:tcPr>
            <w:tcW w:w="1324" w:type="dxa"/>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jc w:val="center"/>
              <w:rPr>
                <w:szCs w:val="20"/>
                <w:highlight w:val="black"/>
              </w:rPr>
            </w:pPr>
            <w:r>
              <w:rPr>
                <w:noProof/>
                <w:color w:val="000000"/>
                <w:szCs w:val="20"/>
                <w:highlight w:val="black"/>
              </w:rPr>
              <w:t>''''''''''</w:t>
            </w:r>
          </w:p>
        </w:tc>
        <w:tc>
          <w:tcPr>
            <w:tcW w:w="1475" w:type="dxa"/>
            <w:tcBorders>
              <w:top w:val="sing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jc w:val="center"/>
              <w:rPr>
                <w:b/>
                <w:szCs w:val="20"/>
                <w:highlight w:val="black"/>
              </w:rPr>
            </w:pPr>
            <w:r>
              <w:rPr>
                <w:noProof/>
                <w:color w:val="000000"/>
                <w:szCs w:val="20"/>
                <w:highlight w:val="black"/>
              </w:rPr>
              <w:t>'''''''''''' '''''''''''''' '''''''''''''</w:t>
            </w:r>
          </w:p>
        </w:tc>
      </w:tr>
      <w:tr w:rsidR="00050115" w:rsidRPr="003E2CA6" w:rsidTr="00935848">
        <w:tc>
          <w:tcPr>
            <w:tcW w:w="1543" w:type="dxa"/>
            <w:tcBorders>
              <w:top w:val="single" w:sz="4" w:space="0" w:color="auto"/>
              <w:left w:val="single" w:sz="4" w:space="0" w:color="auto"/>
              <w:bottom w:val="double" w:sz="4" w:space="0" w:color="auto"/>
              <w:right w:val="single" w:sz="4" w:space="0" w:color="auto"/>
            </w:tcBorders>
            <w:vAlign w:val="center"/>
          </w:tcPr>
          <w:p w:rsidR="00050115" w:rsidRPr="00FC537F" w:rsidRDefault="00FC537F" w:rsidP="004E4D5A">
            <w:pPr>
              <w:pStyle w:val="TableText"/>
              <w:rPr>
                <w:szCs w:val="20"/>
                <w:highlight w:val="black"/>
              </w:rPr>
            </w:pPr>
            <w:r>
              <w:rPr>
                <w:noProof/>
                <w:color w:val="000000"/>
                <w:szCs w:val="20"/>
                <w:highlight w:val="black"/>
              </w:rPr>
              <w:t>'''''''''' ' ''''''''''''</w:t>
            </w:r>
          </w:p>
        </w:tc>
        <w:tc>
          <w:tcPr>
            <w:tcW w:w="1606" w:type="dxa"/>
            <w:tcBorders>
              <w:top w:val="single" w:sz="4" w:space="0" w:color="auto"/>
              <w:left w:val="single" w:sz="4" w:space="0" w:color="auto"/>
              <w:bottom w:val="double" w:sz="4" w:space="0" w:color="auto"/>
              <w:right w:val="single" w:sz="4" w:space="0" w:color="auto"/>
            </w:tcBorders>
            <w:vAlign w:val="center"/>
          </w:tcPr>
          <w:p w:rsidR="00050115" w:rsidRPr="00FC537F" w:rsidRDefault="00FC537F" w:rsidP="004E4D5A">
            <w:pPr>
              <w:pStyle w:val="TableText"/>
              <w:jc w:val="center"/>
              <w:rPr>
                <w:szCs w:val="20"/>
                <w:highlight w:val="black"/>
              </w:rPr>
            </w:pPr>
            <w:r>
              <w:rPr>
                <w:noProof/>
                <w:color w:val="000000"/>
                <w:szCs w:val="20"/>
                <w:highlight w:val="black"/>
              </w:rPr>
              <w:t>'''''''''''''''''' ''''''''''</w:t>
            </w:r>
          </w:p>
        </w:tc>
        <w:tc>
          <w:tcPr>
            <w:tcW w:w="1514" w:type="dxa"/>
            <w:gridSpan w:val="2"/>
            <w:tcBorders>
              <w:top w:val="single" w:sz="4" w:space="0" w:color="auto"/>
              <w:left w:val="single" w:sz="4" w:space="0" w:color="auto"/>
              <w:bottom w:val="double" w:sz="4" w:space="0" w:color="auto"/>
              <w:right w:val="single" w:sz="4" w:space="0" w:color="auto"/>
            </w:tcBorders>
            <w:vAlign w:val="center"/>
          </w:tcPr>
          <w:p w:rsidR="00050115" w:rsidRPr="00FC537F" w:rsidRDefault="00FC537F" w:rsidP="004E4D5A">
            <w:pPr>
              <w:pStyle w:val="TableText"/>
              <w:jc w:val="center"/>
              <w:rPr>
                <w:szCs w:val="20"/>
                <w:highlight w:val="black"/>
              </w:rPr>
            </w:pPr>
            <w:r>
              <w:rPr>
                <w:noProof/>
                <w:color w:val="000000"/>
                <w:szCs w:val="20"/>
                <w:highlight w:val="black"/>
              </w:rPr>
              <w:t>''''''''''''''''' ''''''''''''</w:t>
            </w:r>
          </w:p>
        </w:tc>
        <w:tc>
          <w:tcPr>
            <w:tcW w:w="1554" w:type="dxa"/>
            <w:gridSpan w:val="2"/>
            <w:tcBorders>
              <w:top w:val="single" w:sz="4" w:space="0" w:color="auto"/>
              <w:left w:val="single" w:sz="4" w:space="0" w:color="auto"/>
              <w:bottom w:val="double" w:sz="4" w:space="0" w:color="auto"/>
              <w:right w:val="single" w:sz="4" w:space="0" w:color="auto"/>
            </w:tcBorders>
            <w:vAlign w:val="center"/>
          </w:tcPr>
          <w:p w:rsidR="00050115" w:rsidRPr="00FC537F" w:rsidRDefault="00FC537F" w:rsidP="004E4D5A">
            <w:pPr>
              <w:pStyle w:val="TableText"/>
              <w:jc w:val="center"/>
              <w:rPr>
                <w:szCs w:val="20"/>
                <w:highlight w:val="black"/>
              </w:rPr>
            </w:pPr>
            <w:r>
              <w:rPr>
                <w:noProof/>
                <w:color w:val="000000"/>
                <w:szCs w:val="20"/>
                <w:highlight w:val="black"/>
              </w:rPr>
              <w:t>''''''''''''''''''''</w:t>
            </w:r>
          </w:p>
        </w:tc>
        <w:tc>
          <w:tcPr>
            <w:tcW w:w="1324" w:type="dxa"/>
            <w:tcBorders>
              <w:top w:val="single" w:sz="4" w:space="0" w:color="auto"/>
              <w:left w:val="single" w:sz="4" w:space="0" w:color="auto"/>
              <w:bottom w:val="double" w:sz="4" w:space="0" w:color="auto"/>
              <w:right w:val="single" w:sz="4" w:space="0" w:color="auto"/>
            </w:tcBorders>
            <w:vAlign w:val="center"/>
          </w:tcPr>
          <w:p w:rsidR="00050115" w:rsidRPr="00FC537F" w:rsidRDefault="00FC537F" w:rsidP="004E4D5A">
            <w:pPr>
              <w:pStyle w:val="TableText"/>
              <w:jc w:val="center"/>
              <w:rPr>
                <w:szCs w:val="20"/>
                <w:highlight w:val="black"/>
              </w:rPr>
            </w:pPr>
            <w:r>
              <w:rPr>
                <w:noProof/>
                <w:color w:val="000000"/>
                <w:szCs w:val="20"/>
                <w:highlight w:val="black"/>
              </w:rPr>
              <w:t>''''''''''</w:t>
            </w:r>
          </w:p>
        </w:tc>
        <w:tc>
          <w:tcPr>
            <w:tcW w:w="1475" w:type="dxa"/>
            <w:tcBorders>
              <w:top w:val="single" w:sz="4" w:space="0" w:color="auto"/>
              <w:left w:val="single" w:sz="4" w:space="0" w:color="auto"/>
              <w:bottom w:val="double" w:sz="4" w:space="0" w:color="auto"/>
              <w:right w:val="single" w:sz="4" w:space="0" w:color="auto"/>
            </w:tcBorders>
            <w:vAlign w:val="center"/>
          </w:tcPr>
          <w:p w:rsidR="00050115" w:rsidRPr="00FC537F" w:rsidRDefault="00FC537F" w:rsidP="004E4D5A">
            <w:pPr>
              <w:pStyle w:val="TableText"/>
              <w:jc w:val="center"/>
              <w:rPr>
                <w:b/>
                <w:szCs w:val="20"/>
                <w:highlight w:val="black"/>
              </w:rPr>
            </w:pPr>
            <w:r>
              <w:rPr>
                <w:noProof/>
                <w:color w:val="000000"/>
                <w:szCs w:val="20"/>
                <w:highlight w:val="black"/>
              </w:rPr>
              <w:t>''''''''''' '''''''''''''' ''''''''''''''</w:t>
            </w:r>
          </w:p>
        </w:tc>
      </w:tr>
      <w:tr w:rsidR="00050115" w:rsidRPr="003E2CA6" w:rsidTr="00935848">
        <w:tc>
          <w:tcPr>
            <w:tcW w:w="1543" w:type="dxa"/>
            <w:tcBorders>
              <w:top w:val="doub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rPr>
                <w:szCs w:val="20"/>
                <w:highlight w:val="black"/>
              </w:rPr>
            </w:pPr>
            <w:r>
              <w:rPr>
                <w:noProof/>
                <w:color w:val="000000"/>
                <w:szCs w:val="20"/>
                <w:highlight w:val="black"/>
              </w:rPr>
              <w:t>''''''''''''''''''''''''''' '''' ''''''''''''''' ''''''''''''''''''''''</w:t>
            </w:r>
          </w:p>
        </w:tc>
        <w:tc>
          <w:tcPr>
            <w:tcW w:w="1606" w:type="dxa"/>
            <w:tcBorders>
              <w:top w:val="doub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jc w:val="center"/>
              <w:rPr>
                <w:szCs w:val="20"/>
                <w:highlight w:val="black"/>
              </w:rPr>
            </w:pPr>
            <w:r>
              <w:rPr>
                <w:noProof/>
                <w:color w:val="000000"/>
                <w:szCs w:val="20"/>
                <w:highlight w:val="black"/>
              </w:rPr>
              <w:t>''''''''''''''''' ''''''''''</w:t>
            </w:r>
          </w:p>
        </w:tc>
        <w:tc>
          <w:tcPr>
            <w:tcW w:w="1514" w:type="dxa"/>
            <w:gridSpan w:val="2"/>
            <w:tcBorders>
              <w:top w:val="doub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jc w:val="center"/>
              <w:rPr>
                <w:szCs w:val="20"/>
                <w:highlight w:val="black"/>
              </w:rPr>
            </w:pPr>
            <w:r>
              <w:rPr>
                <w:noProof/>
                <w:color w:val="000000"/>
                <w:szCs w:val="20"/>
                <w:highlight w:val="black"/>
              </w:rPr>
              <w:t>''''''''''''''''''''' ''''''''''''</w:t>
            </w:r>
          </w:p>
        </w:tc>
        <w:tc>
          <w:tcPr>
            <w:tcW w:w="1554" w:type="dxa"/>
            <w:gridSpan w:val="2"/>
            <w:tcBorders>
              <w:top w:val="doub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jc w:val="center"/>
              <w:rPr>
                <w:szCs w:val="20"/>
                <w:highlight w:val="black"/>
              </w:rPr>
            </w:pPr>
            <w:r>
              <w:rPr>
                <w:noProof/>
                <w:color w:val="000000"/>
                <w:szCs w:val="20"/>
                <w:highlight w:val="black"/>
              </w:rPr>
              <w:t>'''''''''''''''''''</w:t>
            </w:r>
          </w:p>
        </w:tc>
        <w:tc>
          <w:tcPr>
            <w:tcW w:w="1324" w:type="dxa"/>
            <w:tcBorders>
              <w:top w:val="doub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jc w:val="center"/>
              <w:rPr>
                <w:szCs w:val="20"/>
                <w:highlight w:val="black"/>
              </w:rPr>
            </w:pPr>
            <w:r>
              <w:rPr>
                <w:noProof/>
                <w:color w:val="000000"/>
                <w:szCs w:val="20"/>
                <w:highlight w:val="black"/>
              </w:rPr>
              <w:t>'''''''''''</w:t>
            </w:r>
          </w:p>
        </w:tc>
        <w:tc>
          <w:tcPr>
            <w:tcW w:w="1475" w:type="dxa"/>
            <w:tcBorders>
              <w:top w:val="double" w:sz="4" w:space="0" w:color="auto"/>
              <w:left w:val="single" w:sz="4" w:space="0" w:color="auto"/>
              <w:bottom w:val="single" w:sz="4" w:space="0" w:color="auto"/>
              <w:right w:val="single" w:sz="4" w:space="0" w:color="auto"/>
            </w:tcBorders>
            <w:vAlign w:val="center"/>
          </w:tcPr>
          <w:p w:rsidR="00050115" w:rsidRPr="00FC537F" w:rsidRDefault="00FC537F" w:rsidP="004E4D5A">
            <w:pPr>
              <w:pStyle w:val="TableText"/>
              <w:jc w:val="center"/>
              <w:rPr>
                <w:b/>
                <w:szCs w:val="20"/>
                <w:highlight w:val="black"/>
              </w:rPr>
            </w:pPr>
            <w:r>
              <w:rPr>
                <w:noProof/>
                <w:color w:val="000000"/>
                <w:szCs w:val="20"/>
                <w:highlight w:val="black"/>
              </w:rPr>
              <w:t>''''''''''' ''''''''''''' '''''''''''''</w:t>
            </w:r>
          </w:p>
        </w:tc>
      </w:tr>
    </w:tbl>
    <w:p w:rsidR="00050115" w:rsidRDefault="00050115" w:rsidP="004E4D5A">
      <w:pPr>
        <w:pStyle w:val="TableFooter"/>
        <w:keepNext/>
      </w:pPr>
      <w:r>
        <w:t>Source: Tables 2/1 to 2/11 (pp 217-257), Subgroup analyses for Australia report; Table 14.2.4/4 (p 18), Section 4 Tables and Figures, Appendix 5 of the resubmission</w:t>
      </w:r>
    </w:p>
    <w:p w:rsidR="00050115" w:rsidRDefault="00050115" w:rsidP="004E4D5A">
      <w:pPr>
        <w:pStyle w:val="TableFooter"/>
        <w:keepNext/>
        <w:widowControl/>
      </w:pPr>
      <w:r>
        <w:t>Abbreviations: CAD, coronary artery disease; CI, confidence interval; CKD, chronic kidney disease; HF, heart failure; NNH, number needed to harm; NNT, number needed to treat; NR, not reported; PAD, peripheral artery disease</w:t>
      </w:r>
    </w:p>
    <w:p w:rsidR="00050115" w:rsidRPr="00B32629" w:rsidRDefault="00050115" w:rsidP="00B32629">
      <w:pPr>
        <w:pStyle w:val="TableFooter"/>
        <w:keepNext/>
      </w:pPr>
      <w:r w:rsidRPr="00B32629">
        <w:rPr>
          <w:vertAlign w:val="superscript"/>
        </w:rPr>
        <w:t>a</w:t>
      </w:r>
      <w:r w:rsidRPr="00B32629">
        <w:t xml:space="preserve"> PAD only represents patients who have PAD without CAD; CAD yes includes patients who have PAD with CAD or CAD only (complement of PAD only)</w:t>
      </w:r>
      <w:r w:rsidR="00B32629" w:rsidRPr="00B32629">
        <w:t>. R</w:t>
      </w:r>
      <w:r w:rsidRPr="00B32629">
        <w:t>esults were calculated during the evaluation as the incidence of events in the PAD yes subgroup minus the incidence of events in the CAD &amp; PAD subgroup</w:t>
      </w:r>
      <w:r w:rsidR="00B32629" w:rsidRPr="00B32629">
        <w:t>.</w:t>
      </w:r>
    </w:p>
    <w:p w:rsidR="00050115" w:rsidRPr="00050115" w:rsidRDefault="00050115" w:rsidP="00050115">
      <w:pPr>
        <w:pStyle w:val="TableFooter"/>
        <w:widowControl/>
        <w:rPr>
          <w:i/>
        </w:rPr>
      </w:pPr>
    </w:p>
    <w:p w:rsidR="00935848" w:rsidRDefault="00050115" w:rsidP="002A76CE">
      <w:pPr>
        <w:pStyle w:val="ExecSumBodyText"/>
      </w:pPr>
      <w:r>
        <w:t>In the ITT and nominated high risk subgroups, there was no statistically significant difference between treatment arms</w:t>
      </w:r>
      <w:r w:rsidR="00935848">
        <w:t xml:space="preserve"> for non-cardiovascular death. </w:t>
      </w:r>
    </w:p>
    <w:p w:rsidR="00F72DC3" w:rsidRDefault="00F72DC3" w:rsidP="00F72DC3">
      <w:pPr>
        <w:pStyle w:val="ExecSumBodyText"/>
      </w:pPr>
      <w:r>
        <w:t>The resubmission presented the results of the proton pump inhibitor sub-study</w:t>
      </w:r>
      <w:r w:rsidR="006E496D">
        <w:t xml:space="preserve"> of the COMPASS trial</w:t>
      </w:r>
      <w:r>
        <w:t xml:space="preserve">. </w:t>
      </w:r>
      <w:r w:rsidRPr="00F72DC3">
        <w:t xml:space="preserve">As anticoagulants and antiplatelets are associated with an increased risk of upper gastrointestinal bleeding, </w:t>
      </w:r>
      <w:r>
        <w:t>this sub-study</w:t>
      </w:r>
      <w:r w:rsidRPr="00F72DC3">
        <w:t xml:space="preserve"> of COMPASS assessed the effect of pantoprazole versus placebo in reducing GI bleeding, ulceration, obstruction or perforation. The results for the effect of pantoprazole on clinically significant upper GI events are summarised in Table </w:t>
      </w:r>
      <w:r w:rsidR="00203EE0">
        <w:t>8</w:t>
      </w:r>
      <w:r w:rsidRPr="00F72DC3">
        <w:t>.</w:t>
      </w:r>
    </w:p>
    <w:p w:rsidR="00F72DC3" w:rsidRDefault="00F72DC3" w:rsidP="00115242">
      <w:pPr>
        <w:pStyle w:val="Tableheadingrow"/>
        <w:keepLines/>
      </w:pPr>
      <w:r>
        <w:t>Table</w:t>
      </w:r>
      <w:r w:rsidR="00203EE0">
        <w:t xml:space="preserve"> 8</w:t>
      </w:r>
      <w:r>
        <w:t>: Clinically significant upper gastrointestinal bleeding events by pantoprazole</w:t>
      </w:r>
      <w:r w:rsidRPr="00A42106">
        <w:rPr>
          <w:lang w:val="en-AU"/>
        </w:rPr>
        <w:t xml:space="preserve"> randomisation</w:t>
      </w:r>
      <w:r>
        <w:t xml:space="preserve"> (ITT)</w:t>
      </w:r>
    </w:p>
    <w:tbl>
      <w:tblPr>
        <w:tblStyle w:val="TableGrid"/>
        <w:tblW w:w="0" w:type="auto"/>
        <w:tblLook w:val="04A0" w:firstRow="1" w:lastRow="0" w:firstColumn="1" w:lastColumn="0" w:noHBand="0" w:noVBand="1"/>
        <w:tblCaption w:val="Table 8: Clinically significant upper gastrointestinal bleeding events by pantoprazole randomisation (ITT)"/>
        <w:tblDescription w:val="Table 8: Clinically significant upper gastrointestinal bleeding events by pantoprazole randomisation (ITT)"/>
      </w:tblPr>
      <w:tblGrid>
        <w:gridCol w:w="2254"/>
        <w:gridCol w:w="2254"/>
        <w:gridCol w:w="2254"/>
        <w:gridCol w:w="2255"/>
      </w:tblGrid>
      <w:tr w:rsidR="00F72DC3" w:rsidTr="00D32BF3">
        <w:trPr>
          <w:tblHeader/>
        </w:trPr>
        <w:tc>
          <w:tcPr>
            <w:tcW w:w="2254" w:type="dxa"/>
          </w:tcPr>
          <w:p w:rsidR="00F72DC3" w:rsidRDefault="00F72DC3" w:rsidP="00115242">
            <w:pPr>
              <w:pStyle w:val="Tabletext0"/>
              <w:keepNext/>
              <w:keepLines/>
            </w:pPr>
          </w:p>
        </w:tc>
        <w:tc>
          <w:tcPr>
            <w:tcW w:w="2254" w:type="dxa"/>
            <w:vAlign w:val="center"/>
          </w:tcPr>
          <w:p w:rsidR="00F72DC3" w:rsidRPr="001E7198" w:rsidRDefault="00F72DC3" w:rsidP="00115242">
            <w:pPr>
              <w:pStyle w:val="Tabletext0"/>
              <w:keepNext/>
              <w:keepLines/>
              <w:jc w:val="center"/>
              <w:rPr>
                <w:rFonts w:cs="Calibri"/>
                <w:b/>
                <w:szCs w:val="20"/>
              </w:rPr>
            </w:pPr>
            <w:r>
              <w:rPr>
                <w:rFonts w:cs="Calibri"/>
                <w:b/>
                <w:szCs w:val="20"/>
              </w:rPr>
              <w:t>Pantoprazole 40 mg</w:t>
            </w:r>
          </w:p>
        </w:tc>
        <w:tc>
          <w:tcPr>
            <w:tcW w:w="2254" w:type="dxa"/>
            <w:vAlign w:val="center"/>
          </w:tcPr>
          <w:p w:rsidR="00F72DC3" w:rsidRPr="001E7198" w:rsidRDefault="00F72DC3" w:rsidP="00115242">
            <w:pPr>
              <w:pStyle w:val="Tabletext0"/>
              <w:keepNext/>
              <w:keepLines/>
              <w:jc w:val="center"/>
              <w:rPr>
                <w:rFonts w:cs="Calibri"/>
                <w:b/>
                <w:szCs w:val="20"/>
              </w:rPr>
            </w:pPr>
            <w:r>
              <w:rPr>
                <w:rFonts w:cs="Calibri"/>
                <w:b/>
                <w:szCs w:val="20"/>
              </w:rPr>
              <w:t>Placebo</w:t>
            </w:r>
          </w:p>
        </w:tc>
        <w:tc>
          <w:tcPr>
            <w:tcW w:w="2255" w:type="dxa"/>
            <w:vAlign w:val="center"/>
          </w:tcPr>
          <w:p w:rsidR="00F72DC3" w:rsidRDefault="00F72DC3" w:rsidP="00115242">
            <w:pPr>
              <w:pStyle w:val="Tabletext0"/>
              <w:keepNext/>
              <w:keepLines/>
              <w:jc w:val="center"/>
            </w:pPr>
            <w:r>
              <w:rPr>
                <w:rFonts w:cs="Calibri"/>
                <w:b/>
                <w:szCs w:val="20"/>
              </w:rPr>
              <w:t>HR (95% CI)</w:t>
            </w:r>
          </w:p>
        </w:tc>
      </w:tr>
      <w:tr w:rsidR="00F72DC3" w:rsidTr="00773089">
        <w:tc>
          <w:tcPr>
            <w:tcW w:w="2254" w:type="dxa"/>
          </w:tcPr>
          <w:p w:rsidR="00F72DC3" w:rsidRDefault="00F72DC3" w:rsidP="00115242">
            <w:pPr>
              <w:pStyle w:val="Tabletext0"/>
              <w:keepNext/>
              <w:keepLines/>
            </w:pPr>
            <w:r>
              <w:t>GI bleeding events, n/N (%)</w:t>
            </w:r>
          </w:p>
        </w:tc>
        <w:tc>
          <w:tcPr>
            <w:tcW w:w="2254" w:type="dxa"/>
            <w:vAlign w:val="center"/>
          </w:tcPr>
          <w:p w:rsidR="00F72DC3" w:rsidRDefault="00F72DC3" w:rsidP="00115242">
            <w:pPr>
              <w:pStyle w:val="Tabletext0"/>
              <w:keepNext/>
              <w:keepLines/>
              <w:jc w:val="center"/>
            </w:pPr>
            <w:r>
              <w:rPr>
                <w:rFonts w:cs="Calibri"/>
                <w:szCs w:val="20"/>
              </w:rPr>
              <w:t>102/8791 (1.2)</w:t>
            </w:r>
          </w:p>
        </w:tc>
        <w:tc>
          <w:tcPr>
            <w:tcW w:w="2254" w:type="dxa"/>
            <w:vAlign w:val="center"/>
          </w:tcPr>
          <w:p w:rsidR="00F72DC3" w:rsidRDefault="00F72DC3" w:rsidP="00115242">
            <w:pPr>
              <w:pStyle w:val="Tabletext0"/>
              <w:keepNext/>
              <w:keepLines/>
              <w:jc w:val="center"/>
            </w:pPr>
            <w:r>
              <w:rPr>
                <w:rFonts w:cs="Calibri"/>
                <w:szCs w:val="20"/>
              </w:rPr>
              <w:t>116/8807 (1.3)</w:t>
            </w:r>
          </w:p>
        </w:tc>
        <w:tc>
          <w:tcPr>
            <w:tcW w:w="2255" w:type="dxa"/>
            <w:vAlign w:val="center"/>
          </w:tcPr>
          <w:p w:rsidR="00F72DC3" w:rsidRPr="001E7198" w:rsidRDefault="00F72DC3" w:rsidP="00115242">
            <w:pPr>
              <w:pStyle w:val="Tabletext0"/>
              <w:keepNext/>
              <w:keepLines/>
              <w:jc w:val="center"/>
              <w:rPr>
                <w:rFonts w:cs="Calibri"/>
                <w:szCs w:val="20"/>
              </w:rPr>
            </w:pPr>
            <w:r>
              <w:rPr>
                <w:rFonts w:cs="Calibri"/>
                <w:szCs w:val="20"/>
              </w:rPr>
              <w:t>0.88 (0.67, 1.15)</w:t>
            </w:r>
          </w:p>
        </w:tc>
      </w:tr>
    </w:tbl>
    <w:p w:rsidR="00F72DC3" w:rsidRDefault="00F72DC3" w:rsidP="00115242">
      <w:pPr>
        <w:pStyle w:val="TableFooter"/>
        <w:keepNext/>
        <w:keepLines/>
      </w:pPr>
      <w:r>
        <w:t>Source: Table 2.5-25, p.143 of the resubmission</w:t>
      </w:r>
    </w:p>
    <w:p w:rsidR="00F72DC3" w:rsidRDefault="00F72DC3" w:rsidP="00F72DC3">
      <w:pPr>
        <w:pStyle w:val="TableFooter"/>
      </w:pPr>
    </w:p>
    <w:p w:rsidR="00F72DC3" w:rsidRPr="000B6B6A" w:rsidRDefault="00F72DC3" w:rsidP="00F72DC3">
      <w:pPr>
        <w:pStyle w:val="ExecSumBodyText"/>
      </w:pPr>
      <w:r w:rsidRPr="000B6B6A">
        <w:t xml:space="preserve">The proportion of patients who experienced significant upper gastrointestinal events was not statistically significantly different between the pantoprazole arm (1.2%) and </w:t>
      </w:r>
      <w:r w:rsidRPr="000B6B6A">
        <w:lastRenderedPageBreak/>
        <w:t>the placebo arm (1.3%) (HR 0.88; 95% CI: 0.67, 1.15). The publication reporting on this study, Moayyedi et al. (2019b), stated that although there was no significant difference between treatment groups for upper gastrointestinal events, there was a significant reduction in bleeding of gastroduodenal lesions. However, this conclusion was based on a very small number of events (16-31 in each arm), and the resulting number needed to treat was high (n=982).</w:t>
      </w:r>
    </w:p>
    <w:p w:rsidR="00B60939" w:rsidRPr="00C9624D" w:rsidRDefault="00B60939" w:rsidP="00D86231">
      <w:pPr>
        <w:pStyle w:val="3-SubsectionHeading"/>
      </w:pPr>
      <w:bookmarkStart w:id="15" w:name="_Toc22897642"/>
      <w:bookmarkStart w:id="16" w:name="_Toc27421952"/>
      <w:r w:rsidRPr="00C9624D">
        <w:t>Comparative harms</w:t>
      </w:r>
      <w:bookmarkEnd w:id="15"/>
      <w:bookmarkEnd w:id="16"/>
    </w:p>
    <w:p w:rsidR="00DB5CF7" w:rsidRDefault="00935848" w:rsidP="00DB5CF7">
      <w:pPr>
        <w:pStyle w:val="ExecSumBodyText"/>
      </w:pPr>
      <w:r>
        <w:rPr>
          <w:snapToGrid/>
          <w:lang w:val="en-US"/>
        </w:rPr>
        <w:t>In the COMPASS trial, t</w:t>
      </w:r>
      <w:r w:rsidRPr="001E5A19">
        <w:rPr>
          <w:snapToGrid/>
          <w:lang w:val="en-US"/>
        </w:rPr>
        <w:t xml:space="preserve">here were more study medication-related treatment-emergent adverse events, serious adverse events, and permanent discontinuation of anti-thrombotic study medication due to adverse events associated with rivaroxaban in combination with aspirin compared with aspirin alone. </w:t>
      </w:r>
    </w:p>
    <w:p w:rsidR="00A6760F" w:rsidRPr="00DB5CF7" w:rsidRDefault="00935848" w:rsidP="0077736E">
      <w:pPr>
        <w:pStyle w:val="ExecSumBodyText"/>
      </w:pPr>
      <w:r w:rsidRPr="001E5A19">
        <w:t>A summary of the results for the primary safety outcome, treatment-emergent modified International Society on Thrombosis and Haemostasis (ISTH) major bleeding events</w:t>
      </w:r>
      <w:r>
        <w:t xml:space="preserve">, is presented in Table </w:t>
      </w:r>
      <w:r w:rsidR="00203EE0">
        <w:t>9</w:t>
      </w:r>
      <w:r w:rsidRPr="003D1C66">
        <w:t>.</w:t>
      </w:r>
      <w:r w:rsidR="00DB5CF7" w:rsidRPr="003D1C66">
        <w:t xml:space="preserve"> The ESC noted that the modified definition (as requested by the FDA) of ISTH major bleeding, used as the primary safety endpoint, is broader </w:t>
      </w:r>
      <w:r w:rsidR="00DB7004" w:rsidRPr="003D1C66">
        <w:t xml:space="preserve">than </w:t>
      </w:r>
      <w:r w:rsidR="00C86E47" w:rsidRPr="003D1C66">
        <w:t xml:space="preserve">the standard definition </w:t>
      </w:r>
      <w:r w:rsidR="006B373F" w:rsidRPr="003D1C66">
        <w:t xml:space="preserve">as it included </w:t>
      </w:r>
      <w:r w:rsidR="0077736E" w:rsidRPr="003D1C66">
        <w:t xml:space="preserve">any </w:t>
      </w:r>
      <w:r w:rsidR="006B373F" w:rsidRPr="003D1C66">
        <w:t>bleed that resulted in a presentation to an acute care facility</w:t>
      </w:r>
      <w:r w:rsidR="00DB5CF7" w:rsidRPr="003D1C66">
        <w:t xml:space="preserve"> </w:t>
      </w:r>
      <w:r w:rsidR="0077736E" w:rsidRPr="003D1C66">
        <w:t>(</w:t>
      </w:r>
      <w:r w:rsidR="00107350" w:rsidRPr="003D1C66">
        <w:t xml:space="preserve">with or without transfusion), </w:t>
      </w:r>
      <w:r w:rsidR="0077736E" w:rsidRPr="003D1C66">
        <w:t xml:space="preserve">in addition to the standard </w:t>
      </w:r>
      <w:r w:rsidR="00107350" w:rsidRPr="003D1C66">
        <w:t xml:space="preserve">ISTH </w:t>
      </w:r>
      <w:r w:rsidR="0077736E" w:rsidRPr="003D1C66">
        <w:t>definition which includes bleeds that result in death, are life threatening, cause chronic sequelae or consume major healthcare resources.</w:t>
      </w:r>
      <w:r w:rsidR="0077736E" w:rsidRPr="0077736E">
        <w:rPr>
          <w:i/>
        </w:rPr>
        <w:t xml:space="preserve"> </w:t>
      </w:r>
    </w:p>
    <w:p w:rsidR="00935848" w:rsidRDefault="00935848" w:rsidP="00935848">
      <w:pPr>
        <w:pStyle w:val="TableHeading"/>
        <w:spacing w:after="0"/>
      </w:pPr>
      <w:r>
        <w:t>Table</w:t>
      </w:r>
      <w:r w:rsidR="00203EE0">
        <w:t xml:space="preserve"> 9</w:t>
      </w:r>
      <w:r>
        <w:t xml:space="preserve">: Results of </w:t>
      </w:r>
      <w:r w:rsidR="00A37BB1">
        <w:t xml:space="preserve">modified ISTH </w:t>
      </w:r>
      <w:r>
        <w:t>major bleeding events in the COMPASS trial (ITT) and relevant subgroups</w:t>
      </w:r>
    </w:p>
    <w:tbl>
      <w:tblPr>
        <w:tblStyle w:val="TableGrid"/>
        <w:tblW w:w="0" w:type="auto"/>
        <w:tblCellMar>
          <w:left w:w="57" w:type="dxa"/>
          <w:right w:w="57" w:type="dxa"/>
        </w:tblCellMar>
        <w:tblLook w:val="04A0" w:firstRow="1" w:lastRow="0" w:firstColumn="1" w:lastColumn="0" w:noHBand="0" w:noVBand="1"/>
        <w:tblCaption w:val="Table 9: Results of modified ISTH major bleeding events in the COMPASS trial (ITT) and relevant subgroups"/>
        <w:tblDescription w:val="Table 9: Results of modified ISTH major bleeding events in the COMPASS trial (ITT) and relevant subgroups"/>
      </w:tblPr>
      <w:tblGrid>
        <w:gridCol w:w="1543"/>
        <w:gridCol w:w="1606"/>
        <w:gridCol w:w="1514"/>
        <w:gridCol w:w="1523"/>
        <w:gridCol w:w="1396"/>
        <w:gridCol w:w="1434"/>
      </w:tblGrid>
      <w:tr w:rsidR="00935848" w:rsidRPr="00F204A4" w:rsidTr="00935848">
        <w:trPr>
          <w:tblHeader/>
        </w:trPr>
        <w:tc>
          <w:tcPr>
            <w:tcW w:w="1543" w:type="dxa"/>
            <w:vAlign w:val="center"/>
          </w:tcPr>
          <w:p w:rsidR="00935848" w:rsidRPr="00F204A4" w:rsidRDefault="00935848" w:rsidP="00935848">
            <w:pPr>
              <w:widowControl w:val="0"/>
              <w:rPr>
                <w:rFonts w:ascii="Arial Narrow" w:hAnsi="Arial Narrow"/>
                <w:sz w:val="20"/>
                <w:szCs w:val="20"/>
              </w:rPr>
            </w:pPr>
          </w:p>
        </w:tc>
        <w:tc>
          <w:tcPr>
            <w:tcW w:w="1606" w:type="dxa"/>
            <w:vAlign w:val="center"/>
          </w:tcPr>
          <w:p w:rsidR="00935848" w:rsidRPr="00F204A4" w:rsidRDefault="00935848" w:rsidP="00935848">
            <w:pPr>
              <w:pStyle w:val="TableText"/>
              <w:keepNext w:val="0"/>
              <w:widowControl w:val="0"/>
              <w:jc w:val="center"/>
              <w:rPr>
                <w:b/>
                <w:szCs w:val="20"/>
              </w:rPr>
            </w:pPr>
            <w:r w:rsidRPr="00F204A4">
              <w:rPr>
                <w:b/>
                <w:szCs w:val="20"/>
              </w:rPr>
              <w:t>Rivaroxaban 2.5 mg + aspirin 100</w:t>
            </w:r>
            <w:r>
              <w:rPr>
                <w:b/>
                <w:szCs w:val="20"/>
              </w:rPr>
              <w:t xml:space="preserve"> mg, n (%)</w:t>
            </w:r>
          </w:p>
        </w:tc>
        <w:tc>
          <w:tcPr>
            <w:tcW w:w="1514" w:type="dxa"/>
            <w:vAlign w:val="center"/>
          </w:tcPr>
          <w:p w:rsidR="00935848" w:rsidRPr="00F204A4" w:rsidRDefault="00935848" w:rsidP="00935848">
            <w:pPr>
              <w:pStyle w:val="TableText"/>
              <w:keepNext w:val="0"/>
              <w:widowControl w:val="0"/>
              <w:jc w:val="center"/>
              <w:rPr>
                <w:b/>
                <w:szCs w:val="20"/>
              </w:rPr>
            </w:pPr>
            <w:r>
              <w:rPr>
                <w:b/>
                <w:szCs w:val="20"/>
              </w:rPr>
              <w:t>Aspirin 100 mg, n (%)</w:t>
            </w:r>
          </w:p>
        </w:tc>
        <w:tc>
          <w:tcPr>
            <w:tcW w:w="1523" w:type="dxa"/>
            <w:vAlign w:val="center"/>
          </w:tcPr>
          <w:p w:rsidR="00935848" w:rsidRPr="00F204A4" w:rsidRDefault="00935848" w:rsidP="00A37BB1">
            <w:pPr>
              <w:pStyle w:val="TableText"/>
              <w:keepNext w:val="0"/>
              <w:widowControl w:val="0"/>
              <w:jc w:val="center"/>
              <w:rPr>
                <w:b/>
                <w:szCs w:val="20"/>
              </w:rPr>
            </w:pPr>
            <w:r w:rsidRPr="00F204A4">
              <w:rPr>
                <w:b/>
                <w:szCs w:val="20"/>
              </w:rPr>
              <w:t xml:space="preserve">Absolute risk </w:t>
            </w:r>
            <w:r w:rsidR="00A37BB1">
              <w:rPr>
                <w:b/>
                <w:szCs w:val="20"/>
              </w:rPr>
              <w:t>difference</w:t>
            </w:r>
            <w:r w:rsidRPr="00F204A4">
              <w:rPr>
                <w:b/>
                <w:szCs w:val="20"/>
              </w:rPr>
              <w:t xml:space="preserve"> (%)</w:t>
            </w:r>
          </w:p>
        </w:tc>
        <w:tc>
          <w:tcPr>
            <w:tcW w:w="1396" w:type="dxa"/>
            <w:vAlign w:val="center"/>
          </w:tcPr>
          <w:p w:rsidR="00935848" w:rsidRPr="00F204A4" w:rsidRDefault="00935848" w:rsidP="00935848">
            <w:pPr>
              <w:pStyle w:val="TableText"/>
              <w:keepNext w:val="0"/>
              <w:widowControl w:val="0"/>
              <w:jc w:val="center"/>
              <w:rPr>
                <w:b/>
                <w:szCs w:val="20"/>
              </w:rPr>
            </w:pPr>
            <w:r w:rsidRPr="00F204A4">
              <w:rPr>
                <w:b/>
                <w:szCs w:val="20"/>
              </w:rPr>
              <w:t>NNT/NNH</w:t>
            </w:r>
          </w:p>
        </w:tc>
        <w:tc>
          <w:tcPr>
            <w:tcW w:w="1434" w:type="dxa"/>
            <w:vAlign w:val="center"/>
          </w:tcPr>
          <w:p w:rsidR="00935848" w:rsidRPr="00F204A4" w:rsidRDefault="00935848" w:rsidP="00935848">
            <w:pPr>
              <w:pStyle w:val="TableText"/>
              <w:keepNext w:val="0"/>
              <w:widowControl w:val="0"/>
              <w:jc w:val="center"/>
              <w:rPr>
                <w:b/>
                <w:szCs w:val="20"/>
              </w:rPr>
            </w:pPr>
            <w:r w:rsidRPr="00F204A4">
              <w:rPr>
                <w:b/>
                <w:szCs w:val="20"/>
              </w:rPr>
              <w:t>Hazard ratio (95% CI)</w:t>
            </w:r>
          </w:p>
        </w:tc>
      </w:tr>
      <w:tr w:rsidR="00935848" w:rsidRPr="00F204A4" w:rsidTr="00935848">
        <w:tc>
          <w:tcPr>
            <w:tcW w:w="9016" w:type="dxa"/>
            <w:gridSpan w:val="6"/>
            <w:tcBorders>
              <w:top w:val="single" w:sz="4" w:space="0" w:color="auto"/>
              <w:left w:val="single" w:sz="4" w:space="0" w:color="auto"/>
              <w:bottom w:val="single" w:sz="4" w:space="0" w:color="auto"/>
              <w:right w:val="single" w:sz="4" w:space="0" w:color="auto"/>
            </w:tcBorders>
            <w:vAlign w:val="center"/>
          </w:tcPr>
          <w:p w:rsidR="00935848" w:rsidRPr="00F204A4" w:rsidRDefault="00935848" w:rsidP="00935848">
            <w:pPr>
              <w:pStyle w:val="Tablecentre"/>
              <w:keepNext w:val="0"/>
              <w:widowControl w:val="0"/>
              <w:jc w:val="left"/>
              <w:rPr>
                <w:rFonts w:ascii="Arial Narrow" w:hAnsi="Arial Narrow"/>
                <w:b/>
              </w:rPr>
            </w:pPr>
            <w:r>
              <w:rPr>
                <w:rFonts w:ascii="Arial Narrow" w:hAnsi="Arial Narrow"/>
                <w:b/>
              </w:rPr>
              <w:t>Modified ISTH major bleeding events</w:t>
            </w:r>
          </w:p>
        </w:tc>
      </w:tr>
      <w:tr w:rsidR="00935848" w:rsidRPr="00F204A4" w:rsidTr="00935848">
        <w:tc>
          <w:tcPr>
            <w:tcW w:w="1543" w:type="dxa"/>
            <w:tcBorders>
              <w:top w:val="single" w:sz="4" w:space="0" w:color="auto"/>
              <w:left w:val="single" w:sz="4" w:space="0" w:color="auto"/>
              <w:bottom w:val="single" w:sz="4" w:space="0" w:color="auto"/>
              <w:right w:val="single" w:sz="4" w:space="0" w:color="auto"/>
            </w:tcBorders>
            <w:vAlign w:val="center"/>
          </w:tcPr>
          <w:p w:rsidR="00935848" w:rsidRPr="00F204A4" w:rsidRDefault="00935848" w:rsidP="00935848">
            <w:pPr>
              <w:pStyle w:val="TableText"/>
              <w:keepNext w:val="0"/>
              <w:widowControl w:val="0"/>
              <w:rPr>
                <w:szCs w:val="20"/>
              </w:rPr>
            </w:pPr>
            <w:r w:rsidRPr="00F204A4">
              <w:rPr>
                <w:szCs w:val="20"/>
              </w:rPr>
              <w:t>ITT population</w:t>
            </w:r>
          </w:p>
        </w:tc>
        <w:tc>
          <w:tcPr>
            <w:tcW w:w="1606" w:type="dxa"/>
            <w:tcBorders>
              <w:top w:val="single" w:sz="4" w:space="0" w:color="auto"/>
              <w:left w:val="single" w:sz="4" w:space="0" w:color="auto"/>
              <w:bottom w:val="single" w:sz="4" w:space="0" w:color="auto"/>
              <w:right w:val="single" w:sz="4" w:space="0" w:color="auto"/>
            </w:tcBorders>
            <w:vAlign w:val="center"/>
          </w:tcPr>
          <w:p w:rsidR="00935848" w:rsidRPr="00F204A4" w:rsidRDefault="00935848" w:rsidP="00935848">
            <w:pPr>
              <w:pStyle w:val="TableText"/>
              <w:keepNext w:val="0"/>
              <w:widowControl w:val="0"/>
              <w:jc w:val="center"/>
              <w:rPr>
                <w:szCs w:val="20"/>
              </w:rPr>
            </w:pPr>
            <w:r w:rsidRPr="00F204A4">
              <w:rPr>
                <w:szCs w:val="20"/>
              </w:rPr>
              <w:t>288/9152 (3.1)</w:t>
            </w:r>
          </w:p>
        </w:tc>
        <w:tc>
          <w:tcPr>
            <w:tcW w:w="1514" w:type="dxa"/>
            <w:tcBorders>
              <w:top w:val="single" w:sz="4" w:space="0" w:color="auto"/>
              <w:left w:val="single" w:sz="4" w:space="0" w:color="auto"/>
              <w:bottom w:val="single" w:sz="4" w:space="0" w:color="auto"/>
              <w:right w:val="single" w:sz="4" w:space="0" w:color="auto"/>
            </w:tcBorders>
            <w:vAlign w:val="center"/>
          </w:tcPr>
          <w:p w:rsidR="00935848" w:rsidRPr="00F204A4" w:rsidRDefault="00935848" w:rsidP="00935848">
            <w:pPr>
              <w:pStyle w:val="TableText"/>
              <w:keepNext w:val="0"/>
              <w:widowControl w:val="0"/>
              <w:jc w:val="center"/>
              <w:rPr>
                <w:szCs w:val="20"/>
              </w:rPr>
            </w:pPr>
            <w:r w:rsidRPr="00F204A4">
              <w:rPr>
                <w:szCs w:val="20"/>
              </w:rPr>
              <w:t>170/9126 (1.9)</w:t>
            </w:r>
          </w:p>
        </w:tc>
        <w:tc>
          <w:tcPr>
            <w:tcW w:w="1523" w:type="dxa"/>
            <w:tcBorders>
              <w:top w:val="single" w:sz="4" w:space="0" w:color="auto"/>
              <w:left w:val="single" w:sz="4" w:space="0" w:color="auto"/>
              <w:bottom w:val="single" w:sz="4" w:space="0" w:color="auto"/>
              <w:right w:val="single" w:sz="4" w:space="0" w:color="auto"/>
            </w:tcBorders>
            <w:vAlign w:val="center"/>
          </w:tcPr>
          <w:p w:rsidR="00935848" w:rsidRPr="00F204A4" w:rsidRDefault="00935848" w:rsidP="00935848">
            <w:pPr>
              <w:pStyle w:val="TableText"/>
              <w:keepNext w:val="0"/>
              <w:widowControl w:val="0"/>
              <w:jc w:val="center"/>
              <w:rPr>
                <w:szCs w:val="20"/>
              </w:rPr>
            </w:pPr>
            <w:r w:rsidRPr="00F204A4">
              <w:rPr>
                <w:rFonts w:cstheme="minorHAnsi"/>
              </w:rPr>
              <w:t>1.2840</w:t>
            </w:r>
          </w:p>
        </w:tc>
        <w:tc>
          <w:tcPr>
            <w:tcW w:w="1396" w:type="dxa"/>
            <w:tcBorders>
              <w:top w:val="single" w:sz="4" w:space="0" w:color="auto"/>
              <w:left w:val="single" w:sz="4" w:space="0" w:color="auto"/>
              <w:bottom w:val="single" w:sz="4" w:space="0" w:color="auto"/>
              <w:right w:val="single" w:sz="4" w:space="0" w:color="auto"/>
            </w:tcBorders>
            <w:vAlign w:val="center"/>
          </w:tcPr>
          <w:p w:rsidR="00935848" w:rsidRPr="00F204A4" w:rsidRDefault="00935848" w:rsidP="00935848">
            <w:pPr>
              <w:pStyle w:val="Tablecentre"/>
              <w:keepNext w:val="0"/>
              <w:widowControl w:val="0"/>
              <w:rPr>
                <w:rFonts w:ascii="Arial Narrow" w:hAnsi="Arial Narrow"/>
              </w:rPr>
            </w:pPr>
            <w:r w:rsidRPr="00F204A4">
              <w:rPr>
                <w:rFonts w:ascii="Arial Narrow" w:hAnsi="Arial Narrow" w:cstheme="minorHAnsi"/>
              </w:rPr>
              <w:t>78</w:t>
            </w:r>
          </w:p>
        </w:tc>
        <w:tc>
          <w:tcPr>
            <w:tcW w:w="1434" w:type="dxa"/>
            <w:tcBorders>
              <w:top w:val="single" w:sz="4" w:space="0" w:color="auto"/>
              <w:left w:val="single" w:sz="4" w:space="0" w:color="auto"/>
              <w:bottom w:val="single" w:sz="4" w:space="0" w:color="auto"/>
              <w:right w:val="single" w:sz="4" w:space="0" w:color="auto"/>
            </w:tcBorders>
            <w:vAlign w:val="center"/>
          </w:tcPr>
          <w:p w:rsidR="00935848" w:rsidRPr="00F204A4" w:rsidRDefault="00935848" w:rsidP="00935848">
            <w:pPr>
              <w:pStyle w:val="Tablecentre"/>
              <w:keepNext w:val="0"/>
              <w:widowControl w:val="0"/>
              <w:rPr>
                <w:rFonts w:ascii="Arial Narrow" w:hAnsi="Arial Narrow"/>
                <w:b/>
              </w:rPr>
            </w:pPr>
            <w:r w:rsidRPr="00F204A4">
              <w:rPr>
                <w:rFonts w:ascii="Arial Narrow" w:hAnsi="Arial Narrow"/>
                <w:b/>
              </w:rPr>
              <w:t xml:space="preserve">1.70 (1.40, 2.05) </w:t>
            </w:r>
          </w:p>
        </w:tc>
      </w:tr>
      <w:tr w:rsidR="00935848" w:rsidRPr="00F204A4" w:rsidTr="00935848">
        <w:tc>
          <w:tcPr>
            <w:tcW w:w="1543"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rPr>
                <w:szCs w:val="20"/>
                <w:highlight w:val="black"/>
              </w:rPr>
            </w:pPr>
            <w:r>
              <w:rPr>
                <w:noProof/>
                <w:color w:val="000000"/>
                <w:szCs w:val="20"/>
                <w:highlight w:val="black"/>
              </w:rPr>
              <w:t xml:space="preserve">'''''''''''''''''' ''''''''''''''''''''''' </w:t>
            </w:r>
          </w:p>
        </w:tc>
        <w:tc>
          <w:tcPr>
            <w:tcW w:w="1606"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0"/>
              <w:widowControl w:val="0"/>
              <w:jc w:val="center"/>
              <w:rPr>
                <w:szCs w:val="20"/>
                <w:highlight w:val="black"/>
              </w:rPr>
            </w:pPr>
            <w:r>
              <w:rPr>
                <w:noProof/>
                <w:color w:val="000000"/>
                <w:szCs w:val="2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0"/>
              <w:widowControl w:val="0"/>
              <w:jc w:val="center"/>
              <w:rPr>
                <w:szCs w:val="20"/>
                <w:highlight w:val="black"/>
              </w:rPr>
            </w:pPr>
            <w:r>
              <w:rPr>
                <w:noProof/>
                <w:color w:val="000000"/>
                <w:szCs w:val="2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0"/>
              <w:widowControl w:val="0"/>
              <w:jc w:val="center"/>
              <w:rPr>
                <w:szCs w:val="20"/>
                <w:highlight w:val="black"/>
              </w:rPr>
            </w:pPr>
            <w:r>
              <w:rPr>
                <w:rFonts w:eastAsia="Calibri" w:cstheme="minorHAnsi"/>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centre"/>
              <w:keepNext w:val="0"/>
              <w:widowControl w:val="0"/>
              <w:rPr>
                <w:rFonts w:ascii="Arial Narrow" w:hAnsi="Arial Narrow"/>
                <w:highlight w:val="black"/>
              </w:rPr>
            </w:pPr>
            <w:r>
              <w:rPr>
                <w:rFonts w:ascii="Arial Narrow" w:hAnsi="Arial Narrow" w:cstheme="minorHAnsi"/>
                <w:noProof/>
                <w:color w:val="00000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centre"/>
              <w:keepNext w:val="0"/>
              <w:widowControl w:val="0"/>
              <w:rPr>
                <w:rFonts w:ascii="Arial Narrow" w:hAnsi="Arial Narrow"/>
                <w:b/>
                <w:highlight w:val="black"/>
              </w:rPr>
            </w:pPr>
            <w:r>
              <w:rPr>
                <w:rFonts w:ascii="Arial Narrow" w:hAnsi="Arial Narrow"/>
                <w:b/>
                <w:noProof/>
                <w:color w:val="000000"/>
                <w:highlight w:val="black"/>
              </w:rPr>
              <w:t>''''''''' '''''''''''' ''''''''''</w:t>
            </w:r>
          </w:p>
        </w:tc>
      </w:tr>
      <w:tr w:rsidR="00935848" w:rsidRPr="00F204A4" w:rsidTr="00935848">
        <w:tc>
          <w:tcPr>
            <w:tcW w:w="1543"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rPr>
                <w:szCs w:val="20"/>
                <w:highlight w:val="black"/>
              </w:rPr>
            </w:pPr>
            <w:r>
              <w:rPr>
                <w:noProof/>
                <w:color w:val="000000"/>
                <w:szCs w:val="20"/>
                <w:highlight w:val="black"/>
              </w:rPr>
              <w:t xml:space="preserve">''''''''''' </w:t>
            </w:r>
          </w:p>
        </w:tc>
        <w:tc>
          <w:tcPr>
            <w:tcW w:w="1606"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jc w:val="center"/>
              <w:rPr>
                <w:szCs w:val="20"/>
                <w:highlight w:val="black"/>
              </w:rPr>
            </w:pPr>
            <w:r>
              <w:rPr>
                <w:noProof/>
                <w:color w:val="000000"/>
                <w:szCs w:val="2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jc w:val="center"/>
              <w:rPr>
                <w:szCs w:val="20"/>
                <w:highlight w:val="black"/>
              </w:rPr>
            </w:pPr>
            <w:r>
              <w:rPr>
                <w:noProof/>
                <w:color w:val="000000"/>
                <w:szCs w:val="2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jc w:val="center"/>
              <w:rPr>
                <w:szCs w:val="20"/>
                <w:highlight w:val="black"/>
              </w:rPr>
            </w:pPr>
            <w:r>
              <w:rPr>
                <w:rFonts w:eastAsia="Calibri" w:cstheme="minorHAnsi"/>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centre"/>
              <w:keepNext w:val="0"/>
              <w:widowControl w:val="0"/>
              <w:rPr>
                <w:rFonts w:ascii="Arial Narrow" w:hAnsi="Arial Narrow"/>
                <w:highlight w:val="black"/>
              </w:rPr>
            </w:pPr>
            <w:r>
              <w:rPr>
                <w:rFonts w:ascii="Arial Narrow" w:hAnsi="Arial Narrow" w:cstheme="minorHAnsi"/>
                <w:noProof/>
                <w:color w:val="00000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centre"/>
              <w:keepNext w:val="0"/>
              <w:widowControl w:val="0"/>
              <w:rPr>
                <w:rFonts w:ascii="Arial Narrow" w:hAnsi="Arial Narrow"/>
                <w:b/>
                <w:highlight w:val="black"/>
              </w:rPr>
            </w:pPr>
            <w:r>
              <w:rPr>
                <w:rFonts w:ascii="Arial Narrow" w:hAnsi="Arial Narrow"/>
                <w:b/>
                <w:noProof/>
                <w:color w:val="000000"/>
                <w:highlight w:val="black"/>
              </w:rPr>
              <w:t>'''''''''' '''''''''''' '''''''''</w:t>
            </w:r>
          </w:p>
        </w:tc>
      </w:tr>
      <w:tr w:rsidR="00935848" w:rsidRPr="00F204A4" w:rsidTr="00935848">
        <w:tc>
          <w:tcPr>
            <w:tcW w:w="1543"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rPr>
                <w:i/>
                <w:szCs w:val="20"/>
                <w:highlight w:val="black"/>
                <w:vertAlign w:val="superscript"/>
              </w:rPr>
            </w:pPr>
            <w:r>
              <w:rPr>
                <w:i/>
                <w:noProof/>
                <w:color w:val="000000"/>
                <w:szCs w:val="20"/>
                <w:highlight w:val="black"/>
              </w:rPr>
              <w:t>''''''''''' '''''''''''''</w:t>
            </w:r>
          </w:p>
        </w:tc>
        <w:tc>
          <w:tcPr>
            <w:tcW w:w="1606"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centre"/>
              <w:keepNext w:val="0"/>
              <w:widowControl w:val="0"/>
              <w:rPr>
                <w:rFonts w:ascii="Arial Narrow" w:hAnsi="Arial Narrow"/>
                <w:i/>
                <w:highlight w:val="black"/>
              </w:rPr>
            </w:pPr>
            <w:r>
              <w:rPr>
                <w:rFonts w:ascii="Arial Narrow" w:hAnsi="Arial Narrow"/>
                <w:i/>
                <w:noProof/>
                <w:color w:val="00000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centre"/>
              <w:keepNext w:val="0"/>
              <w:widowControl w:val="0"/>
              <w:rPr>
                <w:rFonts w:ascii="Arial Narrow" w:hAnsi="Arial Narrow"/>
                <w:i/>
                <w:highlight w:val="black"/>
              </w:rPr>
            </w:pPr>
            <w:r>
              <w:rPr>
                <w:rFonts w:ascii="Arial Narrow" w:hAnsi="Arial Narrow"/>
                <w:i/>
                <w:noProof/>
                <w:color w:val="00000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jc w:val="center"/>
              <w:rPr>
                <w:i/>
                <w:szCs w:val="20"/>
                <w:highlight w:val="black"/>
              </w:rPr>
            </w:pPr>
            <w:r>
              <w:rPr>
                <w:rFonts w:eastAsia="Calibri" w:cstheme="minorHAnsi"/>
                <w:i/>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centre"/>
              <w:keepNext w:val="0"/>
              <w:widowControl w:val="0"/>
              <w:rPr>
                <w:rFonts w:ascii="Arial Narrow" w:hAnsi="Arial Narrow"/>
                <w:i/>
                <w:highlight w:val="black"/>
              </w:rPr>
            </w:pPr>
            <w:r>
              <w:rPr>
                <w:rFonts w:ascii="Arial Narrow" w:hAnsi="Arial Narrow" w:cstheme="minorHAnsi"/>
                <w:i/>
                <w:noProof/>
                <w:color w:val="00000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centre"/>
              <w:keepNext w:val="0"/>
              <w:widowControl w:val="0"/>
              <w:rPr>
                <w:rFonts w:ascii="Arial Narrow" w:hAnsi="Arial Narrow"/>
                <w:b/>
                <w:i/>
                <w:highlight w:val="black"/>
              </w:rPr>
            </w:pPr>
            <w:r>
              <w:rPr>
                <w:rFonts w:ascii="Arial Narrow" w:hAnsi="Arial Narrow"/>
                <w:i/>
                <w:noProof/>
                <w:color w:val="000000"/>
                <w:highlight w:val="black"/>
              </w:rPr>
              <w:t>''''''''</w:t>
            </w:r>
          </w:p>
        </w:tc>
      </w:tr>
      <w:tr w:rsidR="00935848" w:rsidRPr="00F204A4" w:rsidTr="00935848">
        <w:tc>
          <w:tcPr>
            <w:tcW w:w="1543"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rPr>
                <w:szCs w:val="20"/>
                <w:highlight w:val="black"/>
              </w:rPr>
            </w:pPr>
            <w:r>
              <w:rPr>
                <w:noProof/>
                <w:color w:val="000000"/>
                <w:szCs w:val="20"/>
                <w:highlight w:val="black"/>
              </w:rPr>
              <w:t>''''''''''' ' '''''''''''</w:t>
            </w:r>
          </w:p>
        </w:tc>
        <w:tc>
          <w:tcPr>
            <w:tcW w:w="1606"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jc w:val="center"/>
              <w:rPr>
                <w:szCs w:val="20"/>
                <w:highlight w:val="black"/>
              </w:rPr>
            </w:pPr>
            <w:r>
              <w:rPr>
                <w:noProof/>
                <w:color w:val="000000"/>
                <w:szCs w:val="2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jc w:val="center"/>
              <w:rPr>
                <w:szCs w:val="20"/>
                <w:highlight w:val="black"/>
              </w:rPr>
            </w:pPr>
            <w:r>
              <w:rPr>
                <w:noProof/>
                <w:color w:val="000000"/>
                <w:szCs w:val="2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centre"/>
              <w:keepNext w:val="0"/>
              <w:widowControl w:val="0"/>
              <w:rPr>
                <w:rFonts w:ascii="Arial Narrow" w:hAnsi="Arial Narrow"/>
                <w:highlight w:val="black"/>
              </w:rPr>
            </w:pPr>
            <w:r>
              <w:rPr>
                <w:rFonts w:ascii="Arial Narrow" w:hAnsi="Arial Narrow"/>
                <w:noProof/>
                <w:color w:val="00000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centre"/>
              <w:keepNext w:val="0"/>
              <w:widowControl w:val="0"/>
              <w:rPr>
                <w:rFonts w:ascii="Arial Narrow" w:hAnsi="Arial Narrow"/>
                <w:highlight w:val="black"/>
              </w:rPr>
            </w:pPr>
            <w:r>
              <w:rPr>
                <w:rFonts w:ascii="Arial Narrow" w:hAnsi="Arial Narrow"/>
                <w:noProof/>
                <w:color w:val="000000"/>
                <w:highlight w:val="black"/>
              </w:rPr>
              <w:t>'''''''''' ''''''''''''''' ''''''''''''</w:t>
            </w:r>
          </w:p>
        </w:tc>
      </w:tr>
      <w:tr w:rsidR="00935848" w:rsidRPr="00F204A4" w:rsidTr="00935848">
        <w:tc>
          <w:tcPr>
            <w:tcW w:w="1543"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rPr>
                <w:szCs w:val="20"/>
                <w:highlight w:val="black"/>
              </w:rPr>
            </w:pPr>
            <w:r>
              <w:rPr>
                <w:noProof/>
                <w:color w:val="000000"/>
                <w:szCs w:val="20"/>
                <w:highlight w:val="black"/>
              </w:rPr>
              <w:t>''''''''''' ' ''''''''</w:t>
            </w:r>
          </w:p>
        </w:tc>
        <w:tc>
          <w:tcPr>
            <w:tcW w:w="1606"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jc w:val="center"/>
              <w:rPr>
                <w:szCs w:val="20"/>
                <w:highlight w:val="black"/>
              </w:rPr>
            </w:pPr>
            <w:r>
              <w:rPr>
                <w:noProof/>
                <w:color w:val="000000"/>
                <w:szCs w:val="20"/>
                <w:highlight w:val="black"/>
              </w:rPr>
              <w:t>''''''''''''''''''' ''''''''''''</w:t>
            </w:r>
          </w:p>
        </w:tc>
        <w:tc>
          <w:tcPr>
            <w:tcW w:w="1514"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jc w:val="center"/>
              <w:rPr>
                <w:szCs w:val="20"/>
                <w:highlight w:val="black"/>
              </w:rPr>
            </w:pPr>
            <w:r>
              <w:rPr>
                <w:noProof/>
                <w:color w:val="000000"/>
                <w:szCs w:val="20"/>
                <w:highlight w:val="black"/>
              </w:rPr>
              <w:t>''''''''''''''''' '''''''''''</w:t>
            </w:r>
          </w:p>
        </w:tc>
        <w:tc>
          <w:tcPr>
            <w:tcW w:w="1523"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jc w:val="center"/>
              <w:rPr>
                <w:szCs w:val="20"/>
                <w:highlight w:val="black"/>
              </w:rPr>
            </w:pPr>
            <w:r>
              <w:rPr>
                <w:noProof/>
                <w:color w:val="000000"/>
                <w:szCs w:val="20"/>
                <w:highlight w:val="black"/>
              </w:rPr>
              <w:t>''''''''</w:t>
            </w:r>
          </w:p>
        </w:tc>
        <w:tc>
          <w:tcPr>
            <w:tcW w:w="1434" w:type="dxa"/>
            <w:tcBorders>
              <w:top w:val="sing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jc w:val="center"/>
              <w:rPr>
                <w:b/>
                <w:szCs w:val="20"/>
                <w:highlight w:val="black"/>
              </w:rPr>
            </w:pPr>
            <w:r>
              <w:rPr>
                <w:noProof/>
                <w:color w:val="000000"/>
                <w:highlight w:val="black"/>
              </w:rPr>
              <w:t>''''''''''' ''''''''''''''' '''''''''''</w:t>
            </w:r>
          </w:p>
        </w:tc>
      </w:tr>
      <w:tr w:rsidR="00935848" w:rsidRPr="00F204A4" w:rsidTr="00935848">
        <w:tc>
          <w:tcPr>
            <w:tcW w:w="1543" w:type="dxa"/>
            <w:tcBorders>
              <w:top w:val="single" w:sz="4" w:space="0" w:color="auto"/>
              <w:left w:val="single" w:sz="4" w:space="0" w:color="auto"/>
              <w:bottom w:val="double" w:sz="4" w:space="0" w:color="auto"/>
              <w:right w:val="single" w:sz="4" w:space="0" w:color="auto"/>
            </w:tcBorders>
            <w:vAlign w:val="center"/>
          </w:tcPr>
          <w:p w:rsidR="00935848" w:rsidRPr="00FC537F" w:rsidRDefault="00FC537F" w:rsidP="00935848">
            <w:pPr>
              <w:pStyle w:val="TableText"/>
              <w:keepNext w:val="0"/>
              <w:widowControl w:val="0"/>
              <w:rPr>
                <w:szCs w:val="20"/>
                <w:highlight w:val="black"/>
              </w:rPr>
            </w:pPr>
            <w:r>
              <w:rPr>
                <w:noProof/>
                <w:color w:val="000000"/>
                <w:szCs w:val="20"/>
                <w:highlight w:val="black"/>
              </w:rPr>
              <w:t>'''''''''' ' ''''''''''''</w:t>
            </w:r>
          </w:p>
        </w:tc>
        <w:tc>
          <w:tcPr>
            <w:tcW w:w="1606" w:type="dxa"/>
            <w:tcBorders>
              <w:top w:val="single" w:sz="4" w:space="0" w:color="auto"/>
              <w:left w:val="single" w:sz="4" w:space="0" w:color="auto"/>
              <w:bottom w:val="double" w:sz="4" w:space="0" w:color="auto"/>
              <w:right w:val="single" w:sz="4" w:space="0" w:color="auto"/>
            </w:tcBorders>
            <w:vAlign w:val="center"/>
          </w:tcPr>
          <w:p w:rsidR="00935848" w:rsidRPr="00FC537F" w:rsidRDefault="00FC537F" w:rsidP="00935848">
            <w:pPr>
              <w:pStyle w:val="TableText"/>
              <w:keepNext w:val="0"/>
              <w:widowControl w:val="0"/>
              <w:jc w:val="center"/>
              <w:rPr>
                <w:szCs w:val="20"/>
                <w:highlight w:val="black"/>
              </w:rPr>
            </w:pPr>
            <w:r>
              <w:rPr>
                <w:noProof/>
                <w:color w:val="000000"/>
                <w:szCs w:val="20"/>
                <w:highlight w:val="black"/>
              </w:rPr>
              <w:t>'''''''''''''''''' ''''''''''''</w:t>
            </w:r>
          </w:p>
        </w:tc>
        <w:tc>
          <w:tcPr>
            <w:tcW w:w="1514" w:type="dxa"/>
            <w:tcBorders>
              <w:top w:val="single" w:sz="4" w:space="0" w:color="auto"/>
              <w:left w:val="single" w:sz="4" w:space="0" w:color="auto"/>
              <w:bottom w:val="double" w:sz="4" w:space="0" w:color="auto"/>
              <w:right w:val="single" w:sz="4" w:space="0" w:color="auto"/>
            </w:tcBorders>
            <w:vAlign w:val="center"/>
          </w:tcPr>
          <w:p w:rsidR="00935848" w:rsidRPr="00FC537F" w:rsidRDefault="00FC537F" w:rsidP="00935848">
            <w:pPr>
              <w:pStyle w:val="TableText"/>
              <w:keepNext w:val="0"/>
              <w:widowControl w:val="0"/>
              <w:jc w:val="center"/>
              <w:rPr>
                <w:szCs w:val="20"/>
                <w:highlight w:val="black"/>
              </w:rPr>
            </w:pPr>
            <w:r>
              <w:rPr>
                <w:noProof/>
                <w:color w:val="000000"/>
                <w:szCs w:val="20"/>
                <w:highlight w:val="black"/>
              </w:rPr>
              <w:t>'''''''''''''''''''''' ''''''''''</w:t>
            </w:r>
          </w:p>
        </w:tc>
        <w:tc>
          <w:tcPr>
            <w:tcW w:w="1523" w:type="dxa"/>
            <w:tcBorders>
              <w:top w:val="single" w:sz="4" w:space="0" w:color="auto"/>
              <w:left w:val="single" w:sz="4" w:space="0" w:color="auto"/>
              <w:bottom w:val="double" w:sz="4" w:space="0" w:color="auto"/>
              <w:right w:val="single" w:sz="4" w:space="0" w:color="auto"/>
            </w:tcBorders>
            <w:vAlign w:val="center"/>
          </w:tcPr>
          <w:p w:rsidR="00935848" w:rsidRPr="00FC537F" w:rsidRDefault="00FC537F" w:rsidP="00935848">
            <w:pPr>
              <w:pStyle w:val="TableText"/>
              <w:keepNext w:val="0"/>
              <w:widowControl w:val="0"/>
              <w:jc w:val="center"/>
              <w:rPr>
                <w:szCs w:val="20"/>
                <w:highlight w:val="black"/>
              </w:rPr>
            </w:pPr>
            <w:r>
              <w:rPr>
                <w:noProof/>
                <w:color w:val="000000"/>
                <w:szCs w:val="20"/>
                <w:highlight w:val="black"/>
              </w:rPr>
              <w:t>''''''''''''''''''</w:t>
            </w:r>
          </w:p>
        </w:tc>
        <w:tc>
          <w:tcPr>
            <w:tcW w:w="1396" w:type="dxa"/>
            <w:tcBorders>
              <w:top w:val="single" w:sz="4" w:space="0" w:color="auto"/>
              <w:left w:val="single" w:sz="4" w:space="0" w:color="auto"/>
              <w:bottom w:val="double" w:sz="4" w:space="0" w:color="auto"/>
              <w:right w:val="single" w:sz="4" w:space="0" w:color="auto"/>
            </w:tcBorders>
            <w:vAlign w:val="center"/>
          </w:tcPr>
          <w:p w:rsidR="00935848" w:rsidRPr="00FC537F" w:rsidRDefault="00FC537F" w:rsidP="00935848">
            <w:pPr>
              <w:pStyle w:val="TableText"/>
              <w:keepNext w:val="0"/>
              <w:widowControl w:val="0"/>
              <w:jc w:val="center"/>
              <w:rPr>
                <w:szCs w:val="20"/>
                <w:highlight w:val="black"/>
              </w:rPr>
            </w:pPr>
            <w:r>
              <w:rPr>
                <w:noProof/>
                <w:color w:val="000000"/>
                <w:szCs w:val="20"/>
                <w:highlight w:val="black"/>
              </w:rPr>
              <w:t>'''''</w:t>
            </w:r>
          </w:p>
        </w:tc>
        <w:tc>
          <w:tcPr>
            <w:tcW w:w="1434" w:type="dxa"/>
            <w:tcBorders>
              <w:top w:val="single" w:sz="4" w:space="0" w:color="auto"/>
              <w:left w:val="single" w:sz="4" w:space="0" w:color="auto"/>
              <w:bottom w:val="double" w:sz="4" w:space="0" w:color="auto"/>
              <w:right w:val="single" w:sz="4" w:space="0" w:color="auto"/>
            </w:tcBorders>
            <w:vAlign w:val="center"/>
          </w:tcPr>
          <w:p w:rsidR="00935848" w:rsidRPr="00FC537F" w:rsidRDefault="00FC537F" w:rsidP="00935848">
            <w:pPr>
              <w:pStyle w:val="TableText"/>
              <w:keepNext w:val="0"/>
              <w:widowControl w:val="0"/>
              <w:jc w:val="center"/>
              <w:rPr>
                <w:b/>
                <w:szCs w:val="20"/>
                <w:highlight w:val="black"/>
              </w:rPr>
            </w:pPr>
            <w:r>
              <w:rPr>
                <w:noProof/>
                <w:color w:val="000000"/>
                <w:highlight w:val="black"/>
              </w:rPr>
              <w:t>'''''''''' '''''''''''' '''''''''''</w:t>
            </w:r>
          </w:p>
        </w:tc>
      </w:tr>
      <w:tr w:rsidR="00935848" w:rsidRPr="00F204A4" w:rsidTr="00935848">
        <w:tc>
          <w:tcPr>
            <w:tcW w:w="1543" w:type="dxa"/>
            <w:tcBorders>
              <w:top w:val="doub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rPr>
                <w:szCs w:val="20"/>
                <w:highlight w:val="black"/>
              </w:rPr>
            </w:pPr>
            <w:r>
              <w:rPr>
                <w:noProof/>
                <w:color w:val="000000"/>
                <w:szCs w:val="20"/>
                <w:highlight w:val="black"/>
              </w:rPr>
              <w:t>''''''''''''''''''''''''''''' '''' '''''''''''''''' '''''''''''''''''''''''</w:t>
            </w:r>
          </w:p>
        </w:tc>
        <w:tc>
          <w:tcPr>
            <w:tcW w:w="1606" w:type="dxa"/>
            <w:tcBorders>
              <w:top w:val="doub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jc w:val="center"/>
              <w:rPr>
                <w:szCs w:val="20"/>
                <w:highlight w:val="black"/>
              </w:rPr>
            </w:pPr>
            <w:r>
              <w:rPr>
                <w:noProof/>
                <w:color w:val="000000"/>
                <w:szCs w:val="20"/>
                <w:highlight w:val="black"/>
              </w:rPr>
              <w:t>'''''''''''''''''''' ''''''''''''</w:t>
            </w:r>
          </w:p>
        </w:tc>
        <w:tc>
          <w:tcPr>
            <w:tcW w:w="1514" w:type="dxa"/>
            <w:tcBorders>
              <w:top w:val="doub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jc w:val="center"/>
              <w:rPr>
                <w:szCs w:val="20"/>
                <w:highlight w:val="black"/>
              </w:rPr>
            </w:pPr>
            <w:r>
              <w:rPr>
                <w:noProof/>
                <w:color w:val="000000"/>
                <w:szCs w:val="20"/>
                <w:highlight w:val="black"/>
              </w:rPr>
              <w:t>''''''''''''''''''' '''''''''''</w:t>
            </w:r>
          </w:p>
        </w:tc>
        <w:tc>
          <w:tcPr>
            <w:tcW w:w="1523" w:type="dxa"/>
            <w:tcBorders>
              <w:top w:val="doub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jc w:val="center"/>
              <w:rPr>
                <w:szCs w:val="20"/>
                <w:highlight w:val="black"/>
              </w:rPr>
            </w:pPr>
            <w:r>
              <w:rPr>
                <w:noProof/>
                <w:color w:val="000000"/>
                <w:szCs w:val="20"/>
                <w:highlight w:val="black"/>
              </w:rPr>
              <w:t>'''''''''''''''''</w:t>
            </w:r>
          </w:p>
        </w:tc>
        <w:tc>
          <w:tcPr>
            <w:tcW w:w="1396" w:type="dxa"/>
            <w:tcBorders>
              <w:top w:val="doub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jc w:val="center"/>
              <w:rPr>
                <w:szCs w:val="20"/>
                <w:highlight w:val="black"/>
              </w:rPr>
            </w:pPr>
            <w:r>
              <w:rPr>
                <w:noProof/>
                <w:color w:val="000000"/>
                <w:szCs w:val="20"/>
                <w:highlight w:val="black"/>
              </w:rPr>
              <w:t>'''''</w:t>
            </w:r>
          </w:p>
        </w:tc>
        <w:tc>
          <w:tcPr>
            <w:tcW w:w="1434" w:type="dxa"/>
            <w:tcBorders>
              <w:top w:val="double" w:sz="4" w:space="0" w:color="auto"/>
              <w:left w:val="single" w:sz="4" w:space="0" w:color="auto"/>
              <w:bottom w:val="single" w:sz="4" w:space="0" w:color="auto"/>
              <w:right w:val="single" w:sz="4" w:space="0" w:color="auto"/>
            </w:tcBorders>
            <w:vAlign w:val="center"/>
          </w:tcPr>
          <w:p w:rsidR="00935848" w:rsidRPr="00FC537F" w:rsidRDefault="00FC537F" w:rsidP="00935848">
            <w:pPr>
              <w:pStyle w:val="TableText"/>
              <w:keepNext w:val="0"/>
              <w:widowControl w:val="0"/>
              <w:jc w:val="center"/>
              <w:rPr>
                <w:b/>
                <w:szCs w:val="20"/>
                <w:highlight w:val="black"/>
              </w:rPr>
            </w:pPr>
            <w:r>
              <w:rPr>
                <w:b/>
                <w:noProof/>
                <w:color w:val="000000"/>
                <w:highlight w:val="black"/>
              </w:rPr>
              <w:t>'''''''' '''''''''''' '''''''''</w:t>
            </w:r>
          </w:p>
        </w:tc>
      </w:tr>
    </w:tbl>
    <w:p w:rsidR="00935848" w:rsidRDefault="00935848" w:rsidP="00935848">
      <w:pPr>
        <w:pStyle w:val="TableFooter"/>
      </w:pPr>
      <w:r>
        <w:t>Source: Table 2.6-12, p 168 of the resubmission; COMPASS additional HEOR subgroup analyses, Appendix 5 of the resubmission</w:t>
      </w:r>
    </w:p>
    <w:p w:rsidR="00935848" w:rsidRDefault="00935848" w:rsidP="00935848">
      <w:pPr>
        <w:pStyle w:val="TableFooter"/>
        <w:widowControl/>
      </w:pPr>
      <w:r>
        <w:t>Abbreviations: CAD, coronary artery disease; CI, confidence interval; CKD, chronic kidney disease; HF, heart failure; NNH, number needed to harm; NNT, number needed to treat; N</w:t>
      </w:r>
      <w:r w:rsidR="00A37BB1">
        <w:t>E</w:t>
      </w:r>
      <w:r>
        <w:t xml:space="preserve">, not </w:t>
      </w:r>
      <w:r w:rsidR="00A37BB1">
        <w:t>estimated</w:t>
      </w:r>
      <w:r>
        <w:t>; PAD, peripheral artery disease</w:t>
      </w:r>
    </w:p>
    <w:p w:rsidR="00935848" w:rsidRDefault="00935848" w:rsidP="00935848">
      <w:pPr>
        <w:pStyle w:val="TableFooter"/>
      </w:pPr>
      <w:r>
        <w:rPr>
          <w:vertAlign w:val="superscript"/>
        </w:rPr>
        <w:t>a</w:t>
      </w:r>
      <w:r>
        <w:t xml:space="preserve"> PAD only represents patients who have PAD without CAD; CAD yes includes patients who have PAD with CAD or CAD only (complement of PAD only)</w:t>
      </w:r>
    </w:p>
    <w:p w:rsidR="00935848" w:rsidRPr="00935848" w:rsidRDefault="00935848" w:rsidP="00935848">
      <w:pPr>
        <w:pStyle w:val="TableFooter"/>
        <w:widowControl/>
        <w:rPr>
          <w:i/>
        </w:rPr>
      </w:pPr>
    </w:p>
    <w:p w:rsidR="00C71F87" w:rsidRPr="000B6B6A" w:rsidRDefault="00A37BB1" w:rsidP="00935848">
      <w:pPr>
        <w:pStyle w:val="ExecSumBodyText"/>
      </w:pPr>
      <w:r w:rsidRPr="000B6B6A">
        <w:t>T</w:t>
      </w:r>
      <w:r w:rsidR="00C71F87" w:rsidRPr="000B6B6A">
        <w:t xml:space="preserve">reatment with </w:t>
      </w:r>
      <w:r w:rsidR="00935848" w:rsidRPr="000B6B6A">
        <w:t xml:space="preserve">rivaroxaban in combination with aspirin </w:t>
      </w:r>
      <w:r w:rsidR="00C71F87" w:rsidRPr="000B6B6A">
        <w:t>was associated with</w:t>
      </w:r>
      <w:r w:rsidR="00935848" w:rsidRPr="000B6B6A">
        <w:t xml:space="preserve"> a </w:t>
      </w:r>
      <w:r w:rsidR="00C71F87" w:rsidRPr="003D7DAD">
        <w:t xml:space="preserve">statistically significantly </w:t>
      </w:r>
      <w:r w:rsidR="00935848" w:rsidRPr="003D7DAD">
        <w:t>higher incidence of major bleeding overall</w:t>
      </w:r>
      <w:r w:rsidR="00C71F87" w:rsidRPr="003D7DAD">
        <w:t>,</w:t>
      </w:r>
      <w:r w:rsidR="00935848" w:rsidRPr="003D7DAD">
        <w:t xml:space="preserve"> compared wi</w:t>
      </w:r>
      <w:r w:rsidRPr="003D7DAD">
        <w:t>th the aspirin monotherapy group, primarily driven by gastrointestinal bleeding</w:t>
      </w:r>
      <w:r w:rsidR="003A692E" w:rsidRPr="003D7DAD">
        <w:t xml:space="preserve"> (and hospitalisation</w:t>
      </w:r>
      <w:r w:rsidR="006273E3" w:rsidRPr="003D7DAD">
        <w:t>s</w:t>
      </w:r>
      <w:r w:rsidR="003A692E" w:rsidRPr="003D7DAD">
        <w:t>)</w:t>
      </w:r>
      <w:r w:rsidR="00935848" w:rsidRPr="003D7DAD">
        <w:t xml:space="preserve">. </w:t>
      </w:r>
      <w:r w:rsidR="001C0B96" w:rsidRPr="003D7DAD">
        <w:t xml:space="preserve">The </w:t>
      </w:r>
      <w:r w:rsidR="00F04144">
        <w:t xml:space="preserve">evaluation considered that the </w:t>
      </w:r>
      <w:r w:rsidR="001C0B96" w:rsidRPr="003D7DAD">
        <w:t xml:space="preserve">risk of major bleeding </w:t>
      </w:r>
      <w:r w:rsidR="000D2CB5" w:rsidRPr="003D7DAD">
        <w:t xml:space="preserve">in clinical practice </w:t>
      </w:r>
      <w:r w:rsidR="001C0B96" w:rsidRPr="003D7DAD">
        <w:t xml:space="preserve">in the </w:t>
      </w:r>
      <w:r w:rsidR="000D2CB5" w:rsidRPr="003D7DAD">
        <w:t>propos</w:t>
      </w:r>
      <w:r w:rsidR="001C0B96" w:rsidRPr="003D7DAD">
        <w:t>ed high-risk subgroups remains uncertain. The COMPASS trial excluded patients at high risk of bleeding, and patients with poor renal function (eGFR &lt; 15 mL/min). Further, the mean</w:t>
      </w:r>
      <w:r w:rsidR="001C0B96" w:rsidRPr="000B6B6A">
        <w:t xml:space="preserve"> age of patients in the COMPASS trial was 68 years. Safety results may not be applicable to elderly patients, patients with different risk </w:t>
      </w:r>
      <w:r w:rsidR="001C0B96" w:rsidRPr="000B6B6A">
        <w:lastRenderedPageBreak/>
        <w:t>factors for bleeding, or patients with deteriorating renal function. In particular,</w:t>
      </w:r>
      <w:r w:rsidR="006E496D" w:rsidRPr="000B6B6A">
        <w:t xml:space="preserve"> due to the exclusion of </w:t>
      </w:r>
      <w:r w:rsidR="00DD7E64" w:rsidRPr="000B6B6A">
        <w:t>patients with poor renal function (eGFR &lt; 15 mL/min) from the COMPASS trial,</w:t>
      </w:r>
      <w:r w:rsidR="001C0B96" w:rsidRPr="000B6B6A">
        <w:t xml:space="preserve"> the safety of rivaroxaban in combination with aspirin in the CAD and CKD subgroup is unclear.</w:t>
      </w:r>
    </w:p>
    <w:p w:rsidR="00A6760F" w:rsidRPr="003D1C66" w:rsidRDefault="002A76CE" w:rsidP="00D261E7">
      <w:pPr>
        <w:pStyle w:val="ExecSumBodyText"/>
        <w:spacing w:after="0"/>
      </w:pPr>
      <w:r w:rsidRPr="000B6B6A">
        <w:t xml:space="preserve">An extended assessment of harms presented in the resubmission acknowledged that the administration of rivaroxaban is associated with an increased risk of haemorrhage, including surgical and extra-surgical site bleeding, or fatal or critical organ bleedings. Higher rates of major bleeding associated with treatment with rivaroxaban occurred in COMPASS, and across other rivaroxaban clinical trials. Patients at high risk of bleeding were not eligible for enrolment in the COMPASS trial. The additional benefit of adding rivaroxaban 2.5 mg to low dose aspirin in stable </w:t>
      </w:r>
      <w:r w:rsidRPr="003D1C66">
        <w:t xml:space="preserve">atherosclerotic disease must be weighed against the bleeding risk for each individual at the point of care. The assessment of bleeding risk in the target patient population is complex and undertaken on an individual patient basis by the treating clinician. </w:t>
      </w:r>
      <w:r w:rsidR="003A692E" w:rsidRPr="003D1C66">
        <w:t>The ESC recognised that there is no bleeding risk scoring system that has been validated in this clinical scenario.</w:t>
      </w:r>
    </w:p>
    <w:p w:rsidR="007F1017" w:rsidRPr="00C9624D" w:rsidRDefault="007F1017" w:rsidP="00D86231">
      <w:pPr>
        <w:pStyle w:val="3-SubsectionHeading"/>
      </w:pPr>
      <w:bookmarkStart w:id="17" w:name="_Toc22897643"/>
      <w:bookmarkStart w:id="18" w:name="_Toc27421953"/>
      <w:r w:rsidRPr="003D1C66">
        <w:t>Benefits/harms</w:t>
      </w:r>
      <w:bookmarkEnd w:id="17"/>
      <w:bookmarkEnd w:id="18"/>
    </w:p>
    <w:p w:rsidR="00773089" w:rsidRDefault="005A77B8" w:rsidP="005A77B8">
      <w:pPr>
        <w:pStyle w:val="ExecSumBodyText"/>
      </w:pPr>
      <w:r w:rsidRPr="005A77B8">
        <w:t xml:space="preserve">A summary of the comparative benefits and harms for rivaroxaban in combination with aspirin versus aspirin monotherapy is presented in the table below. </w:t>
      </w:r>
    </w:p>
    <w:p w:rsidR="00DD7E64" w:rsidRPr="00DD7E64" w:rsidRDefault="00DD7E64" w:rsidP="00203EE0">
      <w:pPr>
        <w:keepNext/>
        <w:keepLines/>
        <w:rPr>
          <w:rFonts w:ascii="Arial Narrow" w:hAnsi="Arial Narrow"/>
          <w:b/>
          <w:sz w:val="20"/>
          <w:szCs w:val="20"/>
        </w:rPr>
      </w:pPr>
      <w:r w:rsidRPr="00DD7E64">
        <w:rPr>
          <w:rFonts w:ascii="Arial Narrow" w:hAnsi="Arial Narrow"/>
          <w:b/>
          <w:sz w:val="20"/>
          <w:szCs w:val="20"/>
        </w:rPr>
        <w:t xml:space="preserve">Table </w:t>
      </w:r>
      <w:r w:rsidR="00203EE0">
        <w:rPr>
          <w:rFonts w:ascii="Arial Narrow" w:hAnsi="Arial Narrow"/>
          <w:b/>
          <w:sz w:val="20"/>
          <w:szCs w:val="20"/>
        </w:rPr>
        <w:t>10</w:t>
      </w:r>
      <w:r w:rsidRPr="00DD7E64">
        <w:rPr>
          <w:rFonts w:ascii="Arial Narrow" w:hAnsi="Arial Narrow"/>
          <w:b/>
          <w:sz w:val="20"/>
          <w:szCs w:val="20"/>
        </w:rPr>
        <w:t>: Differences in numbers of patients with outcomes per 1000 patients with stable atherosclerotic disease who have CAD and/or PAD, who are treated with low dose rivaroxaban and aspirin compared with aspirin over mean duration of 1.84 years</w:t>
      </w:r>
    </w:p>
    <w:tbl>
      <w:tblPr>
        <w:tblW w:w="5000" w:type="pct"/>
        <w:tblLayout w:type="fixed"/>
        <w:tblCellMar>
          <w:left w:w="28" w:type="dxa"/>
          <w:right w:w="28" w:type="dxa"/>
        </w:tblCellMar>
        <w:tblLook w:val="04A0" w:firstRow="1" w:lastRow="0" w:firstColumn="1" w:lastColumn="0" w:noHBand="0" w:noVBand="1"/>
      </w:tblPr>
      <w:tblGrid>
        <w:gridCol w:w="1434"/>
        <w:gridCol w:w="2528"/>
        <w:gridCol w:w="2554"/>
        <w:gridCol w:w="2501"/>
      </w:tblGrid>
      <w:tr w:rsidR="00DD7E64" w:rsidRPr="00DD7E64" w:rsidTr="00203EE0">
        <w:tc>
          <w:tcPr>
            <w:tcW w:w="795" w:type="pct"/>
            <w:vMerge w:val="restart"/>
            <w:tcBorders>
              <w:top w:val="single" w:sz="4" w:space="0" w:color="auto"/>
              <w:left w:val="single" w:sz="4" w:space="0" w:color="auto"/>
              <w:right w:val="single" w:sz="4" w:space="0" w:color="auto"/>
            </w:tcBorders>
            <w:vAlign w:val="center"/>
          </w:tcPr>
          <w:p w:rsidR="00DD7E64" w:rsidRPr="00DD7E64" w:rsidRDefault="00DD7E64" w:rsidP="00203EE0">
            <w:pPr>
              <w:keepNext/>
              <w:keepLines/>
              <w:jc w:val="left"/>
              <w:rPr>
                <w:rFonts w:ascii="Arial Narrow" w:hAnsi="Arial Narrow"/>
                <w:color w:val="000000"/>
                <w:sz w:val="20"/>
                <w:szCs w:val="20"/>
              </w:rPr>
            </w:pPr>
          </w:p>
        </w:tc>
        <w:tc>
          <w:tcPr>
            <w:tcW w:w="2818" w:type="pct"/>
            <w:gridSpan w:val="2"/>
            <w:tcBorders>
              <w:top w:val="single" w:sz="4" w:space="0" w:color="auto"/>
              <w:left w:val="single" w:sz="4" w:space="0" w:color="auto"/>
              <w:bottom w:val="single" w:sz="4" w:space="0" w:color="auto"/>
              <w:right w:val="single" w:sz="4" w:space="0" w:color="auto"/>
            </w:tcBorders>
            <w:vAlign w:val="center"/>
          </w:tcPr>
          <w:p w:rsidR="00DD7E64" w:rsidRPr="00DD7E64" w:rsidRDefault="00DD7E64" w:rsidP="00203EE0">
            <w:pPr>
              <w:keepNext/>
              <w:keepLines/>
              <w:jc w:val="center"/>
              <w:rPr>
                <w:rFonts w:ascii="Arial Narrow" w:hAnsi="Arial Narrow"/>
                <w:b/>
                <w:sz w:val="20"/>
                <w:szCs w:val="20"/>
              </w:rPr>
            </w:pPr>
            <w:r w:rsidRPr="00DD7E64">
              <w:rPr>
                <w:rFonts w:ascii="Arial Narrow" w:hAnsi="Arial Narrow"/>
                <w:b/>
                <w:sz w:val="20"/>
                <w:szCs w:val="20"/>
              </w:rPr>
              <w:t>Benefits</w:t>
            </w:r>
          </w:p>
        </w:tc>
        <w:tc>
          <w:tcPr>
            <w:tcW w:w="1387" w:type="pct"/>
            <w:tcBorders>
              <w:top w:val="single" w:sz="4" w:space="0" w:color="auto"/>
              <w:left w:val="single" w:sz="4" w:space="0" w:color="auto"/>
              <w:bottom w:val="single" w:sz="4" w:space="0" w:color="auto"/>
              <w:right w:val="single" w:sz="4" w:space="0" w:color="auto"/>
            </w:tcBorders>
            <w:vAlign w:val="center"/>
          </w:tcPr>
          <w:p w:rsidR="00DD7E64" w:rsidRPr="00DD7E64" w:rsidRDefault="00DD7E64" w:rsidP="00203EE0">
            <w:pPr>
              <w:keepNext/>
              <w:keepLines/>
              <w:jc w:val="center"/>
              <w:rPr>
                <w:rFonts w:ascii="Arial Narrow" w:hAnsi="Arial Narrow"/>
                <w:b/>
                <w:snapToGrid w:val="0"/>
                <w:sz w:val="20"/>
                <w:szCs w:val="20"/>
              </w:rPr>
            </w:pPr>
            <w:r w:rsidRPr="00DD7E64">
              <w:rPr>
                <w:rFonts w:ascii="Arial Narrow" w:hAnsi="Arial Narrow"/>
                <w:b/>
                <w:snapToGrid w:val="0"/>
                <w:sz w:val="20"/>
                <w:szCs w:val="20"/>
              </w:rPr>
              <w:t>Harms</w:t>
            </w:r>
          </w:p>
        </w:tc>
      </w:tr>
      <w:tr w:rsidR="00DD7E64" w:rsidRPr="00DD7E64" w:rsidTr="00203EE0">
        <w:tc>
          <w:tcPr>
            <w:tcW w:w="795" w:type="pct"/>
            <w:vMerge/>
            <w:tcBorders>
              <w:left w:val="single" w:sz="4" w:space="0" w:color="auto"/>
              <w:bottom w:val="single" w:sz="4" w:space="0" w:color="auto"/>
              <w:right w:val="single" w:sz="4" w:space="0" w:color="auto"/>
            </w:tcBorders>
            <w:vAlign w:val="center"/>
          </w:tcPr>
          <w:p w:rsidR="00DD7E64" w:rsidRPr="00DD7E64" w:rsidRDefault="00DD7E64" w:rsidP="00203EE0">
            <w:pPr>
              <w:keepNext/>
              <w:keepLines/>
              <w:jc w:val="left"/>
              <w:rPr>
                <w:rFonts w:ascii="Arial Narrow" w:hAnsi="Arial Narrow"/>
                <w:color w:val="000000"/>
                <w:sz w:val="20"/>
                <w:szCs w:val="20"/>
              </w:rPr>
            </w:pPr>
          </w:p>
        </w:tc>
        <w:tc>
          <w:tcPr>
            <w:tcW w:w="1402" w:type="pct"/>
            <w:tcBorders>
              <w:top w:val="single" w:sz="4" w:space="0" w:color="auto"/>
              <w:left w:val="single" w:sz="4" w:space="0" w:color="auto"/>
              <w:bottom w:val="single" w:sz="4" w:space="0" w:color="auto"/>
              <w:right w:val="single" w:sz="4" w:space="0" w:color="auto"/>
            </w:tcBorders>
            <w:vAlign w:val="center"/>
          </w:tcPr>
          <w:p w:rsidR="00DD7E64" w:rsidRPr="00DD7E64" w:rsidRDefault="00DD7E64" w:rsidP="00203EE0">
            <w:pPr>
              <w:keepNext/>
              <w:keepLines/>
              <w:jc w:val="center"/>
              <w:rPr>
                <w:rFonts w:ascii="Arial Narrow" w:hAnsi="Arial Narrow"/>
                <w:b/>
                <w:sz w:val="20"/>
                <w:szCs w:val="20"/>
              </w:rPr>
            </w:pPr>
            <w:r w:rsidRPr="00DD7E64">
              <w:rPr>
                <w:rFonts w:ascii="Arial Narrow" w:hAnsi="Arial Narrow"/>
                <w:b/>
                <w:sz w:val="20"/>
                <w:szCs w:val="20"/>
              </w:rPr>
              <w:t>Reduction in major adverse cardiovascular event (myocardial infarction, any stroke or cardiovascular death); n. patients</w:t>
            </w:r>
          </w:p>
        </w:tc>
        <w:tc>
          <w:tcPr>
            <w:tcW w:w="1416" w:type="pct"/>
            <w:tcBorders>
              <w:top w:val="single" w:sz="4" w:space="0" w:color="auto"/>
              <w:left w:val="single" w:sz="4" w:space="0" w:color="auto"/>
              <w:bottom w:val="single" w:sz="4" w:space="0" w:color="auto"/>
              <w:right w:val="single" w:sz="4" w:space="0" w:color="auto"/>
            </w:tcBorders>
            <w:vAlign w:val="center"/>
          </w:tcPr>
          <w:p w:rsidR="00DD7E64" w:rsidRPr="00DD7E64" w:rsidRDefault="00DD7E64" w:rsidP="00203EE0">
            <w:pPr>
              <w:keepNext/>
              <w:keepLines/>
              <w:jc w:val="center"/>
              <w:rPr>
                <w:rFonts w:ascii="Arial Narrow" w:hAnsi="Arial Narrow"/>
                <w:b/>
                <w:sz w:val="20"/>
                <w:szCs w:val="20"/>
              </w:rPr>
            </w:pPr>
            <w:r w:rsidRPr="00DD7E64">
              <w:rPr>
                <w:rFonts w:ascii="Arial Narrow" w:hAnsi="Arial Narrow"/>
                <w:b/>
                <w:sz w:val="20"/>
                <w:szCs w:val="20"/>
              </w:rPr>
              <w:t>Reduction in acute limb-threatening ischaemic event requiring medical intervention (pharmacological, surgery or amputation); n. patients</w:t>
            </w:r>
          </w:p>
        </w:tc>
        <w:tc>
          <w:tcPr>
            <w:tcW w:w="1387" w:type="pct"/>
            <w:tcBorders>
              <w:top w:val="single" w:sz="4" w:space="0" w:color="auto"/>
              <w:left w:val="single" w:sz="4" w:space="0" w:color="auto"/>
              <w:bottom w:val="single" w:sz="4" w:space="0" w:color="auto"/>
              <w:right w:val="single" w:sz="4" w:space="0" w:color="auto"/>
            </w:tcBorders>
            <w:vAlign w:val="center"/>
          </w:tcPr>
          <w:p w:rsidR="00DD7E64" w:rsidRPr="00DD7E64" w:rsidRDefault="00DD7E64" w:rsidP="00203EE0">
            <w:pPr>
              <w:keepNext/>
              <w:keepLines/>
              <w:jc w:val="center"/>
              <w:rPr>
                <w:rFonts w:ascii="Arial Narrow" w:hAnsi="Arial Narrow"/>
                <w:b/>
                <w:snapToGrid w:val="0"/>
                <w:sz w:val="20"/>
                <w:szCs w:val="20"/>
              </w:rPr>
            </w:pPr>
            <w:r w:rsidRPr="00DD7E64">
              <w:rPr>
                <w:rFonts w:ascii="Arial Narrow" w:hAnsi="Arial Narrow"/>
                <w:b/>
                <w:snapToGrid w:val="0"/>
                <w:sz w:val="20"/>
                <w:szCs w:val="20"/>
              </w:rPr>
              <w:t>Increase in major bleeding event (fatal or non-fatal bleeding requiring hospitalisation); n. patients</w:t>
            </w:r>
          </w:p>
        </w:tc>
      </w:tr>
      <w:tr w:rsidR="00DD7E64" w:rsidRPr="00DD7E64" w:rsidTr="00203EE0">
        <w:tc>
          <w:tcPr>
            <w:tcW w:w="795" w:type="pct"/>
            <w:tcBorders>
              <w:top w:val="single" w:sz="4" w:space="0" w:color="auto"/>
              <w:left w:val="single" w:sz="4" w:space="0" w:color="auto"/>
              <w:bottom w:val="single" w:sz="4" w:space="0" w:color="auto"/>
              <w:right w:val="single" w:sz="4" w:space="0" w:color="auto"/>
            </w:tcBorders>
            <w:vAlign w:val="center"/>
          </w:tcPr>
          <w:p w:rsidR="00DD7E64" w:rsidRPr="00DD7E64" w:rsidRDefault="00DD7E64" w:rsidP="00203EE0">
            <w:pPr>
              <w:jc w:val="left"/>
              <w:rPr>
                <w:rFonts w:ascii="Arial Narrow" w:hAnsi="Arial Narrow" w:cs="Times New Roman"/>
                <w:bCs/>
                <w:sz w:val="20"/>
                <w:szCs w:val="20"/>
              </w:rPr>
            </w:pPr>
            <w:r w:rsidRPr="00DD7E64">
              <w:rPr>
                <w:rFonts w:ascii="Arial Narrow" w:hAnsi="Arial Narrow" w:cs="Times New Roman"/>
                <w:bCs/>
                <w:sz w:val="20"/>
                <w:szCs w:val="20"/>
              </w:rPr>
              <w:t>ITT population</w:t>
            </w:r>
          </w:p>
        </w:tc>
        <w:tc>
          <w:tcPr>
            <w:tcW w:w="1402" w:type="pct"/>
            <w:tcBorders>
              <w:top w:val="single" w:sz="4" w:space="0" w:color="auto"/>
              <w:left w:val="single" w:sz="4" w:space="0" w:color="auto"/>
              <w:bottom w:val="single" w:sz="4" w:space="0" w:color="auto"/>
              <w:right w:val="single" w:sz="4" w:space="0" w:color="auto"/>
            </w:tcBorders>
            <w:vAlign w:val="center"/>
          </w:tcPr>
          <w:p w:rsidR="00DD7E64" w:rsidRPr="00DD7E64" w:rsidRDefault="00DD7E64" w:rsidP="00203EE0">
            <w:pPr>
              <w:jc w:val="center"/>
              <w:rPr>
                <w:rFonts w:ascii="Arial Narrow" w:hAnsi="Arial Narrow" w:cs="Times New Roman"/>
                <w:bCs/>
                <w:sz w:val="20"/>
                <w:szCs w:val="20"/>
              </w:rPr>
            </w:pPr>
            <w:r w:rsidRPr="00DD7E64">
              <w:rPr>
                <w:rFonts w:ascii="Arial Narrow" w:hAnsi="Arial Narrow" w:cs="Times New Roman"/>
                <w:bCs/>
                <w:sz w:val="20"/>
                <w:szCs w:val="20"/>
              </w:rPr>
              <w:t xml:space="preserve">13 </w:t>
            </w:r>
          </w:p>
        </w:tc>
        <w:tc>
          <w:tcPr>
            <w:tcW w:w="1416" w:type="pct"/>
            <w:tcBorders>
              <w:top w:val="single" w:sz="4" w:space="0" w:color="auto"/>
              <w:left w:val="single" w:sz="4" w:space="0" w:color="auto"/>
              <w:bottom w:val="single" w:sz="4" w:space="0" w:color="auto"/>
              <w:right w:val="single" w:sz="4" w:space="0" w:color="auto"/>
            </w:tcBorders>
            <w:vAlign w:val="center"/>
          </w:tcPr>
          <w:p w:rsidR="00DD7E64" w:rsidRPr="00DD7E64" w:rsidRDefault="00DD7E64" w:rsidP="00203EE0">
            <w:pPr>
              <w:jc w:val="center"/>
              <w:rPr>
                <w:rFonts w:ascii="Arial Narrow" w:eastAsia="Calibri" w:hAnsi="Arial Narrow" w:cs="Calibri"/>
                <w:sz w:val="20"/>
                <w:szCs w:val="20"/>
                <w:lang w:eastAsia="en-US"/>
              </w:rPr>
            </w:pPr>
            <w:r w:rsidRPr="00DD7E64">
              <w:rPr>
                <w:rFonts w:ascii="Arial Narrow" w:eastAsia="Calibri" w:hAnsi="Arial Narrow" w:cs="Calibri"/>
                <w:sz w:val="20"/>
                <w:szCs w:val="20"/>
                <w:lang w:eastAsia="en-US"/>
              </w:rPr>
              <w:t xml:space="preserve">2 </w:t>
            </w:r>
          </w:p>
        </w:tc>
        <w:tc>
          <w:tcPr>
            <w:tcW w:w="1387" w:type="pct"/>
            <w:tcBorders>
              <w:top w:val="single" w:sz="4" w:space="0" w:color="auto"/>
              <w:left w:val="single" w:sz="4" w:space="0" w:color="auto"/>
              <w:bottom w:val="single" w:sz="4" w:space="0" w:color="auto"/>
              <w:right w:val="single" w:sz="4" w:space="0" w:color="auto"/>
            </w:tcBorders>
            <w:vAlign w:val="center"/>
          </w:tcPr>
          <w:p w:rsidR="00DD7E64" w:rsidRPr="00DD7E64" w:rsidRDefault="00DD7E64" w:rsidP="00203EE0">
            <w:pPr>
              <w:jc w:val="center"/>
              <w:rPr>
                <w:rFonts w:ascii="Arial Narrow" w:hAnsi="Arial Narrow" w:cs="Times New Roman"/>
                <w:bCs/>
                <w:sz w:val="20"/>
                <w:szCs w:val="20"/>
              </w:rPr>
            </w:pPr>
            <w:r w:rsidRPr="00DD7E64">
              <w:rPr>
                <w:rFonts w:ascii="Arial Narrow" w:hAnsi="Arial Narrow" w:cs="Times New Roman"/>
                <w:bCs/>
                <w:sz w:val="20"/>
                <w:szCs w:val="20"/>
              </w:rPr>
              <w:t xml:space="preserve">13 </w:t>
            </w:r>
          </w:p>
        </w:tc>
      </w:tr>
      <w:tr w:rsidR="00DD7E64" w:rsidRPr="00DD7E64" w:rsidTr="00203EE0">
        <w:tc>
          <w:tcPr>
            <w:tcW w:w="795" w:type="pct"/>
            <w:tcBorders>
              <w:top w:val="single" w:sz="4" w:space="0" w:color="auto"/>
              <w:left w:val="single" w:sz="4" w:space="0" w:color="auto"/>
              <w:bottom w:val="single" w:sz="4" w:space="0" w:color="auto"/>
            </w:tcBorders>
            <w:vAlign w:val="center"/>
          </w:tcPr>
          <w:p w:rsidR="00DD7E64" w:rsidRPr="00DD7E64" w:rsidRDefault="00DD7E64" w:rsidP="00203EE0">
            <w:pPr>
              <w:jc w:val="left"/>
              <w:rPr>
                <w:rFonts w:ascii="Arial Narrow" w:hAnsi="Arial Narrow"/>
                <w:color w:val="000000"/>
                <w:sz w:val="20"/>
                <w:szCs w:val="20"/>
              </w:rPr>
            </w:pPr>
            <w:r w:rsidRPr="00DD7E64">
              <w:rPr>
                <w:rFonts w:ascii="Arial Narrow" w:hAnsi="Arial Narrow" w:cs="Times New Roman"/>
                <w:bCs/>
                <w:sz w:val="20"/>
                <w:szCs w:val="20"/>
              </w:rPr>
              <w:t>Pooled subgroup</w:t>
            </w:r>
          </w:p>
        </w:tc>
        <w:tc>
          <w:tcPr>
            <w:tcW w:w="1402" w:type="pct"/>
            <w:tcBorders>
              <w:top w:val="single" w:sz="4" w:space="0" w:color="auto"/>
              <w:left w:val="single" w:sz="4" w:space="0" w:color="auto"/>
              <w:bottom w:val="single" w:sz="4" w:space="0" w:color="auto"/>
              <w:right w:val="single" w:sz="4" w:space="0" w:color="auto"/>
            </w:tcBorders>
            <w:vAlign w:val="center"/>
          </w:tcPr>
          <w:p w:rsidR="00DD7E64" w:rsidRPr="00FC537F" w:rsidRDefault="00FC537F" w:rsidP="00203EE0">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416" w:type="pct"/>
            <w:tcBorders>
              <w:top w:val="single" w:sz="4" w:space="0" w:color="auto"/>
              <w:left w:val="single" w:sz="4" w:space="0" w:color="auto"/>
              <w:bottom w:val="single" w:sz="4" w:space="0" w:color="auto"/>
              <w:right w:val="single" w:sz="4" w:space="0" w:color="auto"/>
            </w:tcBorders>
            <w:vAlign w:val="center"/>
          </w:tcPr>
          <w:p w:rsidR="00DD7E64" w:rsidRPr="00FC537F" w:rsidRDefault="00FC537F" w:rsidP="00203EE0">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387" w:type="pct"/>
            <w:tcBorders>
              <w:top w:val="single" w:sz="4" w:space="0" w:color="auto"/>
              <w:left w:val="single" w:sz="4" w:space="0" w:color="auto"/>
              <w:bottom w:val="single" w:sz="4" w:space="0" w:color="auto"/>
              <w:right w:val="single" w:sz="4" w:space="0" w:color="auto"/>
            </w:tcBorders>
            <w:vAlign w:val="center"/>
          </w:tcPr>
          <w:p w:rsidR="00DD7E64" w:rsidRPr="00FC537F" w:rsidRDefault="00FC537F" w:rsidP="00203EE0">
            <w:pPr>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r>
      <w:tr w:rsidR="00DD7E64" w:rsidRPr="00DD7E64" w:rsidTr="00203EE0">
        <w:tc>
          <w:tcPr>
            <w:tcW w:w="795" w:type="pct"/>
            <w:tcBorders>
              <w:top w:val="single" w:sz="4" w:space="0" w:color="auto"/>
              <w:left w:val="single" w:sz="4" w:space="0" w:color="auto"/>
              <w:bottom w:val="single" w:sz="4" w:space="0" w:color="auto"/>
            </w:tcBorders>
            <w:vAlign w:val="center"/>
          </w:tcPr>
          <w:p w:rsidR="00DD7E64" w:rsidRPr="00DD7E64" w:rsidRDefault="00DD7E64" w:rsidP="00203EE0">
            <w:pPr>
              <w:jc w:val="left"/>
              <w:rPr>
                <w:rFonts w:ascii="Arial Narrow" w:hAnsi="Arial Narrow"/>
                <w:sz w:val="20"/>
                <w:szCs w:val="20"/>
              </w:rPr>
            </w:pPr>
            <w:r w:rsidRPr="00DD7E64">
              <w:rPr>
                <w:rFonts w:ascii="Arial Narrow" w:hAnsi="Arial Narrow" w:cs="Times New Roman"/>
                <w:bCs/>
                <w:sz w:val="20"/>
                <w:szCs w:val="20"/>
              </w:rPr>
              <w:t xml:space="preserve">PAD </w:t>
            </w:r>
          </w:p>
        </w:tc>
        <w:tc>
          <w:tcPr>
            <w:tcW w:w="1402" w:type="pct"/>
            <w:tcBorders>
              <w:top w:val="single" w:sz="4" w:space="0" w:color="auto"/>
              <w:left w:val="single" w:sz="4" w:space="0" w:color="auto"/>
              <w:bottom w:val="single" w:sz="4" w:space="0" w:color="auto"/>
              <w:right w:val="single" w:sz="4" w:space="0" w:color="auto"/>
            </w:tcBorders>
            <w:vAlign w:val="center"/>
          </w:tcPr>
          <w:p w:rsidR="00DD7E64" w:rsidRPr="00FC537F" w:rsidRDefault="00FC537F" w:rsidP="00203EE0">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416" w:type="pct"/>
            <w:tcBorders>
              <w:top w:val="single" w:sz="4" w:space="0" w:color="auto"/>
              <w:left w:val="single" w:sz="4" w:space="0" w:color="auto"/>
              <w:bottom w:val="single" w:sz="4" w:space="0" w:color="auto"/>
              <w:right w:val="single" w:sz="4" w:space="0" w:color="auto"/>
            </w:tcBorders>
            <w:vAlign w:val="center"/>
          </w:tcPr>
          <w:p w:rsidR="00DD7E64" w:rsidRPr="00FC537F" w:rsidRDefault="00FC537F" w:rsidP="00203EE0">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387" w:type="pct"/>
            <w:tcBorders>
              <w:top w:val="single" w:sz="4" w:space="0" w:color="auto"/>
              <w:left w:val="single" w:sz="4" w:space="0" w:color="auto"/>
              <w:bottom w:val="single" w:sz="4" w:space="0" w:color="auto"/>
              <w:right w:val="single" w:sz="4" w:space="0" w:color="auto"/>
            </w:tcBorders>
            <w:vAlign w:val="center"/>
          </w:tcPr>
          <w:p w:rsidR="00DD7E64" w:rsidRPr="00FC537F" w:rsidRDefault="00FC537F" w:rsidP="00203EE0">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r>
      <w:tr w:rsidR="00DD7E64" w:rsidRPr="00DD7E64" w:rsidTr="00203EE0">
        <w:tc>
          <w:tcPr>
            <w:tcW w:w="795" w:type="pct"/>
            <w:tcBorders>
              <w:top w:val="single" w:sz="4" w:space="0" w:color="auto"/>
              <w:left w:val="single" w:sz="4" w:space="0" w:color="auto"/>
              <w:bottom w:val="single" w:sz="4" w:space="0" w:color="auto"/>
            </w:tcBorders>
            <w:vAlign w:val="center"/>
          </w:tcPr>
          <w:p w:rsidR="00DD7E64" w:rsidRPr="002D780D" w:rsidRDefault="00DD7E64" w:rsidP="00203EE0">
            <w:pPr>
              <w:jc w:val="left"/>
              <w:rPr>
                <w:rFonts w:ascii="Arial Narrow" w:hAnsi="Arial Narrow"/>
                <w:sz w:val="20"/>
                <w:szCs w:val="20"/>
              </w:rPr>
            </w:pPr>
            <w:r w:rsidRPr="002D780D">
              <w:rPr>
                <w:rFonts w:ascii="Arial Narrow" w:hAnsi="Arial Narrow" w:cs="Times New Roman"/>
                <w:bCs/>
                <w:sz w:val="20"/>
                <w:szCs w:val="20"/>
              </w:rPr>
              <w:t>PAD only</w:t>
            </w:r>
          </w:p>
        </w:tc>
        <w:tc>
          <w:tcPr>
            <w:tcW w:w="1402" w:type="pct"/>
            <w:tcBorders>
              <w:top w:val="single" w:sz="4" w:space="0" w:color="auto"/>
              <w:left w:val="single" w:sz="4" w:space="0" w:color="auto"/>
              <w:bottom w:val="single" w:sz="4" w:space="0" w:color="auto"/>
              <w:right w:val="single" w:sz="4" w:space="0" w:color="auto"/>
            </w:tcBorders>
            <w:vAlign w:val="center"/>
          </w:tcPr>
          <w:p w:rsidR="00DD7E64" w:rsidRPr="00FC537F" w:rsidRDefault="00FC537F" w:rsidP="00203EE0">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416" w:type="pct"/>
            <w:tcBorders>
              <w:top w:val="single" w:sz="4" w:space="0" w:color="auto"/>
              <w:left w:val="single" w:sz="4" w:space="0" w:color="auto"/>
              <w:bottom w:val="single" w:sz="4" w:space="0" w:color="auto"/>
              <w:right w:val="single" w:sz="4" w:space="0" w:color="auto"/>
            </w:tcBorders>
            <w:vAlign w:val="center"/>
          </w:tcPr>
          <w:p w:rsidR="00DD7E64" w:rsidRPr="00FC537F" w:rsidRDefault="00FC537F" w:rsidP="00203EE0">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387" w:type="pct"/>
            <w:tcBorders>
              <w:top w:val="single" w:sz="4" w:space="0" w:color="auto"/>
              <w:left w:val="single" w:sz="4" w:space="0" w:color="auto"/>
              <w:bottom w:val="single" w:sz="4" w:space="0" w:color="auto"/>
              <w:right w:val="single" w:sz="4" w:space="0" w:color="auto"/>
            </w:tcBorders>
            <w:vAlign w:val="center"/>
          </w:tcPr>
          <w:p w:rsidR="00DD7E64" w:rsidRPr="00FC537F" w:rsidRDefault="00FC537F" w:rsidP="00203EE0">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r>
      <w:tr w:rsidR="00DD7E64" w:rsidRPr="00DD7E64" w:rsidTr="00203EE0">
        <w:tc>
          <w:tcPr>
            <w:tcW w:w="795" w:type="pct"/>
            <w:tcBorders>
              <w:top w:val="single" w:sz="4" w:space="0" w:color="auto"/>
              <w:left w:val="single" w:sz="4" w:space="0" w:color="auto"/>
              <w:bottom w:val="single" w:sz="4" w:space="0" w:color="auto"/>
            </w:tcBorders>
            <w:vAlign w:val="center"/>
          </w:tcPr>
          <w:p w:rsidR="00DD7E64" w:rsidRPr="00DD7E64" w:rsidRDefault="00DD7E64" w:rsidP="00203EE0">
            <w:pPr>
              <w:jc w:val="left"/>
              <w:rPr>
                <w:rFonts w:ascii="Arial Narrow" w:hAnsi="Arial Narrow"/>
                <w:sz w:val="20"/>
                <w:szCs w:val="20"/>
              </w:rPr>
            </w:pPr>
            <w:r w:rsidRPr="00DD7E64">
              <w:rPr>
                <w:rFonts w:ascii="Arial Narrow" w:hAnsi="Arial Narrow" w:cs="Times New Roman"/>
                <w:bCs/>
                <w:sz w:val="20"/>
                <w:szCs w:val="20"/>
              </w:rPr>
              <w:t>CAD &amp; PAD</w:t>
            </w:r>
          </w:p>
        </w:tc>
        <w:tc>
          <w:tcPr>
            <w:tcW w:w="1402" w:type="pct"/>
            <w:tcBorders>
              <w:top w:val="single" w:sz="4" w:space="0" w:color="auto"/>
              <w:left w:val="single" w:sz="4" w:space="0" w:color="auto"/>
              <w:bottom w:val="single" w:sz="4" w:space="0" w:color="auto"/>
              <w:right w:val="single" w:sz="4" w:space="0" w:color="auto"/>
            </w:tcBorders>
            <w:vAlign w:val="center"/>
          </w:tcPr>
          <w:p w:rsidR="00DD7E64" w:rsidRPr="00FC537F" w:rsidRDefault="00FC537F" w:rsidP="00203EE0">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416" w:type="pct"/>
            <w:tcBorders>
              <w:top w:val="single" w:sz="4" w:space="0" w:color="auto"/>
              <w:left w:val="single" w:sz="4" w:space="0" w:color="auto"/>
              <w:bottom w:val="single" w:sz="4" w:space="0" w:color="auto"/>
              <w:right w:val="single" w:sz="4" w:space="0" w:color="auto"/>
            </w:tcBorders>
            <w:vAlign w:val="center"/>
          </w:tcPr>
          <w:p w:rsidR="00DD7E64" w:rsidRPr="00FC537F" w:rsidRDefault="00FC537F" w:rsidP="00203EE0">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387" w:type="pct"/>
            <w:tcBorders>
              <w:top w:val="single" w:sz="4" w:space="0" w:color="auto"/>
              <w:left w:val="single" w:sz="4" w:space="0" w:color="auto"/>
              <w:bottom w:val="single" w:sz="4" w:space="0" w:color="auto"/>
              <w:right w:val="single" w:sz="4" w:space="0" w:color="auto"/>
            </w:tcBorders>
            <w:vAlign w:val="center"/>
          </w:tcPr>
          <w:p w:rsidR="00DD7E64" w:rsidRPr="00FC537F" w:rsidRDefault="00FC537F" w:rsidP="00203EE0">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r>
      <w:tr w:rsidR="00DD7E64" w:rsidRPr="00DD7E64" w:rsidTr="00203EE0">
        <w:tc>
          <w:tcPr>
            <w:tcW w:w="795" w:type="pct"/>
            <w:tcBorders>
              <w:top w:val="single" w:sz="4" w:space="0" w:color="auto"/>
              <w:left w:val="single" w:sz="4" w:space="0" w:color="auto"/>
              <w:bottom w:val="single" w:sz="4" w:space="0" w:color="auto"/>
            </w:tcBorders>
            <w:vAlign w:val="center"/>
          </w:tcPr>
          <w:p w:rsidR="00DD7E64" w:rsidRPr="00DD7E64" w:rsidRDefault="00DD7E64" w:rsidP="00203EE0">
            <w:pPr>
              <w:jc w:val="left"/>
              <w:rPr>
                <w:rFonts w:ascii="Arial Narrow" w:hAnsi="Arial Narrow"/>
                <w:sz w:val="20"/>
                <w:szCs w:val="20"/>
              </w:rPr>
            </w:pPr>
            <w:r w:rsidRPr="00DD7E64">
              <w:rPr>
                <w:rFonts w:ascii="Arial Narrow" w:hAnsi="Arial Narrow" w:cs="Times New Roman"/>
                <w:bCs/>
                <w:sz w:val="20"/>
                <w:szCs w:val="20"/>
              </w:rPr>
              <w:t>CAD &amp; HF</w:t>
            </w:r>
          </w:p>
        </w:tc>
        <w:tc>
          <w:tcPr>
            <w:tcW w:w="1402" w:type="pct"/>
            <w:tcBorders>
              <w:top w:val="single" w:sz="4" w:space="0" w:color="auto"/>
              <w:left w:val="single" w:sz="4" w:space="0" w:color="auto"/>
              <w:bottom w:val="single" w:sz="4" w:space="0" w:color="auto"/>
              <w:right w:val="single" w:sz="4" w:space="0" w:color="auto"/>
            </w:tcBorders>
            <w:vAlign w:val="center"/>
          </w:tcPr>
          <w:p w:rsidR="00DD7E64" w:rsidRPr="00FC537F" w:rsidRDefault="00FC537F" w:rsidP="00203EE0">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416" w:type="pct"/>
            <w:tcBorders>
              <w:top w:val="single" w:sz="4" w:space="0" w:color="auto"/>
              <w:left w:val="single" w:sz="4" w:space="0" w:color="auto"/>
              <w:bottom w:val="single" w:sz="4" w:space="0" w:color="auto"/>
              <w:right w:val="single" w:sz="4" w:space="0" w:color="auto"/>
            </w:tcBorders>
            <w:vAlign w:val="center"/>
          </w:tcPr>
          <w:p w:rsidR="00DD7E64" w:rsidRPr="00FC537F" w:rsidRDefault="00FC537F" w:rsidP="00203EE0">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387" w:type="pct"/>
            <w:tcBorders>
              <w:top w:val="single" w:sz="4" w:space="0" w:color="auto"/>
              <w:left w:val="single" w:sz="4" w:space="0" w:color="auto"/>
              <w:bottom w:val="single" w:sz="4" w:space="0" w:color="auto"/>
              <w:right w:val="single" w:sz="4" w:space="0" w:color="auto"/>
            </w:tcBorders>
            <w:vAlign w:val="center"/>
          </w:tcPr>
          <w:p w:rsidR="00DD7E64" w:rsidRPr="00FC537F" w:rsidRDefault="00FC537F" w:rsidP="00203EE0">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r>
      <w:tr w:rsidR="00DD7E64" w:rsidRPr="00DD7E64" w:rsidTr="00203EE0">
        <w:tc>
          <w:tcPr>
            <w:tcW w:w="795" w:type="pct"/>
            <w:tcBorders>
              <w:top w:val="single" w:sz="4" w:space="0" w:color="auto"/>
              <w:left w:val="single" w:sz="4" w:space="0" w:color="auto"/>
              <w:bottom w:val="single" w:sz="4" w:space="0" w:color="auto"/>
            </w:tcBorders>
            <w:vAlign w:val="center"/>
          </w:tcPr>
          <w:p w:rsidR="00DD7E64" w:rsidRPr="00DD7E64" w:rsidRDefault="00DD7E64" w:rsidP="00203EE0">
            <w:pPr>
              <w:jc w:val="left"/>
              <w:rPr>
                <w:rFonts w:ascii="Arial Narrow" w:hAnsi="Arial Narrow"/>
                <w:sz w:val="20"/>
                <w:szCs w:val="20"/>
              </w:rPr>
            </w:pPr>
            <w:r w:rsidRPr="00DD7E64">
              <w:rPr>
                <w:rFonts w:ascii="Arial Narrow" w:hAnsi="Arial Narrow" w:cs="Times New Roman"/>
                <w:bCs/>
                <w:sz w:val="20"/>
                <w:szCs w:val="20"/>
              </w:rPr>
              <w:t>CAD &amp; CKD</w:t>
            </w:r>
          </w:p>
        </w:tc>
        <w:tc>
          <w:tcPr>
            <w:tcW w:w="1402" w:type="pct"/>
            <w:tcBorders>
              <w:top w:val="single" w:sz="4" w:space="0" w:color="auto"/>
              <w:left w:val="single" w:sz="4" w:space="0" w:color="auto"/>
              <w:bottom w:val="single" w:sz="4" w:space="0" w:color="auto"/>
              <w:right w:val="single" w:sz="4" w:space="0" w:color="auto"/>
            </w:tcBorders>
            <w:vAlign w:val="center"/>
          </w:tcPr>
          <w:p w:rsidR="00DD7E64" w:rsidRPr="00FC537F" w:rsidRDefault="00FC537F" w:rsidP="00203EE0">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416" w:type="pct"/>
            <w:tcBorders>
              <w:top w:val="single" w:sz="4" w:space="0" w:color="auto"/>
              <w:left w:val="single" w:sz="4" w:space="0" w:color="auto"/>
              <w:bottom w:val="single" w:sz="4" w:space="0" w:color="auto"/>
              <w:right w:val="single" w:sz="4" w:space="0" w:color="auto"/>
            </w:tcBorders>
            <w:vAlign w:val="center"/>
          </w:tcPr>
          <w:p w:rsidR="00DD7E64" w:rsidRPr="00FC537F" w:rsidRDefault="00FC537F" w:rsidP="00203EE0">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1387" w:type="pct"/>
            <w:tcBorders>
              <w:top w:val="single" w:sz="4" w:space="0" w:color="auto"/>
              <w:left w:val="single" w:sz="4" w:space="0" w:color="auto"/>
              <w:bottom w:val="single" w:sz="4" w:space="0" w:color="auto"/>
              <w:right w:val="single" w:sz="4" w:space="0" w:color="auto"/>
            </w:tcBorders>
            <w:vAlign w:val="center"/>
          </w:tcPr>
          <w:p w:rsidR="00DD7E64" w:rsidRPr="00FC537F" w:rsidRDefault="00FC537F" w:rsidP="00203EE0">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r>
    </w:tbl>
    <w:p w:rsidR="00C7324E" w:rsidRDefault="00773089" w:rsidP="00C7324E">
      <w:pPr>
        <w:pStyle w:val="TableFooter"/>
        <w:widowControl/>
      </w:pPr>
      <w:r>
        <w:t xml:space="preserve">Source: </w:t>
      </w:r>
      <w:r w:rsidR="00C7324E" w:rsidRPr="00C7324E">
        <w:t>Table 2.6-1</w:t>
      </w:r>
      <w:r w:rsidR="00C7324E">
        <w:t>, p 145, Table 2.6-2, p 146</w:t>
      </w:r>
      <w:r w:rsidR="00C7324E" w:rsidRPr="00C7324E">
        <w:t>, Table 2.6-9</w:t>
      </w:r>
      <w:r w:rsidR="00C7324E">
        <w:t xml:space="preserve">, p 153, Table 2.6-12, p 168 </w:t>
      </w:r>
      <w:r w:rsidR="00C7324E" w:rsidRPr="00C7324E">
        <w:t>of the resubmission; Table 9-2 of the COMPASS trial report</w:t>
      </w:r>
      <w:r w:rsidR="00C7324E">
        <w:t>; COMPASS additional HEOR subgroup analyses, Appendix 5 of the resubmission</w:t>
      </w:r>
    </w:p>
    <w:p w:rsidR="00773089" w:rsidRDefault="00C7324E" w:rsidP="00C7324E">
      <w:pPr>
        <w:pStyle w:val="TableFooter"/>
        <w:widowControl/>
      </w:pPr>
      <w:r>
        <w:t>Abbreviations: CAD, coronary artery disease; CKD, chronic kidney disease; HF, heart failure; ITT, intention to treat; PAD, peripheral artery disease</w:t>
      </w:r>
    </w:p>
    <w:p w:rsidR="00C7324E" w:rsidRDefault="00C7324E" w:rsidP="00C7324E">
      <w:pPr>
        <w:pStyle w:val="TableFooter"/>
        <w:widowControl/>
      </w:pPr>
    </w:p>
    <w:p w:rsidR="003C4C1E" w:rsidRDefault="003C4C1E" w:rsidP="003C4C1E">
      <w:pPr>
        <w:pStyle w:val="ExecSumBodyText"/>
      </w:pPr>
      <w:r>
        <w:t xml:space="preserve">On the basis of direct evidence presented in the resubmission, every 1000 patients with stable atherosclerotic disease who have </w:t>
      </w:r>
      <w:r w:rsidR="00B45C4F">
        <w:t>PAD</w:t>
      </w:r>
      <w:r w:rsidR="006701D6">
        <w:t xml:space="preserve">, </w:t>
      </w:r>
      <w:r w:rsidR="00B45C4F">
        <w:t>CAD and PAD</w:t>
      </w:r>
      <w:r w:rsidR="006701D6">
        <w:t>,</w:t>
      </w:r>
      <w:r>
        <w:t xml:space="preserve"> </w:t>
      </w:r>
      <w:r w:rsidR="006701D6">
        <w:t xml:space="preserve">CAD &amp; HF, </w:t>
      </w:r>
      <w:r>
        <w:t xml:space="preserve">or </w:t>
      </w:r>
      <w:r w:rsidR="006701D6">
        <w:t>CAD &amp; CKD,</w:t>
      </w:r>
      <w:r>
        <w:t xml:space="preserve"> who are treated with low dose rivaroxaban and aspirin compared with aspirin over mean duration of 1.84 years would result in:</w:t>
      </w:r>
    </w:p>
    <w:p w:rsidR="003C4C1E" w:rsidRDefault="003C4C1E" w:rsidP="00BD1BEC">
      <w:pPr>
        <w:pStyle w:val="ExecSumBodyText"/>
        <w:numPr>
          <w:ilvl w:val="1"/>
          <w:numId w:val="15"/>
        </w:numPr>
        <w:ind w:left="1066" w:hanging="357"/>
        <w:contextualSpacing/>
      </w:pPr>
      <w:r>
        <w:lastRenderedPageBreak/>
        <w:t xml:space="preserve">Approximately </w:t>
      </w:r>
      <w:r w:rsidR="00FC537F">
        <w:rPr>
          <w:noProof/>
          <w:color w:val="000000"/>
          <w:highlight w:val="black"/>
        </w:rPr>
        <w:t>'''''</w:t>
      </w:r>
      <w:r>
        <w:t xml:space="preserve"> fewer patients with a major adverse cardiovascular event (myocardial infarction, any stroke or cardiovascular death), primarily due to a difference in ischaemic stroke events</w:t>
      </w:r>
      <w:r w:rsidR="006701D6">
        <w:t>;</w:t>
      </w:r>
    </w:p>
    <w:p w:rsidR="003C4C1E" w:rsidRDefault="003C4C1E" w:rsidP="00BD1BEC">
      <w:pPr>
        <w:pStyle w:val="ExecSumBodyText"/>
        <w:numPr>
          <w:ilvl w:val="1"/>
          <w:numId w:val="15"/>
        </w:numPr>
        <w:ind w:left="1066" w:hanging="357"/>
        <w:contextualSpacing/>
      </w:pPr>
      <w:r>
        <w:t xml:space="preserve">Approximately </w:t>
      </w:r>
      <w:r w:rsidR="00FC537F">
        <w:rPr>
          <w:noProof/>
          <w:color w:val="000000"/>
          <w:highlight w:val="black"/>
        </w:rPr>
        <w:t>'''</w:t>
      </w:r>
      <w:r>
        <w:t xml:space="preserve"> fewer patients with an acute limb-threatening ischaemic event requiring medical intervention (pharmaco</w:t>
      </w:r>
      <w:r w:rsidR="006701D6">
        <w:t>logical, surgery or amputation);</w:t>
      </w:r>
    </w:p>
    <w:p w:rsidR="003C4C1E" w:rsidRDefault="003C4C1E" w:rsidP="00BD1BEC">
      <w:pPr>
        <w:pStyle w:val="ExecSumBodyText"/>
        <w:numPr>
          <w:ilvl w:val="1"/>
          <w:numId w:val="15"/>
        </w:numPr>
        <w:spacing w:after="240"/>
        <w:ind w:left="1066" w:hanging="357"/>
      </w:pPr>
      <w:r>
        <w:t xml:space="preserve">Approximately </w:t>
      </w:r>
      <w:r w:rsidR="00FC537F">
        <w:rPr>
          <w:noProof/>
          <w:color w:val="000000"/>
          <w:highlight w:val="black"/>
        </w:rPr>
        <w:t>'''''</w:t>
      </w:r>
      <w:r>
        <w:t xml:space="preserve"> more patients with a major bleeding event (fatal or non-fatal bleeding requiring hospitalisation)</w:t>
      </w:r>
      <w:r w:rsidR="006701D6">
        <w:t>.</w:t>
      </w:r>
    </w:p>
    <w:p w:rsidR="00B60939" w:rsidRPr="00C9624D" w:rsidRDefault="00B60939" w:rsidP="00E9094A">
      <w:pPr>
        <w:pStyle w:val="3-SubsectionHeading"/>
      </w:pPr>
      <w:bookmarkStart w:id="19" w:name="_Toc22897644"/>
      <w:bookmarkStart w:id="20" w:name="_Toc27421954"/>
      <w:r w:rsidRPr="00C9624D">
        <w:t>Clinical claim</w:t>
      </w:r>
      <w:bookmarkEnd w:id="19"/>
      <w:bookmarkEnd w:id="20"/>
    </w:p>
    <w:p w:rsidR="00477F1A" w:rsidRPr="001B30AA" w:rsidRDefault="00477F1A" w:rsidP="00477F1A">
      <w:pPr>
        <w:pStyle w:val="ExecSumBodyText"/>
      </w:pPr>
      <w:r w:rsidRPr="000B6B6A">
        <w:t xml:space="preserve">The resubmission described rivaroxaban in combination with aspirin as superior in terms of efficacy and inferior in </w:t>
      </w:r>
      <w:r w:rsidRPr="00FA5C16">
        <w:t xml:space="preserve">terms of safety compared with aspirin monotherapy in the pooled target population. </w:t>
      </w:r>
      <w:r w:rsidR="00A37AD7" w:rsidRPr="00FA5C16">
        <w:t>The ESC considered t</w:t>
      </w:r>
      <w:r w:rsidRPr="00FA5C16">
        <w:t xml:space="preserve">his claim was reasonable and consistent with the previous claim for the broader PAD and/or CAD </w:t>
      </w:r>
      <w:r w:rsidRPr="001B30AA">
        <w:t xml:space="preserve">population, which was accepted by the PBAC at the March 2019 meeting (paragraph 7.7, Rivaroxaban Public Summary Document, March 2019 PBAC meeting). </w:t>
      </w:r>
    </w:p>
    <w:p w:rsidR="00A63699" w:rsidRDefault="00477F1A" w:rsidP="00A63699">
      <w:pPr>
        <w:pStyle w:val="ExecSumBodyText"/>
      </w:pPr>
      <w:r w:rsidRPr="001B30AA">
        <w:t xml:space="preserve">The PBAC previously considered that the magnitude of the clinical benefit was likely to have been overestimated in the trial (due to the premature stopping of the trial) and may not be reflected in clinical practice (due to potential differences between the trial population and likely PBS population in terms of: baseline risk; and compliance to rivaroxaban plus aspirin). </w:t>
      </w:r>
    </w:p>
    <w:p w:rsidR="00A63699" w:rsidRDefault="00A63699" w:rsidP="00C72A7E">
      <w:pPr>
        <w:pStyle w:val="ExecSumBodyText"/>
      </w:pPr>
      <w:r>
        <w:t xml:space="preserve">The resubmission claimed that the revised pooled target population, which has a higher risk than the ITT population, would increase the absolute benefit associated with using rivaroxaban with aspirin compared to aspirin alone, and that this is achieved without an increase in the risk of major bleeding compared with the ITT population. </w:t>
      </w:r>
    </w:p>
    <w:p w:rsidR="001B30AA" w:rsidRDefault="00477F1A" w:rsidP="00C72A7E">
      <w:pPr>
        <w:pStyle w:val="ExecSumBodyText"/>
      </w:pPr>
      <w:r>
        <w:t>Overall, the resubmission claimed that the pooled target population had a better risk-</w:t>
      </w:r>
      <w:r w:rsidRPr="000B6B6A">
        <w:t xml:space="preserve">benefit profile </w:t>
      </w:r>
      <w:r w:rsidR="001C4355">
        <w:t>than</w:t>
      </w:r>
      <w:r w:rsidRPr="000B6B6A">
        <w:t xml:space="preserve"> the ITT population. </w:t>
      </w:r>
      <w:r w:rsidR="001B30AA">
        <w:t xml:space="preserve">The ESC considered </w:t>
      </w:r>
      <w:r w:rsidR="00C72A7E">
        <w:t>that this may</w:t>
      </w:r>
      <w:r w:rsidR="001B30AA">
        <w:t xml:space="preserve"> not have been reasonable as the PAD only population had a less favourable risk-benefit profile </w:t>
      </w:r>
      <w:r w:rsidR="001A35DD">
        <w:t>than</w:t>
      </w:r>
      <w:r w:rsidR="001B30AA">
        <w:t xml:space="preserve"> the other subgroups and the ITT. However, the PBAC noted that the pre-PBAC response</w:t>
      </w:r>
      <w:r w:rsidR="008547C6">
        <w:t xml:space="preserve"> </w:t>
      </w:r>
      <w:r w:rsidR="001B30AA">
        <w:t>had further refined the PAD population to include higher risk patients</w:t>
      </w:r>
      <w:r w:rsidR="00C72A7E">
        <w:t xml:space="preserve"> as per the ESC’s advice</w:t>
      </w:r>
      <w:r w:rsidR="001B30AA">
        <w:t xml:space="preserve">. </w:t>
      </w:r>
      <w:r w:rsidR="00C72A7E">
        <w:t>Although the</w:t>
      </w:r>
      <w:r w:rsidR="001B30AA">
        <w:t xml:space="preserve"> pre</w:t>
      </w:r>
      <w:r w:rsidR="00C72A7E">
        <w:t>-PBAC response</w:t>
      </w:r>
      <w:r w:rsidR="00781E5D">
        <w:t xml:space="preserve"> </w:t>
      </w:r>
      <w:r w:rsidR="00C72A7E">
        <w:t xml:space="preserve">stated that </w:t>
      </w:r>
      <w:r w:rsidR="001B30AA">
        <w:t>clinical efficacy data were not available for the new higher r</w:t>
      </w:r>
      <w:r w:rsidR="00C72A7E">
        <w:t>isk PAD subgroup population, t</w:t>
      </w:r>
      <w:r w:rsidR="001B30AA">
        <w:t xml:space="preserve">he PBAC </w:t>
      </w:r>
      <w:r w:rsidR="00C72A7E">
        <w:t>accepted</w:t>
      </w:r>
      <w:r w:rsidR="00391B8B">
        <w:t xml:space="preserve"> the revised PAD population</w:t>
      </w:r>
      <w:r w:rsidR="00C72A7E">
        <w:t xml:space="preserve"> </w:t>
      </w:r>
      <w:r w:rsidR="001B30AA">
        <w:t>would likely have</w:t>
      </w:r>
      <w:r w:rsidR="00C72A7E">
        <w:t xml:space="preserve"> a</w:t>
      </w:r>
      <w:r w:rsidR="001B30AA">
        <w:t xml:space="preserve"> </w:t>
      </w:r>
      <w:r w:rsidR="00391B8B">
        <w:t xml:space="preserve">more favourable </w:t>
      </w:r>
      <w:r w:rsidR="001B30AA" w:rsidRPr="00803F0B">
        <w:t xml:space="preserve">risk-benefit profile </w:t>
      </w:r>
      <w:r w:rsidR="00391B8B">
        <w:t>than</w:t>
      </w:r>
      <w:r w:rsidR="001B30AA" w:rsidRPr="00803F0B">
        <w:t xml:space="preserve"> the ITT population</w:t>
      </w:r>
      <w:r w:rsidR="00C72A7E">
        <w:t xml:space="preserve">. </w:t>
      </w:r>
    </w:p>
    <w:p w:rsidR="00477F1A" w:rsidRPr="00DA2857" w:rsidRDefault="00477F1A" w:rsidP="006A004A">
      <w:pPr>
        <w:pStyle w:val="ExecSumBodyText"/>
      </w:pPr>
      <w:r w:rsidRPr="000B6B6A">
        <w:t xml:space="preserve">The clinical claim in the high-risk subgroups is based on some outcomes with very low event rates, due to both the premature stopping of the COMPASS trial, and the numbers of patients in each subgroup. </w:t>
      </w:r>
      <w:r w:rsidRPr="001B30AA">
        <w:t xml:space="preserve">Further, </w:t>
      </w:r>
      <w:r w:rsidR="00BB347F">
        <w:t>many of the analyses were</w:t>
      </w:r>
      <w:r w:rsidR="00BB347F" w:rsidRPr="00BB347F">
        <w:t xml:space="preserve"> </w:t>
      </w:r>
      <w:r w:rsidR="00BB347F" w:rsidRPr="000B6B6A">
        <w:t>specified post hoc</w:t>
      </w:r>
      <w:r w:rsidR="00BB347F">
        <w:t xml:space="preserve">, </w:t>
      </w:r>
      <w:r w:rsidRPr="001B30AA">
        <w:t>no treatment by subgroup tests for interaction were run and no correction was applied for multiplicity despite a very high number of statistical tests being run to support the clinical claim.</w:t>
      </w:r>
      <w:r w:rsidR="00B64EFA" w:rsidRPr="001B30AA">
        <w:t xml:space="preserve"> The ESC </w:t>
      </w:r>
      <w:r w:rsidR="006A004A" w:rsidRPr="001B30AA">
        <w:t xml:space="preserve">acknowledged the PSCR’s claim that subgroup analyses were necessary in order to target use to patients who are likely to achieve </w:t>
      </w:r>
      <w:r w:rsidR="006A004A" w:rsidRPr="001B30AA">
        <w:lastRenderedPageBreak/>
        <w:t>the most favourable risk-benefit profile</w:t>
      </w:r>
      <w:r w:rsidR="003E327B" w:rsidRPr="001B30AA">
        <w:t>, but</w:t>
      </w:r>
      <w:r w:rsidR="00B64EFA" w:rsidRPr="001B30AA">
        <w:t xml:space="preserve"> considered that the results of these subgroup </w:t>
      </w:r>
      <w:r w:rsidR="003E327B" w:rsidRPr="001B30AA">
        <w:t>analyse</w:t>
      </w:r>
      <w:r w:rsidR="00B64EFA" w:rsidRPr="001B30AA">
        <w:t>s must be interpreted with caution.</w:t>
      </w:r>
    </w:p>
    <w:p w:rsidR="007601CC" w:rsidRDefault="003E327B" w:rsidP="007601CC">
      <w:pPr>
        <w:pStyle w:val="ExecSumBodyText"/>
      </w:pPr>
      <w:r w:rsidRPr="00DA2857">
        <w:t>The evaluation considered i</w:t>
      </w:r>
      <w:r w:rsidR="00477F1A" w:rsidRPr="00DA2857">
        <w:t xml:space="preserve">t was unclear whether the baseline risk in the COMPASS trial population subgroups would be similar to the target Australian population, as comparisons in the submission identified a number of potential differences in cardiovascular/bleeding risk factors (e.g. history of prior stroke, MI, coronary revascularisation, diabetes, </w:t>
      </w:r>
      <w:r w:rsidR="00877554" w:rsidRPr="00DA2857">
        <w:t>etc.</w:t>
      </w:r>
      <w:r w:rsidR="00477F1A" w:rsidRPr="00DA2857">
        <w:t>). As a consequence it is unclear whether similar absolute treatment benefit would be observed in the Australian population.</w:t>
      </w:r>
      <w:r w:rsidR="00B64EFA" w:rsidRPr="00DA2857">
        <w:t xml:space="preserve"> </w:t>
      </w:r>
    </w:p>
    <w:p w:rsidR="00C3540D" w:rsidRDefault="00C3540D" w:rsidP="00C3540D">
      <w:pPr>
        <w:pStyle w:val="ExecSumBodyText"/>
      </w:pPr>
      <w:r>
        <w:t xml:space="preserve">The PBAC </w:t>
      </w:r>
      <w:r w:rsidR="00BB347F">
        <w:t>reiterated its previous consideration</w:t>
      </w:r>
      <w:r>
        <w:t xml:space="preserve"> that the claim of superior comparative effectiveness of rivaroxaban in combination with aspirin versus aspirin alone was reasonable, but that the magnitude of the benefit </w:t>
      </w:r>
      <w:r w:rsidR="00D03591">
        <w:t xml:space="preserve">in the proposed PBS population </w:t>
      </w:r>
      <w:r>
        <w:t xml:space="preserve">was uncertain. </w:t>
      </w:r>
    </w:p>
    <w:p w:rsidR="00C3540D" w:rsidRDefault="00C3540D" w:rsidP="00C3540D">
      <w:pPr>
        <w:pStyle w:val="ExecSumBodyText"/>
      </w:pPr>
      <w:r>
        <w:t xml:space="preserve">The PBAC </w:t>
      </w:r>
      <w:r w:rsidR="00BB347F">
        <w:t xml:space="preserve">reiterated its previous consideration </w:t>
      </w:r>
      <w:r w:rsidRPr="00C3540D">
        <w:rPr>
          <w:szCs w:val="20"/>
        </w:rPr>
        <w:t xml:space="preserve">that the claim of inferior comparative safety of rivaroxaban in combination versus aspirin alone was reasonable. However, the PBAC considered that the magnitude of the risk of bleeding was uncertain, noting that the risk was likely to vary depending on age, renal function, baseline risk and co-morbidities. </w:t>
      </w:r>
    </w:p>
    <w:p w:rsidR="007D0D4C" w:rsidRPr="00C9624D" w:rsidRDefault="007D0D4C" w:rsidP="007D0D4C">
      <w:pPr>
        <w:pStyle w:val="3-SubsectionHeading"/>
      </w:pPr>
      <w:bookmarkStart w:id="21" w:name="_Toc27421955"/>
      <w:bookmarkStart w:id="22" w:name="_Toc22897645"/>
      <w:r w:rsidRPr="00C9624D">
        <w:t>Economic analysis</w:t>
      </w:r>
      <w:bookmarkEnd w:id="21"/>
      <w:r w:rsidRPr="00C9624D">
        <w:t xml:space="preserve"> </w:t>
      </w:r>
    </w:p>
    <w:p w:rsidR="007D0D4C" w:rsidRPr="000B6B6A" w:rsidRDefault="007D0D4C" w:rsidP="007D0D4C">
      <w:pPr>
        <w:pStyle w:val="ExecSumBodyText"/>
        <w:numPr>
          <w:ilvl w:val="1"/>
          <w:numId w:val="1"/>
        </w:numPr>
        <w:rPr>
          <w:b/>
          <w:bCs/>
          <w:lang w:val="en-US"/>
        </w:rPr>
      </w:pPr>
      <w:r w:rsidRPr="00C4493C">
        <w:rPr>
          <w:bCs/>
          <w:lang w:val="en-US"/>
        </w:rPr>
        <w:t>T</w:t>
      </w:r>
      <w:r w:rsidRPr="000B6B6A">
        <w:rPr>
          <w:bCs/>
          <w:lang w:val="en-US"/>
        </w:rPr>
        <w:t>he resubmission presented a stepped economic evaluation of the additive effects of using rivaroxaban with aspirin compared to aspirin alone for the prevention of atherothrombotic events in patients at high cardiovascular risk. The economic evaluation was based on a direct</w:t>
      </w:r>
      <w:r w:rsidRPr="00A42106">
        <w:rPr>
          <w:bCs/>
        </w:rPr>
        <w:t xml:space="preserve"> randomised</w:t>
      </w:r>
      <w:r w:rsidRPr="000B6B6A">
        <w:rPr>
          <w:bCs/>
          <w:lang w:val="en-US"/>
        </w:rPr>
        <w:t xml:space="preserve"> trial (COMPASS) with additional modelled data. The economic evaluation was presented as a cost-effectiveness/cost-utility analysis</w:t>
      </w:r>
      <w:r w:rsidRPr="000B6B6A">
        <w:rPr>
          <w:b/>
          <w:bCs/>
          <w:lang w:val="en-US"/>
        </w:rPr>
        <w:t>.</w:t>
      </w:r>
    </w:p>
    <w:p w:rsidR="007D0D4C" w:rsidRPr="00980F82" w:rsidRDefault="007D0D4C" w:rsidP="007D0D4C">
      <w:pPr>
        <w:pStyle w:val="ExecSumBodyText"/>
        <w:numPr>
          <w:ilvl w:val="1"/>
          <w:numId w:val="1"/>
        </w:numPr>
        <w:rPr>
          <w:i/>
          <w:lang w:val="en-US"/>
        </w:rPr>
      </w:pPr>
      <w:r w:rsidRPr="000B6B6A">
        <w:rPr>
          <w:lang w:val="en-US"/>
        </w:rPr>
        <w:t xml:space="preserve">The current resubmission substantially revised the economic analyses compared to the analysis presented in the March 2019 submission with major changes to: model structure/computational method (switch to microsimulation model), transition probabilities (removed risk multipliers, included non-cardiovascular death </w:t>
      </w:r>
      <w:r w:rsidRPr="000B6B6A">
        <w:rPr>
          <w:bCs/>
          <w:lang w:val="en-US"/>
        </w:rPr>
        <w:t>in addition to background mortality</w:t>
      </w:r>
      <w:r w:rsidRPr="000B6B6A">
        <w:rPr>
          <w:lang w:val="en-US"/>
        </w:rPr>
        <w:t>, reduced the number of possible transitions), treatment effects (included a non-cardiovascular death treatment effect, convergence of treatment effect) and measures of compliance (included treatment persistence and interruptions). Other changes were also made to the patient population, costs and utility values.</w:t>
      </w:r>
    </w:p>
    <w:p w:rsidR="007D0D4C" w:rsidRPr="00641FB3" w:rsidRDefault="007D0D4C" w:rsidP="007D0D4C">
      <w:pPr>
        <w:pStyle w:val="TableFigureCaption"/>
      </w:pPr>
      <w:r w:rsidRPr="00641FB3">
        <w:lastRenderedPageBreak/>
        <w:t xml:space="preserve">Table </w:t>
      </w:r>
      <w:r w:rsidR="00203EE0">
        <w:t>11</w:t>
      </w:r>
      <w:r w:rsidRPr="00641FB3">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95"/>
        <w:gridCol w:w="7322"/>
      </w:tblGrid>
      <w:tr w:rsidR="007D0D4C" w:rsidRPr="003D1DE4" w:rsidTr="00F445BE">
        <w:trPr>
          <w:tblHeader/>
        </w:trPr>
        <w:tc>
          <w:tcPr>
            <w:tcW w:w="940" w:type="pct"/>
            <w:shd w:val="clear" w:color="auto" w:fill="auto"/>
            <w:vAlign w:val="center"/>
          </w:tcPr>
          <w:p w:rsidR="007D0D4C" w:rsidRPr="00641FB3" w:rsidRDefault="007D0D4C" w:rsidP="007D0D4C">
            <w:pPr>
              <w:pStyle w:val="Tableheadingrow"/>
            </w:pPr>
            <w:r w:rsidRPr="00641FB3">
              <w:t>Component</w:t>
            </w:r>
          </w:p>
        </w:tc>
        <w:tc>
          <w:tcPr>
            <w:tcW w:w="4060" w:type="pct"/>
            <w:shd w:val="clear" w:color="auto" w:fill="auto"/>
            <w:vAlign w:val="center"/>
          </w:tcPr>
          <w:p w:rsidR="007D0D4C" w:rsidRPr="00641FB3" w:rsidRDefault="007D0D4C" w:rsidP="007D0D4C">
            <w:pPr>
              <w:pStyle w:val="Tableheadingrow"/>
            </w:pPr>
            <w:r w:rsidRPr="00641FB3">
              <w:t>Summary</w:t>
            </w:r>
          </w:p>
        </w:tc>
      </w:tr>
      <w:tr w:rsidR="007D0D4C" w:rsidRPr="00E2771E" w:rsidTr="00F445BE">
        <w:tc>
          <w:tcPr>
            <w:tcW w:w="940" w:type="pct"/>
            <w:shd w:val="clear" w:color="auto" w:fill="auto"/>
            <w:vAlign w:val="center"/>
          </w:tcPr>
          <w:p w:rsidR="007D0D4C" w:rsidRPr="00DA2857" w:rsidRDefault="007D0D4C" w:rsidP="007D0D4C">
            <w:pPr>
              <w:pStyle w:val="TableText"/>
            </w:pPr>
            <w:r w:rsidRPr="00DA2857">
              <w:t>Treatments</w:t>
            </w:r>
          </w:p>
        </w:tc>
        <w:tc>
          <w:tcPr>
            <w:tcW w:w="4060" w:type="pct"/>
            <w:shd w:val="clear" w:color="auto" w:fill="auto"/>
            <w:vAlign w:val="center"/>
          </w:tcPr>
          <w:p w:rsidR="007D0D4C" w:rsidRPr="00DA2857" w:rsidRDefault="007D0D4C" w:rsidP="007D0D4C">
            <w:pPr>
              <w:pStyle w:val="TableText"/>
            </w:pPr>
            <w:r w:rsidRPr="00DA2857">
              <w:t>Low dose rivaroxaban with aspirin; aspirin alone</w:t>
            </w:r>
          </w:p>
        </w:tc>
      </w:tr>
      <w:tr w:rsidR="007D0D4C" w:rsidRPr="00E2771E" w:rsidTr="00F445BE">
        <w:tc>
          <w:tcPr>
            <w:tcW w:w="940" w:type="pct"/>
            <w:shd w:val="clear" w:color="auto" w:fill="auto"/>
            <w:vAlign w:val="center"/>
          </w:tcPr>
          <w:p w:rsidR="007D0D4C" w:rsidRPr="00DA2857" w:rsidRDefault="007D0D4C" w:rsidP="007D0D4C">
            <w:pPr>
              <w:pStyle w:val="TableText"/>
            </w:pPr>
            <w:r w:rsidRPr="00DA2857">
              <w:t>Time horizon</w:t>
            </w:r>
          </w:p>
        </w:tc>
        <w:tc>
          <w:tcPr>
            <w:tcW w:w="4060" w:type="pct"/>
            <w:shd w:val="clear" w:color="auto" w:fill="auto"/>
            <w:vAlign w:val="center"/>
          </w:tcPr>
          <w:p w:rsidR="007D0D4C" w:rsidRPr="00DA2857" w:rsidRDefault="007D0D4C" w:rsidP="007D0D4C">
            <w:pPr>
              <w:pStyle w:val="TableText"/>
            </w:pPr>
            <w:r w:rsidRPr="00DA2857">
              <w:t>30 years (lifetime)</w:t>
            </w:r>
            <w:r w:rsidR="007F1CFF" w:rsidRPr="00DA2857">
              <w:t xml:space="preserve">. The ESC considered this was reasonable. </w:t>
            </w:r>
          </w:p>
        </w:tc>
      </w:tr>
      <w:tr w:rsidR="007D0D4C" w:rsidRPr="00E2771E" w:rsidTr="00F445BE">
        <w:tc>
          <w:tcPr>
            <w:tcW w:w="940" w:type="pct"/>
            <w:shd w:val="clear" w:color="auto" w:fill="auto"/>
            <w:vAlign w:val="center"/>
          </w:tcPr>
          <w:p w:rsidR="007D0D4C" w:rsidRPr="00DA2857" w:rsidRDefault="007D0D4C" w:rsidP="007D0D4C">
            <w:pPr>
              <w:pStyle w:val="TableText"/>
            </w:pPr>
            <w:r w:rsidRPr="00DA2857">
              <w:t>Outcomes</w:t>
            </w:r>
          </w:p>
        </w:tc>
        <w:tc>
          <w:tcPr>
            <w:tcW w:w="4060" w:type="pct"/>
            <w:shd w:val="clear" w:color="auto" w:fill="auto"/>
            <w:vAlign w:val="center"/>
          </w:tcPr>
          <w:p w:rsidR="007D0D4C" w:rsidRPr="00DA2857" w:rsidRDefault="007D0D4C" w:rsidP="007D0D4C">
            <w:pPr>
              <w:pStyle w:val="TableText"/>
            </w:pPr>
            <w:r w:rsidRPr="00DA2857">
              <w:t>Major cardiovascular event avoided; life years; quality adjusted life years</w:t>
            </w:r>
          </w:p>
        </w:tc>
      </w:tr>
      <w:tr w:rsidR="007D0D4C" w:rsidRPr="00E2771E" w:rsidTr="00F445BE">
        <w:tc>
          <w:tcPr>
            <w:tcW w:w="940" w:type="pct"/>
            <w:shd w:val="clear" w:color="auto" w:fill="auto"/>
            <w:vAlign w:val="center"/>
          </w:tcPr>
          <w:p w:rsidR="007D0D4C" w:rsidRPr="00DA2857" w:rsidRDefault="007D0D4C" w:rsidP="007D0D4C">
            <w:pPr>
              <w:pStyle w:val="TableText"/>
            </w:pPr>
            <w:r w:rsidRPr="00DA2857">
              <w:t>Methods used to generate results</w:t>
            </w:r>
          </w:p>
        </w:tc>
        <w:tc>
          <w:tcPr>
            <w:tcW w:w="4060" w:type="pct"/>
            <w:shd w:val="clear" w:color="auto" w:fill="auto"/>
            <w:vAlign w:val="center"/>
          </w:tcPr>
          <w:p w:rsidR="007D0D4C" w:rsidRPr="00DA2857" w:rsidRDefault="007D0D4C" w:rsidP="00FC5E28">
            <w:pPr>
              <w:pStyle w:val="TableText"/>
            </w:pPr>
            <w:r w:rsidRPr="00DA2857">
              <w:t>Discrete event simulation model</w:t>
            </w:r>
            <w:r w:rsidR="007F1CFF" w:rsidRPr="00DA2857">
              <w:t>. The ESC considered this method was appropriate, but noted that it d</w:t>
            </w:r>
            <w:r w:rsidR="00FC5E28" w:rsidRPr="00DA2857">
              <w:t>id</w:t>
            </w:r>
            <w:r w:rsidR="007F1CFF" w:rsidRPr="00DA2857">
              <w:t xml:space="preserve"> not </w:t>
            </w:r>
            <w:r w:rsidR="00663934" w:rsidRPr="00DA2857">
              <w:t xml:space="preserve">adequately </w:t>
            </w:r>
            <w:r w:rsidR="007F1CFF" w:rsidRPr="00DA2857">
              <w:t>adjust for all baseline heterogeneity</w:t>
            </w:r>
            <w:r w:rsidR="00663934" w:rsidRPr="00DA2857">
              <w:t xml:space="preserve"> (</w:t>
            </w:r>
            <w:r w:rsidR="00FC5E28" w:rsidRPr="00DA2857">
              <w:t xml:space="preserve">it </w:t>
            </w:r>
            <w:r w:rsidR="00663934" w:rsidRPr="00DA2857">
              <w:t xml:space="preserve">only </w:t>
            </w:r>
            <w:r w:rsidR="00FC5E28" w:rsidRPr="00DA2857">
              <w:t>accounts for</w:t>
            </w:r>
            <w:r w:rsidR="00663934" w:rsidRPr="00DA2857">
              <w:t xml:space="preserve"> heterogeneity in baseline age and gender, and their impact on background mortality)</w:t>
            </w:r>
            <w:r w:rsidR="007F1CFF" w:rsidRPr="00DA2857">
              <w:t xml:space="preserve">. </w:t>
            </w:r>
          </w:p>
        </w:tc>
      </w:tr>
      <w:tr w:rsidR="007D0D4C" w:rsidRPr="00E2771E" w:rsidTr="00F445BE">
        <w:tc>
          <w:tcPr>
            <w:tcW w:w="940" w:type="pct"/>
            <w:shd w:val="clear" w:color="auto" w:fill="auto"/>
            <w:vAlign w:val="center"/>
          </w:tcPr>
          <w:p w:rsidR="007D0D4C" w:rsidRPr="00DA2857" w:rsidRDefault="007D0D4C" w:rsidP="007D0D4C">
            <w:pPr>
              <w:pStyle w:val="TableText"/>
            </w:pPr>
            <w:r w:rsidRPr="00DA2857">
              <w:t>Health states</w:t>
            </w:r>
          </w:p>
        </w:tc>
        <w:tc>
          <w:tcPr>
            <w:tcW w:w="4060" w:type="pct"/>
            <w:shd w:val="clear" w:color="auto" w:fill="auto"/>
            <w:vAlign w:val="center"/>
          </w:tcPr>
          <w:p w:rsidR="007D0D4C" w:rsidRPr="00DA2857" w:rsidRDefault="007D0D4C" w:rsidP="007D0D4C">
            <w:pPr>
              <w:pStyle w:val="TableText"/>
            </w:pPr>
            <w:r w:rsidRPr="00DA2857">
              <w:t>Alive health state and 7 death event states (MI death, IS death, ICH death, bleeding death, other CV death, non-CV death, background mortality death)</w:t>
            </w:r>
          </w:p>
        </w:tc>
      </w:tr>
      <w:tr w:rsidR="007D0D4C" w:rsidRPr="00E2771E" w:rsidTr="00F445BE">
        <w:tc>
          <w:tcPr>
            <w:tcW w:w="940" w:type="pct"/>
            <w:shd w:val="clear" w:color="auto" w:fill="auto"/>
            <w:vAlign w:val="center"/>
          </w:tcPr>
          <w:p w:rsidR="007D0D4C" w:rsidRPr="00DA2857" w:rsidRDefault="007D0D4C" w:rsidP="007D0D4C">
            <w:pPr>
              <w:pStyle w:val="TableText"/>
            </w:pPr>
            <w:r w:rsidRPr="00DA2857">
              <w:t>Cycle length</w:t>
            </w:r>
          </w:p>
        </w:tc>
        <w:tc>
          <w:tcPr>
            <w:tcW w:w="4060" w:type="pct"/>
            <w:shd w:val="clear" w:color="auto" w:fill="auto"/>
            <w:vAlign w:val="center"/>
          </w:tcPr>
          <w:p w:rsidR="007D0D4C" w:rsidRPr="00DA2857" w:rsidRDefault="007D0D4C" w:rsidP="007D0D4C">
            <w:pPr>
              <w:pStyle w:val="TableText"/>
            </w:pPr>
            <w:r w:rsidRPr="00DA2857">
              <w:t>1 month</w:t>
            </w:r>
          </w:p>
        </w:tc>
      </w:tr>
      <w:tr w:rsidR="007D0D4C" w:rsidRPr="00E2771E" w:rsidTr="00F445BE">
        <w:tc>
          <w:tcPr>
            <w:tcW w:w="940" w:type="pct"/>
            <w:shd w:val="clear" w:color="auto" w:fill="auto"/>
            <w:vAlign w:val="center"/>
          </w:tcPr>
          <w:p w:rsidR="007D0D4C" w:rsidRPr="00DA2857" w:rsidRDefault="007D0D4C" w:rsidP="007D0D4C">
            <w:pPr>
              <w:pStyle w:val="TableText"/>
            </w:pPr>
            <w:r w:rsidRPr="00DA2857">
              <w:t xml:space="preserve">Transition probabilities </w:t>
            </w:r>
          </w:p>
        </w:tc>
        <w:tc>
          <w:tcPr>
            <w:tcW w:w="4060" w:type="pct"/>
            <w:shd w:val="clear" w:color="auto" w:fill="auto"/>
            <w:vAlign w:val="center"/>
          </w:tcPr>
          <w:p w:rsidR="007D0D4C" w:rsidRPr="00DA2857" w:rsidRDefault="007D0D4C" w:rsidP="007D0D4C">
            <w:pPr>
              <w:pStyle w:val="TableText"/>
            </w:pPr>
            <w:r w:rsidRPr="00DA2857">
              <w:t>Transition probabilities for fatal/non-fatal cardiovascular events, fatal/non-fatal bleeding events, other non-fatal vascular events and non-cardiovascular death were derived from post hoc analysis of individual patient data from the COMPASS trial. Background mortality was based on Australian life tables. Treatment effect estimates were derived from the COMPASS trial.</w:t>
            </w:r>
          </w:p>
        </w:tc>
      </w:tr>
      <w:tr w:rsidR="007D0D4C" w:rsidRPr="00E2771E" w:rsidTr="00F445BE">
        <w:tc>
          <w:tcPr>
            <w:tcW w:w="940" w:type="pct"/>
            <w:shd w:val="clear" w:color="auto" w:fill="auto"/>
            <w:vAlign w:val="center"/>
          </w:tcPr>
          <w:p w:rsidR="007D0D4C" w:rsidRPr="00DA2857" w:rsidRDefault="007D0D4C" w:rsidP="007D0D4C">
            <w:pPr>
              <w:pStyle w:val="TableText"/>
            </w:pPr>
            <w:r w:rsidRPr="00DA2857">
              <w:t>Extrapolation method</w:t>
            </w:r>
          </w:p>
        </w:tc>
        <w:tc>
          <w:tcPr>
            <w:tcW w:w="4060" w:type="pct"/>
            <w:shd w:val="clear" w:color="auto" w:fill="auto"/>
            <w:vAlign w:val="center"/>
          </w:tcPr>
          <w:p w:rsidR="007D0D4C" w:rsidRPr="00DA2857" w:rsidRDefault="007D0D4C" w:rsidP="007D0D4C">
            <w:pPr>
              <w:pStyle w:val="TableText"/>
            </w:pPr>
            <w:r w:rsidRPr="00DA2857">
              <w:t>The underlying risk of events was assumed to remain constant over time.</w:t>
            </w:r>
          </w:p>
          <w:p w:rsidR="007D0D4C" w:rsidRPr="00DA2857" w:rsidRDefault="007D0D4C" w:rsidP="007D0D4C">
            <w:pPr>
              <w:pStyle w:val="TableText"/>
            </w:pPr>
          </w:p>
          <w:p w:rsidR="007D0D4C" w:rsidRPr="00DA2857" w:rsidRDefault="00FC5E28" w:rsidP="009728B6">
            <w:pPr>
              <w:pStyle w:val="TableText"/>
            </w:pPr>
            <w:r w:rsidRPr="00DA2857">
              <w:t xml:space="preserve">Based on a median follow-up in the trial of </w:t>
            </w:r>
            <w:r w:rsidR="006532EB" w:rsidRPr="00DA2857">
              <w:t>23 months</w:t>
            </w:r>
            <w:r w:rsidRPr="00DA2857">
              <w:t>, t</w:t>
            </w:r>
            <w:r w:rsidR="007D0D4C" w:rsidRPr="00DA2857">
              <w:t>he model assumed a constant treatment effect for the first four years of the model (maximum follow-up of the COMPASS clinical trial) and then a declining difference in hazards over the remaining 26 years of the model (full convergence at 30 years).</w:t>
            </w:r>
            <w:r w:rsidRPr="00DA2857">
              <w:t xml:space="preserve"> </w:t>
            </w:r>
            <w:r w:rsidR="007F1CFF" w:rsidRPr="00DA2857">
              <w:t>The ESC noted that</w:t>
            </w:r>
            <w:r w:rsidR="00E55CB7" w:rsidRPr="00DA2857">
              <w:t xml:space="preserve"> convergence</w:t>
            </w:r>
            <w:r w:rsidR="00054D02" w:rsidRPr="00DA2857">
              <w:t xml:space="preserve"> was</w:t>
            </w:r>
            <w:r w:rsidR="00E55CB7" w:rsidRPr="00DA2857">
              <w:t xml:space="preserve"> achieved </w:t>
            </w:r>
            <w:r w:rsidR="00054D02" w:rsidRPr="00DA2857">
              <w:t>by declining the</w:t>
            </w:r>
            <w:r w:rsidR="007F1CFF" w:rsidRPr="00DA2857">
              <w:t xml:space="preserve"> adherence</w:t>
            </w:r>
            <w:r w:rsidR="00054D02" w:rsidRPr="00DA2857">
              <w:t xml:space="preserve"> rate, rather than</w:t>
            </w:r>
            <w:r w:rsidR="007F1CFF" w:rsidRPr="00DA2857">
              <w:t xml:space="preserve"> </w:t>
            </w:r>
            <w:r w:rsidR="00054D02" w:rsidRPr="00DA2857">
              <w:t>declining effectiveness, which may underestimate costs</w:t>
            </w:r>
            <w:r w:rsidRPr="00DA2857">
              <w:t>, however the ESC considered this was unlikely to significantly impact the results</w:t>
            </w:r>
            <w:r w:rsidR="00E55CB7" w:rsidRPr="00DA2857">
              <w:t xml:space="preserve">. </w:t>
            </w:r>
          </w:p>
        </w:tc>
      </w:tr>
      <w:tr w:rsidR="007D0D4C" w:rsidRPr="00E2771E" w:rsidTr="00F445BE">
        <w:tc>
          <w:tcPr>
            <w:tcW w:w="940" w:type="pct"/>
            <w:tcBorders>
              <w:bottom w:val="single" w:sz="4" w:space="0" w:color="auto"/>
            </w:tcBorders>
            <w:shd w:val="clear" w:color="auto" w:fill="auto"/>
            <w:vAlign w:val="center"/>
          </w:tcPr>
          <w:p w:rsidR="007D0D4C" w:rsidRPr="00DA2857" w:rsidRDefault="007D0D4C" w:rsidP="007D0D4C">
            <w:pPr>
              <w:pStyle w:val="TableText"/>
            </w:pPr>
            <w:r w:rsidRPr="00DA2857">
              <w:t>Health related quality of life</w:t>
            </w:r>
          </w:p>
        </w:tc>
        <w:tc>
          <w:tcPr>
            <w:tcW w:w="4060" w:type="pct"/>
            <w:tcBorders>
              <w:bottom w:val="single" w:sz="4" w:space="0" w:color="auto"/>
            </w:tcBorders>
            <w:shd w:val="clear" w:color="auto" w:fill="auto"/>
            <w:vAlign w:val="center"/>
          </w:tcPr>
          <w:p w:rsidR="007D0D4C" w:rsidRPr="00DA2857" w:rsidRDefault="007D0D4C" w:rsidP="007D0D4C">
            <w:pPr>
              <w:pStyle w:val="TableText"/>
            </w:pPr>
            <w:r w:rsidRPr="00DA2857">
              <w:t>Utility/disutility values derived from the COMPASS trial</w:t>
            </w:r>
          </w:p>
          <w:p w:rsidR="007D0D4C" w:rsidRPr="00DA2857" w:rsidRDefault="007D0D4C" w:rsidP="007D0D4C">
            <w:pPr>
              <w:pStyle w:val="TableText"/>
            </w:pPr>
          </w:p>
          <w:p w:rsidR="007D0D4C" w:rsidRPr="00DA2857" w:rsidRDefault="007D0D4C" w:rsidP="007D0D4C">
            <w:pPr>
              <w:pStyle w:val="TableText"/>
            </w:pPr>
            <w:r w:rsidRPr="00DA2857">
              <w:t>Pooled target population</w:t>
            </w:r>
          </w:p>
          <w:p w:rsidR="007D0D4C" w:rsidRPr="00DA2857" w:rsidRDefault="007D0D4C" w:rsidP="007D0D4C">
            <w:pPr>
              <w:pStyle w:val="TableText"/>
            </w:pPr>
            <w:r w:rsidRPr="00DA2857">
              <w:t>Baseline:</w:t>
            </w:r>
            <w:r w:rsidRPr="00DA2857">
              <w:tab/>
            </w:r>
            <w:r w:rsidR="00FC537F">
              <w:rPr>
                <w:noProof/>
                <w:color w:val="000000"/>
                <w:highlight w:val="black"/>
              </w:rPr>
              <w:t>''''''''''''''</w:t>
            </w:r>
            <w:r w:rsidRPr="00DA2857">
              <w:t xml:space="preserve">, acute MI: </w:t>
            </w:r>
            <w:r w:rsidR="00FC537F">
              <w:rPr>
                <w:noProof/>
                <w:color w:val="000000"/>
                <w:highlight w:val="black"/>
              </w:rPr>
              <w:t>''''''''''''''</w:t>
            </w:r>
            <w:r w:rsidRPr="00DA2857">
              <w:t xml:space="preserve">, chronic MI: </w:t>
            </w:r>
            <w:r w:rsidR="00FC537F">
              <w:rPr>
                <w:noProof/>
                <w:color w:val="000000"/>
                <w:highlight w:val="black"/>
              </w:rPr>
              <w:t>''''''''''''''''</w:t>
            </w:r>
            <w:r w:rsidRPr="00DA2857">
              <w:t xml:space="preserve">, acute IS: </w:t>
            </w:r>
            <w:r w:rsidR="00FC537F">
              <w:rPr>
                <w:noProof/>
                <w:color w:val="000000"/>
                <w:highlight w:val="black"/>
              </w:rPr>
              <w:t>'''''''''''''''''</w:t>
            </w:r>
            <w:r w:rsidRPr="00DA2857">
              <w:t xml:space="preserve">, chronic IS: </w:t>
            </w:r>
            <w:r w:rsidR="00FC537F">
              <w:rPr>
                <w:noProof/>
                <w:color w:val="000000"/>
                <w:highlight w:val="black"/>
              </w:rPr>
              <w:t>''''''''''''''''</w:t>
            </w:r>
            <w:r w:rsidRPr="00DA2857">
              <w:t xml:space="preserve">, acute ICH: </w:t>
            </w:r>
            <w:r w:rsidR="00FC537F">
              <w:rPr>
                <w:noProof/>
                <w:color w:val="000000"/>
                <w:highlight w:val="black"/>
              </w:rPr>
              <w:t>''''''''''''''''</w:t>
            </w:r>
            <w:r w:rsidRPr="00DA2857">
              <w:t xml:space="preserve">, chronic ICH: </w:t>
            </w:r>
            <w:r w:rsidR="00FC537F">
              <w:rPr>
                <w:noProof/>
                <w:color w:val="000000"/>
                <w:highlight w:val="black"/>
              </w:rPr>
              <w:t>'''''''''''''''</w:t>
            </w:r>
          </w:p>
        </w:tc>
      </w:tr>
      <w:tr w:rsidR="007D0D4C" w:rsidRPr="00E2771E" w:rsidTr="00F445BE">
        <w:tc>
          <w:tcPr>
            <w:tcW w:w="940" w:type="pct"/>
            <w:tcBorders>
              <w:bottom w:val="single" w:sz="8" w:space="0" w:color="auto"/>
            </w:tcBorders>
            <w:shd w:val="clear" w:color="auto" w:fill="auto"/>
            <w:vAlign w:val="center"/>
          </w:tcPr>
          <w:p w:rsidR="007D0D4C" w:rsidRPr="00DA2857" w:rsidRDefault="007D0D4C" w:rsidP="007D0D4C">
            <w:pPr>
              <w:pStyle w:val="TableText"/>
            </w:pPr>
            <w:r w:rsidRPr="00DA2857">
              <w:t xml:space="preserve">Circumstances of use </w:t>
            </w:r>
          </w:p>
        </w:tc>
        <w:tc>
          <w:tcPr>
            <w:tcW w:w="4060" w:type="pct"/>
            <w:tcBorders>
              <w:bottom w:val="single" w:sz="8" w:space="0" w:color="auto"/>
            </w:tcBorders>
            <w:shd w:val="clear" w:color="auto" w:fill="auto"/>
            <w:vAlign w:val="center"/>
          </w:tcPr>
          <w:p w:rsidR="007D0D4C" w:rsidRPr="00DA2857" w:rsidRDefault="007D0D4C" w:rsidP="007D0D4C">
            <w:pPr>
              <w:pStyle w:val="TableText"/>
            </w:pPr>
            <w:r w:rsidRPr="00DA2857">
              <w:t>Adherence implicitly included in the assumption of a decline in efficacy. Full drug costs were assumed for all patients remaining on treatment</w:t>
            </w:r>
          </w:p>
          <w:p w:rsidR="007D0D4C" w:rsidRPr="00DA2857" w:rsidRDefault="007D0D4C" w:rsidP="007D0D4C">
            <w:pPr>
              <w:pStyle w:val="TableText"/>
            </w:pPr>
          </w:p>
          <w:p w:rsidR="007D0D4C" w:rsidRPr="00DA2857" w:rsidRDefault="007D0D4C" w:rsidP="007D0D4C">
            <w:pPr>
              <w:pStyle w:val="TableText"/>
            </w:pPr>
            <w:r w:rsidRPr="00DA2857">
              <w:t>Treatment persistence estimated based on rivaroxaban use for stroke prevention in atrial fibrillation patients using 10% Medicare data</w:t>
            </w:r>
          </w:p>
          <w:p w:rsidR="007D0D4C" w:rsidRPr="00DA2857" w:rsidRDefault="007D0D4C" w:rsidP="007D0D4C">
            <w:pPr>
              <w:pStyle w:val="TableText"/>
            </w:pPr>
          </w:p>
          <w:p w:rsidR="007D0D4C" w:rsidRPr="00DA2857" w:rsidRDefault="007D0D4C" w:rsidP="007D0D4C">
            <w:pPr>
              <w:pStyle w:val="TableText"/>
            </w:pPr>
            <w:r w:rsidRPr="00DA2857">
              <w:t>Treatment interruption for 12 months following any event. Permanent discontinuation for patients experiencing intracranial haemorrhage or major bleed</w:t>
            </w:r>
          </w:p>
        </w:tc>
      </w:tr>
    </w:tbl>
    <w:p w:rsidR="007D0D4C" w:rsidRPr="001D79AF" w:rsidRDefault="007D0D4C" w:rsidP="007D0D4C">
      <w:pPr>
        <w:jc w:val="left"/>
        <w:rPr>
          <w:rFonts w:ascii="Arial Narrow" w:hAnsi="Arial Narrow"/>
          <w:snapToGrid w:val="0"/>
          <w:sz w:val="18"/>
          <w:szCs w:val="22"/>
        </w:rPr>
      </w:pPr>
      <w:r w:rsidRPr="001D79AF">
        <w:rPr>
          <w:rFonts w:ascii="Arial Narrow" w:hAnsi="Arial Narrow"/>
          <w:snapToGrid w:val="0"/>
          <w:sz w:val="18"/>
          <w:szCs w:val="22"/>
        </w:rPr>
        <w:t>Source: Table 3.1-1 (p 197) of the resubmission</w:t>
      </w:r>
    </w:p>
    <w:p w:rsidR="007D0D4C" w:rsidRPr="0072416F" w:rsidRDefault="007D0D4C" w:rsidP="007D0D4C">
      <w:pPr>
        <w:pStyle w:val="TableFigureFooter"/>
      </w:pPr>
      <w:r w:rsidRPr="001D79AF">
        <w:t>Abbreviations: CV, cardiovascular; ICH, intracranial haemorrhage; IS, ischaemic stroke; MI, myocardial infarction</w:t>
      </w:r>
    </w:p>
    <w:p w:rsidR="00A6760F" w:rsidRDefault="00A6760F">
      <w:pPr>
        <w:jc w:val="left"/>
        <w:rPr>
          <w:rFonts w:ascii="Arial Narrow" w:hAnsi="Arial Narrow"/>
          <w:i/>
          <w:snapToGrid w:val="0"/>
          <w:color w:val="0066FF"/>
          <w:sz w:val="18"/>
          <w:szCs w:val="22"/>
        </w:rPr>
      </w:pPr>
      <w:r>
        <w:rPr>
          <w:i/>
          <w:color w:val="0066FF"/>
        </w:rPr>
        <w:br w:type="page"/>
      </w:r>
    </w:p>
    <w:p w:rsidR="007D0D4C" w:rsidRPr="000B6B6A" w:rsidRDefault="007D0D4C" w:rsidP="007D0D4C">
      <w:pPr>
        <w:pStyle w:val="ExecSumBodyText"/>
        <w:numPr>
          <w:ilvl w:val="1"/>
          <w:numId w:val="1"/>
        </w:numPr>
      </w:pPr>
      <w:r w:rsidRPr="000B6B6A">
        <w:lastRenderedPageBreak/>
        <w:t>Patients enter the model in the alive health state. In each monthly cycle, patients can have no event or experience non-fatal/fatal events (patients can experience multiple different types of events in the same month):</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non-fatal/fatal events"/>
        <w:tblDescription w:val="non-fatal/fatal events"/>
      </w:tblPr>
      <w:tblGrid>
        <w:gridCol w:w="4383"/>
        <w:gridCol w:w="3914"/>
      </w:tblGrid>
      <w:tr w:rsidR="007D0D4C" w:rsidRPr="000B6B6A" w:rsidTr="00D32BF3">
        <w:trPr>
          <w:tblHeader/>
        </w:trPr>
        <w:tc>
          <w:tcPr>
            <w:tcW w:w="4383" w:type="dxa"/>
          </w:tcPr>
          <w:p w:rsidR="007D0D4C" w:rsidRPr="000B6B6A" w:rsidRDefault="007D0D4C" w:rsidP="00BD1BEC">
            <w:pPr>
              <w:pStyle w:val="ExecSumBodyText"/>
              <w:numPr>
                <w:ilvl w:val="0"/>
                <w:numId w:val="22"/>
              </w:numPr>
              <w:ind w:left="0" w:firstLine="0"/>
              <w:jc w:val="left"/>
            </w:pPr>
            <w:r w:rsidRPr="000B6B6A">
              <w:t>Non-fatal myocardial infarction</w:t>
            </w:r>
          </w:p>
          <w:p w:rsidR="007D0D4C" w:rsidRPr="000B6B6A" w:rsidRDefault="007D0D4C" w:rsidP="00BD1BEC">
            <w:pPr>
              <w:pStyle w:val="ExecSumBodyText"/>
              <w:numPr>
                <w:ilvl w:val="0"/>
                <w:numId w:val="22"/>
              </w:numPr>
              <w:ind w:left="0" w:firstLine="0"/>
              <w:jc w:val="left"/>
            </w:pPr>
            <w:r w:rsidRPr="000B6B6A">
              <w:t>Non-fatal ischaemic stroke</w:t>
            </w:r>
          </w:p>
          <w:p w:rsidR="007D0D4C" w:rsidRPr="000B6B6A" w:rsidRDefault="007D0D4C" w:rsidP="00BD1BEC">
            <w:pPr>
              <w:pStyle w:val="ExecSumBodyText"/>
              <w:numPr>
                <w:ilvl w:val="0"/>
                <w:numId w:val="22"/>
              </w:numPr>
              <w:ind w:left="0" w:firstLine="0"/>
              <w:jc w:val="left"/>
            </w:pPr>
            <w:r w:rsidRPr="000B6B6A">
              <w:t>Non-fatal intracranial haemorrhage</w:t>
            </w:r>
          </w:p>
          <w:p w:rsidR="007D0D4C" w:rsidRPr="000B6B6A" w:rsidRDefault="007D0D4C" w:rsidP="00BD1BEC">
            <w:pPr>
              <w:pStyle w:val="ExecSumBodyText"/>
              <w:numPr>
                <w:ilvl w:val="0"/>
                <w:numId w:val="21"/>
              </w:numPr>
              <w:ind w:left="0" w:firstLine="0"/>
              <w:jc w:val="left"/>
            </w:pPr>
            <w:r w:rsidRPr="000B6B6A">
              <w:t>Acute limb ischaemia</w:t>
            </w:r>
          </w:p>
          <w:p w:rsidR="007D0D4C" w:rsidRPr="000B6B6A" w:rsidRDefault="007D0D4C" w:rsidP="00BD1BEC">
            <w:pPr>
              <w:pStyle w:val="ExecSumBodyText"/>
              <w:numPr>
                <w:ilvl w:val="0"/>
                <w:numId w:val="21"/>
              </w:numPr>
              <w:ind w:left="0" w:firstLine="0"/>
              <w:jc w:val="left"/>
            </w:pPr>
            <w:r w:rsidRPr="000B6B6A">
              <w:t>Major amputation</w:t>
            </w:r>
          </w:p>
          <w:p w:rsidR="007D0D4C" w:rsidRPr="000B6B6A" w:rsidRDefault="007D0D4C" w:rsidP="00BD1BEC">
            <w:pPr>
              <w:pStyle w:val="ExecSumBodyText"/>
              <w:numPr>
                <w:ilvl w:val="0"/>
                <w:numId w:val="21"/>
              </w:numPr>
              <w:ind w:left="0" w:firstLine="0"/>
              <w:jc w:val="left"/>
            </w:pPr>
            <w:r w:rsidRPr="000B6B6A">
              <w:t>Minor amputation</w:t>
            </w:r>
          </w:p>
          <w:p w:rsidR="007D0D4C" w:rsidRPr="000B6B6A" w:rsidRDefault="007D0D4C" w:rsidP="00BD1BEC">
            <w:pPr>
              <w:pStyle w:val="ExecSumBodyText"/>
              <w:numPr>
                <w:ilvl w:val="0"/>
                <w:numId w:val="21"/>
              </w:numPr>
              <w:ind w:left="0" w:firstLine="0"/>
              <w:jc w:val="left"/>
            </w:pPr>
            <w:r w:rsidRPr="000B6B6A">
              <w:t>Major bleed</w:t>
            </w:r>
          </w:p>
          <w:p w:rsidR="007D0D4C" w:rsidRPr="000B6B6A" w:rsidRDefault="007D0D4C" w:rsidP="00BD1BEC">
            <w:pPr>
              <w:pStyle w:val="ExecSumBodyText"/>
              <w:numPr>
                <w:ilvl w:val="0"/>
                <w:numId w:val="21"/>
              </w:numPr>
              <w:ind w:left="0" w:firstLine="0"/>
              <w:jc w:val="left"/>
            </w:pPr>
            <w:r w:rsidRPr="000B6B6A">
              <w:t>Venous thromboembolism</w:t>
            </w:r>
          </w:p>
        </w:tc>
        <w:tc>
          <w:tcPr>
            <w:tcW w:w="3914" w:type="dxa"/>
          </w:tcPr>
          <w:p w:rsidR="007D0D4C" w:rsidRPr="000B6B6A" w:rsidRDefault="007D0D4C" w:rsidP="00BD1BEC">
            <w:pPr>
              <w:pStyle w:val="ExecSumBodyText"/>
              <w:numPr>
                <w:ilvl w:val="0"/>
                <w:numId w:val="21"/>
              </w:numPr>
              <w:ind w:left="0" w:firstLine="0"/>
              <w:jc w:val="left"/>
            </w:pPr>
            <w:r w:rsidRPr="000B6B6A">
              <w:t>Fatal myocardial infarction</w:t>
            </w:r>
          </w:p>
          <w:p w:rsidR="007D0D4C" w:rsidRPr="000B6B6A" w:rsidRDefault="007D0D4C" w:rsidP="00BD1BEC">
            <w:pPr>
              <w:pStyle w:val="ExecSumBodyText"/>
              <w:numPr>
                <w:ilvl w:val="0"/>
                <w:numId w:val="21"/>
              </w:numPr>
              <w:ind w:left="0" w:firstLine="0"/>
              <w:jc w:val="left"/>
            </w:pPr>
            <w:r w:rsidRPr="000B6B6A">
              <w:t>Fatal ischemic stroke</w:t>
            </w:r>
          </w:p>
          <w:p w:rsidR="007D0D4C" w:rsidRPr="000B6B6A" w:rsidRDefault="007D0D4C" w:rsidP="00BD1BEC">
            <w:pPr>
              <w:pStyle w:val="ExecSumBodyText"/>
              <w:numPr>
                <w:ilvl w:val="0"/>
                <w:numId w:val="21"/>
              </w:numPr>
              <w:ind w:left="0" w:firstLine="0"/>
              <w:jc w:val="left"/>
            </w:pPr>
            <w:r w:rsidRPr="000B6B6A">
              <w:t>Fatal intracranial haemorrhage</w:t>
            </w:r>
          </w:p>
          <w:p w:rsidR="007D0D4C" w:rsidRPr="000B6B6A" w:rsidRDefault="007D0D4C" w:rsidP="00BD1BEC">
            <w:pPr>
              <w:pStyle w:val="ExecSumBodyText"/>
              <w:numPr>
                <w:ilvl w:val="0"/>
                <w:numId w:val="21"/>
              </w:numPr>
              <w:ind w:left="0" w:firstLine="0"/>
              <w:jc w:val="left"/>
            </w:pPr>
            <w:r w:rsidRPr="000B6B6A">
              <w:t>Fatal bleeding</w:t>
            </w:r>
          </w:p>
          <w:p w:rsidR="007D0D4C" w:rsidRPr="000B6B6A" w:rsidRDefault="007D0D4C" w:rsidP="00BD1BEC">
            <w:pPr>
              <w:pStyle w:val="ExecSumBodyText"/>
              <w:numPr>
                <w:ilvl w:val="0"/>
                <w:numId w:val="21"/>
              </w:numPr>
              <w:ind w:left="0" w:firstLine="0"/>
              <w:jc w:val="left"/>
            </w:pPr>
            <w:r w:rsidRPr="000B6B6A">
              <w:t>Other cardiovascular death</w:t>
            </w:r>
          </w:p>
          <w:p w:rsidR="007D0D4C" w:rsidRPr="000B6B6A" w:rsidRDefault="007D0D4C" w:rsidP="00BD1BEC">
            <w:pPr>
              <w:pStyle w:val="ExecSumBodyText"/>
              <w:numPr>
                <w:ilvl w:val="0"/>
                <w:numId w:val="21"/>
              </w:numPr>
              <w:ind w:left="0" w:firstLine="0"/>
              <w:jc w:val="left"/>
            </w:pPr>
            <w:r w:rsidRPr="000B6B6A">
              <w:t>Non-cardiovascular death</w:t>
            </w:r>
          </w:p>
          <w:p w:rsidR="007D0D4C" w:rsidRPr="000B6B6A" w:rsidRDefault="007D0D4C" w:rsidP="00BD1BEC">
            <w:pPr>
              <w:pStyle w:val="ExecSumBodyText"/>
              <w:numPr>
                <w:ilvl w:val="0"/>
                <w:numId w:val="21"/>
              </w:numPr>
              <w:ind w:left="0" w:firstLine="0"/>
              <w:jc w:val="left"/>
            </w:pPr>
            <w:r w:rsidRPr="000B6B6A">
              <w:t>Background mortality</w:t>
            </w:r>
          </w:p>
          <w:p w:rsidR="007D0D4C" w:rsidRPr="000B6B6A" w:rsidRDefault="007D0D4C" w:rsidP="007D0D4C">
            <w:pPr>
              <w:pStyle w:val="ExecSumBodyText"/>
              <w:numPr>
                <w:ilvl w:val="0"/>
                <w:numId w:val="0"/>
              </w:numPr>
            </w:pPr>
          </w:p>
        </w:tc>
      </w:tr>
    </w:tbl>
    <w:p w:rsidR="007D0D4C" w:rsidRPr="00DA2857" w:rsidRDefault="007D0D4C" w:rsidP="007D0D4C">
      <w:pPr>
        <w:pStyle w:val="ExecSumBodyText"/>
        <w:numPr>
          <w:ilvl w:val="1"/>
          <w:numId w:val="1"/>
        </w:numPr>
      </w:pPr>
      <w:r w:rsidRPr="00DA2857">
        <w:t xml:space="preserve">The model tracks the time since </w:t>
      </w:r>
      <w:r w:rsidR="002C2B0F" w:rsidRPr="00DA2857">
        <w:t xml:space="preserve">an </w:t>
      </w:r>
      <w:r w:rsidRPr="00DA2857">
        <w:t>event in order to model treatment interruptions and adjust costs and utilities over time (acute phase &lt; 3 months, chronic phase &gt; 3 months). Additionally, the model tracks time on treatment to model treatment persistence and convergence of treatment effect. Patients experiencing multiple cardiovascular events accrue the ongoing cost and utility of the most severe event (ischaemic stroke &gt; intracranial haemorrhage &gt; myocardial infarction &gt; alive health state)</w:t>
      </w:r>
      <w:r w:rsidR="00663934" w:rsidRPr="00DA2857">
        <w:t>,</w:t>
      </w:r>
      <w:r w:rsidRPr="00DA2857">
        <w:t xml:space="preserve"> </w:t>
      </w:r>
      <w:r w:rsidR="00663934" w:rsidRPr="00DA2857">
        <w:t xml:space="preserve">which the ESC considered to be a conservative assumption. </w:t>
      </w:r>
      <w:r w:rsidRPr="00DA2857">
        <w:t>The costs and utility losses associated with other non-fatal events were assumed to be additive to cardiovascular events. The model structure allowed patients in the low dose rivaroxaban with aspirin treatment arm to discontinue rivaroxaban treatment and continue with aspirin alone.</w:t>
      </w:r>
    </w:p>
    <w:p w:rsidR="007D0D4C" w:rsidRPr="00DA2857" w:rsidRDefault="007D0D4C" w:rsidP="007D0D4C">
      <w:pPr>
        <w:pStyle w:val="ExecSumBodyText"/>
        <w:numPr>
          <w:ilvl w:val="1"/>
          <w:numId w:val="1"/>
        </w:numPr>
      </w:pPr>
      <w:r w:rsidRPr="00DA2857">
        <w:t>The changes to the economic analysis (particularly the switch fr</w:t>
      </w:r>
      <w:r w:rsidR="00FA382C" w:rsidRPr="00DA2857">
        <w:t>om</w:t>
      </w:r>
      <w:r w:rsidRPr="00DA2857">
        <w:t xml:space="preserve"> a cohort model to a microsimulation model and the removal of risk multipliers) improved the robustness of the model by reducing the impact of data sparseness. However, the data informing transition probabilities remains sparse for many events in the subgroup populations.</w:t>
      </w:r>
      <w:r w:rsidR="007C4435" w:rsidRPr="00DA2857">
        <w:t xml:space="preserve"> </w:t>
      </w:r>
    </w:p>
    <w:p w:rsidR="007D0D4C" w:rsidRPr="00DA2857" w:rsidRDefault="007D0D4C" w:rsidP="00F110C1">
      <w:pPr>
        <w:pStyle w:val="ExecSumBodyText"/>
      </w:pPr>
      <w:r w:rsidRPr="00DA2857">
        <w:t xml:space="preserve">The resubmission </w:t>
      </w:r>
      <w:r w:rsidR="008D03EE" w:rsidRPr="00DA2857">
        <w:t>included</w:t>
      </w:r>
      <w:r w:rsidRPr="00DA2857">
        <w:t xml:space="preserve"> a new clinical outcome of non-cardiovascular death in the current model compared to the previous March 2019 model. The inclusion of this outcome was not appropriate as it overlapped with background mortality estimates (which have only been adjusted for cardiovascular death) and led to double-counting of non-cardiovascular mortality risk in the model. </w:t>
      </w:r>
      <w:r w:rsidR="008D03EE" w:rsidRPr="00DA2857">
        <w:t>Further, t</w:t>
      </w:r>
      <w:r w:rsidRPr="00DA2857">
        <w:t xml:space="preserve">he inclusion of this outcome </w:t>
      </w:r>
      <w:r w:rsidR="008D03EE" w:rsidRPr="00DA2857">
        <w:t>was</w:t>
      </w:r>
      <w:r w:rsidRPr="00DA2857">
        <w:t xml:space="preserve"> not adequately supported by available clinical data</w:t>
      </w:r>
      <w:r w:rsidR="008D03EE" w:rsidRPr="00DA2857">
        <w:t xml:space="preserve"> and</w:t>
      </w:r>
      <w:r w:rsidRPr="00DA2857">
        <w:t xml:space="preserve"> strongly biases the economic evaluation in favour of rivaroxaban with aspirin.</w:t>
      </w:r>
      <w:r w:rsidR="00E55CB7" w:rsidRPr="00DA2857">
        <w:t xml:space="preserve"> The PSCR argued that</w:t>
      </w:r>
      <w:r w:rsidR="00E3559D" w:rsidRPr="00DA2857">
        <w:t xml:space="preserve"> COMPASS patients have many additional comorbidities and are at increased risk of non-cardiovascular death compared to the general population</w:t>
      </w:r>
      <w:r w:rsidR="00074456" w:rsidRPr="00DA2857">
        <w:t xml:space="preserve"> </w:t>
      </w:r>
      <w:r w:rsidR="00663934" w:rsidRPr="00DA2857">
        <w:t>(and thus</w:t>
      </w:r>
      <w:r w:rsidR="00E3559D" w:rsidRPr="00DA2857">
        <w:t xml:space="preserve"> not adequately capture</w:t>
      </w:r>
      <w:r w:rsidR="00F038E9" w:rsidRPr="00DA2857">
        <w:t>d</w:t>
      </w:r>
      <w:r w:rsidR="00E3559D" w:rsidRPr="00DA2857">
        <w:t xml:space="preserve"> in background mortality alone</w:t>
      </w:r>
      <w:r w:rsidR="00663934" w:rsidRPr="00DA2857">
        <w:t>)</w:t>
      </w:r>
      <w:r w:rsidR="00E3559D" w:rsidRPr="00DA2857">
        <w:t xml:space="preserve">. </w:t>
      </w:r>
      <w:r w:rsidR="00663934" w:rsidRPr="00DA2857">
        <w:t>The PSCR further argued that the ‘reduction in risk of non-</w:t>
      </w:r>
      <w:r w:rsidR="004746A8" w:rsidRPr="00DA2857">
        <w:t>cardiovascular</w:t>
      </w:r>
      <w:r w:rsidR="00663934" w:rsidRPr="00DA2857">
        <w:t xml:space="preserve"> death is thought to be due to synergistic effects of atherosclerosis on underlying vascular comorbidities (e.g. chronic kidney disease) by stabilising existing atherosclerotic plaques with rivaroxaban’. </w:t>
      </w:r>
      <w:r w:rsidR="004746A8" w:rsidRPr="00DA2857">
        <w:t xml:space="preserve">The HR for </w:t>
      </w:r>
      <w:r w:rsidR="004746A8" w:rsidRPr="00DA2857">
        <w:lastRenderedPageBreak/>
        <w:t xml:space="preserve">non-cardiovascular death in COMPASS for the ITT population was not statistically significant (HR: 0.87; 95% CI: 0.70, 1.08), which the PSCR stated was due to the trial not being adequately powered for this outcome. </w:t>
      </w:r>
      <w:r w:rsidR="00E55CB7" w:rsidRPr="00DA2857">
        <w:t>The ESC agreed with the evaluation that the inclusion of non-cardiovascular mortality</w:t>
      </w:r>
      <w:r w:rsidR="005F09DA" w:rsidRPr="00DA2857">
        <w:t xml:space="preserve"> was not appropriate</w:t>
      </w:r>
      <w:r w:rsidR="00E55CB7" w:rsidRPr="00DA2857">
        <w:t xml:space="preserve"> </w:t>
      </w:r>
      <w:r w:rsidR="005F09DA" w:rsidRPr="007F06B5">
        <w:rPr>
          <w:lang w:val="en-US"/>
        </w:rPr>
        <w:t xml:space="preserve">as it </w:t>
      </w:r>
      <w:r w:rsidR="002D655B" w:rsidRPr="007F06B5">
        <w:rPr>
          <w:lang w:val="en-US"/>
        </w:rPr>
        <w:t xml:space="preserve">would result in </w:t>
      </w:r>
      <w:r w:rsidR="002D655B" w:rsidRPr="00DA2857">
        <w:t>double-counting between non-cardiovascular death and background mortality</w:t>
      </w:r>
      <w:r w:rsidR="00FC5E28" w:rsidRPr="00DA2857">
        <w:t>. Further</w:t>
      </w:r>
      <w:r w:rsidR="002D655B" w:rsidRPr="007F06B5">
        <w:rPr>
          <w:lang w:val="en-US"/>
        </w:rPr>
        <w:t>,</w:t>
      </w:r>
      <w:r w:rsidR="00EF1093" w:rsidRPr="007F06B5">
        <w:rPr>
          <w:lang w:val="en-US"/>
        </w:rPr>
        <w:t xml:space="preserve"> the ESC considered it was unclear whether the data supported a ‘real</w:t>
      </w:r>
      <w:r w:rsidR="002D655B" w:rsidRPr="007F06B5">
        <w:rPr>
          <w:lang w:val="en-US"/>
        </w:rPr>
        <w:t>’</w:t>
      </w:r>
      <w:r w:rsidR="00EF1093" w:rsidRPr="007F06B5">
        <w:rPr>
          <w:lang w:val="en-US"/>
        </w:rPr>
        <w:t xml:space="preserve"> difference in non-cardiovascular outcomes</w:t>
      </w:r>
      <w:r w:rsidR="002D655B" w:rsidRPr="007F06B5">
        <w:rPr>
          <w:lang w:val="en-US"/>
        </w:rPr>
        <w:t xml:space="preserve"> as the proposed mechanism was not adequately supported and the differences were not statistically significant</w:t>
      </w:r>
      <w:r w:rsidR="00EF1093" w:rsidRPr="007F06B5">
        <w:rPr>
          <w:lang w:val="en-US"/>
        </w:rPr>
        <w:t>.</w:t>
      </w:r>
      <w:r w:rsidR="00E3559D" w:rsidRPr="00DA2857">
        <w:t xml:space="preserve"> </w:t>
      </w:r>
      <w:r w:rsidR="00F110C1">
        <w:t>Overall, t</w:t>
      </w:r>
      <w:r w:rsidR="00F110C1" w:rsidRPr="00F110C1">
        <w:t xml:space="preserve">he </w:t>
      </w:r>
      <w:r w:rsidR="00F110C1">
        <w:t xml:space="preserve">ESC considered </w:t>
      </w:r>
      <w:r w:rsidR="00F110C1" w:rsidRPr="00F110C1">
        <w:t xml:space="preserve">that excluding non-cardiovascular </w:t>
      </w:r>
      <w:r w:rsidR="00DC1A1C">
        <w:t xml:space="preserve">death </w:t>
      </w:r>
      <w:r w:rsidR="00F110C1" w:rsidRPr="00F110C1">
        <w:t>may be a more appropriate base case</w:t>
      </w:r>
      <w:r w:rsidR="00F110C1">
        <w:t>.</w:t>
      </w:r>
      <w:r w:rsidR="00F110C1" w:rsidRPr="00F110C1">
        <w:t xml:space="preserve"> </w:t>
      </w:r>
      <w:r w:rsidR="007F06B5">
        <w:t>T</w:t>
      </w:r>
      <w:r w:rsidR="00DC1A1C">
        <w:t>o address this, t</w:t>
      </w:r>
      <w:r w:rsidR="007F06B5">
        <w:t>he pre-PBAC response proposed a revised base case that removed both non-cardiovascular death treatment effects and non-cardiovascular death transition probabilities.</w:t>
      </w:r>
    </w:p>
    <w:p w:rsidR="005F09DA" w:rsidRPr="00DA2857" w:rsidRDefault="005F09DA" w:rsidP="00D716B3">
      <w:pPr>
        <w:pStyle w:val="ExecSumBodyText"/>
      </w:pPr>
      <w:r w:rsidRPr="00DA2857">
        <w:t xml:space="preserve">The ESC noted that other non-statistically significant events were also included in the model, including </w:t>
      </w:r>
      <w:r w:rsidR="00D716B3" w:rsidRPr="00DA2857">
        <w:t>non-fatal myocardial infarction, non-fatal intracranial haemorrhage, amputation (major and minor), venous thromboembolism and bleeding death. The resubmission acknowledged that not all treatment effects were statistically significant but argued that many of the analyses were underpowered and there was a general trend towards improved cardiovascular and peripheral vascular outcomes and worse bleeding outcomes in patients treated with rivaroxaban and aspirin.</w:t>
      </w:r>
    </w:p>
    <w:p w:rsidR="00424838" w:rsidRPr="00DA2857" w:rsidRDefault="007C4435" w:rsidP="00074456">
      <w:pPr>
        <w:pStyle w:val="ExecSumBodyText"/>
      </w:pPr>
      <w:r w:rsidRPr="00DA2857">
        <w:t xml:space="preserve">The </w:t>
      </w:r>
      <w:r w:rsidR="00B15222" w:rsidRPr="00DA2857">
        <w:t>targeted population comprised high-risk</w:t>
      </w:r>
      <w:r w:rsidRPr="00DA2857">
        <w:t xml:space="preserve"> subgroup</w:t>
      </w:r>
      <w:r w:rsidR="00B15222" w:rsidRPr="00DA2857">
        <w:t>s</w:t>
      </w:r>
      <w:r w:rsidRPr="00DA2857">
        <w:t xml:space="preserve"> of COMPASS</w:t>
      </w:r>
      <w:r w:rsidR="00B15222" w:rsidRPr="00DA2857">
        <w:t>, while the h</w:t>
      </w:r>
      <w:r w:rsidRPr="00DA2857">
        <w:t>azard ratios</w:t>
      </w:r>
      <w:r w:rsidR="00AD77EE" w:rsidRPr="00DA2857">
        <w:t xml:space="preserve"> (HRs)</w:t>
      </w:r>
      <w:r w:rsidRPr="00DA2857">
        <w:t xml:space="preserve"> applied </w:t>
      </w:r>
      <w:r w:rsidR="00EF1093" w:rsidRPr="00DA2857">
        <w:t xml:space="preserve">in the economic model </w:t>
      </w:r>
      <w:r w:rsidR="00B15222" w:rsidRPr="00DA2857">
        <w:t xml:space="preserve">were </w:t>
      </w:r>
      <w:r w:rsidR="00581EF1" w:rsidRPr="00DA2857">
        <w:t>based on</w:t>
      </w:r>
      <w:r w:rsidRPr="00DA2857">
        <w:t xml:space="preserve"> the ITT population (not the pooled subgroup). The ESC </w:t>
      </w:r>
      <w:r w:rsidR="00074456" w:rsidRPr="00DA2857">
        <w:t>considered</w:t>
      </w:r>
      <w:r w:rsidR="00B15222" w:rsidRPr="00DA2857">
        <w:t xml:space="preserve"> this </w:t>
      </w:r>
      <w:r w:rsidRPr="00DA2857">
        <w:t xml:space="preserve">was </w:t>
      </w:r>
      <w:r w:rsidR="00EF1093" w:rsidRPr="00DA2857">
        <w:t>appropriate give</w:t>
      </w:r>
      <w:r w:rsidR="00074456" w:rsidRPr="00DA2857">
        <w:t>n</w:t>
      </w:r>
      <w:r w:rsidR="00EF1093" w:rsidRPr="00DA2857">
        <w:t xml:space="preserve"> the </w:t>
      </w:r>
      <w:r w:rsidR="00074456" w:rsidRPr="00DA2857">
        <w:t xml:space="preserve">aforementioned uncertainties with the subgroup analyses, but also noted </w:t>
      </w:r>
      <w:r w:rsidR="00581EF1" w:rsidRPr="00DA2857">
        <w:t xml:space="preserve">this approach </w:t>
      </w:r>
      <w:r w:rsidR="003C1DDC" w:rsidRPr="00DA2857">
        <w:t xml:space="preserve">may be </w:t>
      </w:r>
      <w:r w:rsidRPr="00DA2857">
        <w:t>conservative</w:t>
      </w:r>
      <w:r w:rsidR="00581EF1" w:rsidRPr="00DA2857">
        <w:t xml:space="preserve"> as the</w:t>
      </w:r>
      <w:r w:rsidR="00074456" w:rsidRPr="00DA2857">
        <w:t xml:space="preserve"> HR </w:t>
      </w:r>
      <w:r w:rsidR="00581EF1" w:rsidRPr="00DA2857">
        <w:t xml:space="preserve">point estimates for the pooled subgroup were more favourable to rivaroxaban </w:t>
      </w:r>
      <w:r w:rsidR="00684A91">
        <w:t>plus</w:t>
      </w:r>
      <w:r w:rsidR="00581EF1" w:rsidRPr="00DA2857">
        <w:t xml:space="preserve"> aspirin</w:t>
      </w:r>
      <w:r w:rsidR="00FC5E28" w:rsidRPr="00DA2857">
        <w:t xml:space="preserve"> </w:t>
      </w:r>
      <w:r w:rsidR="00053A6A" w:rsidRPr="00DA2857">
        <w:t>(</w:t>
      </w:r>
      <w:r w:rsidR="00FC5E28" w:rsidRPr="00DA2857">
        <w:t>than the ITT results</w:t>
      </w:r>
      <w:r w:rsidR="00053A6A" w:rsidRPr="00DA2857">
        <w:t>)</w:t>
      </w:r>
      <w:r w:rsidR="00581EF1" w:rsidRPr="00DA2857">
        <w:t xml:space="preserve"> for most of the modelled outcomes</w:t>
      </w:r>
      <w:r w:rsidRPr="00DA2857">
        <w:t>.</w:t>
      </w:r>
    </w:p>
    <w:p w:rsidR="00424838" w:rsidRPr="00DA2857" w:rsidRDefault="004D1510" w:rsidP="007D0D4C">
      <w:pPr>
        <w:pStyle w:val="ExecSumBodyText"/>
        <w:numPr>
          <w:ilvl w:val="1"/>
          <w:numId w:val="1"/>
        </w:numPr>
      </w:pPr>
      <w:r w:rsidRPr="00DA2857">
        <w:rPr>
          <w:lang w:val="en-US"/>
        </w:rPr>
        <w:t>A comparison between the</w:t>
      </w:r>
      <w:r w:rsidR="00581EF1" w:rsidRPr="00DA2857">
        <w:rPr>
          <w:lang w:val="en-US"/>
        </w:rPr>
        <w:t xml:space="preserve"> outcomes </w:t>
      </w:r>
      <w:r w:rsidR="00AA7536" w:rsidRPr="00DA2857">
        <w:rPr>
          <w:lang w:val="en-US"/>
        </w:rPr>
        <w:t xml:space="preserve">observed in the </w:t>
      </w:r>
      <w:r w:rsidRPr="00DA2857">
        <w:rPr>
          <w:lang w:val="en-US"/>
        </w:rPr>
        <w:t xml:space="preserve">trial </w:t>
      </w:r>
      <w:r w:rsidR="00AA7536" w:rsidRPr="00DA2857">
        <w:rPr>
          <w:lang w:val="en-US"/>
        </w:rPr>
        <w:t>versus those</w:t>
      </w:r>
      <w:r w:rsidRPr="00DA2857">
        <w:rPr>
          <w:lang w:val="en-US"/>
        </w:rPr>
        <w:t xml:space="preserve"> modelled </w:t>
      </w:r>
      <w:r w:rsidR="00AA7536" w:rsidRPr="00DA2857">
        <w:rPr>
          <w:lang w:val="en-US"/>
        </w:rPr>
        <w:t xml:space="preserve">in the economic evaluation (for patients with </w:t>
      </w:r>
      <w:r w:rsidRPr="00DA2857">
        <w:rPr>
          <w:lang w:val="en-US"/>
        </w:rPr>
        <w:t xml:space="preserve">PAD </w:t>
      </w:r>
      <w:r w:rsidR="00AA7536" w:rsidRPr="00DA2857">
        <w:rPr>
          <w:lang w:val="en-US"/>
        </w:rPr>
        <w:t>plus</w:t>
      </w:r>
      <w:r w:rsidRPr="00DA2857">
        <w:rPr>
          <w:lang w:val="en-US"/>
        </w:rPr>
        <w:t xml:space="preserve"> CAD</w:t>
      </w:r>
      <w:r w:rsidR="00AA7536" w:rsidRPr="00DA2857">
        <w:rPr>
          <w:lang w:val="en-US"/>
        </w:rPr>
        <w:t>)</w:t>
      </w:r>
      <w:r w:rsidRPr="00DA2857">
        <w:rPr>
          <w:lang w:val="en-US"/>
        </w:rPr>
        <w:t xml:space="preserve"> indicated that the </w:t>
      </w:r>
      <w:r w:rsidR="00F87519" w:rsidRPr="00DA2857">
        <w:t>incremental</w:t>
      </w:r>
      <w:r w:rsidR="00424838" w:rsidRPr="00DA2857">
        <w:t xml:space="preserve"> number of events </w:t>
      </w:r>
      <w:r w:rsidR="00F87519" w:rsidRPr="00DA2857">
        <w:t xml:space="preserve">(between the treatment arms) observed in the trial </w:t>
      </w:r>
      <w:r w:rsidR="00424838" w:rsidRPr="00DA2857">
        <w:t>w</w:t>
      </w:r>
      <w:r w:rsidR="00F87519" w:rsidRPr="00DA2857">
        <w:t>as</w:t>
      </w:r>
      <w:r w:rsidR="00424838" w:rsidRPr="00DA2857">
        <w:t xml:space="preserve"> typically higher than</w:t>
      </w:r>
      <w:r w:rsidR="00F87519" w:rsidRPr="00DA2857">
        <w:t xml:space="preserve"> estimated in the model </w:t>
      </w:r>
      <w:r w:rsidR="005A5BCB" w:rsidRPr="00DA2857">
        <w:t>over the first three years</w:t>
      </w:r>
      <w:r w:rsidRPr="00DA2857">
        <w:t xml:space="preserve">, which was conservative. </w:t>
      </w:r>
    </w:p>
    <w:p w:rsidR="007D0D4C" w:rsidRPr="000B6B6A" w:rsidRDefault="007D0D4C" w:rsidP="007D0D4C">
      <w:pPr>
        <w:pStyle w:val="ExecSumBodyText"/>
        <w:numPr>
          <w:ilvl w:val="1"/>
          <w:numId w:val="1"/>
        </w:numPr>
      </w:pPr>
      <w:r w:rsidRPr="000B6B6A">
        <w:t>The revised estimates of treatment compliance and long-term treatment effects were more conservative than the previous submission (perfect compliance with no treatment interruption and no loss of effect over time) but estimates were still highly uncertain as they were dependent on poorly documented utilisation data and additional assumptions.</w:t>
      </w:r>
    </w:p>
    <w:p w:rsidR="007D0D4C" w:rsidRPr="00B50DB8" w:rsidRDefault="007D0D4C" w:rsidP="007D0D4C">
      <w:pPr>
        <w:pStyle w:val="ExecSumBodyText"/>
        <w:numPr>
          <w:ilvl w:val="1"/>
          <w:numId w:val="1"/>
        </w:numPr>
      </w:pPr>
      <w:r w:rsidRPr="005D6A47">
        <w:t>Key drivers of the economic model are summarised in the table below</w:t>
      </w:r>
      <w:r w:rsidR="00203EE0">
        <w:t>.</w:t>
      </w:r>
    </w:p>
    <w:p w:rsidR="007D0D4C" w:rsidRPr="00BB00B3" w:rsidRDefault="007D0D4C" w:rsidP="007D0D4C">
      <w:pPr>
        <w:pStyle w:val="TableFigureCaption"/>
      </w:pPr>
      <w:r w:rsidRPr="00BB00B3">
        <w:lastRenderedPageBreak/>
        <w:t xml:space="preserve">Table </w:t>
      </w:r>
      <w:r>
        <w:t>1</w:t>
      </w:r>
      <w:r w:rsidR="00203EE0">
        <w:t>2</w:t>
      </w:r>
      <w:r w:rsidRPr="00BB00B3">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6238"/>
        <w:gridCol w:w="1650"/>
      </w:tblGrid>
      <w:tr w:rsidR="007D0D4C" w:rsidRPr="003D1DE4" w:rsidTr="007D0D4C">
        <w:trPr>
          <w:tblHeader/>
        </w:trPr>
        <w:tc>
          <w:tcPr>
            <w:tcW w:w="626" w:type="pct"/>
            <w:shd w:val="clear" w:color="auto" w:fill="auto"/>
            <w:vAlign w:val="center"/>
          </w:tcPr>
          <w:p w:rsidR="007D0D4C" w:rsidRPr="003D1DE4" w:rsidRDefault="007D0D4C" w:rsidP="007D0D4C">
            <w:pPr>
              <w:pStyle w:val="Tableheadingrow"/>
              <w:jc w:val="center"/>
            </w:pPr>
            <w:r w:rsidRPr="003D1DE4">
              <w:t>Description</w:t>
            </w:r>
          </w:p>
        </w:tc>
        <w:tc>
          <w:tcPr>
            <w:tcW w:w="3458" w:type="pct"/>
            <w:shd w:val="clear" w:color="auto" w:fill="auto"/>
            <w:vAlign w:val="center"/>
          </w:tcPr>
          <w:p w:rsidR="007D0D4C" w:rsidRPr="003D1DE4" w:rsidRDefault="007D0D4C" w:rsidP="007D0D4C">
            <w:pPr>
              <w:pStyle w:val="Tableheadingrow"/>
              <w:jc w:val="center"/>
            </w:pPr>
            <w:r w:rsidRPr="003D1DE4">
              <w:t>Method/Value</w:t>
            </w:r>
          </w:p>
        </w:tc>
        <w:tc>
          <w:tcPr>
            <w:tcW w:w="915" w:type="pct"/>
            <w:shd w:val="clear" w:color="auto" w:fill="auto"/>
            <w:vAlign w:val="center"/>
          </w:tcPr>
          <w:p w:rsidR="007D0D4C" w:rsidRPr="003D1DE4" w:rsidRDefault="007D0D4C" w:rsidP="007D0D4C">
            <w:pPr>
              <w:pStyle w:val="Tableheadingrow"/>
              <w:jc w:val="center"/>
            </w:pPr>
            <w:r w:rsidRPr="003D1DE4">
              <w:t>Impact</w:t>
            </w:r>
          </w:p>
        </w:tc>
      </w:tr>
      <w:tr w:rsidR="007D0D4C" w:rsidRPr="00E2771E" w:rsidTr="007D0D4C">
        <w:tc>
          <w:tcPr>
            <w:tcW w:w="626" w:type="pct"/>
            <w:shd w:val="clear" w:color="auto" w:fill="auto"/>
            <w:vAlign w:val="center"/>
          </w:tcPr>
          <w:p w:rsidR="007D0D4C" w:rsidRPr="00DA2857" w:rsidRDefault="007D0D4C" w:rsidP="007D0D4C">
            <w:pPr>
              <w:pStyle w:val="TableText"/>
              <w:jc w:val="center"/>
              <w:rPr>
                <w:lang w:val="en-US"/>
              </w:rPr>
            </w:pPr>
            <w:r w:rsidRPr="00DA2857">
              <w:rPr>
                <w:lang w:val="en-US"/>
              </w:rPr>
              <w:t>Treatment effect estimates</w:t>
            </w:r>
          </w:p>
        </w:tc>
        <w:tc>
          <w:tcPr>
            <w:tcW w:w="3458" w:type="pct"/>
            <w:shd w:val="clear" w:color="auto" w:fill="auto"/>
            <w:vAlign w:val="center"/>
          </w:tcPr>
          <w:p w:rsidR="007D0D4C" w:rsidRPr="00DA2857" w:rsidRDefault="005424FE" w:rsidP="00DF577C">
            <w:pPr>
              <w:pStyle w:val="TableText"/>
              <w:rPr>
                <w:lang w:val="en-US"/>
              </w:rPr>
            </w:pPr>
            <w:r w:rsidRPr="00DA2857">
              <w:rPr>
                <w:lang w:val="en-US"/>
              </w:rPr>
              <w:t>Treatment effects were b</w:t>
            </w:r>
            <w:r w:rsidR="007D0D4C" w:rsidRPr="00DA2857">
              <w:rPr>
                <w:lang w:val="en-US"/>
              </w:rPr>
              <w:t>ased on secondary/exploratory analyses of population-level data from the COMPASS trial. The resubmission acknowledged that not all treatment effects were statistically significant but argued that many of the analyses were underpowered and there was a general trend towards improved cardiovascular and peripheral vascular outcomes and worse bleeding outcomes in patients treated with rivaroxaban and aspirin.</w:t>
            </w:r>
          </w:p>
        </w:tc>
        <w:tc>
          <w:tcPr>
            <w:tcW w:w="915" w:type="pct"/>
            <w:shd w:val="clear" w:color="auto" w:fill="auto"/>
            <w:vAlign w:val="center"/>
          </w:tcPr>
          <w:p w:rsidR="007D0D4C" w:rsidRPr="00DA2857" w:rsidRDefault="007D0D4C" w:rsidP="007D0D4C">
            <w:pPr>
              <w:pStyle w:val="TableText"/>
              <w:jc w:val="center"/>
              <w:rPr>
                <w:lang w:val="en-US"/>
              </w:rPr>
            </w:pPr>
            <w:r w:rsidRPr="00DA2857">
              <w:rPr>
                <w:lang w:val="en-US"/>
              </w:rPr>
              <w:t>High,</w:t>
            </w:r>
            <w:r w:rsidRPr="00A42106">
              <w:t xml:space="preserve"> favours</w:t>
            </w:r>
            <w:r w:rsidRPr="00DA2857">
              <w:rPr>
                <w:lang w:val="en-US"/>
              </w:rPr>
              <w:t xml:space="preserve"> rivaroxaban</w:t>
            </w:r>
          </w:p>
          <w:p w:rsidR="007D0D4C" w:rsidRPr="00DA2857" w:rsidRDefault="007D0D4C" w:rsidP="007D0D4C">
            <w:pPr>
              <w:pStyle w:val="TableText"/>
              <w:rPr>
                <w:lang w:val="en-US"/>
              </w:rPr>
            </w:pPr>
          </w:p>
        </w:tc>
      </w:tr>
      <w:tr w:rsidR="009728B6" w:rsidRPr="00E2771E" w:rsidTr="007D0D4C">
        <w:tc>
          <w:tcPr>
            <w:tcW w:w="626" w:type="pct"/>
            <w:shd w:val="clear" w:color="auto" w:fill="auto"/>
            <w:vAlign w:val="center"/>
          </w:tcPr>
          <w:p w:rsidR="009728B6" w:rsidRPr="00DA2857" w:rsidRDefault="009728B6" w:rsidP="007D0D4C">
            <w:pPr>
              <w:pStyle w:val="TableText"/>
              <w:jc w:val="center"/>
              <w:rPr>
                <w:lang w:val="en-US"/>
              </w:rPr>
            </w:pPr>
            <w:r w:rsidRPr="00DA2857">
              <w:rPr>
                <w:lang w:val="en-US"/>
              </w:rPr>
              <w:t>Extrapolation</w:t>
            </w:r>
          </w:p>
        </w:tc>
        <w:tc>
          <w:tcPr>
            <w:tcW w:w="3458" w:type="pct"/>
            <w:shd w:val="clear" w:color="auto" w:fill="auto"/>
            <w:vAlign w:val="center"/>
          </w:tcPr>
          <w:p w:rsidR="009728B6" w:rsidRPr="00DA2857" w:rsidRDefault="009728B6" w:rsidP="007D0D4C">
            <w:pPr>
              <w:pStyle w:val="TableText"/>
            </w:pPr>
            <w:r w:rsidRPr="00DA2857">
              <w:t>The model assumed a constant treatment effect for the first four years of the model (maximum follow-up of the COMPASS clinical trial) and then a declining difference in hazards over the remaining 26 years of the model (full convergence at 30 years).</w:t>
            </w:r>
          </w:p>
          <w:p w:rsidR="009728B6" w:rsidRPr="00DA2857" w:rsidRDefault="009728B6" w:rsidP="007D0D4C">
            <w:pPr>
              <w:pStyle w:val="TableText"/>
            </w:pPr>
          </w:p>
          <w:p w:rsidR="009728B6" w:rsidRPr="00DA2857" w:rsidRDefault="009728B6" w:rsidP="007D0D4C">
            <w:pPr>
              <w:pStyle w:val="TableText"/>
              <w:rPr>
                <w:lang w:val="en-US"/>
              </w:rPr>
            </w:pPr>
            <w:r w:rsidRPr="00DA2857">
              <w:t>94% of incremental QALYs; 94% of incremental life years; and 63% of incremental costs are accrued in the extrapolated period beyond 1.84 years.</w:t>
            </w:r>
          </w:p>
        </w:tc>
        <w:tc>
          <w:tcPr>
            <w:tcW w:w="915" w:type="pct"/>
            <w:shd w:val="clear" w:color="auto" w:fill="auto"/>
            <w:vAlign w:val="center"/>
          </w:tcPr>
          <w:p w:rsidR="009728B6" w:rsidRPr="00DA2857" w:rsidRDefault="009728B6" w:rsidP="009728B6">
            <w:pPr>
              <w:pStyle w:val="TableText"/>
              <w:jc w:val="center"/>
              <w:rPr>
                <w:lang w:val="en-US"/>
              </w:rPr>
            </w:pPr>
            <w:r w:rsidRPr="00DA2857">
              <w:rPr>
                <w:lang w:val="en-US"/>
              </w:rPr>
              <w:t>High,</w:t>
            </w:r>
            <w:r w:rsidRPr="00A42106">
              <w:t xml:space="preserve"> favours</w:t>
            </w:r>
            <w:r w:rsidRPr="00DA2857">
              <w:rPr>
                <w:lang w:val="en-US"/>
              </w:rPr>
              <w:t xml:space="preserve"> rivaroxaban</w:t>
            </w:r>
          </w:p>
        </w:tc>
      </w:tr>
    </w:tbl>
    <w:p w:rsidR="007D0D4C" w:rsidRPr="007C5ABE" w:rsidRDefault="007D0D4C" w:rsidP="007D0D4C">
      <w:pPr>
        <w:pStyle w:val="TableFigureFooter"/>
      </w:pPr>
      <w:r>
        <w:t>Source: Constructed during the evaluation</w:t>
      </w:r>
    </w:p>
    <w:p w:rsidR="007D0D4C" w:rsidRDefault="007D0D4C" w:rsidP="007D0D4C">
      <w:pPr>
        <w:pStyle w:val="ExecSumBodyText"/>
        <w:numPr>
          <w:ilvl w:val="1"/>
          <w:numId w:val="1"/>
        </w:numPr>
      </w:pPr>
      <w:r w:rsidRPr="007C5ABE">
        <w:t>The results of the modelled economic evaluation are summarised belo</w:t>
      </w:r>
      <w:r>
        <w:t>w</w:t>
      </w:r>
      <w:r w:rsidR="00203EE0">
        <w:t>.</w:t>
      </w:r>
      <w:r w:rsidR="00E05595">
        <w:t xml:space="preserve"> </w:t>
      </w:r>
    </w:p>
    <w:p w:rsidR="007D0D4C" w:rsidRDefault="007D0D4C" w:rsidP="007D0D4C">
      <w:pPr>
        <w:pStyle w:val="TableHeading"/>
        <w:keepNext w:val="0"/>
        <w:widowControl w:val="0"/>
        <w:spacing w:after="0"/>
        <w:jc w:val="both"/>
      </w:pPr>
      <w:r w:rsidRPr="00F30398">
        <w:t xml:space="preserve">Table </w:t>
      </w:r>
      <w:r w:rsidR="00203EE0" w:rsidRPr="00F30398">
        <w:t>13</w:t>
      </w:r>
      <w:r w:rsidRPr="00F30398">
        <w:t>:</w:t>
      </w:r>
      <w:r>
        <w:t xml:space="preserve"> Stepped economic evaluation of rivaroxaban with aspirin compared to aspirin alone (pooled target population)</w:t>
      </w:r>
    </w:p>
    <w:tbl>
      <w:tblPr>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3"/>
        <w:gridCol w:w="1944"/>
        <w:gridCol w:w="1946"/>
        <w:gridCol w:w="2585"/>
      </w:tblGrid>
      <w:tr w:rsidR="007D0D4C" w:rsidRPr="00EF3278" w:rsidTr="007D0D4C">
        <w:trPr>
          <w:trHeight w:val="469"/>
        </w:trPr>
        <w:tc>
          <w:tcPr>
            <w:tcW w:w="1406" w:type="pct"/>
            <w:vAlign w:val="center"/>
          </w:tcPr>
          <w:p w:rsidR="007D0D4C" w:rsidRPr="00EF3278" w:rsidRDefault="007D0D4C" w:rsidP="007D0D4C">
            <w:pPr>
              <w:pStyle w:val="TableText"/>
              <w:keepNext w:val="0"/>
              <w:widowControl w:val="0"/>
              <w:jc w:val="center"/>
              <w:rPr>
                <w:b/>
              </w:rPr>
            </w:pPr>
            <w:r w:rsidRPr="00E80037">
              <w:rPr>
                <w:b/>
              </w:rPr>
              <w:t>Type of resource item</w:t>
            </w:r>
          </w:p>
        </w:tc>
        <w:tc>
          <w:tcPr>
            <w:tcW w:w="1079" w:type="pct"/>
            <w:vAlign w:val="center"/>
          </w:tcPr>
          <w:p w:rsidR="007D0D4C" w:rsidRPr="00EF3278" w:rsidRDefault="007D0D4C" w:rsidP="007D0D4C">
            <w:pPr>
              <w:pStyle w:val="TableText"/>
              <w:keepNext w:val="0"/>
              <w:widowControl w:val="0"/>
              <w:jc w:val="center"/>
              <w:rPr>
                <w:b/>
              </w:rPr>
            </w:pPr>
            <w:r>
              <w:rPr>
                <w:b/>
              </w:rPr>
              <w:t>Rivaroxaban with aspirin</w:t>
            </w:r>
          </w:p>
        </w:tc>
        <w:tc>
          <w:tcPr>
            <w:tcW w:w="1080" w:type="pct"/>
            <w:vAlign w:val="center"/>
          </w:tcPr>
          <w:p w:rsidR="007D0D4C" w:rsidRPr="00EF3278" w:rsidRDefault="007D0D4C" w:rsidP="007D0D4C">
            <w:pPr>
              <w:pStyle w:val="TableText"/>
              <w:keepNext w:val="0"/>
              <w:widowControl w:val="0"/>
              <w:jc w:val="center"/>
              <w:rPr>
                <w:b/>
              </w:rPr>
            </w:pPr>
            <w:r>
              <w:rPr>
                <w:b/>
              </w:rPr>
              <w:t>Aspirin alone</w:t>
            </w:r>
          </w:p>
        </w:tc>
        <w:tc>
          <w:tcPr>
            <w:tcW w:w="1435" w:type="pct"/>
          </w:tcPr>
          <w:p w:rsidR="007D0D4C" w:rsidRDefault="007D0D4C" w:rsidP="007D0D4C">
            <w:pPr>
              <w:pStyle w:val="TableText"/>
              <w:widowControl w:val="0"/>
              <w:jc w:val="center"/>
              <w:rPr>
                <w:b/>
              </w:rPr>
            </w:pPr>
            <w:r>
              <w:rPr>
                <w:b/>
              </w:rPr>
              <w:t xml:space="preserve">Incremental </w:t>
            </w:r>
          </w:p>
          <w:p w:rsidR="007D0D4C" w:rsidRPr="00EF3278" w:rsidRDefault="007D0D4C" w:rsidP="007D0D4C">
            <w:pPr>
              <w:pStyle w:val="TableText"/>
              <w:widowControl w:val="0"/>
              <w:jc w:val="center"/>
              <w:rPr>
                <w:b/>
              </w:rPr>
            </w:pPr>
            <w:r>
              <w:rPr>
                <w:b/>
              </w:rPr>
              <w:t>difference</w:t>
            </w:r>
          </w:p>
        </w:tc>
      </w:tr>
      <w:tr w:rsidR="007D0D4C" w:rsidRPr="003709BB" w:rsidTr="007D0D4C">
        <w:tc>
          <w:tcPr>
            <w:tcW w:w="5000" w:type="pct"/>
            <w:gridSpan w:val="4"/>
          </w:tcPr>
          <w:p w:rsidR="007D0D4C" w:rsidRPr="000B6B6A" w:rsidRDefault="007D0D4C" w:rsidP="007D0D4C">
            <w:pPr>
              <w:pStyle w:val="TableText"/>
              <w:keepNext w:val="0"/>
              <w:widowControl w:val="0"/>
              <w:jc w:val="both"/>
              <w:rPr>
                <w:b/>
              </w:rPr>
            </w:pPr>
            <w:r w:rsidRPr="000B6B6A">
              <w:rPr>
                <w:b/>
              </w:rPr>
              <w:t xml:space="preserve">Step 1: </w:t>
            </w:r>
            <w:r w:rsidRPr="000B6B6A">
              <w:t>Trial based efficacy/safety for high cardiovascular risk subgroup; 1.84 year horizon; drug costs only; incremental cost per major cardiovascular event avoided (myocardial infarction, ischaemic stroke, intracranial haemorrhage, cardiovascular death)</w:t>
            </w:r>
          </w:p>
        </w:tc>
      </w:tr>
      <w:tr w:rsidR="007D0D4C" w:rsidRPr="003709BB" w:rsidTr="007D0D4C">
        <w:tc>
          <w:tcPr>
            <w:tcW w:w="1406" w:type="pct"/>
          </w:tcPr>
          <w:p w:rsidR="007D0D4C" w:rsidRPr="000B6B6A" w:rsidRDefault="007D0D4C" w:rsidP="007D0D4C">
            <w:pPr>
              <w:pStyle w:val="TableText"/>
              <w:keepNext w:val="0"/>
              <w:widowControl w:val="0"/>
            </w:pPr>
            <w:r w:rsidRPr="000B6B6A">
              <w:t>Costs</w:t>
            </w:r>
          </w:p>
        </w:tc>
        <w:tc>
          <w:tcPr>
            <w:tcW w:w="1079" w:type="pct"/>
            <w:vAlign w:val="bottom"/>
          </w:tcPr>
          <w:p w:rsidR="007D0D4C" w:rsidRPr="000B6B6A" w:rsidRDefault="007D0D4C" w:rsidP="007D0D4C">
            <w:pPr>
              <w:pStyle w:val="TableText"/>
              <w:keepNext w:val="0"/>
              <w:widowControl w:val="0"/>
              <w:jc w:val="center"/>
            </w:pPr>
            <w:r w:rsidRPr="000B6B6A">
              <w:t>$</w:t>
            </w:r>
            <w:r w:rsidR="00FC537F">
              <w:rPr>
                <w:noProof/>
                <w:color w:val="000000"/>
                <w:highlight w:val="black"/>
              </w:rPr>
              <w:t>'''''''''''''</w:t>
            </w:r>
          </w:p>
        </w:tc>
        <w:tc>
          <w:tcPr>
            <w:tcW w:w="1080" w:type="pct"/>
            <w:vAlign w:val="bottom"/>
          </w:tcPr>
          <w:p w:rsidR="007D0D4C" w:rsidRPr="000B6B6A" w:rsidRDefault="007D0D4C" w:rsidP="007D0D4C">
            <w:pPr>
              <w:pStyle w:val="TableText"/>
              <w:widowControl w:val="0"/>
              <w:jc w:val="center"/>
            </w:pPr>
            <w:r w:rsidRPr="000B6B6A">
              <w:t>$0</w:t>
            </w:r>
          </w:p>
        </w:tc>
        <w:tc>
          <w:tcPr>
            <w:tcW w:w="1435" w:type="pct"/>
            <w:vAlign w:val="center"/>
          </w:tcPr>
          <w:p w:rsidR="007D0D4C" w:rsidRPr="000B6B6A" w:rsidRDefault="007D0D4C" w:rsidP="007D0D4C">
            <w:pPr>
              <w:pStyle w:val="TableText"/>
              <w:keepNext w:val="0"/>
              <w:widowControl w:val="0"/>
              <w:jc w:val="center"/>
            </w:pPr>
            <w:r w:rsidRPr="000B6B6A">
              <w:t>$</w:t>
            </w:r>
            <w:r w:rsidR="00FC537F">
              <w:rPr>
                <w:noProof/>
                <w:color w:val="000000"/>
                <w:highlight w:val="black"/>
              </w:rPr>
              <w:t>'''''''''''''''</w:t>
            </w:r>
          </w:p>
        </w:tc>
      </w:tr>
      <w:tr w:rsidR="007D0D4C" w:rsidRPr="003709BB" w:rsidTr="007D0D4C">
        <w:tc>
          <w:tcPr>
            <w:tcW w:w="1406" w:type="pct"/>
          </w:tcPr>
          <w:p w:rsidR="007D0D4C" w:rsidRPr="000B6B6A" w:rsidRDefault="007D0D4C" w:rsidP="007D0D4C">
            <w:pPr>
              <w:pStyle w:val="TableText"/>
              <w:keepNext w:val="0"/>
              <w:widowControl w:val="0"/>
            </w:pPr>
            <w:r w:rsidRPr="000B6B6A">
              <w:t>Patients with MI, IS, ICH or CV death</w:t>
            </w:r>
          </w:p>
        </w:tc>
        <w:tc>
          <w:tcPr>
            <w:tcW w:w="1079" w:type="pct"/>
            <w:vAlign w:val="center"/>
          </w:tcPr>
          <w:p w:rsidR="007D0D4C" w:rsidRPr="00FC537F" w:rsidRDefault="00FC537F" w:rsidP="007D0D4C">
            <w:pPr>
              <w:pStyle w:val="TableText"/>
              <w:keepNext w:val="0"/>
              <w:widowControl w:val="0"/>
              <w:jc w:val="center"/>
              <w:rPr>
                <w:highlight w:val="black"/>
              </w:rPr>
            </w:pPr>
            <w:r>
              <w:rPr>
                <w:noProof/>
                <w:color w:val="000000"/>
                <w:highlight w:val="black"/>
              </w:rPr>
              <w:t>'''''''''''''''''</w:t>
            </w:r>
          </w:p>
        </w:tc>
        <w:tc>
          <w:tcPr>
            <w:tcW w:w="1080" w:type="pct"/>
            <w:vAlign w:val="center"/>
          </w:tcPr>
          <w:p w:rsidR="007D0D4C" w:rsidRPr="00FC537F" w:rsidRDefault="00FC537F" w:rsidP="007D0D4C">
            <w:pPr>
              <w:pStyle w:val="TableText"/>
              <w:keepNext w:val="0"/>
              <w:widowControl w:val="0"/>
              <w:jc w:val="center"/>
              <w:rPr>
                <w:highlight w:val="black"/>
              </w:rPr>
            </w:pPr>
            <w:r>
              <w:rPr>
                <w:noProof/>
                <w:color w:val="000000"/>
                <w:highlight w:val="black"/>
              </w:rPr>
              <w:t>''''''''''''''''</w:t>
            </w:r>
          </w:p>
        </w:tc>
        <w:tc>
          <w:tcPr>
            <w:tcW w:w="1435" w:type="pct"/>
            <w:vAlign w:val="center"/>
          </w:tcPr>
          <w:p w:rsidR="007D0D4C" w:rsidRPr="000B6B6A" w:rsidRDefault="007D0D4C" w:rsidP="007D0D4C">
            <w:pPr>
              <w:pStyle w:val="TableText"/>
              <w:keepNext w:val="0"/>
              <w:widowControl w:val="0"/>
              <w:jc w:val="center"/>
            </w:pPr>
            <w:r w:rsidRPr="000B6B6A">
              <w:t>-</w:t>
            </w:r>
            <w:r w:rsidR="00FC537F">
              <w:rPr>
                <w:noProof/>
                <w:color w:val="000000"/>
                <w:highlight w:val="black"/>
              </w:rPr>
              <w:t>'''''''''''''''''</w:t>
            </w:r>
          </w:p>
        </w:tc>
      </w:tr>
      <w:tr w:rsidR="007D0D4C" w:rsidRPr="003709BB" w:rsidTr="007D0D4C">
        <w:tc>
          <w:tcPr>
            <w:tcW w:w="3565" w:type="pct"/>
            <w:gridSpan w:val="3"/>
          </w:tcPr>
          <w:p w:rsidR="007D0D4C" w:rsidRPr="000B6B6A" w:rsidRDefault="007D0D4C" w:rsidP="007D0D4C">
            <w:pPr>
              <w:pStyle w:val="TableText"/>
              <w:keepNext w:val="0"/>
              <w:widowControl w:val="0"/>
              <w:jc w:val="right"/>
              <w:rPr>
                <w:b/>
              </w:rPr>
            </w:pPr>
            <w:r w:rsidRPr="000B6B6A">
              <w:rPr>
                <w:b/>
              </w:rPr>
              <w:t>Incremental cost per event avoided</w:t>
            </w:r>
          </w:p>
        </w:tc>
        <w:tc>
          <w:tcPr>
            <w:tcW w:w="1435" w:type="pct"/>
            <w:vAlign w:val="center"/>
          </w:tcPr>
          <w:p w:rsidR="007D0D4C" w:rsidRPr="000B6B6A" w:rsidRDefault="007D0D4C" w:rsidP="007D0D4C">
            <w:pPr>
              <w:pStyle w:val="TableText"/>
              <w:keepNext w:val="0"/>
              <w:widowControl w:val="0"/>
              <w:jc w:val="center"/>
            </w:pPr>
            <w:r w:rsidRPr="000B6B6A">
              <w:t>$</w:t>
            </w:r>
            <w:r w:rsidR="00FC537F">
              <w:rPr>
                <w:noProof/>
                <w:color w:val="000000"/>
                <w:highlight w:val="black"/>
              </w:rPr>
              <w:t>''''''''''''''''</w:t>
            </w:r>
          </w:p>
        </w:tc>
      </w:tr>
      <w:tr w:rsidR="007D0D4C" w:rsidRPr="003709BB" w:rsidTr="007D0D4C">
        <w:tc>
          <w:tcPr>
            <w:tcW w:w="5000" w:type="pct"/>
            <w:gridSpan w:val="4"/>
          </w:tcPr>
          <w:p w:rsidR="007D0D4C" w:rsidRPr="000B6B6A" w:rsidRDefault="007D0D4C" w:rsidP="00563D67">
            <w:pPr>
              <w:pStyle w:val="TableText"/>
              <w:keepNext w:val="0"/>
              <w:widowControl w:val="0"/>
              <w:jc w:val="both"/>
              <w:rPr>
                <w:b/>
              </w:rPr>
            </w:pPr>
            <w:r w:rsidRPr="000B6B6A">
              <w:rPr>
                <w:b/>
              </w:rPr>
              <w:t xml:space="preserve">Step 1a: </w:t>
            </w:r>
            <w:r w:rsidR="00563D67" w:rsidRPr="00563D67">
              <w:t>Converting to</w:t>
            </w:r>
            <w:r w:rsidRPr="00563D67">
              <w:t xml:space="preserve"> cost per life year gained</w:t>
            </w:r>
          </w:p>
        </w:tc>
      </w:tr>
      <w:tr w:rsidR="007D0D4C" w:rsidRPr="003709BB" w:rsidTr="007D0D4C">
        <w:tc>
          <w:tcPr>
            <w:tcW w:w="1406" w:type="pct"/>
          </w:tcPr>
          <w:p w:rsidR="007D0D4C" w:rsidRPr="000B6B6A" w:rsidRDefault="007D0D4C" w:rsidP="007D0D4C">
            <w:pPr>
              <w:pStyle w:val="TableText"/>
              <w:keepNext w:val="0"/>
              <w:widowControl w:val="0"/>
            </w:pPr>
            <w:r w:rsidRPr="000B6B6A">
              <w:t>Costs</w:t>
            </w:r>
          </w:p>
        </w:tc>
        <w:tc>
          <w:tcPr>
            <w:tcW w:w="1079" w:type="pct"/>
            <w:vAlign w:val="bottom"/>
          </w:tcPr>
          <w:p w:rsidR="007D0D4C" w:rsidRPr="000B6B6A" w:rsidRDefault="007D0D4C" w:rsidP="007D0D4C">
            <w:pPr>
              <w:pStyle w:val="TableText"/>
              <w:keepNext w:val="0"/>
              <w:widowControl w:val="0"/>
              <w:jc w:val="center"/>
            </w:pPr>
            <w:r w:rsidRPr="000B6B6A">
              <w:t>$</w:t>
            </w:r>
            <w:r w:rsidR="00FC537F">
              <w:rPr>
                <w:noProof/>
                <w:color w:val="000000"/>
                <w:highlight w:val="black"/>
              </w:rPr>
              <w:t>''''''''''''</w:t>
            </w:r>
          </w:p>
        </w:tc>
        <w:tc>
          <w:tcPr>
            <w:tcW w:w="1080" w:type="pct"/>
            <w:vAlign w:val="bottom"/>
          </w:tcPr>
          <w:p w:rsidR="007D0D4C" w:rsidRPr="000B6B6A" w:rsidRDefault="007D0D4C" w:rsidP="007D0D4C">
            <w:pPr>
              <w:pStyle w:val="TableText"/>
              <w:keepNext w:val="0"/>
              <w:widowControl w:val="0"/>
              <w:jc w:val="center"/>
            </w:pPr>
            <w:r w:rsidRPr="000B6B6A">
              <w:t>$0</w:t>
            </w:r>
          </w:p>
        </w:tc>
        <w:tc>
          <w:tcPr>
            <w:tcW w:w="1435" w:type="pct"/>
            <w:vAlign w:val="center"/>
          </w:tcPr>
          <w:p w:rsidR="007D0D4C" w:rsidRPr="000B6B6A" w:rsidRDefault="007D0D4C" w:rsidP="007D0D4C">
            <w:pPr>
              <w:pStyle w:val="TableText"/>
              <w:keepNext w:val="0"/>
              <w:widowControl w:val="0"/>
              <w:jc w:val="center"/>
            </w:pPr>
            <w:r w:rsidRPr="000B6B6A">
              <w:t>$</w:t>
            </w:r>
            <w:r w:rsidR="00FC537F">
              <w:rPr>
                <w:noProof/>
                <w:color w:val="000000"/>
                <w:highlight w:val="black"/>
              </w:rPr>
              <w:t>''''''''''''''</w:t>
            </w:r>
          </w:p>
        </w:tc>
      </w:tr>
      <w:tr w:rsidR="007D0D4C" w:rsidRPr="003709BB" w:rsidTr="007D0D4C">
        <w:tc>
          <w:tcPr>
            <w:tcW w:w="1406" w:type="pct"/>
          </w:tcPr>
          <w:p w:rsidR="007D0D4C" w:rsidRPr="000B6B6A" w:rsidRDefault="007D0D4C" w:rsidP="007D0D4C">
            <w:pPr>
              <w:pStyle w:val="TableText"/>
              <w:keepNext w:val="0"/>
              <w:widowControl w:val="0"/>
            </w:pPr>
            <w:r w:rsidRPr="000B6B6A">
              <w:t>L</w:t>
            </w:r>
            <w:r w:rsidR="001A2E95">
              <w:t>Y</w:t>
            </w:r>
            <w:r w:rsidRPr="000B6B6A">
              <w:t>s</w:t>
            </w:r>
          </w:p>
        </w:tc>
        <w:tc>
          <w:tcPr>
            <w:tcW w:w="1079" w:type="pct"/>
            <w:vAlign w:val="bottom"/>
          </w:tcPr>
          <w:p w:rsidR="007D0D4C" w:rsidRPr="00FC537F" w:rsidRDefault="00FC537F" w:rsidP="007D0D4C">
            <w:pPr>
              <w:pStyle w:val="TableText"/>
              <w:keepNext w:val="0"/>
              <w:widowControl w:val="0"/>
              <w:jc w:val="center"/>
              <w:rPr>
                <w:highlight w:val="black"/>
              </w:rPr>
            </w:pPr>
            <w:r>
              <w:rPr>
                <w:noProof/>
                <w:color w:val="000000"/>
                <w:highlight w:val="black"/>
              </w:rPr>
              <w:t>''''''''''''''''</w:t>
            </w:r>
          </w:p>
        </w:tc>
        <w:tc>
          <w:tcPr>
            <w:tcW w:w="1080" w:type="pct"/>
            <w:vAlign w:val="bottom"/>
          </w:tcPr>
          <w:p w:rsidR="007D0D4C" w:rsidRPr="00FC537F" w:rsidRDefault="00FC537F" w:rsidP="007D0D4C">
            <w:pPr>
              <w:pStyle w:val="TableText"/>
              <w:keepNext w:val="0"/>
              <w:widowControl w:val="0"/>
              <w:jc w:val="center"/>
              <w:rPr>
                <w:highlight w:val="black"/>
              </w:rPr>
            </w:pPr>
            <w:r>
              <w:rPr>
                <w:noProof/>
                <w:color w:val="000000"/>
                <w:highlight w:val="black"/>
              </w:rPr>
              <w:t>'''''''''''''''''</w:t>
            </w:r>
          </w:p>
        </w:tc>
        <w:tc>
          <w:tcPr>
            <w:tcW w:w="1435" w:type="pct"/>
            <w:vAlign w:val="center"/>
          </w:tcPr>
          <w:p w:rsidR="007D0D4C" w:rsidRPr="00FC537F" w:rsidRDefault="00FC537F" w:rsidP="007D0D4C">
            <w:pPr>
              <w:pStyle w:val="TableText"/>
              <w:keepNext w:val="0"/>
              <w:widowControl w:val="0"/>
              <w:jc w:val="center"/>
              <w:rPr>
                <w:highlight w:val="black"/>
              </w:rPr>
            </w:pPr>
            <w:r>
              <w:rPr>
                <w:noProof/>
                <w:color w:val="000000"/>
                <w:highlight w:val="black"/>
              </w:rPr>
              <w:t>'''''''''''''''''</w:t>
            </w:r>
          </w:p>
        </w:tc>
      </w:tr>
      <w:tr w:rsidR="007D0D4C" w:rsidRPr="003709BB" w:rsidTr="007D0D4C">
        <w:tc>
          <w:tcPr>
            <w:tcW w:w="3565" w:type="pct"/>
            <w:gridSpan w:val="3"/>
          </w:tcPr>
          <w:p w:rsidR="007D0D4C" w:rsidRPr="009C3239" w:rsidRDefault="007D0D4C" w:rsidP="007D0D4C">
            <w:pPr>
              <w:pStyle w:val="TableText"/>
              <w:keepNext w:val="0"/>
              <w:widowControl w:val="0"/>
              <w:jc w:val="right"/>
              <w:rPr>
                <w:b/>
              </w:rPr>
            </w:pPr>
            <w:r w:rsidRPr="009C3239">
              <w:rPr>
                <w:b/>
              </w:rPr>
              <w:t>Incremental cost per life year gained</w:t>
            </w:r>
          </w:p>
        </w:tc>
        <w:tc>
          <w:tcPr>
            <w:tcW w:w="1435" w:type="pct"/>
            <w:vAlign w:val="center"/>
          </w:tcPr>
          <w:p w:rsidR="007D0D4C" w:rsidRPr="000B6B6A" w:rsidRDefault="007D0D4C" w:rsidP="007D0D4C">
            <w:pPr>
              <w:pStyle w:val="TableText"/>
              <w:keepNext w:val="0"/>
              <w:widowControl w:val="0"/>
              <w:jc w:val="center"/>
            </w:pPr>
            <w:r w:rsidRPr="000B6B6A">
              <w:t>$</w:t>
            </w:r>
            <w:r w:rsidR="00FC537F">
              <w:rPr>
                <w:noProof/>
                <w:color w:val="000000"/>
                <w:highlight w:val="black"/>
              </w:rPr>
              <w:t>'''''''''''''''''''</w:t>
            </w:r>
          </w:p>
        </w:tc>
      </w:tr>
      <w:tr w:rsidR="007D0D4C" w:rsidRPr="003709BB" w:rsidTr="007D0D4C">
        <w:tc>
          <w:tcPr>
            <w:tcW w:w="5000" w:type="pct"/>
            <w:gridSpan w:val="4"/>
          </w:tcPr>
          <w:p w:rsidR="007D0D4C" w:rsidRPr="009C3239" w:rsidRDefault="007D0D4C" w:rsidP="00563D67">
            <w:pPr>
              <w:pStyle w:val="TableText"/>
              <w:keepNext w:val="0"/>
              <w:widowControl w:val="0"/>
              <w:jc w:val="both"/>
              <w:rPr>
                <w:b/>
              </w:rPr>
            </w:pPr>
            <w:r w:rsidRPr="009C3239">
              <w:rPr>
                <w:b/>
              </w:rPr>
              <w:t xml:space="preserve">Step 2: </w:t>
            </w:r>
            <w:r w:rsidR="00563D67">
              <w:t>Extending to 30 years</w:t>
            </w:r>
          </w:p>
        </w:tc>
      </w:tr>
      <w:tr w:rsidR="007D0D4C" w:rsidRPr="003709BB" w:rsidTr="007D0D4C">
        <w:tc>
          <w:tcPr>
            <w:tcW w:w="1406" w:type="pct"/>
          </w:tcPr>
          <w:p w:rsidR="007D0D4C" w:rsidRPr="000B6B6A" w:rsidRDefault="007D0D4C" w:rsidP="007D0D4C">
            <w:pPr>
              <w:pStyle w:val="TableText"/>
              <w:keepNext w:val="0"/>
              <w:widowControl w:val="0"/>
            </w:pPr>
            <w:r w:rsidRPr="000B6B6A">
              <w:t>Costs</w:t>
            </w:r>
          </w:p>
        </w:tc>
        <w:tc>
          <w:tcPr>
            <w:tcW w:w="1079" w:type="pct"/>
            <w:vAlign w:val="bottom"/>
          </w:tcPr>
          <w:p w:rsidR="007D0D4C" w:rsidRPr="000B6B6A" w:rsidRDefault="007D0D4C" w:rsidP="007D0D4C">
            <w:pPr>
              <w:pStyle w:val="TableText"/>
              <w:keepNext w:val="0"/>
              <w:widowControl w:val="0"/>
              <w:jc w:val="center"/>
            </w:pPr>
            <w:r w:rsidRPr="000B6B6A">
              <w:t>$</w:t>
            </w:r>
            <w:r w:rsidR="00FC537F">
              <w:rPr>
                <w:noProof/>
                <w:color w:val="000000"/>
                <w:highlight w:val="black"/>
              </w:rPr>
              <w:t>''''''''''''''''</w:t>
            </w:r>
          </w:p>
        </w:tc>
        <w:tc>
          <w:tcPr>
            <w:tcW w:w="1080" w:type="pct"/>
            <w:vAlign w:val="bottom"/>
          </w:tcPr>
          <w:p w:rsidR="007D0D4C" w:rsidRPr="009C3239" w:rsidRDefault="007D0D4C" w:rsidP="007D0D4C">
            <w:pPr>
              <w:pStyle w:val="TableText"/>
              <w:keepNext w:val="0"/>
              <w:widowControl w:val="0"/>
              <w:jc w:val="center"/>
            </w:pPr>
            <w:r w:rsidRPr="009C3239">
              <w:t>$0</w:t>
            </w:r>
          </w:p>
        </w:tc>
        <w:tc>
          <w:tcPr>
            <w:tcW w:w="1435" w:type="pct"/>
            <w:vAlign w:val="center"/>
          </w:tcPr>
          <w:p w:rsidR="007D0D4C" w:rsidRPr="000B6B6A" w:rsidRDefault="007D0D4C" w:rsidP="007D0D4C">
            <w:pPr>
              <w:pStyle w:val="TableText"/>
              <w:keepNext w:val="0"/>
              <w:widowControl w:val="0"/>
              <w:jc w:val="center"/>
            </w:pPr>
            <w:r w:rsidRPr="000B6B6A">
              <w:t>$</w:t>
            </w:r>
            <w:r w:rsidR="00FC537F">
              <w:rPr>
                <w:noProof/>
                <w:color w:val="000000"/>
                <w:highlight w:val="black"/>
              </w:rPr>
              <w:t>'''''''''''''''''</w:t>
            </w:r>
          </w:p>
        </w:tc>
      </w:tr>
      <w:tr w:rsidR="007D0D4C" w:rsidRPr="003709BB" w:rsidTr="007D0D4C">
        <w:tc>
          <w:tcPr>
            <w:tcW w:w="1406" w:type="pct"/>
          </w:tcPr>
          <w:p w:rsidR="007D0D4C" w:rsidRPr="000B6B6A" w:rsidRDefault="007D0D4C" w:rsidP="007D0D4C">
            <w:pPr>
              <w:pStyle w:val="TableText"/>
              <w:keepNext w:val="0"/>
              <w:widowControl w:val="0"/>
            </w:pPr>
            <w:r w:rsidRPr="000B6B6A">
              <w:t>L</w:t>
            </w:r>
            <w:r w:rsidR="001A2E95">
              <w:t>Y</w:t>
            </w:r>
            <w:r w:rsidRPr="000B6B6A">
              <w:t>s</w:t>
            </w:r>
          </w:p>
        </w:tc>
        <w:tc>
          <w:tcPr>
            <w:tcW w:w="1079" w:type="pct"/>
            <w:vAlign w:val="center"/>
          </w:tcPr>
          <w:p w:rsidR="007D0D4C" w:rsidRPr="00FC537F" w:rsidRDefault="00FC537F" w:rsidP="007D0D4C">
            <w:pPr>
              <w:pStyle w:val="TableText"/>
              <w:keepNext w:val="0"/>
              <w:widowControl w:val="0"/>
              <w:jc w:val="center"/>
              <w:rPr>
                <w:highlight w:val="black"/>
              </w:rPr>
            </w:pPr>
            <w:r>
              <w:rPr>
                <w:noProof/>
                <w:color w:val="000000"/>
                <w:highlight w:val="black"/>
              </w:rPr>
              <w:t>'''''''''''''''''</w:t>
            </w:r>
          </w:p>
        </w:tc>
        <w:tc>
          <w:tcPr>
            <w:tcW w:w="1080" w:type="pct"/>
            <w:vAlign w:val="center"/>
          </w:tcPr>
          <w:p w:rsidR="007D0D4C" w:rsidRPr="00FC537F" w:rsidRDefault="00FC537F" w:rsidP="007D0D4C">
            <w:pPr>
              <w:pStyle w:val="TableText"/>
              <w:keepNext w:val="0"/>
              <w:widowControl w:val="0"/>
              <w:jc w:val="center"/>
              <w:rPr>
                <w:highlight w:val="black"/>
              </w:rPr>
            </w:pPr>
            <w:r>
              <w:rPr>
                <w:noProof/>
                <w:color w:val="000000"/>
                <w:highlight w:val="black"/>
              </w:rPr>
              <w:t>'''''''''''''''''''''</w:t>
            </w:r>
          </w:p>
        </w:tc>
        <w:tc>
          <w:tcPr>
            <w:tcW w:w="1435" w:type="pct"/>
            <w:vAlign w:val="center"/>
          </w:tcPr>
          <w:p w:rsidR="007D0D4C" w:rsidRPr="00FC537F" w:rsidRDefault="00FC537F" w:rsidP="007D0D4C">
            <w:pPr>
              <w:pStyle w:val="TableText"/>
              <w:keepNext w:val="0"/>
              <w:widowControl w:val="0"/>
              <w:jc w:val="center"/>
              <w:rPr>
                <w:highlight w:val="black"/>
              </w:rPr>
            </w:pPr>
            <w:r>
              <w:rPr>
                <w:noProof/>
                <w:color w:val="000000"/>
                <w:highlight w:val="black"/>
              </w:rPr>
              <w:t>''''''''''''''''</w:t>
            </w:r>
          </w:p>
        </w:tc>
      </w:tr>
      <w:tr w:rsidR="007D0D4C" w:rsidRPr="003709BB" w:rsidTr="007D0D4C">
        <w:tc>
          <w:tcPr>
            <w:tcW w:w="3565" w:type="pct"/>
            <w:gridSpan w:val="3"/>
          </w:tcPr>
          <w:p w:rsidR="007D0D4C" w:rsidRPr="000B6B6A" w:rsidRDefault="007D0D4C" w:rsidP="007D0D4C">
            <w:pPr>
              <w:pStyle w:val="TableText"/>
              <w:keepNext w:val="0"/>
              <w:widowControl w:val="0"/>
              <w:jc w:val="right"/>
              <w:rPr>
                <w:b/>
              </w:rPr>
            </w:pPr>
            <w:r w:rsidRPr="000B6B6A">
              <w:rPr>
                <w:b/>
              </w:rPr>
              <w:t>Incremental cost per life year gained</w:t>
            </w:r>
          </w:p>
        </w:tc>
        <w:tc>
          <w:tcPr>
            <w:tcW w:w="1435" w:type="pct"/>
            <w:vAlign w:val="center"/>
          </w:tcPr>
          <w:p w:rsidR="007D0D4C" w:rsidRPr="000B6B6A" w:rsidRDefault="007D0D4C" w:rsidP="007D0D4C">
            <w:pPr>
              <w:pStyle w:val="TableText"/>
              <w:keepNext w:val="0"/>
              <w:widowControl w:val="0"/>
              <w:jc w:val="center"/>
            </w:pPr>
            <w:r w:rsidRPr="000B6B6A">
              <w:t>$</w:t>
            </w:r>
            <w:r w:rsidR="00FC537F">
              <w:rPr>
                <w:noProof/>
                <w:color w:val="000000"/>
                <w:highlight w:val="black"/>
              </w:rPr>
              <w:t>'''''''''''''''</w:t>
            </w:r>
          </w:p>
        </w:tc>
      </w:tr>
      <w:tr w:rsidR="007D0D4C" w:rsidRPr="003709BB" w:rsidTr="007D0D4C">
        <w:tc>
          <w:tcPr>
            <w:tcW w:w="5000" w:type="pct"/>
            <w:gridSpan w:val="4"/>
          </w:tcPr>
          <w:p w:rsidR="007D0D4C" w:rsidRPr="000B6B6A" w:rsidRDefault="007D0D4C" w:rsidP="007D0D4C">
            <w:pPr>
              <w:pStyle w:val="TableText"/>
              <w:keepNext w:val="0"/>
              <w:widowControl w:val="0"/>
              <w:jc w:val="both"/>
              <w:rPr>
                <w:b/>
              </w:rPr>
            </w:pPr>
            <w:r w:rsidRPr="000B6B6A">
              <w:rPr>
                <w:b/>
              </w:rPr>
              <w:t xml:space="preserve">Step 2a: </w:t>
            </w:r>
            <w:r w:rsidRPr="000B6B6A">
              <w:t xml:space="preserve">Extrapolated efficacy/safety for high cardiovascular risk subgroup; 30 year horizon; </w:t>
            </w:r>
            <w:r w:rsidRPr="000B6B6A">
              <w:rPr>
                <w:u w:val="single"/>
              </w:rPr>
              <w:t>age simulation</w:t>
            </w:r>
            <w:r w:rsidRPr="000B6B6A">
              <w:t xml:space="preserve">, </w:t>
            </w:r>
            <w:r w:rsidRPr="000B6B6A">
              <w:rPr>
                <w:u w:val="single"/>
              </w:rPr>
              <w:t>general population mortality</w:t>
            </w:r>
            <w:r w:rsidRPr="000B6B6A">
              <w:t xml:space="preserve">, </w:t>
            </w:r>
            <w:r w:rsidRPr="000B6B6A">
              <w:rPr>
                <w:u w:val="single"/>
              </w:rPr>
              <w:t>treatment interruptions for any event</w:t>
            </w:r>
            <w:r w:rsidRPr="000B6B6A">
              <w:t xml:space="preserve">, </w:t>
            </w:r>
            <w:r w:rsidRPr="000B6B6A">
              <w:rPr>
                <w:u w:val="single"/>
              </w:rPr>
              <w:t>discontinuations due to bleeding</w:t>
            </w:r>
            <w:r w:rsidRPr="000B6B6A">
              <w:t xml:space="preserve">, </w:t>
            </w:r>
            <w:r w:rsidRPr="000B6B6A">
              <w:rPr>
                <w:u w:val="single"/>
              </w:rPr>
              <w:t>modelled treatment persistence</w:t>
            </w:r>
            <w:r w:rsidRPr="000B6B6A">
              <w:t xml:space="preserve">, </w:t>
            </w:r>
            <w:r w:rsidRPr="000B6B6A">
              <w:rPr>
                <w:u w:val="single"/>
              </w:rPr>
              <w:t>declining treatment effect over time</w:t>
            </w:r>
            <w:r w:rsidRPr="000B6B6A">
              <w:t>; drug costs only; incremental cost per life year gained</w:t>
            </w:r>
          </w:p>
        </w:tc>
      </w:tr>
      <w:tr w:rsidR="007D0D4C" w:rsidRPr="003709BB" w:rsidTr="007D0D4C">
        <w:tc>
          <w:tcPr>
            <w:tcW w:w="1406" w:type="pct"/>
          </w:tcPr>
          <w:p w:rsidR="007D0D4C" w:rsidRPr="000B6B6A" w:rsidRDefault="007D0D4C" w:rsidP="007D0D4C">
            <w:pPr>
              <w:pStyle w:val="TableText"/>
              <w:keepNext w:val="0"/>
              <w:widowControl w:val="0"/>
            </w:pPr>
            <w:r w:rsidRPr="000B6B6A">
              <w:t>Costs</w:t>
            </w:r>
          </w:p>
        </w:tc>
        <w:tc>
          <w:tcPr>
            <w:tcW w:w="1079" w:type="pct"/>
            <w:vAlign w:val="bottom"/>
          </w:tcPr>
          <w:p w:rsidR="007D0D4C" w:rsidRPr="000B6B6A" w:rsidRDefault="007D0D4C" w:rsidP="007D0D4C">
            <w:pPr>
              <w:pStyle w:val="TableText"/>
              <w:keepNext w:val="0"/>
              <w:widowControl w:val="0"/>
              <w:jc w:val="center"/>
            </w:pPr>
            <w:r w:rsidRPr="000B6B6A">
              <w:t>$</w:t>
            </w:r>
            <w:r w:rsidR="00FC537F">
              <w:rPr>
                <w:noProof/>
                <w:color w:val="000000"/>
                <w:highlight w:val="black"/>
              </w:rPr>
              <w:t>'''''''''''''''</w:t>
            </w:r>
          </w:p>
        </w:tc>
        <w:tc>
          <w:tcPr>
            <w:tcW w:w="1080" w:type="pct"/>
            <w:vAlign w:val="bottom"/>
          </w:tcPr>
          <w:p w:rsidR="007D0D4C" w:rsidRPr="000B6B6A" w:rsidRDefault="007D0D4C" w:rsidP="007D0D4C">
            <w:pPr>
              <w:pStyle w:val="TableText"/>
              <w:keepNext w:val="0"/>
              <w:widowControl w:val="0"/>
              <w:jc w:val="center"/>
            </w:pPr>
            <w:r w:rsidRPr="000B6B6A">
              <w:t>$0</w:t>
            </w:r>
          </w:p>
        </w:tc>
        <w:tc>
          <w:tcPr>
            <w:tcW w:w="1435" w:type="pct"/>
            <w:vAlign w:val="center"/>
          </w:tcPr>
          <w:p w:rsidR="007D0D4C" w:rsidRPr="000B6B6A" w:rsidRDefault="007D0D4C" w:rsidP="007D0D4C">
            <w:pPr>
              <w:pStyle w:val="TableText"/>
              <w:keepNext w:val="0"/>
              <w:widowControl w:val="0"/>
              <w:jc w:val="center"/>
            </w:pPr>
            <w:r w:rsidRPr="000B6B6A">
              <w:t>$</w:t>
            </w:r>
            <w:r w:rsidR="00FC537F">
              <w:rPr>
                <w:noProof/>
                <w:color w:val="000000"/>
                <w:highlight w:val="black"/>
              </w:rPr>
              <w:t>'''''''''''''''</w:t>
            </w:r>
          </w:p>
        </w:tc>
      </w:tr>
      <w:tr w:rsidR="007D0D4C" w:rsidRPr="003709BB" w:rsidTr="007D0D4C">
        <w:tc>
          <w:tcPr>
            <w:tcW w:w="1406" w:type="pct"/>
          </w:tcPr>
          <w:p w:rsidR="007D0D4C" w:rsidRPr="000B6B6A" w:rsidRDefault="007D0D4C" w:rsidP="007D0D4C">
            <w:pPr>
              <w:pStyle w:val="TableText"/>
              <w:keepNext w:val="0"/>
              <w:widowControl w:val="0"/>
            </w:pPr>
            <w:r w:rsidRPr="000B6B6A">
              <w:t>L</w:t>
            </w:r>
            <w:r w:rsidR="001A2E95">
              <w:t>Y</w:t>
            </w:r>
            <w:r w:rsidRPr="000B6B6A">
              <w:t>s</w:t>
            </w:r>
          </w:p>
        </w:tc>
        <w:tc>
          <w:tcPr>
            <w:tcW w:w="1079" w:type="pct"/>
            <w:vAlign w:val="bottom"/>
          </w:tcPr>
          <w:p w:rsidR="007D0D4C" w:rsidRPr="00FC537F" w:rsidRDefault="00FC537F" w:rsidP="007D0D4C">
            <w:pPr>
              <w:pStyle w:val="TableText"/>
              <w:keepNext w:val="0"/>
              <w:widowControl w:val="0"/>
              <w:jc w:val="center"/>
              <w:rPr>
                <w:highlight w:val="black"/>
              </w:rPr>
            </w:pPr>
            <w:r>
              <w:rPr>
                <w:noProof/>
                <w:color w:val="000000"/>
                <w:highlight w:val="black"/>
              </w:rPr>
              <w:t>''''''''''''''''</w:t>
            </w:r>
          </w:p>
        </w:tc>
        <w:tc>
          <w:tcPr>
            <w:tcW w:w="1080" w:type="pct"/>
            <w:vAlign w:val="bottom"/>
          </w:tcPr>
          <w:p w:rsidR="007D0D4C" w:rsidRPr="00FC537F" w:rsidRDefault="00FC537F" w:rsidP="007D0D4C">
            <w:pPr>
              <w:pStyle w:val="TableText"/>
              <w:keepNext w:val="0"/>
              <w:widowControl w:val="0"/>
              <w:jc w:val="center"/>
              <w:rPr>
                <w:highlight w:val="black"/>
              </w:rPr>
            </w:pPr>
            <w:r>
              <w:rPr>
                <w:noProof/>
                <w:color w:val="000000"/>
                <w:highlight w:val="black"/>
              </w:rPr>
              <w:t>''''''''''''''''''</w:t>
            </w:r>
          </w:p>
        </w:tc>
        <w:tc>
          <w:tcPr>
            <w:tcW w:w="1435" w:type="pct"/>
            <w:vAlign w:val="center"/>
          </w:tcPr>
          <w:p w:rsidR="007D0D4C" w:rsidRPr="00FC537F" w:rsidRDefault="00FC537F" w:rsidP="007D0D4C">
            <w:pPr>
              <w:pStyle w:val="TableText"/>
              <w:keepNext w:val="0"/>
              <w:widowControl w:val="0"/>
              <w:jc w:val="center"/>
              <w:rPr>
                <w:highlight w:val="black"/>
              </w:rPr>
            </w:pPr>
            <w:r>
              <w:rPr>
                <w:noProof/>
                <w:color w:val="000000"/>
                <w:highlight w:val="black"/>
              </w:rPr>
              <w:t>'''''''''''''''''</w:t>
            </w:r>
          </w:p>
        </w:tc>
      </w:tr>
      <w:tr w:rsidR="007D0D4C" w:rsidRPr="003709BB" w:rsidTr="007D0D4C">
        <w:tc>
          <w:tcPr>
            <w:tcW w:w="3565" w:type="pct"/>
            <w:gridSpan w:val="3"/>
          </w:tcPr>
          <w:p w:rsidR="007D0D4C" w:rsidRPr="000B6B6A" w:rsidRDefault="007D0D4C" w:rsidP="007D0D4C">
            <w:pPr>
              <w:pStyle w:val="TableText"/>
              <w:keepNext w:val="0"/>
              <w:widowControl w:val="0"/>
              <w:jc w:val="right"/>
              <w:rPr>
                <w:b/>
              </w:rPr>
            </w:pPr>
            <w:r w:rsidRPr="000B6B6A">
              <w:rPr>
                <w:b/>
              </w:rPr>
              <w:t>Incremental cost per life year gained</w:t>
            </w:r>
          </w:p>
        </w:tc>
        <w:tc>
          <w:tcPr>
            <w:tcW w:w="1435" w:type="pct"/>
            <w:vAlign w:val="center"/>
          </w:tcPr>
          <w:p w:rsidR="007D0D4C" w:rsidRPr="000B6B6A" w:rsidRDefault="007D0D4C" w:rsidP="007D0D4C">
            <w:pPr>
              <w:pStyle w:val="TableText"/>
              <w:keepNext w:val="0"/>
              <w:widowControl w:val="0"/>
              <w:jc w:val="center"/>
            </w:pPr>
            <w:r w:rsidRPr="000B6B6A">
              <w:t>$</w:t>
            </w:r>
            <w:r w:rsidR="00FC537F">
              <w:rPr>
                <w:noProof/>
                <w:color w:val="000000"/>
                <w:highlight w:val="black"/>
              </w:rPr>
              <w:t>''''''''''''''''</w:t>
            </w:r>
          </w:p>
        </w:tc>
      </w:tr>
      <w:tr w:rsidR="007D0D4C" w:rsidRPr="003709BB" w:rsidTr="007D0D4C">
        <w:tc>
          <w:tcPr>
            <w:tcW w:w="5000" w:type="pct"/>
            <w:gridSpan w:val="4"/>
          </w:tcPr>
          <w:p w:rsidR="007D0D4C" w:rsidRPr="00563D67" w:rsidRDefault="007D0D4C" w:rsidP="00563D67">
            <w:pPr>
              <w:pStyle w:val="TableText"/>
              <w:keepNext w:val="0"/>
              <w:widowControl w:val="0"/>
              <w:jc w:val="both"/>
              <w:rPr>
                <w:b/>
              </w:rPr>
            </w:pPr>
            <w:r w:rsidRPr="00563D67">
              <w:rPr>
                <w:b/>
              </w:rPr>
              <w:t xml:space="preserve">Step 3: </w:t>
            </w:r>
            <w:r w:rsidR="00563D67" w:rsidRPr="00563D67">
              <w:t>Adding</w:t>
            </w:r>
            <w:r w:rsidRPr="00563D67">
              <w:t xml:space="preserve"> acute event costs</w:t>
            </w:r>
            <w:r w:rsidR="00563D67" w:rsidRPr="00563D67">
              <w:t xml:space="preserve"> and</w:t>
            </w:r>
            <w:r w:rsidRPr="00563D67">
              <w:t xml:space="preserve"> disease management costs</w:t>
            </w:r>
          </w:p>
        </w:tc>
      </w:tr>
      <w:tr w:rsidR="007D0D4C" w:rsidRPr="003709BB" w:rsidTr="007D0D4C">
        <w:tc>
          <w:tcPr>
            <w:tcW w:w="1406" w:type="pct"/>
          </w:tcPr>
          <w:p w:rsidR="007D0D4C" w:rsidRPr="000B6B6A" w:rsidRDefault="007D0D4C" w:rsidP="007D0D4C">
            <w:pPr>
              <w:pStyle w:val="TableText"/>
              <w:keepNext w:val="0"/>
              <w:widowControl w:val="0"/>
            </w:pPr>
            <w:r w:rsidRPr="000B6B6A">
              <w:t>Costs</w:t>
            </w:r>
          </w:p>
        </w:tc>
        <w:tc>
          <w:tcPr>
            <w:tcW w:w="1079" w:type="pct"/>
            <w:vAlign w:val="bottom"/>
          </w:tcPr>
          <w:p w:rsidR="007D0D4C" w:rsidRPr="000B6B6A" w:rsidRDefault="007D0D4C" w:rsidP="007D0D4C">
            <w:pPr>
              <w:pStyle w:val="TableText"/>
              <w:keepNext w:val="0"/>
              <w:widowControl w:val="0"/>
              <w:jc w:val="center"/>
            </w:pPr>
            <w:r w:rsidRPr="000B6B6A">
              <w:t>$</w:t>
            </w:r>
            <w:r w:rsidR="00FC537F">
              <w:rPr>
                <w:noProof/>
                <w:color w:val="000000"/>
                <w:highlight w:val="black"/>
              </w:rPr>
              <w:t>'''''''''''''''</w:t>
            </w:r>
          </w:p>
        </w:tc>
        <w:tc>
          <w:tcPr>
            <w:tcW w:w="1080" w:type="pct"/>
            <w:vAlign w:val="bottom"/>
          </w:tcPr>
          <w:p w:rsidR="007D0D4C" w:rsidRPr="000B6B6A" w:rsidRDefault="007D0D4C" w:rsidP="007D0D4C">
            <w:pPr>
              <w:pStyle w:val="TableText"/>
              <w:keepNext w:val="0"/>
              <w:widowControl w:val="0"/>
              <w:jc w:val="center"/>
            </w:pPr>
            <w:r w:rsidRPr="000B6B6A">
              <w:t>$12,835</w:t>
            </w:r>
          </w:p>
        </w:tc>
        <w:tc>
          <w:tcPr>
            <w:tcW w:w="1435" w:type="pct"/>
            <w:vAlign w:val="center"/>
          </w:tcPr>
          <w:p w:rsidR="007D0D4C" w:rsidRPr="000B6B6A" w:rsidRDefault="007D0D4C" w:rsidP="007D0D4C">
            <w:pPr>
              <w:pStyle w:val="TableText"/>
              <w:keepNext w:val="0"/>
              <w:widowControl w:val="0"/>
              <w:jc w:val="center"/>
            </w:pPr>
            <w:r w:rsidRPr="000B6B6A">
              <w:t>$</w:t>
            </w:r>
            <w:r w:rsidR="00FC537F">
              <w:rPr>
                <w:noProof/>
                <w:color w:val="000000"/>
                <w:highlight w:val="black"/>
              </w:rPr>
              <w:t>''''''''''''</w:t>
            </w:r>
          </w:p>
        </w:tc>
      </w:tr>
      <w:tr w:rsidR="007D0D4C" w:rsidRPr="003709BB" w:rsidTr="007D0D4C">
        <w:tc>
          <w:tcPr>
            <w:tcW w:w="1406" w:type="pct"/>
          </w:tcPr>
          <w:p w:rsidR="007D0D4C" w:rsidRPr="000B6B6A" w:rsidRDefault="007D0D4C" w:rsidP="007D0D4C">
            <w:pPr>
              <w:pStyle w:val="TableText"/>
              <w:keepNext w:val="0"/>
              <w:widowControl w:val="0"/>
            </w:pPr>
            <w:r w:rsidRPr="000B6B6A">
              <w:t>L</w:t>
            </w:r>
            <w:r w:rsidR="001A2E95">
              <w:t>Y</w:t>
            </w:r>
            <w:r w:rsidRPr="000B6B6A">
              <w:t>s</w:t>
            </w:r>
          </w:p>
        </w:tc>
        <w:tc>
          <w:tcPr>
            <w:tcW w:w="1079" w:type="pct"/>
            <w:vAlign w:val="bottom"/>
          </w:tcPr>
          <w:p w:rsidR="007D0D4C" w:rsidRPr="00FC537F" w:rsidRDefault="00FC537F" w:rsidP="007D0D4C">
            <w:pPr>
              <w:pStyle w:val="TableText"/>
              <w:keepNext w:val="0"/>
              <w:widowControl w:val="0"/>
              <w:jc w:val="center"/>
              <w:rPr>
                <w:highlight w:val="black"/>
              </w:rPr>
            </w:pPr>
            <w:r>
              <w:rPr>
                <w:noProof/>
                <w:color w:val="000000"/>
                <w:highlight w:val="black"/>
              </w:rPr>
              <w:t>'''''''''''''''</w:t>
            </w:r>
          </w:p>
        </w:tc>
        <w:tc>
          <w:tcPr>
            <w:tcW w:w="1080" w:type="pct"/>
            <w:vAlign w:val="bottom"/>
          </w:tcPr>
          <w:p w:rsidR="007D0D4C" w:rsidRPr="00FC537F" w:rsidRDefault="00FC537F" w:rsidP="007D0D4C">
            <w:pPr>
              <w:pStyle w:val="TableText"/>
              <w:keepNext w:val="0"/>
              <w:widowControl w:val="0"/>
              <w:jc w:val="center"/>
              <w:rPr>
                <w:highlight w:val="black"/>
              </w:rPr>
            </w:pPr>
            <w:r>
              <w:rPr>
                <w:noProof/>
                <w:color w:val="000000"/>
                <w:highlight w:val="black"/>
              </w:rPr>
              <w:t>'''''''''''''''</w:t>
            </w:r>
          </w:p>
        </w:tc>
        <w:tc>
          <w:tcPr>
            <w:tcW w:w="1435" w:type="pct"/>
            <w:vAlign w:val="center"/>
          </w:tcPr>
          <w:p w:rsidR="007D0D4C" w:rsidRPr="00FC537F" w:rsidRDefault="00FC537F" w:rsidP="007D0D4C">
            <w:pPr>
              <w:pStyle w:val="TableText"/>
              <w:keepNext w:val="0"/>
              <w:widowControl w:val="0"/>
              <w:jc w:val="center"/>
              <w:rPr>
                <w:highlight w:val="black"/>
              </w:rPr>
            </w:pPr>
            <w:r>
              <w:rPr>
                <w:noProof/>
                <w:color w:val="000000"/>
                <w:highlight w:val="black"/>
              </w:rPr>
              <w:t>''''''''''''''''''</w:t>
            </w:r>
          </w:p>
        </w:tc>
      </w:tr>
      <w:tr w:rsidR="007D0D4C" w:rsidRPr="003709BB" w:rsidTr="007D0D4C">
        <w:tc>
          <w:tcPr>
            <w:tcW w:w="3565" w:type="pct"/>
            <w:gridSpan w:val="3"/>
          </w:tcPr>
          <w:p w:rsidR="007D0D4C" w:rsidRPr="000B6B6A" w:rsidRDefault="007D0D4C" w:rsidP="007D0D4C">
            <w:pPr>
              <w:pStyle w:val="TableText"/>
              <w:keepNext w:val="0"/>
              <w:widowControl w:val="0"/>
              <w:jc w:val="right"/>
              <w:rPr>
                <w:b/>
              </w:rPr>
            </w:pPr>
            <w:r w:rsidRPr="000B6B6A">
              <w:rPr>
                <w:b/>
              </w:rPr>
              <w:t>Incremental cost per life year gained</w:t>
            </w:r>
          </w:p>
        </w:tc>
        <w:tc>
          <w:tcPr>
            <w:tcW w:w="1435" w:type="pct"/>
            <w:vAlign w:val="center"/>
          </w:tcPr>
          <w:p w:rsidR="007D0D4C" w:rsidRPr="000B6B6A" w:rsidRDefault="007D0D4C" w:rsidP="007D0D4C">
            <w:pPr>
              <w:pStyle w:val="TableText"/>
              <w:keepNext w:val="0"/>
              <w:widowControl w:val="0"/>
              <w:jc w:val="center"/>
            </w:pPr>
            <w:r w:rsidRPr="000B6B6A">
              <w:t>$</w:t>
            </w:r>
            <w:r w:rsidR="00FC537F">
              <w:rPr>
                <w:noProof/>
                <w:color w:val="000000"/>
                <w:highlight w:val="black"/>
              </w:rPr>
              <w:t>''''''''''''''''</w:t>
            </w:r>
          </w:p>
        </w:tc>
      </w:tr>
      <w:tr w:rsidR="007D0D4C" w:rsidRPr="003709BB" w:rsidTr="007D0D4C">
        <w:tc>
          <w:tcPr>
            <w:tcW w:w="5000" w:type="pct"/>
            <w:gridSpan w:val="4"/>
          </w:tcPr>
          <w:p w:rsidR="007D0D4C" w:rsidRPr="000B6B6A" w:rsidRDefault="007D0D4C" w:rsidP="00563D67">
            <w:pPr>
              <w:pStyle w:val="TableText"/>
              <w:keepNext w:val="0"/>
              <w:widowControl w:val="0"/>
              <w:jc w:val="both"/>
              <w:rPr>
                <w:b/>
              </w:rPr>
            </w:pPr>
            <w:r w:rsidRPr="000B6B6A">
              <w:rPr>
                <w:b/>
              </w:rPr>
              <w:t xml:space="preserve">Step 4: </w:t>
            </w:r>
            <w:r w:rsidR="00CA641E" w:rsidRPr="000B6B6A">
              <w:rPr>
                <w:b/>
              </w:rPr>
              <w:t xml:space="preserve">Base case ICER for pooled subgroup. </w:t>
            </w:r>
            <w:r w:rsidR="00563D67">
              <w:t>Adding</w:t>
            </w:r>
            <w:r w:rsidRPr="000B6B6A">
              <w:t xml:space="preserve"> quality adjusted life year gained</w:t>
            </w:r>
            <w:r w:rsidR="00563D67">
              <w:t xml:space="preserve"> conversion</w:t>
            </w:r>
          </w:p>
        </w:tc>
      </w:tr>
      <w:tr w:rsidR="007D0D4C" w:rsidRPr="003709BB" w:rsidTr="007D0D4C">
        <w:tc>
          <w:tcPr>
            <w:tcW w:w="1406" w:type="pct"/>
          </w:tcPr>
          <w:p w:rsidR="007D0D4C" w:rsidRPr="000B6B6A" w:rsidRDefault="007D0D4C" w:rsidP="007D0D4C">
            <w:pPr>
              <w:pStyle w:val="TableText"/>
              <w:keepNext w:val="0"/>
              <w:widowControl w:val="0"/>
            </w:pPr>
            <w:r w:rsidRPr="000B6B6A">
              <w:t>Costs</w:t>
            </w:r>
          </w:p>
        </w:tc>
        <w:tc>
          <w:tcPr>
            <w:tcW w:w="1079" w:type="pct"/>
            <w:vAlign w:val="bottom"/>
          </w:tcPr>
          <w:p w:rsidR="007D0D4C" w:rsidRPr="000B6B6A" w:rsidRDefault="007D0D4C" w:rsidP="007D0D4C">
            <w:pPr>
              <w:pStyle w:val="TableText"/>
              <w:keepNext w:val="0"/>
              <w:widowControl w:val="0"/>
              <w:jc w:val="center"/>
            </w:pPr>
            <w:r w:rsidRPr="000B6B6A">
              <w:t>$</w:t>
            </w:r>
            <w:r w:rsidR="00FC537F">
              <w:rPr>
                <w:noProof/>
                <w:color w:val="000000"/>
                <w:highlight w:val="black"/>
              </w:rPr>
              <w:t>'''''''''''''''''</w:t>
            </w:r>
          </w:p>
        </w:tc>
        <w:tc>
          <w:tcPr>
            <w:tcW w:w="1080" w:type="pct"/>
            <w:vAlign w:val="bottom"/>
          </w:tcPr>
          <w:p w:rsidR="007D0D4C" w:rsidRPr="000B6B6A" w:rsidRDefault="007D0D4C" w:rsidP="007D0D4C">
            <w:pPr>
              <w:pStyle w:val="TableText"/>
              <w:keepNext w:val="0"/>
              <w:widowControl w:val="0"/>
              <w:jc w:val="center"/>
            </w:pPr>
            <w:r w:rsidRPr="000B6B6A">
              <w:t>$12,835</w:t>
            </w:r>
          </w:p>
        </w:tc>
        <w:tc>
          <w:tcPr>
            <w:tcW w:w="1435" w:type="pct"/>
            <w:vAlign w:val="center"/>
          </w:tcPr>
          <w:p w:rsidR="007D0D4C" w:rsidRPr="000B6B6A" w:rsidRDefault="007D0D4C" w:rsidP="007D0D4C">
            <w:pPr>
              <w:pStyle w:val="TableText"/>
              <w:keepNext w:val="0"/>
              <w:widowControl w:val="0"/>
              <w:jc w:val="center"/>
            </w:pPr>
            <w:r w:rsidRPr="000B6B6A">
              <w:t>$</w:t>
            </w:r>
            <w:r w:rsidR="00FC537F">
              <w:rPr>
                <w:noProof/>
                <w:color w:val="000000"/>
                <w:highlight w:val="black"/>
              </w:rPr>
              <w:t>''''''''''''''</w:t>
            </w:r>
          </w:p>
        </w:tc>
      </w:tr>
      <w:tr w:rsidR="007D0D4C" w:rsidRPr="003709BB" w:rsidTr="007D0D4C">
        <w:tc>
          <w:tcPr>
            <w:tcW w:w="1406" w:type="pct"/>
          </w:tcPr>
          <w:p w:rsidR="007D0D4C" w:rsidRPr="000B6B6A" w:rsidRDefault="007D0D4C" w:rsidP="007D0D4C">
            <w:pPr>
              <w:pStyle w:val="TableText"/>
              <w:keepNext w:val="0"/>
              <w:widowControl w:val="0"/>
              <w:rPr>
                <w:vertAlign w:val="superscript"/>
              </w:rPr>
            </w:pPr>
            <w:r w:rsidRPr="000B6B6A">
              <w:t>QALYs</w:t>
            </w:r>
            <w:r w:rsidRPr="000B6B6A">
              <w:rPr>
                <w:vertAlign w:val="superscript"/>
              </w:rPr>
              <w:t>a</w:t>
            </w:r>
          </w:p>
        </w:tc>
        <w:tc>
          <w:tcPr>
            <w:tcW w:w="1079" w:type="pct"/>
            <w:vAlign w:val="bottom"/>
          </w:tcPr>
          <w:p w:rsidR="007D0D4C" w:rsidRPr="00FC537F" w:rsidRDefault="00FC537F" w:rsidP="007D0D4C">
            <w:pPr>
              <w:pStyle w:val="TableText"/>
              <w:keepNext w:val="0"/>
              <w:widowControl w:val="0"/>
              <w:jc w:val="center"/>
              <w:rPr>
                <w:highlight w:val="black"/>
              </w:rPr>
            </w:pPr>
            <w:r>
              <w:rPr>
                <w:noProof/>
                <w:color w:val="000000"/>
                <w:highlight w:val="black"/>
              </w:rPr>
              <w:t>''''''''''''''''</w:t>
            </w:r>
          </w:p>
        </w:tc>
        <w:tc>
          <w:tcPr>
            <w:tcW w:w="1080" w:type="pct"/>
            <w:vAlign w:val="bottom"/>
          </w:tcPr>
          <w:p w:rsidR="007D0D4C" w:rsidRPr="00FC537F" w:rsidRDefault="00FC537F" w:rsidP="007D0D4C">
            <w:pPr>
              <w:pStyle w:val="TableText"/>
              <w:keepNext w:val="0"/>
              <w:widowControl w:val="0"/>
              <w:jc w:val="center"/>
              <w:rPr>
                <w:highlight w:val="black"/>
              </w:rPr>
            </w:pPr>
            <w:r>
              <w:rPr>
                <w:noProof/>
                <w:color w:val="000000"/>
                <w:highlight w:val="black"/>
              </w:rPr>
              <w:t>''''''''''''''''''</w:t>
            </w:r>
          </w:p>
        </w:tc>
        <w:tc>
          <w:tcPr>
            <w:tcW w:w="1435" w:type="pct"/>
            <w:vAlign w:val="center"/>
          </w:tcPr>
          <w:p w:rsidR="007D0D4C" w:rsidRPr="00FC537F" w:rsidRDefault="00FC537F" w:rsidP="007D0D4C">
            <w:pPr>
              <w:pStyle w:val="TableText"/>
              <w:keepNext w:val="0"/>
              <w:widowControl w:val="0"/>
              <w:jc w:val="center"/>
              <w:rPr>
                <w:highlight w:val="black"/>
              </w:rPr>
            </w:pPr>
            <w:r>
              <w:rPr>
                <w:noProof/>
                <w:color w:val="000000"/>
                <w:highlight w:val="black"/>
              </w:rPr>
              <w:t>''''''''''''''''</w:t>
            </w:r>
          </w:p>
        </w:tc>
      </w:tr>
      <w:tr w:rsidR="007D0D4C" w:rsidRPr="003709BB" w:rsidTr="007D0D4C">
        <w:tc>
          <w:tcPr>
            <w:tcW w:w="3565" w:type="pct"/>
            <w:gridSpan w:val="3"/>
          </w:tcPr>
          <w:p w:rsidR="007D0D4C" w:rsidRPr="000B6B6A" w:rsidRDefault="007D0D4C" w:rsidP="007D0D4C">
            <w:pPr>
              <w:pStyle w:val="TableText"/>
              <w:keepNext w:val="0"/>
              <w:widowControl w:val="0"/>
              <w:jc w:val="right"/>
              <w:rPr>
                <w:b/>
              </w:rPr>
            </w:pPr>
            <w:r w:rsidRPr="000B6B6A">
              <w:rPr>
                <w:b/>
              </w:rPr>
              <w:t>Incremental cost per QALY gained</w:t>
            </w:r>
          </w:p>
        </w:tc>
        <w:tc>
          <w:tcPr>
            <w:tcW w:w="1435" w:type="pct"/>
            <w:vAlign w:val="center"/>
          </w:tcPr>
          <w:p w:rsidR="007D0D4C" w:rsidRPr="000B6B6A" w:rsidRDefault="007D0D4C" w:rsidP="009B7D36">
            <w:pPr>
              <w:pStyle w:val="TableText"/>
              <w:keepNext w:val="0"/>
              <w:widowControl w:val="0"/>
              <w:jc w:val="center"/>
              <w:rPr>
                <w:vertAlign w:val="superscript"/>
              </w:rPr>
            </w:pPr>
            <w:r w:rsidRPr="000B6B6A">
              <w:t>$</w:t>
            </w:r>
            <w:r w:rsidR="00FC537F">
              <w:rPr>
                <w:noProof/>
                <w:color w:val="000000"/>
                <w:highlight w:val="black"/>
              </w:rPr>
              <w:t>'''''''''''''''</w:t>
            </w:r>
          </w:p>
        </w:tc>
      </w:tr>
    </w:tbl>
    <w:p w:rsidR="007D0D4C" w:rsidRDefault="007D0D4C" w:rsidP="007D0D4C">
      <w:pPr>
        <w:pStyle w:val="TableFooter"/>
      </w:pPr>
      <w:r>
        <w:t>Source: Table 3.8-1 (p 273) of the resubmission</w:t>
      </w:r>
    </w:p>
    <w:p w:rsidR="007D0D4C" w:rsidRDefault="007D0D4C" w:rsidP="007D0D4C">
      <w:pPr>
        <w:pStyle w:val="TableFooter"/>
      </w:pPr>
      <w:r>
        <w:t>Abbreviations: ACS, acute coronary syndrome; CV, cardiovascular; ICH, intracranial haemorrhage; IS, ischaemic stroke; LY, life years; MI, myocardial infarction; QALYs, quality-adjusted life years</w:t>
      </w:r>
    </w:p>
    <w:p w:rsidR="007D0D4C" w:rsidRDefault="007D0D4C" w:rsidP="009B7D36">
      <w:pPr>
        <w:pStyle w:val="TableFooter"/>
        <w:spacing w:after="240"/>
      </w:pPr>
      <w:r>
        <w:rPr>
          <w:vertAlign w:val="superscript"/>
        </w:rPr>
        <w:t>a</w:t>
      </w:r>
      <w:r>
        <w:t xml:space="preserve"> Quality of life estimates were corrected during the evaluation to have a standardised 3 month duration for acute events in both treatment arms </w:t>
      </w:r>
    </w:p>
    <w:p w:rsidR="00671C6E" w:rsidRDefault="00671C6E" w:rsidP="00671C6E">
      <w:pPr>
        <w:pStyle w:val="ExecSumBodyText"/>
        <w:numPr>
          <w:ilvl w:val="1"/>
          <w:numId w:val="1"/>
        </w:numPr>
      </w:pPr>
      <w:r w:rsidRPr="00DA2857">
        <w:lastRenderedPageBreak/>
        <w:t xml:space="preserve">Based on the economic model, treatment with rivaroxaban and aspirin was associated with a cost per QALY gained of </w:t>
      </w:r>
      <w:r w:rsidR="00687A4F">
        <w:t>$15,000 - $45,000</w:t>
      </w:r>
      <w:r w:rsidRPr="00DA2857">
        <w:t xml:space="preserve"> (base case ICER for pooled subgroup). </w:t>
      </w:r>
    </w:p>
    <w:p w:rsidR="006A0495" w:rsidRPr="00DA2857" w:rsidRDefault="006A0495" w:rsidP="006A0495">
      <w:pPr>
        <w:pStyle w:val="ExecSumBodyText"/>
        <w:numPr>
          <w:ilvl w:val="1"/>
          <w:numId w:val="1"/>
        </w:numPr>
      </w:pPr>
      <w:r>
        <w:t xml:space="preserve">The pre-PBAC </w:t>
      </w:r>
      <w:r w:rsidR="00A42106">
        <w:t>response proposed</w:t>
      </w:r>
      <w:r>
        <w:t xml:space="preserve"> a revised base case </w:t>
      </w:r>
      <w:r>
        <w:rPr>
          <w:bCs/>
          <w:lang w:val="en-GB"/>
        </w:rPr>
        <w:t xml:space="preserve">that </w:t>
      </w:r>
      <w:r w:rsidRPr="00460623">
        <w:rPr>
          <w:bCs/>
          <w:lang w:val="en-GB"/>
        </w:rPr>
        <w:t>removed both non-cardiovascular death treatment effects and non-cardiovascular death transition probabilities</w:t>
      </w:r>
      <w:r>
        <w:rPr>
          <w:bCs/>
          <w:lang w:val="en-GB"/>
        </w:rPr>
        <w:t>, and with a lower effective price (</w:t>
      </w:r>
      <w:r w:rsidR="00FC537F">
        <w:rPr>
          <w:bCs/>
          <w:noProof/>
          <w:color w:val="000000"/>
          <w:highlight w:val="black"/>
          <w:lang w:val="en-GB"/>
        </w:rPr>
        <w:t>''''''</w:t>
      </w:r>
      <w:r>
        <w:rPr>
          <w:bCs/>
          <w:lang w:val="en-GB"/>
        </w:rPr>
        <w:t xml:space="preserve">% reduction versus the price proposed in the resubmission). This resulted in an ICER of </w:t>
      </w:r>
      <w:r w:rsidR="00687A4F">
        <w:rPr>
          <w:bCs/>
          <w:lang w:val="en-GB"/>
        </w:rPr>
        <w:t>$15,000 - $45,000</w:t>
      </w:r>
      <w:r>
        <w:rPr>
          <w:bCs/>
          <w:lang w:val="en-GB"/>
        </w:rPr>
        <w:t xml:space="preserve"> per QALY gained. </w:t>
      </w:r>
    </w:p>
    <w:p w:rsidR="007D0D4C" w:rsidRPr="00DA2857" w:rsidRDefault="007D0D4C" w:rsidP="007D0D4C">
      <w:pPr>
        <w:pStyle w:val="ExecSumBodyText"/>
        <w:numPr>
          <w:ilvl w:val="1"/>
          <w:numId w:val="1"/>
        </w:numPr>
      </w:pPr>
      <w:r w:rsidRPr="00DA2857">
        <w:t>The difference in health outcomes between treatment arms was primarily driven by a small delay in the time to other cardiovascular death and time to non-cardiovascular death</w:t>
      </w:r>
      <w:r w:rsidR="00C807CC">
        <w:t xml:space="preserve"> (in the resubmission base case)</w:t>
      </w:r>
      <w:r w:rsidRPr="00DA2857">
        <w:t>. The extrapolation of treatment benefits beyond the clinical trial data had the largest impact on the stepped economic evaluation.</w:t>
      </w:r>
    </w:p>
    <w:p w:rsidR="00CD7DFE" w:rsidRPr="00DA2857" w:rsidRDefault="00CD7DFE" w:rsidP="0029287A">
      <w:pPr>
        <w:pStyle w:val="ExecSumBodyText"/>
        <w:numPr>
          <w:ilvl w:val="1"/>
          <w:numId w:val="1"/>
        </w:numPr>
      </w:pPr>
      <w:r w:rsidRPr="00DA2857">
        <w:t xml:space="preserve">Figure </w:t>
      </w:r>
      <w:r w:rsidR="002D797C" w:rsidRPr="00DA2857">
        <w:t>2</w:t>
      </w:r>
      <w:r w:rsidRPr="00DA2857">
        <w:t xml:space="preserve"> below summarises the proportions of patients with non-fatal cardiovascular events over the 30 year duration of the model.</w:t>
      </w:r>
    </w:p>
    <w:p w:rsidR="00CD7DFE" w:rsidRDefault="00CD7DFE" w:rsidP="00CD7DFE">
      <w:pPr>
        <w:pStyle w:val="Tableheadingrow"/>
      </w:pPr>
      <w:r>
        <w:t xml:space="preserve">Figure </w:t>
      </w:r>
      <w:r w:rsidR="002D797C">
        <w:t>2</w:t>
      </w:r>
      <w:r>
        <w:t>: Proportions of patients with non-fatal cardiovascular events in the model over the 30 year time horizon</w:t>
      </w:r>
    </w:p>
    <w:p w:rsidR="001C7764" w:rsidRDefault="00FC537F" w:rsidP="00CD7DFE">
      <w:pPr>
        <w:pStyle w:val="Tableheadingrow"/>
      </w:pPr>
      <w:r>
        <w:rPr>
          <w:noProof/>
          <w:lang w:val="en-AU"/>
        </w:rPr>
        <w:drawing>
          <wp:inline distT="0" distB="0" distL="0" distR="0">
            <wp:extent cx="3968750" cy="2594610"/>
            <wp:effectExtent l="0" t="0" r="0" b="0"/>
            <wp:docPr id="4" name="Picture 4" descr="Figure 2: Proportions of patients with non-fatal cardiovascular events in the model over the 30 year time horizon" title="Figure 2: Proportions of patients with non-fatal cardiovascular events in the model over the 30 year time horizo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9">
                      <a:extLst>
                        <a:ext uri="{28A0092B-C50C-407E-A947-70E740481C1C}">
                          <a14:useLocalDpi xmlns:a14="http://schemas.microsoft.com/office/drawing/2010/main" val="0"/>
                        </a:ext>
                      </a:extLst>
                    </a:blip>
                    <a:stretch>
                      <a:fillRect/>
                    </a:stretch>
                  </pic:blipFill>
                  <pic:spPr>
                    <a:xfrm>
                      <a:off x="0" y="0"/>
                      <a:ext cx="3968750" cy="2594610"/>
                    </a:xfrm>
                    <a:prstGeom prst="rect">
                      <a:avLst/>
                    </a:prstGeom>
                  </pic:spPr>
                </pic:pic>
              </a:graphicData>
            </a:graphic>
          </wp:inline>
        </w:drawing>
      </w:r>
    </w:p>
    <w:p w:rsidR="00CD7DFE" w:rsidRDefault="001C7764" w:rsidP="001C7764">
      <w:pPr>
        <w:pStyle w:val="TableFootnotetext"/>
      </w:pPr>
      <w:r>
        <w:t>Source: Constructed during the evaluation using the ‘Xarelto (rivaroxaban) Economic Evaluation - POOLED’ Excel spreadsheet provided in the resubmission</w:t>
      </w:r>
    </w:p>
    <w:p w:rsidR="00CD7DFE" w:rsidRDefault="00CD7DFE" w:rsidP="007D0D4C">
      <w:pPr>
        <w:pStyle w:val="ExecSumBodyText"/>
        <w:numPr>
          <w:ilvl w:val="1"/>
          <w:numId w:val="1"/>
        </w:numPr>
      </w:pPr>
      <w:r>
        <w:t xml:space="preserve">The proportions of patients with non-fatal </w:t>
      </w:r>
      <w:r w:rsidR="001C7764">
        <w:t xml:space="preserve">peripheral events over the duration of the model are summarised in Figure </w:t>
      </w:r>
      <w:r w:rsidR="002D797C">
        <w:t>3</w:t>
      </w:r>
      <w:r w:rsidR="001C7764">
        <w:t xml:space="preserve"> below.</w:t>
      </w:r>
    </w:p>
    <w:p w:rsidR="001C7764" w:rsidRDefault="001C7764" w:rsidP="001C7764">
      <w:pPr>
        <w:pStyle w:val="Tableheadingrow"/>
      </w:pPr>
      <w:r>
        <w:lastRenderedPageBreak/>
        <w:t xml:space="preserve">Figure </w:t>
      </w:r>
      <w:r w:rsidR="002D797C">
        <w:t>3</w:t>
      </w:r>
      <w:r>
        <w:t>: Proportions of patients with non-fatal peripheral events in the model over the 30 year time horizon</w:t>
      </w:r>
    </w:p>
    <w:p w:rsidR="001C7764" w:rsidRDefault="00FC537F" w:rsidP="001C7764">
      <w:pPr>
        <w:pStyle w:val="TableFootnotetext"/>
      </w:pPr>
      <w:r>
        <w:rPr>
          <w:noProof/>
          <w:lang w:eastAsia="en-AU"/>
        </w:rPr>
        <w:drawing>
          <wp:inline distT="0" distB="0" distL="0" distR="0">
            <wp:extent cx="4312285" cy="2819400"/>
            <wp:effectExtent l="0" t="0" r="0" b="0"/>
            <wp:docPr id="3" name="Picture 3" descr="Figure 3: Proportions of patients with non-fatal peripheral events in the model over the 30 year time horizon" title="Figure 3: Proportions of patients with non-fatal peripheral events in the model over the 30 year time horizon"/>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9">
                      <a:extLst>
                        <a:ext uri="{28A0092B-C50C-407E-A947-70E740481C1C}">
                          <a14:useLocalDpi xmlns:a14="http://schemas.microsoft.com/office/drawing/2010/main" val="0"/>
                        </a:ext>
                      </a:extLst>
                    </a:blip>
                    <a:stretch>
                      <a:fillRect/>
                    </a:stretch>
                  </pic:blipFill>
                  <pic:spPr>
                    <a:xfrm>
                      <a:off x="0" y="0"/>
                      <a:ext cx="4312285" cy="2819400"/>
                    </a:xfrm>
                    <a:prstGeom prst="rect">
                      <a:avLst/>
                    </a:prstGeom>
                  </pic:spPr>
                </pic:pic>
              </a:graphicData>
            </a:graphic>
          </wp:inline>
        </w:drawing>
      </w:r>
    </w:p>
    <w:p w:rsidR="001C7764" w:rsidRDefault="001C7764" w:rsidP="001C7764">
      <w:pPr>
        <w:pStyle w:val="TableFootnotetext"/>
      </w:pPr>
      <w:r>
        <w:t>Source: Constructed during the evaluation using the ‘Xarelto (rivaroxaban) Economic Evaluation - POOLED’ Excel spreadsheet provided in the resubmission</w:t>
      </w:r>
    </w:p>
    <w:p w:rsidR="001C7764" w:rsidRDefault="001C7764" w:rsidP="001C7764">
      <w:pPr>
        <w:pStyle w:val="ExecSumBodyText"/>
        <w:numPr>
          <w:ilvl w:val="1"/>
          <w:numId w:val="1"/>
        </w:numPr>
      </w:pPr>
      <w:r>
        <w:t xml:space="preserve">Figure </w:t>
      </w:r>
      <w:r w:rsidR="002D797C">
        <w:t>4</w:t>
      </w:r>
      <w:r>
        <w:t xml:space="preserve"> below summarises the proportions of patients with non-fatal bleeding events over the 30 year duration of the model.</w:t>
      </w:r>
      <w:r w:rsidRPr="001C7764">
        <w:t xml:space="preserve"> </w:t>
      </w:r>
    </w:p>
    <w:p w:rsidR="001C7764" w:rsidRDefault="001C7764" w:rsidP="001C7764">
      <w:pPr>
        <w:pStyle w:val="Tableheadingrow"/>
      </w:pPr>
      <w:r>
        <w:t xml:space="preserve">Figure </w:t>
      </w:r>
      <w:r w:rsidR="002D797C">
        <w:t>4</w:t>
      </w:r>
      <w:r>
        <w:t>: Proportions of patients with non-fatal bleeding events in the model over the 30 year time horizon</w:t>
      </w:r>
    </w:p>
    <w:p w:rsidR="001C7764" w:rsidRDefault="00FC537F" w:rsidP="001C7764">
      <w:pPr>
        <w:pStyle w:val="TableFootnotetext"/>
      </w:pPr>
      <w:r>
        <w:rPr>
          <w:noProof/>
          <w:lang w:eastAsia="en-AU"/>
        </w:rPr>
        <w:drawing>
          <wp:inline distT="0" distB="0" distL="0" distR="0">
            <wp:extent cx="4178300" cy="2731135"/>
            <wp:effectExtent l="0" t="0" r="0" b="0"/>
            <wp:docPr id="2" name="Picture 2" descr="Figure 4: Proportions of patients with non-fatal bleeding events in the model over the 30 year time horizon" title="Figure 4: Proportions of patients with non-fatal bleeding events in the model over the 30 year time horizo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4178300" cy="2731135"/>
                    </a:xfrm>
                    <a:prstGeom prst="rect">
                      <a:avLst/>
                    </a:prstGeom>
                  </pic:spPr>
                </pic:pic>
              </a:graphicData>
            </a:graphic>
          </wp:inline>
        </w:drawing>
      </w:r>
    </w:p>
    <w:p w:rsidR="001C7764" w:rsidRDefault="001C7764" w:rsidP="001C7764">
      <w:pPr>
        <w:pStyle w:val="TableFootnotetext"/>
      </w:pPr>
      <w:r>
        <w:t>Source: Constructed during the evaluation using the ‘Xarelto (rivaroxaban) Economic Evaluation - POOLED’ Excel spreadsheet provided in the resubmission</w:t>
      </w:r>
    </w:p>
    <w:p w:rsidR="001C7764" w:rsidRDefault="00CD7DFE" w:rsidP="007D0D4C">
      <w:pPr>
        <w:pStyle w:val="ExecSumBodyText"/>
        <w:numPr>
          <w:ilvl w:val="1"/>
          <w:numId w:val="1"/>
        </w:numPr>
      </w:pPr>
      <w:r>
        <w:t xml:space="preserve">The proportions of patients with fatal events over the duration of the model </w:t>
      </w:r>
      <w:r w:rsidR="00C141C8">
        <w:t xml:space="preserve">presented in the resubmission </w:t>
      </w:r>
      <w:r>
        <w:t xml:space="preserve">are summarised in Figure </w:t>
      </w:r>
      <w:r w:rsidR="002D797C">
        <w:t>5</w:t>
      </w:r>
      <w:r>
        <w:t xml:space="preserve"> below.</w:t>
      </w:r>
      <w:r w:rsidR="00C807CC">
        <w:t xml:space="preserve"> As outlined above, non-cardiovascular death treatment effects and transitions were removed in the pre-PBAC response.</w:t>
      </w:r>
    </w:p>
    <w:p w:rsidR="00CD7DFE" w:rsidRDefault="00CD7DFE" w:rsidP="00CD7DFE">
      <w:pPr>
        <w:pStyle w:val="TableHeading"/>
      </w:pPr>
      <w:r>
        <w:lastRenderedPageBreak/>
        <w:t xml:space="preserve">Figure </w:t>
      </w:r>
      <w:r w:rsidR="002D797C">
        <w:t>5</w:t>
      </w:r>
      <w:r>
        <w:t>: Proportions of patients with fatal events in the model over the 30 year time horizon</w:t>
      </w:r>
      <w:r w:rsidR="00C807CC">
        <w:t xml:space="preserve"> (resubmission model)</w:t>
      </w:r>
    </w:p>
    <w:p w:rsidR="001C7764" w:rsidRDefault="00FC537F" w:rsidP="00CD7DFE">
      <w:pPr>
        <w:pStyle w:val="TableHeading"/>
      </w:pPr>
      <w:r>
        <w:rPr>
          <w:noProof/>
          <w:lang w:eastAsia="en-AU"/>
        </w:rPr>
        <w:drawing>
          <wp:inline distT="0" distB="0" distL="0" distR="0">
            <wp:extent cx="4311650" cy="2818765"/>
            <wp:effectExtent l="0" t="0" r="0" b="635"/>
            <wp:docPr id="1" name="Picture 1" descr="Figure 5: Proportions of patients with fatal events in the model over the 30 year time horizon (resubmission model)" title="Figure 5: Proportions of patients with fatal events in the model over the 30 year time horizon (resubmission model)"/>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311650" cy="2818765"/>
                    </a:xfrm>
                    <a:prstGeom prst="rect">
                      <a:avLst/>
                    </a:prstGeom>
                  </pic:spPr>
                </pic:pic>
              </a:graphicData>
            </a:graphic>
          </wp:inline>
        </w:drawing>
      </w:r>
    </w:p>
    <w:p w:rsidR="00CD7DFE" w:rsidRDefault="00CD7DFE" w:rsidP="00CD7DFE">
      <w:pPr>
        <w:pStyle w:val="TableFootnotetext"/>
      </w:pPr>
      <w:r>
        <w:t>Source: Constructed during the evaluation using the ‘Xarelto (rivaroxaban) Economic Evaluation - POOLED’ Excel spreadsheet provided in the resubmission</w:t>
      </w:r>
    </w:p>
    <w:p w:rsidR="00D72F99" w:rsidRDefault="00D72F99" w:rsidP="00C265D6">
      <w:pPr>
        <w:pStyle w:val="ExecSumBodyText"/>
      </w:pPr>
      <w:r>
        <w:t>Table 14 compares the incremental outcomes of the model over the trial duration (1.84 years</w:t>
      </w:r>
      <w:r w:rsidR="006532EB">
        <w:t xml:space="preserve"> mean follow-up</w:t>
      </w:r>
      <w:r>
        <w:t>) with the outcomes over the 30 year time horizon</w:t>
      </w:r>
      <w:r w:rsidR="00460623">
        <w:t xml:space="preserve"> (based on the resubmission base case)</w:t>
      </w:r>
      <w:r>
        <w:t>.</w:t>
      </w:r>
    </w:p>
    <w:p w:rsidR="00455986" w:rsidRPr="00140DC3" w:rsidRDefault="00455986" w:rsidP="00C15980">
      <w:pPr>
        <w:keepNext/>
        <w:keepLines/>
        <w:rPr>
          <w:rFonts w:ascii="Arial Narrow" w:hAnsi="Arial Narrow"/>
          <w:b/>
          <w:sz w:val="20"/>
        </w:rPr>
      </w:pPr>
      <w:r w:rsidRPr="00140DC3">
        <w:rPr>
          <w:rFonts w:ascii="Arial Narrow" w:hAnsi="Arial Narrow"/>
          <w:b/>
          <w:sz w:val="20"/>
        </w:rPr>
        <w:t>Table</w:t>
      </w:r>
      <w:r>
        <w:rPr>
          <w:rFonts w:ascii="Arial Narrow" w:hAnsi="Arial Narrow"/>
          <w:b/>
          <w:sz w:val="20"/>
        </w:rPr>
        <w:t xml:space="preserve"> 14</w:t>
      </w:r>
      <w:r w:rsidRPr="00140DC3">
        <w:rPr>
          <w:rFonts w:ascii="Arial Narrow" w:hAnsi="Arial Narrow"/>
          <w:b/>
          <w:sz w:val="20"/>
        </w:rPr>
        <w:t xml:space="preserve">: </w:t>
      </w:r>
      <w:r>
        <w:rPr>
          <w:rFonts w:ascii="Arial Narrow" w:hAnsi="Arial Narrow"/>
          <w:b/>
          <w:sz w:val="20"/>
        </w:rPr>
        <w:t>C</w:t>
      </w:r>
      <w:r w:rsidRPr="00140DC3">
        <w:rPr>
          <w:rFonts w:ascii="Arial Narrow" w:hAnsi="Arial Narrow"/>
          <w:b/>
          <w:sz w:val="20"/>
        </w:rPr>
        <w:t>omparison on modelled results within trial period and over 30 year time horizon</w:t>
      </w:r>
      <w:r w:rsidR="00460623">
        <w:rPr>
          <w:rFonts w:ascii="Arial Narrow" w:hAnsi="Arial Narrow"/>
          <w:b/>
          <w:sz w:val="20"/>
        </w:rPr>
        <w:t xml:space="preserve"> </w:t>
      </w:r>
      <w:r w:rsidR="00DC1A1C">
        <w:rPr>
          <w:rFonts w:ascii="Arial Narrow" w:hAnsi="Arial Narrow"/>
          <w:b/>
          <w:sz w:val="20"/>
        </w:rPr>
        <w:t>(resubmission base case)</w:t>
      </w:r>
    </w:p>
    <w:tbl>
      <w:tblPr>
        <w:tblStyle w:val="TableGrid"/>
        <w:tblW w:w="0" w:type="auto"/>
        <w:tblLook w:val="04A0" w:firstRow="1" w:lastRow="0" w:firstColumn="1" w:lastColumn="0" w:noHBand="0" w:noVBand="1"/>
        <w:tblCaption w:val="Table 14: Comparison on modelled results within trial period and over 30 year time horizon (resubmission base case)"/>
        <w:tblDescription w:val="Table 14: Comparison on modelled results within trial period and over 30 year time horizon (resubmission base case)"/>
      </w:tblPr>
      <w:tblGrid>
        <w:gridCol w:w="2405"/>
        <w:gridCol w:w="2103"/>
        <w:gridCol w:w="2254"/>
        <w:gridCol w:w="2254"/>
      </w:tblGrid>
      <w:tr w:rsidR="00455986" w:rsidRPr="00E2269D" w:rsidTr="00D32BF3">
        <w:trPr>
          <w:tblHeader/>
        </w:trPr>
        <w:tc>
          <w:tcPr>
            <w:tcW w:w="2405" w:type="dxa"/>
          </w:tcPr>
          <w:p w:rsidR="00455986" w:rsidRPr="00E2269D" w:rsidRDefault="00455986" w:rsidP="00C15980">
            <w:pPr>
              <w:keepNext/>
              <w:keepLines/>
              <w:rPr>
                <w:rFonts w:ascii="Arial Narrow" w:hAnsi="Arial Narrow"/>
                <w:sz w:val="20"/>
                <w:szCs w:val="20"/>
              </w:rPr>
            </w:pPr>
          </w:p>
        </w:tc>
        <w:tc>
          <w:tcPr>
            <w:tcW w:w="2103" w:type="dxa"/>
            <w:vAlign w:val="center"/>
          </w:tcPr>
          <w:p w:rsidR="00455986" w:rsidRPr="00E2269D" w:rsidRDefault="00455986" w:rsidP="00C15980">
            <w:pPr>
              <w:keepNext/>
              <w:keepLines/>
              <w:jc w:val="center"/>
              <w:rPr>
                <w:rFonts w:ascii="Arial Narrow" w:hAnsi="Arial Narrow"/>
                <w:b/>
                <w:sz w:val="20"/>
                <w:szCs w:val="20"/>
              </w:rPr>
            </w:pPr>
            <w:r w:rsidRPr="00E2269D">
              <w:rPr>
                <w:rFonts w:ascii="Arial Narrow" w:hAnsi="Arial Narrow"/>
                <w:b/>
                <w:sz w:val="20"/>
                <w:szCs w:val="20"/>
              </w:rPr>
              <w:t>Model results over trial duration (1.84 years)</w:t>
            </w:r>
          </w:p>
        </w:tc>
        <w:tc>
          <w:tcPr>
            <w:tcW w:w="2254" w:type="dxa"/>
            <w:vAlign w:val="center"/>
          </w:tcPr>
          <w:p w:rsidR="00455986" w:rsidRPr="00E2269D" w:rsidRDefault="00455986" w:rsidP="00C15980">
            <w:pPr>
              <w:keepNext/>
              <w:keepLines/>
              <w:jc w:val="center"/>
              <w:rPr>
                <w:rFonts w:ascii="Arial Narrow" w:hAnsi="Arial Narrow"/>
                <w:b/>
                <w:sz w:val="20"/>
                <w:szCs w:val="20"/>
              </w:rPr>
            </w:pPr>
            <w:r w:rsidRPr="00E2269D">
              <w:rPr>
                <w:rFonts w:ascii="Arial Narrow" w:hAnsi="Arial Narrow"/>
                <w:b/>
                <w:sz w:val="20"/>
                <w:szCs w:val="20"/>
              </w:rPr>
              <w:t>Model results over 30 year time horizon</w:t>
            </w:r>
          </w:p>
        </w:tc>
        <w:tc>
          <w:tcPr>
            <w:tcW w:w="2254" w:type="dxa"/>
            <w:vAlign w:val="center"/>
          </w:tcPr>
          <w:p w:rsidR="00455986" w:rsidRPr="00E2269D" w:rsidRDefault="00455986" w:rsidP="00C15980">
            <w:pPr>
              <w:keepNext/>
              <w:keepLines/>
              <w:jc w:val="center"/>
              <w:rPr>
                <w:rFonts w:ascii="Arial Narrow" w:hAnsi="Arial Narrow"/>
                <w:b/>
                <w:sz w:val="20"/>
                <w:szCs w:val="20"/>
              </w:rPr>
            </w:pPr>
            <w:r w:rsidRPr="00E2269D">
              <w:rPr>
                <w:rFonts w:ascii="Arial Narrow" w:hAnsi="Arial Narrow"/>
                <w:b/>
                <w:sz w:val="20"/>
                <w:szCs w:val="20"/>
              </w:rPr>
              <w:t xml:space="preserve">Proportion </w:t>
            </w:r>
            <w:r w:rsidR="00707A38">
              <w:rPr>
                <w:rFonts w:ascii="Arial Narrow" w:hAnsi="Arial Narrow"/>
                <w:b/>
                <w:sz w:val="20"/>
                <w:szCs w:val="20"/>
              </w:rPr>
              <w:t>accrued</w:t>
            </w:r>
            <w:r w:rsidR="00002C02">
              <w:rPr>
                <w:rFonts w:ascii="Arial Narrow" w:hAnsi="Arial Narrow"/>
                <w:b/>
                <w:sz w:val="20"/>
                <w:szCs w:val="20"/>
              </w:rPr>
              <w:t xml:space="preserve"> </w:t>
            </w:r>
            <w:r w:rsidRPr="00E2269D">
              <w:rPr>
                <w:rFonts w:ascii="Arial Narrow" w:hAnsi="Arial Narrow"/>
                <w:b/>
                <w:sz w:val="20"/>
                <w:szCs w:val="20"/>
              </w:rPr>
              <w:t>in extrapolated period</w:t>
            </w:r>
          </w:p>
        </w:tc>
      </w:tr>
      <w:tr w:rsidR="00455986" w:rsidRPr="00E2269D" w:rsidTr="003040FF">
        <w:tc>
          <w:tcPr>
            <w:tcW w:w="2405" w:type="dxa"/>
          </w:tcPr>
          <w:p w:rsidR="00455986" w:rsidRPr="00E2269D" w:rsidRDefault="00455986" w:rsidP="00C15980">
            <w:pPr>
              <w:keepNext/>
              <w:keepLines/>
              <w:rPr>
                <w:rFonts w:ascii="Arial Narrow" w:hAnsi="Arial Narrow"/>
                <w:sz w:val="20"/>
                <w:szCs w:val="20"/>
              </w:rPr>
            </w:pPr>
            <w:r w:rsidRPr="00E2269D">
              <w:rPr>
                <w:rFonts w:ascii="Arial Narrow" w:hAnsi="Arial Narrow"/>
                <w:sz w:val="20"/>
                <w:szCs w:val="20"/>
              </w:rPr>
              <w:t>Incremental cost</w:t>
            </w:r>
          </w:p>
        </w:tc>
        <w:tc>
          <w:tcPr>
            <w:tcW w:w="2103" w:type="dxa"/>
            <w:vAlign w:val="center"/>
          </w:tcPr>
          <w:p w:rsidR="00455986" w:rsidRPr="00E2269D" w:rsidRDefault="00455986" w:rsidP="00C15980">
            <w:pPr>
              <w:keepNext/>
              <w:keepLines/>
              <w:jc w:val="center"/>
              <w:rPr>
                <w:rFonts w:ascii="Arial Narrow" w:hAnsi="Arial Narrow"/>
                <w:sz w:val="20"/>
                <w:szCs w:val="20"/>
              </w:rPr>
            </w:pPr>
            <w:r w:rsidRPr="00E2269D">
              <w:rPr>
                <w:rFonts w:ascii="Arial Narrow" w:hAnsi="Arial Narrow"/>
                <w:sz w:val="20"/>
                <w:szCs w:val="20"/>
              </w:rPr>
              <w:t>$</w:t>
            </w:r>
            <w:r w:rsidR="00FC537F">
              <w:rPr>
                <w:rFonts w:ascii="Arial Narrow" w:hAnsi="Arial Narrow"/>
                <w:noProof/>
                <w:color w:val="000000"/>
                <w:sz w:val="20"/>
                <w:szCs w:val="20"/>
                <w:highlight w:val="black"/>
              </w:rPr>
              <w:t>'''''''''</w:t>
            </w:r>
          </w:p>
        </w:tc>
        <w:tc>
          <w:tcPr>
            <w:tcW w:w="2254" w:type="dxa"/>
            <w:vAlign w:val="center"/>
          </w:tcPr>
          <w:p w:rsidR="00455986" w:rsidRPr="00E2269D" w:rsidRDefault="00455986" w:rsidP="00C15980">
            <w:pPr>
              <w:keepNext/>
              <w:keepLines/>
              <w:jc w:val="center"/>
              <w:rPr>
                <w:rFonts w:ascii="Arial Narrow" w:hAnsi="Arial Narrow"/>
                <w:sz w:val="20"/>
                <w:szCs w:val="20"/>
              </w:rPr>
            </w:pPr>
            <w:r w:rsidRPr="00E2269D">
              <w:rPr>
                <w:rFonts w:ascii="Arial Narrow" w:hAnsi="Arial Narrow"/>
                <w:sz w:val="20"/>
                <w:szCs w:val="20"/>
              </w:rPr>
              <w:t>$</w:t>
            </w:r>
            <w:r w:rsidR="00FC537F">
              <w:rPr>
                <w:rFonts w:ascii="Arial Narrow" w:hAnsi="Arial Narrow"/>
                <w:noProof/>
                <w:color w:val="000000"/>
                <w:sz w:val="20"/>
                <w:szCs w:val="20"/>
                <w:highlight w:val="black"/>
              </w:rPr>
              <w:t>'''''''''''''</w:t>
            </w:r>
          </w:p>
        </w:tc>
        <w:tc>
          <w:tcPr>
            <w:tcW w:w="2254" w:type="dxa"/>
            <w:vAlign w:val="center"/>
          </w:tcPr>
          <w:p w:rsidR="00455986" w:rsidRPr="00E2269D" w:rsidRDefault="00455986" w:rsidP="00C15980">
            <w:pPr>
              <w:keepNext/>
              <w:keepLines/>
              <w:jc w:val="center"/>
              <w:rPr>
                <w:rFonts w:ascii="Arial Narrow" w:hAnsi="Arial Narrow"/>
                <w:sz w:val="20"/>
                <w:szCs w:val="20"/>
              </w:rPr>
            </w:pPr>
            <w:r w:rsidRPr="00E2269D">
              <w:rPr>
                <w:rFonts w:ascii="Arial Narrow" w:hAnsi="Arial Narrow"/>
                <w:sz w:val="20"/>
                <w:szCs w:val="20"/>
              </w:rPr>
              <w:t>63.4%</w:t>
            </w:r>
          </w:p>
        </w:tc>
      </w:tr>
      <w:tr w:rsidR="00455986" w:rsidRPr="00E2269D" w:rsidTr="003040FF">
        <w:tc>
          <w:tcPr>
            <w:tcW w:w="2405" w:type="dxa"/>
          </w:tcPr>
          <w:p w:rsidR="00455986" w:rsidRPr="00E2269D" w:rsidRDefault="00455986" w:rsidP="00C15980">
            <w:pPr>
              <w:keepNext/>
              <w:keepLines/>
              <w:rPr>
                <w:rFonts w:ascii="Arial Narrow" w:hAnsi="Arial Narrow"/>
                <w:sz w:val="20"/>
                <w:szCs w:val="20"/>
              </w:rPr>
            </w:pPr>
            <w:r w:rsidRPr="00E2269D">
              <w:rPr>
                <w:rFonts w:ascii="Arial Narrow" w:hAnsi="Arial Narrow"/>
                <w:sz w:val="20"/>
                <w:szCs w:val="20"/>
              </w:rPr>
              <w:t>Incremental L</w:t>
            </w:r>
            <w:r w:rsidR="001A2E95">
              <w:rPr>
                <w:rFonts w:ascii="Arial Narrow" w:hAnsi="Arial Narrow"/>
                <w:sz w:val="20"/>
                <w:szCs w:val="20"/>
              </w:rPr>
              <w:t>Y</w:t>
            </w:r>
            <w:r w:rsidRPr="00E2269D">
              <w:rPr>
                <w:rFonts w:ascii="Arial Narrow" w:hAnsi="Arial Narrow"/>
                <w:sz w:val="20"/>
                <w:szCs w:val="20"/>
              </w:rPr>
              <w:t>s</w:t>
            </w:r>
          </w:p>
        </w:tc>
        <w:tc>
          <w:tcPr>
            <w:tcW w:w="2103" w:type="dxa"/>
            <w:vAlign w:val="center"/>
          </w:tcPr>
          <w:p w:rsidR="00455986" w:rsidRPr="00FC537F" w:rsidRDefault="00FC537F" w:rsidP="00C15980">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vAlign w:val="center"/>
          </w:tcPr>
          <w:p w:rsidR="00455986" w:rsidRPr="00FC537F" w:rsidRDefault="00FC537F" w:rsidP="00C15980">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vAlign w:val="center"/>
          </w:tcPr>
          <w:p w:rsidR="00455986" w:rsidRPr="00E2269D" w:rsidRDefault="00455986" w:rsidP="00C15980">
            <w:pPr>
              <w:keepNext/>
              <w:keepLines/>
              <w:jc w:val="center"/>
              <w:rPr>
                <w:rFonts w:ascii="Arial Narrow" w:hAnsi="Arial Narrow"/>
                <w:sz w:val="20"/>
                <w:szCs w:val="20"/>
              </w:rPr>
            </w:pPr>
            <w:r w:rsidRPr="00E2269D">
              <w:rPr>
                <w:rFonts w:ascii="Arial Narrow" w:hAnsi="Arial Narrow"/>
                <w:sz w:val="20"/>
                <w:szCs w:val="20"/>
              </w:rPr>
              <w:t>94.2%</w:t>
            </w:r>
          </w:p>
        </w:tc>
      </w:tr>
      <w:tr w:rsidR="00455986" w:rsidRPr="00E2269D" w:rsidTr="003040FF">
        <w:tc>
          <w:tcPr>
            <w:tcW w:w="2405" w:type="dxa"/>
          </w:tcPr>
          <w:p w:rsidR="00455986" w:rsidRPr="00E2269D" w:rsidRDefault="00455986" w:rsidP="00C15980">
            <w:pPr>
              <w:keepNext/>
              <w:keepLines/>
              <w:rPr>
                <w:rFonts w:ascii="Arial Narrow" w:hAnsi="Arial Narrow"/>
                <w:sz w:val="20"/>
                <w:szCs w:val="20"/>
              </w:rPr>
            </w:pPr>
            <w:r w:rsidRPr="00E2269D">
              <w:rPr>
                <w:rFonts w:ascii="Arial Narrow" w:hAnsi="Arial Narrow"/>
                <w:sz w:val="20"/>
                <w:szCs w:val="20"/>
              </w:rPr>
              <w:t>Incremental QALYs</w:t>
            </w:r>
          </w:p>
        </w:tc>
        <w:tc>
          <w:tcPr>
            <w:tcW w:w="2103" w:type="dxa"/>
            <w:vAlign w:val="center"/>
          </w:tcPr>
          <w:p w:rsidR="00455986" w:rsidRPr="00FC537F" w:rsidRDefault="00FC537F" w:rsidP="00C15980">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vAlign w:val="center"/>
          </w:tcPr>
          <w:p w:rsidR="00455986" w:rsidRPr="00FC537F" w:rsidRDefault="00FC537F" w:rsidP="00C15980">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vAlign w:val="center"/>
          </w:tcPr>
          <w:p w:rsidR="00455986" w:rsidRPr="00E2269D" w:rsidRDefault="00455986" w:rsidP="00C15980">
            <w:pPr>
              <w:keepNext/>
              <w:keepLines/>
              <w:jc w:val="center"/>
              <w:rPr>
                <w:rFonts w:ascii="Arial Narrow" w:hAnsi="Arial Narrow"/>
                <w:sz w:val="20"/>
                <w:szCs w:val="20"/>
              </w:rPr>
            </w:pPr>
            <w:r w:rsidRPr="00E2269D">
              <w:rPr>
                <w:rFonts w:ascii="Arial Narrow" w:hAnsi="Arial Narrow"/>
                <w:sz w:val="20"/>
                <w:szCs w:val="20"/>
              </w:rPr>
              <w:t>94.0%</w:t>
            </w:r>
          </w:p>
        </w:tc>
      </w:tr>
      <w:tr w:rsidR="00455986" w:rsidRPr="00E2269D" w:rsidTr="003040FF">
        <w:tc>
          <w:tcPr>
            <w:tcW w:w="9016" w:type="dxa"/>
            <w:gridSpan w:val="4"/>
          </w:tcPr>
          <w:p w:rsidR="00455986" w:rsidRPr="00E2269D" w:rsidRDefault="00455986" w:rsidP="00C15980">
            <w:pPr>
              <w:keepNext/>
              <w:keepLines/>
              <w:rPr>
                <w:rFonts w:ascii="Arial Narrow" w:hAnsi="Arial Narrow"/>
                <w:b/>
                <w:sz w:val="20"/>
                <w:szCs w:val="20"/>
              </w:rPr>
            </w:pPr>
            <w:r w:rsidRPr="00E2269D">
              <w:rPr>
                <w:rFonts w:ascii="Arial Narrow" w:hAnsi="Arial Narrow"/>
                <w:b/>
                <w:sz w:val="20"/>
                <w:szCs w:val="20"/>
              </w:rPr>
              <w:t>Incremental patients with events per 1000 patients treated</w:t>
            </w:r>
          </w:p>
        </w:tc>
      </w:tr>
      <w:tr w:rsidR="00455986" w:rsidRPr="00E2269D" w:rsidTr="003040FF">
        <w:tc>
          <w:tcPr>
            <w:tcW w:w="2405" w:type="dxa"/>
          </w:tcPr>
          <w:p w:rsidR="00455986" w:rsidRPr="00384E0E" w:rsidRDefault="00455986" w:rsidP="00C15980">
            <w:pPr>
              <w:keepNext/>
              <w:keepLines/>
              <w:rPr>
                <w:rFonts w:ascii="Arial Narrow" w:hAnsi="Arial Narrow"/>
                <w:sz w:val="20"/>
              </w:rPr>
            </w:pPr>
            <w:r>
              <w:rPr>
                <w:rFonts w:ascii="Arial Narrow" w:hAnsi="Arial Narrow"/>
                <w:sz w:val="20"/>
              </w:rPr>
              <w:t>N</w:t>
            </w:r>
            <w:r w:rsidRPr="00384E0E">
              <w:rPr>
                <w:rFonts w:ascii="Arial Narrow" w:hAnsi="Arial Narrow"/>
                <w:sz w:val="20"/>
              </w:rPr>
              <w:t>on-fatal cardiovascular events</w:t>
            </w:r>
            <w:r w:rsidRPr="00384E0E">
              <w:rPr>
                <w:rFonts w:ascii="Arial Narrow" w:hAnsi="Arial Narrow"/>
                <w:sz w:val="20"/>
                <w:vertAlign w:val="superscript"/>
              </w:rPr>
              <w:t>1</w:t>
            </w:r>
          </w:p>
        </w:tc>
        <w:tc>
          <w:tcPr>
            <w:tcW w:w="2103" w:type="dxa"/>
            <w:vAlign w:val="center"/>
          </w:tcPr>
          <w:p w:rsidR="00455986" w:rsidRPr="00FC537F" w:rsidRDefault="00FC537F" w:rsidP="00C15980">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2254" w:type="dxa"/>
            <w:vAlign w:val="center"/>
          </w:tcPr>
          <w:p w:rsidR="00455986" w:rsidRPr="00FC537F" w:rsidRDefault="00FC537F" w:rsidP="00C15980">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2254" w:type="dxa"/>
            <w:vAlign w:val="center"/>
          </w:tcPr>
          <w:p w:rsidR="00455986" w:rsidRPr="00384E0E" w:rsidRDefault="00455986" w:rsidP="00C15980">
            <w:pPr>
              <w:keepNext/>
              <w:keepLines/>
              <w:jc w:val="center"/>
              <w:rPr>
                <w:rFonts w:ascii="Arial Narrow" w:hAnsi="Arial Narrow"/>
                <w:sz w:val="20"/>
              </w:rPr>
            </w:pPr>
            <w:r w:rsidRPr="00384E0E">
              <w:rPr>
                <w:rFonts w:ascii="Arial Narrow" w:hAnsi="Arial Narrow"/>
                <w:sz w:val="20"/>
              </w:rPr>
              <w:t>45.3%</w:t>
            </w:r>
          </w:p>
        </w:tc>
      </w:tr>
      <w:tr w:rsidR="00455986" w:rsidRPr="00E2269D" w:rsidTr="003040FF">
        <w:tc>
          <w:tcPr>
            <w:tcW w:w="2405" w:type="dxa"/>
          </w:tcPr>
          <w:p w:rsidR="00455986" w:rsidRPr="00384E0E" w:rsidRDefault="00455986" w:rsidP="00C15980">
            <w:pPr>
              <w:keepNext/>
              <w:keepLines/>
              <w:rPr>
                <w:rFonts w:ascii="Arial Narrow" w:hAnsi="Arial Narrow"/>
                <w:sz w:val="20"/>
              </w:rPr>
            </w:pPr>
            <w:r>
              <w:rPr>
                <w:rFonts w:ascii="Arial Narrow" w:hAnsi="Arial Narrow"/>
                <w:sz w:val="20"/>
              </w:rPr>
              <w:t>N</w:t>
            </w:r>
            <w:r w:rsidRPr="00384E0E">
              <w:rPr>
                <w:rFonts w:ascii="Arial Narrow" w:hAnsi="Arial Narrow"/>
                <w:sz w:val="20"/>
              </w:rPr>
              <w:t>on-fatal peripheral events</w:t>
            </w:r>
            <w:r w:rsidRPr="00384E0E">
              <w:rPr>
                <w:rFonts w:ascii="Arial Narrow" w:hAnsi="Arial Narrow"/>
                <w:sz w:val="20"/>
                <w:vertAlign w:val="superscript"/>
              </w:rPr>
              <w:t>2</w:t>
            </w:r>
          </w:p>
        </w:tc>
        <w:tc>
          <w:tcPr>
            <w:tcW w:w="2103" w:type="dxa"/>
            <w:vAlign w:val="center"/>
          </w:tcPr>
          <w:p w:rsidR="00455986" w:rsidRPr="00FC537F" w:rsidRDefault="00FC537F" w:rsidP="00C15980">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2254" w:type="dxa"/>
            <w:vAlign w:val="center"/>
          </w:tcPr>
          <w:p w:rsidR="00455986" w:rsidRPr="00FC537F" w:rsidRDefault="00FC537F" w:rsidP="00C15980">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2254" w:type="dxa"/>
            <w:vAlign w:val="center"/>
          </w:tcPr>
          <w:p w:rsidR="00455986" w:rsidRPr="00384E0E" w:rsidRDefault="00455986" w:rsidP="00C15980">
            <w:pPr>
              <w:keepNext/>
              <w:keepLines/>
              <w:jc w:val="center"/>
              <w:rPr>
                <w:rFonts w:ascii="Arial Narrow" w:hAnsi="Arial Narrow"/>
                <w:sz w:val="20"/>
              </w:rPr>
            </w:pPr>
            <w:r w:rsidRPr="00384E0E">
              <w:rPr>
                <w:rFonts w:ascii="Arial Narrow" w:hAnsi="Arial Narrow"/>
                <w:sz w:val="20"/>
              </w:rPr>
              <w:t>57.3%</w:t>
            </w:r>
          </w:p>
        </w:tc>
      </w:tr>
      <w:tr w:rsidR="00455986" w:rsidRPr="00E2269D" w:rsidTr="003040FF">
        <w:tc>
          <w:tcPr>
            <w:tcW w:w="2405" w:type="dxa"/>
          </w:tcPr>
          <w:p w:rsidR="00455986" w:rsidRPr="00E2269D" w:rsidRDefault="00455986" w:rsidP="00C15980">
            <w:pPr>
              <w:keepNext/>
              <w:keepLines/>
              <w:rPr>
                <w:rFonts w:ascii="Arial Narrow" w:hAnsi="Arial Narrow"/>
                <w:sz w:val="20"/>
                <w:szCs w:val="20"/>
              </w:rPr>
            </w:pPr>
            <w:r w:rsidRPr="00E2269D">
              <w:rPr>
                <w:rFonts w:ascii="Arial Narrow" w:hAnsi="Arial Narrow"/>
                <w:sz w:val="20"/>
                <w:szCs w:val="20"/>
              </w:rPr>
              <w:t>Non-fatal ex</w:t>
            </w:r>
            <w:r>
              <w:rPr>
                <w:rFonts w:ascii="Arial Narrow" w:hAnsi="Arial Narrow"/>
                <w:sz w:val="20"/>
                <w:szCs w:val="20"/>
              </w:rPr>
              <w:t>tra</w:t>
            </w:r>
            <w:r w:rsidRPr="00E2269D">
              <w:rPr>
                <w:rFonts w:ascii="Arial Narrow" w:hAnsi="Arial Narrow"/>
                <w:sz w:val="20"/>
                <w:szCs w:val="20"/>
              </w:rPr>
              <w:t>cranial bleed</w:t>
            </w:r>
          </w:p>
        </w:tc>
        <w:tc>
          <w:tcPr>
            <w:tcW w:w="2103" w:type="dxa"/>
            <w:vAlign w:val="center"/>
          </w:tcPr>
          <w:p w:rsidR="00455986" w:rsidRPr="00FC537F" w:rsidRDefault="00FC537F" w:rsidP="00C15980">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vAlign w:val="center"/>
          </w:tcPr>
          <w:p w:rsidR="00455986" w:rsidRPr="00FC537F" w:rsidRDefault="00FC537F" w:rsidP="00C15980">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vAlign w:val="center"/>
          </w:tcPr>
          <w:p w:rsidR="00455986" w:rsidRPr="00E2269D" w:rsidRDefault="00455986" w:rsidP="00C15980">
            <w:pPr>
              <w:keepNext/>
              <w:keepLines/>
              <w:jc w:val="center"/>
              <w:rPr>
                <w:rFonts w:ascii="Arial Narrow" w:hAnsi="Arial Narrow"/>
                <w:sz w:val="20"/>
                <w:szCs w:val="20"/>
              </w:rPr>
            </w:pPr>
            <w:r w:rsidRPr="00E2269D">
              <w:rPr>
                <w:rFonts w:ascii="Arial Narrow" w:hAnsi="Arial Narrow"/>
                <w:sz w:val="20"/>
                <w:szCs w:val="20"/>
              </w:rPr>
              <w:t>62.9%</w:t>
            </w:r>
          </w:p>
        </w:tc>
      </w:tr>
      <w:tr w:rsidR="00455986" w:rsidRPr="00E2269D" w:rsidTr="003040FF">
        <w:tc>
          <w:tcPr>
            <w:tcW w:w="2405" w:type="dxa"/>
          </w:tcPr>
          <w:p w:rsidR="00455986" w:rsidRPr="00E2269D" w:rsidRDefault="00455986" w:rsidP="00C15980">
            <w:pPr>
              <w:keepNext/>
              <w:keepLines/>
              <w:rPr>
                <w:rFonts w:ascii="Arial Narrow" w:hAnsi="Arial Narrow"/>
                <w:sz w:val="20"/>
                <w:szCs w:val="20"/>
              </w:rPr>
            </w:pPr>
            <w:r w:rsidRPr="00E2269D">
              <w:rPr>
                <w:rFonts w:ascii="Arial Narrow" w:hAnsi="Arial Narrow"/>
                <w:sz w:val="20"/>
                <w:szCs w:val="20"/>
              </w:rPr>
              <w:t>Cardiovascular death</w:t>
            </w:r>
          </w:p>
        </w:tc>
        <w:tc>
          <w:tcPr>
            <w:tcW w:w="2103" w:type="dxa"/>
            <w:vAlign w:val="center"/>
          </w:tcPr>
          <w:p w:rsidR="00455986" w:rsidRPr="00FC537F" w:rsidRDefault="00FC537F" w:rsidP="00C15980">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vAlign w:val="center"/>
          </w:tcPr>
          <w:p w:rsidR="00455986" w:rsidRPr="00FC537F" w:rsidRDefault="00FC537F" w:rsidP="00C15980">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vAlign w:val="center"/>
          </w:tcPr>
          <w:p w:rsidR="00455986" w:rsidRPr="00E2269D" w:rsidRDefault="00455986" w:rsidP="00C15980">
            <w:pPr>
              <w:keepNext/>
              <w:keepLines/>
              <w:jc w:val="center"/>
              <w:rPr>
                <w:rFonts w:ascii="Arial Narrow" w:hAnsi="Arial Narrow"/>
                <w:sz w:val="20"/>
                <w:szCs w:val="20"/>
              </w:rPr>
            </w:pPr>
            <w:r w:rsidRPr="00E2269D">
              <w:rPr>
                <w:rFonts w:ascii="Arial Narrow" w:hAnsi="Arial Narrow"/>
                <w:sz w:val="20"/>
                <w:szCs w:val="20"/>
              </w:rPr>
              <w:t>28.6%</w:t>
            </w:r>
          </w:p>
        </w:tc>
      </w:tr>
      <w:tr w:rsidR="00455986" w:rsidRPr="00E2269D" w:rsidTr="003040FF">
        <w:tc>
          <w:tcPr>
            <w:tcW w:w="2405" w:type="dxa"/>
          </w:tcPr>
          <w:p w:rsidR="00455986" w:rsidRPr="00E2269D" w:rsidRDefault="00455986" w:rsidP="00C15980">
            <w:pPr>
              <w:keepNext/>
              <w:keepLines/>
              <w:rPr>
                <w:rFonts w:ascii="Arial Narrow" w:hAnsi="Arial Narrow"/>
                <w:sz w:val="20"/>
                <w:szCs w:val="20"/>
              </w:rPr>
            </w:pPr>
            <w:r w:rsidRPr="00E2269D">
              <w:rPr>
                <w:rFonts w:ascii="Arial Narrow" w:hAnsi="Arial Narrow"/>
                <w:sz w:val="20"/>
                <w:szCs w:val="20"/>
              </w:rPr>
              <w:t>Non-cardiovascular death</w:t>
            </w:r>
            <w:r w:rsidRPr="00384E0E">
              <w:rPr>
                <w:rFonts w:ascii="Arial Narrow" w:hAnsi="Arial Narrow"/>
                <w:sz w:val="20"/>
                <w:szCs w:val="20"/>
                <w:vertAlign w:val="superscript"/>
              </w:rPr>
              <w:t>3</w:t>
            </w:r>
          </w:p>
        </w:tc>
        <w:tc>
          <w:tcPr>
            <w:tcW w:w="2103" w:type="dxa"/>
            <w:vAlign w:val="center"/>
          </w:tcPr>
          <w:p w:rsidR="00455986" w:rsidRPr="00FC537F" w:rsidRDefault="00FC537F" w:rsidP="00C15980">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vAlign w:val="center"/>
          </w:tcPr>
          <w:p w:rsidR="00455986" w:rsidRPr="00FC537F" w:rsidRDefault="00FC537F" w:rsidP="00C15980">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vAlign w:val="center"/>
          </w:tcPr>
          <w:p w:rsidR="00455986" w:rsidRPr="00E2269D" w:rsidRDefault="00455986" w:rsidP="00C15980">
            <w:pPr>
              <w:keepNext/>
              <w:keepLines/>
              <w:jc w:val="center"/>
              <w:rPr>
                <w:rFonts w:ascii="Arial Narrow" w:hAnsi="Arial Narrow"/>
                <w:sz w:val="20"/>
                <w:szCs w:val="20"/>
              </w:rPr>
            </w:pPr>
            <w:r w:rsidRPr="00E2269D">
              <w:rPr>
                <w:rFonts w:ascii="Arial Narrow" w:hAnsi="Arial Narrow"/>
                <w:sz w:val="20"/>
                <w:szCs w:val="20"/>
              </w:rPr>
              <w:t>175.0%</w:t>
            </w:r>
          </w:p>
        </w:tc>
      </w:tr>
      <w:tr w:rsidR="00455986" w:rsidRPr="00E2269D" w:rsidTr="003040FF">
        <w:tc>
          <w:tcPr>
            <w:tcW w:w="2405" w:type="dxa"/>
          </w:tcPr>
          <w:p w:rsidR="00455986" w:rsidRPr="00E2269D" w:rsidRDefault="00455986" w:rsidP="00C15980">
            <w:pPr>
              <w:keepNext/>
              <w:keepLines/>
              <w:rPr>
                <w:rFonts w:ascii="Arial Narrow" w:hAnsi="Arial Narrow"/>
                <w:sz w:val="20"/>
                <w:szCs w:val="20"/>
              </w:rPr>
            </w:pPr>
            <w:r w:rsidRPr="00E2269D">
              <w:rPr>
                <w:rFonts w:ascii="Arial Narrow" w:hAnsi="Arial Narrow"/>
                <w:sz w:val="20"/>
                <w:szCs w:val="20"/>
              </w:rPr>
              <w:t>Bleeding death</w:t>
            </w:r>
          </w:p>
        </w:tc>
        <w:tc>
          <w:tcPr>
            <w:tcW w:w="2103" w:type="dxa"/>
            <w:vAlign w:val="center"/>
          </w:tcPr>
          <w:p w:rsidR="00455986" w:rsidRPr="00FC537F" w:rsidRDefault="00FC537F" w:rsidP="00C15980">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vAlign w:val="center"/>
          </w:tcPr>
          <w:p w:rsidR="00455986" w:rsidRPr="00FC537F" w:rsidRDefault="00FC537F" w:rsidP="00C15980">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254" w:type="dxa"/>
            <w:vAlign w:val="center"/>
          </w:tcPr>
          <w:p w:rsidR="00455986" w:rsidRPr="00E2269D" w:rsidRDefault="00455986" w:rsidP="00C15980">
            <w:pPr>
              <w:keepNext/>
              <w:keepLines/>
              <w:jc w:val="center"/>
              <w:rPr>
                <w:rFonts w:ascii="Arial Narrow" w:hAnsi="Arial Narrow"/>
                <w:sz w:val="20"/>
                <w:szCs w:val="20"/>
              </w:rPr>
            </w:pPr>
            <w:r>
              <w:rPr>
                <w:rFonts w:ascii="Arial Narrow" w:hAnsi="Arial Narrow"/>
                <w:sz w:val="20"/>
                <w:szCs w:val="20"/>
              </w:rPr>
              <w:t>-</w:t>
            </w:r>
          </w:p>
        </w:tc>
      </w:tr>
    </w:tbl>
    <w:p w:rsidR="00455986" w:rsidRDefault="00455986" w:rsidP="00EF3C47">
      <w:pPr>
        <w:pStyle w:val="TableFootnotetext"/>
      </w:pPr>
      <w:r>
        <w:t>Source: Constructed during the evaluation using the ‘Xarelto (rivaroxaban) Economic Evaluation - POOLED’ Excel spreadsheet provided in the resubmission</w:t>
      </w:r>
    </w:p>
    <w:p w:rsidR="00455986" w:rsidRDefault="00455986" w:rsidP="00EF3C47">
      <w:pPr>
        <w:pStyle w:val="TableFootnotetext"/>
      </w:pPr>
      <w:r>
        <w:t>Abbreviations: LYs, life years; QALYs, quality adjusted life years</w:t>
      </w:r>
    </w:p>
    <w:p w:rsidR="00455986" w:rsidRDefault="00455986" w:rsidP="00EF3C47">
      <w:pPr>
        <w:pStyle w:val="TableFootnotetext"/>
      </w:pPr>
      <w:r w:rsidRPr="00384E0E">
        <w:rPr>
          <w:vertAlign w:val="superscript"/>
        </w:rPr>
        <w:t>1</w:t>
      </w:r>
      <w:r>
        <w:t>Non-fatal cardiovascular events include myocardial infarction, ischaemic stroke and intracranial haemorrhage</w:t>
      </w:r>
    </w:p>
    <w:p w:rsidR="00455986" w:rsidRDefault="00455986" w:rsidP="00EF3C47">
      <w:pPr>
        <w:pStyle w:val="TableFootnotetext"/>
      </w:pPr>
      <w:r w:rsidRPr="00384E0E">
        <w:rPr>
          <w:vertAlign w:val="superscript"/>
        </w:rPr>
        <w:t>2</w:t>
      </w:r>
      <w:r>
        <w:t>Non-fatal peripheral events include venous thromboembolism, acute limb ischaemia, minor amputation and major amputation</w:t>
      </w:r>
    </w:p>
    <w:p w:rsidR="00455986" w:rsidRDefault="00455986" w:rsidP="00EF3C47">
      <w:pPr>
        <w:pStyle w:val="TableFootnotetext"/>
      </w:pPr>
      <w:r w:rsidRPr="00384E0E">
        <w:rPr>
          <w:vertAlign w:val="superscript"/>
        </w:rPr>
        <w:t>3</w:t>
      </w:r>
      <w:r>
        <w:t>The changing relationship between treatment arms between the two periods in non-cardiovascular death is due to the changing relationship between cardiovascular death, non-cardiovascular death and background mortality over time</w:t>
      </w:r>
      <w:r w:rsidR="00C807CC">
        <w:t>. Non-cardiovascular death transitions and treatment effects were removed in the revised base case proposed in the pre-PBAC response.</w:t>
      </w:r>
    </w:p>
    <w:p w:rsidR="00455986" w:rsidRDefault="00455986" w:rsidP="00C265D6">
      <w:pPr>
        <w:pStyle w:val="ExecSumBodyText"/>
      </w:pPr>
      <w:r>
        <w:t>In the model, a substantial proportion of events occur within the trial period, but the ongoing consequences of these events (life years, QALYs) occur in the extrapolated period.</w:t>
      </w:r>
    </w:p>
    <w:p w:rsidR="00C265D6" w:rsidRDefault="00C265D6" w:rsidP="00C265D6">
      <w:pPr>
        <w:pStyle w:val="ExecSumBodyText"/>
      </w:pPr>
      <w:r w:rsidRPr="00C265D6">
        <w:lastRenderedPageBreak/>
        <w:t xml:space="preserve">A summary of the </w:t>
      </w:r>
      <w:r>
        <w:t xml:space="preserve">modelled </w:t>
      </w:r>
      <w:r w:rsidRPr="00C265D6">
        <w:t xml:space="preserve">comparative benefits and harms for rivaroxaban in combination with aspirin versus aspirin monotherapy </w:t>
      </w:r>
      <w:r>
        <w:t xml:space="preserve">over the 30 year model duration </w:t>
      </w:r>
      <w:r w:rsidRPr="00C265D6">
        <w:t>is presented in the table below</w:t>
      </w:r>
      <w:r w:rsidR="00C807CC">
        <w:t xml:space="preserve">. This was </w:t>
      </w:r>
      <w:r w:rsidR="00460623">
        <w:t>based on the resubmission base case</w:t>
      </w:r>
      <w:r w:rsidR="00C807CC">
        <w:t xml:space="preserve"> and does not include the refinement of the PAD population or the inclusion of diabetes as a risk factors that were proposed by ESC and agreed by the pre-PBAC response</w:t>
      </w:r>
      <w:r w:rsidRPr="00C265D6">
        <w:t xml:space="preserve">. </w:t>
      </w:r>
    </w:p>
    <w:p w:rsidR="00C265D6" w:rsidRPr="000B34F9" w:rsidRDefault="00C265D6" w:rsidP="00C265D6">
      <w:pPr>
        <w:rPr>
          <w:rFonts w:ascii="Arial Narrow" w:hAnsi="Arial Narrow"/>
          <w:b/>
          <w:sz w:val="20"/>
          <w:szCs w:val="20"/>
        </w:rPr>
      </w:pPr>
      <w:r w:rsidRPr="002103C4">
        <w:rPr>
          <w:rFonts w:ascii="Arial Narrow" w:hAnsi="Arial Narrow"/>
          <w:b/>
          <w:sz w:val="20"/>
          <w:szCs w:val="20"/>
        </w:rPr>
        <w:t xml:space="preserve">Table </w:t>
      </w:r>
      <w:r>
        <w:rPr>
          <w:rFonts w:ascii="Arial Narrow" w:hAnsi="Arial Narrow"/>
          <w:b/>
          <w:sz w:val="20"/>
          <w:szCs w:val="20"/>
        </w:rPr>
        <w:t>1</w:t>
      </w:r>
      <w:r w:rsidR="00455986">
        <w:rPr>
          <w:rFonts w:ascii="Arial Narrow" w:hAnsi="Arial Narrow"/>
          <w:b/>
          <w:sz w:val="20"/>
          <w:szCs w:val="20"/>
        </w:rPr>
        <w:t>5</w:t>
      </w:r>
      <w:r w:rsidRPr="002103C4">
        <w:rPr>
          <w:rFonts w:ascii="Arial Narrow" w:hAnsi="Arial Narrow"/>
          <w:b/>
          <w:sz w:val="20"/>
          <w:szCs w:val="20"/>
        </w:rPr>
        <w:t xml:space="preserve">: </w:t>
      </w:r>
      <w:r>
        <w:rPr>
          <w:rFonts w:ascii="Arial Narrow" w:hAnsi="Arial Narrow"/>
          <w:b/>
          <w:sz w:val="20"/>
          <w:szCs w:val="20"/>
        </w:rPr>
        <w:t>Modelled d</w:t>
      </w:r>
      <w:r w:rsidRPr="002103C4">
        <w:rPr>
          <w:rFonts w:ascii="Arial Narrow" w:hAnsi="Arial Narrow"/>
          <w:b/>
          <w:sz w:val="20"/>
          <w:szCs w:val="20"/>
        </w:rPr>
        <w:t>ifferences in numbers of patients with outcomes per 1000 patients with stable atherosclerotic disease who have CAD and/or PAD, who are treated with low dose rivaroxaban and aspirin compared with aspirin over</w:t>
      </w:r>
      <w:r>
        <w:rPr>
          <w:rFonts w:ascii="Arial Narrow" w:hAnsi="Arial Narrow"/>
          <w:b/>
          <w:sz w:val="20"/>
          <w:szCs w:val="20"/>
        </w:rPr>
        <w:t xml:space="preserve"> the 30 year model duration</w:t>
      </w:r>
      <w:r w:rsidR="00C807CC">
        <w:rPr>
          <w:rFonts w:ascii="Arial Narrow" w:hAnsi="Arial Narrow"/>
          <w:b/>
          <w:sz w:val="20"/>
          <w:szCs w:val="20"/>
        </w:rPr>
        <w:t xml:space="preserve"> (resubmission base case)</w:t>
      </w:r>
    </w:p>
    <w:tbl>
      <w:tblPr>
        <w:tblStyle w:val="TableGrid"/>
        <w:tblW w:w="5000" w:type="pct"/>
        <w:tblCellMar>
          <w:left w:w="28" w:type="dxa"/>
          <w:right w:w="28" w:type="dxa"/>
        </w:tblCellMar>
        <w:tblLook w:val="04A0" w:firstRow="1" w:lastRow="0" w:firstColumn="1" w:lastColumn="0" w:noHBand="0" w:noVBand="1"/>
        <w:tblCaption w:val="Table 15: Modelled differences in numbers of patients with outcomes per 1000 patients with stable atherosclerotic disease who have CAD and/or PAD, who are treated with low dose rivaroxaban and aspirin compared with aspirin over the 30 year model duration (resubmission base case)"/>
        <w:tblDescription w:val="Table 15: Modelled differences in numbers of patients with outcomes per 1000 patients with stable atherosclerotic disease who have CAD and/or PAD, who are treated with low dose rivaroxaban and aspirin compared with aspirin over the 30 year model duration (resubmission base case)"/>
      </w:tblPr>
      <w:tblGrid>
        <w:gridCol w:w="1411"/>
        <w:gridCol w:w="1085"/>
        <w:gridCol w:w="1085"/>
        <w:gridCol w:w="1085"/>
        <w:gridCol w:w="1085"/>
        <w:gridCol w:w="1085"/>
        <w:gridCol w:w="1095"/>
        <w:gridCol w:w="1086"/>
      </w:tblGrid>
      <w:tr w:rsidR="00C265D6" w:rsidRPr="000B34F9" w:rsidTr="00D32BF3">
        <w:trPr>
          <w:tblHeader/>
        </w:trPr>
        <w:tc>
          <w:tcPr>
            <w:tcW w:w="1410" w:type="dxa"/>
            <w:vMerge w:val="restart"/>
            <w:vAlign w:val="center"/>
          </w:tcPr>
          <w:p w:rsidR="00C265D6" w:rsidRPr="000B34F9" w:rsidRDefault="00C265D6" w:rsidP="007A0923">
            <w:pPr>
              <w:jc w:val="left"/>
              <w:rPr>
                <w:rFonts w:ascii="Arial Narrow" w:hAnsi="Arial Narrow"/>
                <w:b/>
                <w:sz w:val="20"/>
                <w:szCs w:val="20"/>
              </w:rPr>
            </w:pPr>
            <w:r w:rsidRPr="000B34F9">
              <w:rPr>
                <w:rFonts w:ascii="Arial Narrow" w:hAnsi="Arial Narrow"/>
                <w:b/>
                <w:sz w:val="20"/>
                <w:szCs w:val="20"/>
              </w:rPr>
              <w:t>Population</w:t>
            </w:r>
          </w:p>
        </w:tc>
        <w:tc>
          <w:tcPr>
            <w:tcW w:w="5425" w:type="dxa"/>
            <w:gridSpan w:val="5"/>
            <w:vAlign w:val="center"/>
          </w:tcPr>
          <w:p w:rsidR="00C265D6" w:rsidRPr="000B34F9" w:rsidRDefault="00C265D6" w:rsidP="007A0923">
            <w:pPr>
              <w:jc w:val="center"/>
              <w:rPr>
                <w:rFonts w:ascii="Arial Narrow" w:hAnsi="Arial Narrow"/>
                <w:b/>
                <w:sz w:val="20"/>
                <w:szCs w:val="20"/>
              </w:rPr>
            </w:pPr>
            <w:r w:rsidRPr="000B34F9">
              <w:rPr>
                <w:rFonts w:ascii="Arial Narrow" w:hAnsi="Arial Narrow"/>
                <w:b/>
                <w:sz w:val="20"/>
                <w:szCs w:val="20"/>
              </w:rPr>
              <w:t>Benefits</w:t>
            </w:r>
          </w:p>
        </w:tc>
        <w:tc>
          <w:tcPr>
            <w:tcW w:w="2181" w:type="dxa"/>
            <w:gridSpan w:val="2"/>
            <w:vAlign w:val="center"/>
          </w:tcPr>
          <w:p w:rsidR="00C265D6" w:rsidRPr="000B34F9" w:rsidRDefault="00C265D6" w:rsidP="007A0923">
            <w:pPr>
              <w:jc w:val="center"/>
              <w:rPr>
                <w:rFonts w:ascii="Arial Narrow" w:hAnsi="Arial Narrow"/>
                <w:b/>
                <w:sz w:val="20"/>
                <w:szCs w:val="20"/>
              </w:rPr>
            </w:pPr>
            <w:r w:rsidRPr="000B34F9">
              <w:rPr>
                <w:rFonts w:ascii="Arial Narrow" w:hAnsi="Arial Narrow"/>
                <w:b/>
                <w:sz w:val="20"/>
                <w:szCs w:val="20"/>
              </w:rPr>
              <w:t>Harms</w:t>
            </w:r>
          </w:p>
        </w:tc>
      </w:tr>
      <w:tr w:rsidR="00C265D6" w:rsidRPr="000B34F9" w:rsidTr="00D32BF3">
        <w:trPr>
          <w:tblHeader/>
        </w:trPr>
        <w:tc>
          <w:tcPr>
            <w:tcW w:w="1410" w:type="dxa"/>
            <w:vMerge/>
          </w:tcPr>
          <w:p w:rsidR="00C265D6" w:rsidRPr="000B34F9" w:rsidRDefault="00C265D6" w:rsidP="007A0923">
            <w:pPr>
              <w:rPr>
                <w:rFonts w:ascii="Arial Narrow" w:hAnsi="Arial Narrow"/>
                <w:sz w:val="20"/>
                <w:szCs w:val="20"/>
              </w:rPr>
            </w:pPr>
          </w:p>
        </w:tc>
        <w:tc>
          <w:tcPr>
            <w:tcW w:w="1085" w:type="dxa"/>
            <w:vAlign w:val="center"/>
          </w:tcPr>
          <w:p w:rsidR="00C265D6" w:rsidRPr="000B34F9" w:rsidRDefault="00C265D6" w:rsidP="007A0923">
            <w:pPr>
              <w:jc w:val="center"/>
              <w:rPr>
                <w:rFonts w:ascii="Arial Narrow" w:hAnsi="Arial Narrow"/>
                <w:b/>
                <w:sz w:val="20"/>
                <w:szCs w:val="20"/>
              </w:rPr>
            </w:pPr>
            <w:r w:rsidRPr="000B34F9">
              <w:rPr>
                <w:rFonts w:ascii="Arial Narrow" w:hAnsi="Arial Narrow"/>
                <w:b/>
                <w:sz w:val="20"/>
                <w:szCs w:val="20"/>
              </w:rPr>
              <w:t>Increase in overall survival</w:t>
            </w:r>
          </w:p>
        </w:tc>
        <w:tc>
          <w:tcPr>
            <w:tcW w:w="1085" w:type="dxa"/>
            <w:vAlign w:val="center"/>
          </w:tcPr>
          <w:p w:rsidR="00C265D6" w:rsidRPr="000B34F9" w:rsidRDefault="00C265D6" w:rsidP="007A0923">
            <w:pPr>
              <w:jc w:val="center"/>
              <w:rPr>
                <w:rFonts w:ascii="Arial Narrow" w:hAnsi="Arial Narrow"/>
                <w:b/>
                <w:sz w:val="20"/>
                <w:szCs w:val="20"/>
              </w:rPr>
            </w:pPr>
            <w:r w:rsidRPr="000B34F9">
              <w:rPr>
                <w:rFonts w:ascii="Arial Narrow" w:hAnsi="Arial Narrow"/>
                <w:b/>
                <w:sz w:val="20"/>
                <w:szCs w:val="20"/>
              </w:rPr>
              <w:t>Reduction in MI events</w:t>
            </w:r>
          </w:p>
        </w:tc>
        <w:tc>
          <w:tcPr>
            <w:tcW w:w="1085" w:type="dxa"/>
            <w:vAlign w:val="center"/>
          </w:tcPr>
          <w:p w:rsidR="00C265D6" w:rsidRPr="000B34F9" w:rsidRDefault="00C265D6" w:rsidP="007A0923">
            <w:pPr>
              <w:jc w:val="center"/>
              <w:rPr>
                <w:rFonts w:ascii="Arial Narrow" w:hAnsi="Arial Narrow"/>
                <w:b/>
                <w:sz w:val="20"/>
                <w:szCs w:val="20"/>
              </w:rPr>
            </w:pPr>
            <w:r w:rsidRPr="000B34F9">
              <w:rPr>
                <w:rFonts w:ascii="Arial Narrow" w:hAnsi="Arial Narrow"/>
                <w:b/>
                <w:sz w:val="20"/>
                <w:szCs w:val="20"/>
              </w:rPr>
              <w:t>Reduction in ischaemic stroke events</w:t>
            </w:r>
          </w:p>
        </w:tc>
        <w:tc>
          <w:tcPr>
            <w:tcW w:w="1085" w:type="dxa"/>
            <w:vAlign w:val="center"/>
          </w:tcPr>
          <w:p w:rsidR="00C265D6" w:rsidRPr="000B34F9" w:rsidRDefault="00C265D6" w:rsidP="007A0923">
            <w:pPr>
              <w:jc w:val="center"/>
              <w:rPr>
                <w:rFonts w:ascii="Arial Narrow" w:hAnsi="Arial Narrow"/>
                <w:b/>
                <w:sz w:val="20"/>
                <w:szCs w:val="20"/>
              </w:rPr>
            </w:pPr>
            <w:r w:rsidRPr="000B34F9">
              <w:rPr>
                <w:rFonts w:ascii="Arial Narrow" w:hAnsi="Arial Narrow"/>
                <w:b/>
                <w:sz w:val="20"/>
                <w:szCs w:val="20"/>
              </w:rPr>
              <w:t>Reduction in acute limb ischaemia events</w:t>
            </w:r>
            <w:r w:rsidRPr="000B34F9">
              <w:rPr>
                <w:rFonts w:ascii="Arial Narrow" w:hAnsi="Arial Narrow"/>
                <w:b/>
                <w:sz w:val="20"/>
                <w:szCs w:val="20"/>
                <w:vertAlign w:val="superscript"/>
              </w:rPr>
              <w:t>1</w:t>
            </w:r>
          </w:p>
        </w:tc>
        <w:tc>
          <w:tcPr>
            <w:tcW w:w="1085" w:type="dxa"/>
            <w:vAlign w:val="center"/>
          </w:tcPr>
          <w:p w:rsidR="00C265D6" w:rsidRPr="000B34F9" w:rsidRDefault="00C265D6" w:rsidP="007A0923">
            <w:pPr>
              <w:jc w:val="center"/>
              <w:rPr>
                <w:rFonts w:ascii="Arial Narrow" w:hAnsi="Arial Narrow"/>
                <w:b/>
                <w:sz w:val="20"/>
                <w:szCs w:val="20"/>
              </w:rPr>
            </w:pPr>
            <w:r w:rsidRPr="000B34F9">
              <w:rPr>
                <w:rFonts w:ascii="Arial Narrow" w:hAnsi="Arial Narrow"/>
                <w:b/>
                <w:sz w:val="20"/>
                <w:szCs w:val="20"/>
              </w:rPr>
              <w:t>Reduction in VTE events</w:t>
            </w:r>
          </w:p>
        </w:tc>
        <w:tc>
          <w:tcPr>
            <w:tcW w:w="1095" w:type="dxa"/>
            <w:vAlign w:val="center"/>
          </w:tcPr>
          <w:p w:rsidR="00C265D6" w:rsidRPr="000B34F9" w:rsidRDefault="00C265D6" w:rsidP="007A0923">
            <w:pPr>
              <w:jc w:val="center"/>
              <w:rPr>
                <w:rFonts w:ascii="Arial Narrow" w:hAnsi="Arial Narrow"/>
                <w:b/>
                <w:sz w:val="20"/>
                <w:szCs w:val="20"/>
              </w:rPr>
            </w:pPr>
            <w:r w:rsidRPr="000B34F9">
              <w:rPr>
                <w:rFonts w:ascii="Arial Narrow" w:hAnsi="Arial Narrow"/>
                <w:b/>
                <w:sz w:val="20"/>
                <w:szCs w:val="20"/>
              </w:rPr>
              <w:t xml:space="preserve">Increase in </w:t>
            </w:r>
            <w:r>
              <w:rPr>
                <w:rFonts w:ascii="Arial Narrow" w:hAnsi="Arial Narrow"/>
                <w:b/>
                <w:sz w:val="20"/>
                <w:szCs w:val="20"/>
              </w:rPr>
              <w:t>intracranial haemorrhage</w:t>
            </w:r>
            <w:r w:rsidRPr="000B34F9">
              <w:rPr>
                <w:rFonts w:ascii="Arial Narrow" w:hAnsi="Arial Narrow"/>
                <w:b/>
                <w:sz w:val="20"/>
                <w:szCs w:val="20"/>
              </w:rPr>
              <w:t xml:space="preserve"> events</w:t>
            </w:r>
          </w:p>
        </w:tc>
        <w:tc>
          <w:tcPr>
            <w:tcW w:w="1086" w:type="dxa"/>
            <w:vAlign w:val="center"/>
          </w:tcPr>
          <w:p w:rsidR="00C265D6" w:rsidRPr="000B34F9" w:rsidRDefault="00C265D6" w:rsidP="007A0923">
            <w:pPr>
              <w:jc w:val="center"/>
              <w:rPr>
                <w:rFonts w:ascii="Arial Narrow" w:hAnsi="Arial Narrow"/>
                <w:b/>
                <w:sz w:val="20"/>
                <w:szCs w:val="20"/>
              </w:rPr>
            </w:pPr>
            <w:r w:rsidRPr="000B34F9">
              <w:rPr>
                <w:rFonts w:ascii="Arial Narrow" w:hAnsi="Arial Narrow"/>
                <w:b/>
                <w:sz w:val="20"/>
                <w:szCs w:val="20"/>
              </w:rPr>
              <w:t>Increase in major bleeding events</w:t>
            </w:r>
          </w:p>
        </w:tc>
      </w:tr>
      <w:tr w:rsidR="00C265D6" w:rsidRPr="000B34F9" w:rsidTr="007A0923">
        <w:tc>
          <w:tcPr>
            <w:tcW w:w="1410" w:type="dxa"/>
            <w:vAlign w:val="center"/>
          </w:tcPr>
          <w:p w:rsidR="00C265D6" w:rsidRPr="000B34F9" w:rsidRDefault="00C265D6" w:rsidP="007A0923">
            <w:pPr>
              <w:rPr>
                <w:rFonts w:ascii="Arial Narrow" w:hAnsi="Arial Narrow"/>
                <w:sz w:val="20"/>
                <w:szCs w:val="20"/>
              </w:rPr>
            </w:pPr>
            <w:r w:rsidRPr="000B34F9">
              <w:rPr>
                <w:rFonts w:ascii="Arial Narrow" w:hAnsi="Arial Narrow" w:cs="Times New Roman"/>
                <w:bCs/>
                <w:sz w:val="20"/>
                <w:szCs w:val="20"/>
              </w:rPr>
              <w:t>Pooled subgroup</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6"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265D6" w:rsidRPr="000B34F9" w:rsidTr="007A0923">
        <w:tc>
          <w:tcPr>
            <w:tcW w:w="1410" w:type="dxa"/>
            <w:vAlign w:val="center"/>
          </w:tcPr>
          <w:p w:rsidR="00C265D6" w:rsidRPr="000B34F9" w:rsidRDefault="00C265D6" w:rsidP="007A0923">
            <w:pPr>
              <w:rPr>
                <w:rFonts w:ascii="Arial Narrow" w:hAnsi="Arial Narrow"/>
                <w:sz w:val="20"/>
                <w:szCs w:val="20"/>
              </w:rPr>
            </w:pPr>
            <w:r w:rsidRPr="000B34F9">
              <w:rPr>
                <w:rFonts w:ascii="Arial Narrow" w:hAnsi="Arial Narrow" w:cs="Times New Roman"/>
                <w:bCs/>
                <w:sz w:val="20"/>
                <w:szCs w:val="20"/>
              </w:rPr>
              <w:t xml:space="preserve">PAD </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6"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265D6" w:rsidRPr="000B34F9" w:rsidTr="007A0923">
        <w:tc>
          <w:tcPr>
            <w:tcW w:w="1410" w:type="dxa"/>
            <w:vAlign w:val="center"/>
          </w:tcPr>
          <w:p w:rsidR="00C265D6" w:rsidRPr="000B34F9" w:rsidRDefault="00C265D6" w:rsidP="007A0923">
            <w:pPr>
              <w:rPr>
                <w:rFonts w:ascii="Arial Narrow" w:hAnsi="Arial Narrow" w:cs="Times New Roman"/>
                <w:bCs/>
                <w:i/>
                <w:sz w:val="20"/>
                <w:szCs w:val="20"/>
              </w:rPr>
            </w:pPr>
            <w:r w:rsidRPr="000B34F9">
              <w:rPr>
                <w:rFonts w:ascii="Arial Narrow" w:hAnsi="Arial Narrow" w:cs="Times New Roman"/>
                <w:bCs/>
                <w:sz w:val="20"/>
                <w:szCs w:val="20"/>
              </w:rPr>
              <w:t>CAD &amp; PAD</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6"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265D6" w:rsidRPr="000B34F9" w:rsidTr="007A0923">
        <w:tc>
          <w:tcPr>
            <w:tcW w:w="1410" w:type="dxa"/>
            <w:vAlign w:val="center"/>
          </w:tcPr>
          <w:p w:rsidR="00C265D6" w:rsidRPr="000B34F9" w:rsidRDefault="00C265D6" w:rsidP="007A0923">
            <w:pPr>
              <w:rPr>
                <w:rFonts w:ascii="Arial Narrow" w:hAnsi="Arial Narrow" w:cs="Times New Roman"/>
                <w:bCs/>
                <w:sz w:val="20"/>
                <w:szCs w:val="20"/>
              </w:rPr>
            </w:pPr>
            <w:r w:rsidRPr="000B34F9">
              <w:rPr>
                <w:rFonts w:ascii="Arial Narrow" w:hAnsi="Arial Narrow" w:cs="Times New Roman"/>
                <w:bCs/>
                <w:sz w:val="20"/>
                <w:szCs w:val="20"/>
              </w:rPr>
              <w:t>CAD &amp; HF</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6"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265D6" w:rsidRPr="000B34F9" w:rsidTr="007A0923">
        <w:tc>
          <w:tcPr>
            <w:tcW w:w="1410" w:type="dxa"/>
            <w:vAlign w:val="center"/>
          </w:tcPr>
          <w:p w:rsidR="00C265D6" w:rsidRPr="000B34F9" w:rsidRDefault="00C265D6" w:rsidP="007A0923">
            <w:pPr>
              <w:rPr>
                <w:rFonts w:ascii="Arial Narrow" w:hAnsi="Arial Narrow" w:cs="Times New Roman"/>
                <w:bCs/>
                <w:sz w:val="20"/>
                <w:szCs w:val="20"/>
              </w:rPr>
            </w:pPr>
            <w:r w:rsidRPr="000B34F9">
              <w:rPr>
                <w:rFonts w:ascii="Arial Narrow" w:hAnsi="Arial Narrow" w:cs="Times New Roman"/>
                <w:bCs/>
                <w:sz w:val="20"/>
                <w:szCs w:val="20"/>
              </w:rPr>
              <w:t>CAD &amp; CKD</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95"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6" w:type="dxa"/>
          </w:tcPr>
          <w:p w:rsidR="00C265D6" w:rsidRPr="00FC537F" w:rsidRDefault="00FC537F" w:rsidP="007A0923">
            <w:pPr>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C265D6" w:rsidRPr="00C62B1C" w:rsidRDefault="00C265D6" w:rsidP="00C265D6">
      <w:pPr>
        <w:rPr>
          <w:rFonts w:ascii="Arial Narrow" w:hAnsi="Arial Narrow"/>
          <w:sz w:val="18"/>
          <w:szCs w:val="20"/>
        </w:rPr>
      </w:pPr>
      <w:r w:rsidRPr="00C62B1C">
        <w:rPr>
          <w:rFonts w:ascii="Arial Narrow" w:hAnsi="Arial Narrow"/>
          <w:sz w:val="18"/>
          <w:szCs w:val="20"/>
        </w:rPr>
        <w:t>Source: Constructed during the evaluation using the model spreadsheets provided with the resubmission</w:t>
      </w:r>
    </w:p>
    <w:p w:rsidR="00C265D6" w:rsidRPr="00C62B1C" w:rsidRDefault="00C265D6" w:rsidP="00C265D6">
      <w:pPr>
        <w:rPr>
          <w:rFonts w:ascii="Arial Narrow" w:hAnsi="Arial Narrow"/>
          <w:sz w:val="18"/>
        </w:rPr>
      </w:pPr>
      <w:r w:rsidRPr="00C62B1C">
        <w:rPr>
          <w:rFonts w:ascii="Arial Narrow" w:hAnsi="Arial Narrow"/>
          <w:sz w:val="18"/>
        </w:rPr>
        <w:t>Abbreviations: MI, myocardial infarction; VTE, venous thromboembolism</w:t>
      </w:r>
    </w:p>
    <w:p w:rsidR="00C265D6" w:rsidRPr="00C62B1C" w:rsidRDefault="00C265D6" w:rsidP="00C265D6">
      <w:pPr>
        <w:spacing w:after="240"/>
        <w:rPr>
          <w:rFonts w:ascii="Arial Narrow" w:hAnsi="Arial Narrow"/>
          <w:sz w:val="18"/>
        </w:rPr>
      </w:pPr>
      <w:r w:rsidRPr="00C62B1C">
        <w:rPr>
          <w:rFonts w:ascii="Arial Narrow" w:hAnsi="Arial Narrow"/>
          <w:sz w:val="18"/>
          <w:vertAlign w:val="superscript"/>
        </w:rPr>
        <w:t>1</w:t>
      </w:r>
      <w:r w:rsidRPr="00C62B1C">
        <w:rPr>
          <w:rFonts w:ascii="Arial Narrow" w:hAnsi="Arial Narrow"/>
          <w:sz w:val="18"/>
        </w:rPr>
        <w:t>Acute limb ischaemia events may include amputation</w:t>
      </w:r>
    </w:p>
    <w:p w:rsidR="007D0D4C" w:rsidRPr="00DA2857" w:rsidRDefault="00460623" w:rsidP="007D0D4C">
      <w:pPr>
        <w:pStyle w:val="ExecSumBodyText"/>
        <w:numPr>
          <w:ilvl w:val="1"/>
          <w:numId w:val="1"/>
        </w:numPr>
      </w:pPr>
      <w:r>
        <w:t>In the resubmission base case, t</w:t>
      </w:r>
      <w:r w:rsidR="007D0D4C" w:rsidRPr="00C873CC">
        <w:t xml:space="preserve">reatment of 1,000 patients with rivaroxaban with aspirin compared to aspirin alone over 30 years in the </w:t>
      </w:r>
      <w:r w:rsidR="007D0D4C" w:rsidRPr="00C873CC">
        <w:rPr>
          <w:u w:val="single"/>
        </w:rPr>
        <w:t>pooled target population</w:t>
      </w:r>
      <w:r w:rsidR="007D0D4C" w:rsidRPr="00C873CC">
        <w:t xml:space="preserve"> was associated with an average increase in survival of </w:t>
      </w:r>
      <w:r w:rsidR="00FC537F">
        <w:rPr>
          <w:noProof/>
          <w:color w:val="000000"/>
          <w:highlight w:val="black"/>
        </w:rPr>
        <w:t>'''</w:t>
      </w:r>
      <w:r w:rsidR="007D0D4C" w:rsidRPr="00C873CC">
        <w:t xml:space="preserve"> months. Treatment with rivaroxaban was also associated with </w:t>
      </w:r>
      <w:r w:rsidR="00FC537F">
        <w:rPr>
          <w:noProof/>
          <w:color w:val="000000"/>
          <w:highlight w:val="black"/>
        </w:rPr>
        <w:t>'''</w:t>
      </w:r>
      <w:r w:rsidR="007D0D4C" w:rsidRPr="00C873CC">
        <w:t xml:space="preserve"> fewer myocardial infarction events, </w:t>
      </w:r>
      <w:r w:rsidR="00FC537F">
        <w:rPr>
          <w:noProof/>
          <w:color w:val="000000"/>
          <w:highlight w:val="black"/>
        </w:rPr>
        <w:t>'''''</w:t>
      </w:r>
      <w:r w:rsidR="00A45C76" w:rsidRPr="00C873CC">
        <w:t xml:space="preserve"> </w:t>
      </w:r>
      <w:r w:rsidR="007D0D4C" w:rsidRPr="00C873CC">
        <w:t xml:space="preserve">fewer ischaemic stroke events, </w:t>
      </w:r>
      <w:r w:rsidR="00FC537F">
        <w:rPr>
          <w:noProof/>
          <w:color w:val="000000"/>
          <w:highlight w:val="black"/>
        </w:rPr>
        <w:t>'''</w:t>
      </w:r>
      <w:r w:rsidR="007D0D4C" w:rsidRPr="00C873CC">
        <w:t xml:space="preserve"> fewer acute limb ischaemia events (which may include amputation) and </w:t>
      </w:r>
      <w:r w:rsidR="00FC537F">
        <w:rPr>
          <w:noProof/>
          <w:color w:val="000000"/>
          <w:highlight w:val="black"/>
        </w:rPr>
        <w:t xml:space="preserve">'' </w:t>
      </w:r>
      <w:r w:rsidR="007D0D4C" w:rsidRPr="00C873CC">
        <w:t xml:space="preserve">fewer venous </w:t>
      </w:r>
      <w:r w:rsidR="007D0D4C" w:rsidRPr="00DA2857">
        <w:t xml:space="preserve">thromboembolism events. However, treatment with rivaroxaban was also associated with </w:t>
      </w:r>
      <w:r w:rsidR="00FC537F">
        <w:rPr>
          <w:noProof/>
          <w:color w:val="000000"/>
          <w:highlight w:val="black"/>
        </w:rPr>
        <w:t>''</w:t>
      </w:r>
      <w:r w:rsidR="007D0D4C" w:rsidRPr="00DA2857">
        <w:t xml:space="preserve"> more intracranial haemorrhage event and </w:t>
      </w:r>
      <w:r w:rsidR="00FC537F">
        <w:rPr>
          <w:noProof/>
          <w:color w:val="000000"/>
          <w:highlight w:val="black"/>
        </w:rPr>
        <w:t>'''''</w:t>
      </w:r>
      <w:r w:rsidR="007D0D4C" w:rsidRPr="00DA2857">
        <w:t xml:space="preserve"> major bleeding events. </w:t>
      </w:r>
    </w:p>
    <w:p w:rsidR="007D0D4C" w:rsidRPr="00DA2857" w:rsidRDefault="007D0D4C" w:rsidP="007D0D4C">
      <w:pPr>
        <w:pStyle w:val="ExecSumBodyText"/>
        <w:numPr>
          <w:ilvl w:val="1"/>
          <w:numId w:val="1"/>
        </w:numPr>
      </w:pPr>
      <w:r w:rsidRPr="00DA2857">
        <w:t>The health outcomes modelled for each of the subgroup populations in the economic analysis were relatively homogen</w:t>
      </w:r>
      <w:r w:rsidR="00F703DD" w:rsidRPr="00DA2857">
        <w:t>e</w:t>
      </w:r>
      <w:r w:rsidRPr="00DA2857">
        <w:t xml:space="preserve">ous over the 30 year time horizon. This may have been due to the high degree of overlap between target populations which confounds the interpretation of any specific subgroup result by the inclusion of patients already eligible under a different clinical criterion. Alternatively, the COMPASS trial may have been of insufficient duration to clearly differentiate the underlying risk between populations. Overall, the </w:t>
      </w:r>
      <w:r w:rsidR="00F824E0" w:rsidRPr="00DA2857">
        <w:t xml:space="preserve">ESC considered that the </w:t>
      </w:r>
      <w:r w:rsidRPr="00DA2857">
        <w:t>apparent homogeneity between populations may not reflect the underlying differences between these patient groups.</w:t>
      </w:r>
      <w:r w:rsidR="00671C6E" w:rsidRPr="00DA2857">
        <w:t xml:space="preserve"> </w:t>
      </w:r>
    </w:p>
    <w:p w:rsidR="00E001DB" w:rsidRDefault="007D0D4C" w:rsidP="000B454A">
      <w:pPr>
        <w:pStyle w:val="ExecSumBodyText"/>
      </w:pPr>
      <w:r w:rsidRPr="00DA2857">
        <w:t>The results of the sensitivity analyses indicated that the model was most sensitive to time horizon and treatment effects (primarily the inclusion of non-statistically significant differences).</w:t>
      </w:r>
      <w:r w:rsidR="000B454A" w:rsidRPr="00DA2857">
        <w:t xml:space="preserve"> </w:t>
      </w:r>
    </w:p>
    <w:p w:rsidR="007D0D4C" w:rsidRPr="00F95126" w:rsidRDefault="007D0D4C" w:rsidP="00F95126">
      <w:pPr>
        <w:pStyle w:val="TableHeading0"/>
        <w:rPr>
          <w:b w:val="0"/>
        </w:rPr>
      </w:pPr>
      <w:r w:rsidRPr="00F95126">
        <w:rPr>
          <w:rStyle w:val="CommentReference"/>
          <w:b/>
        </w:rPr>
        <w:lastRenderedPageBreak/>
        <w:t xml:space="preserve">Table </w:t>
      </w:r>
      <w:r w:rsidR="005424FE" w:rsidRPr="00F95126">
        <w:rPr>
          <w:rStyle w:val="CommentReference"/>
          <w:b/>
        </w:rPr>
        <w:t>1</w:t>
      </w:r>
      <w:r w:rsidR="00455986" w:rsidRPr="00F95126">
        <w:rPr>
          <w:rStyle w:val="CommentReference"/>
          <w:b/>
        </w:rPr>
        <w:t>6</w:t>
      </w:r>
      <w:r w:rsidRPr="00F95126">
        <w:rPr>
          <w:rStyle w:val="CommentReference"/>
          <w:b/>
        </w:rPr>
        <w:t>:</w:t>
      </w:r>
      <w:r w:rsidR="006E4A1E">
        <w:rPr>
          <w:rStyle w:val="CommentReference"/>
          <w:b/>
        </w:rPr>
        <w:t xml:space="preserve"> </w:t>
      </w:r>
      <w:r w:rsidRPr="00F95126">
        <w:rPr>
          <w:rStyle w:val="CommentReference"/>
          <w:b/>
        </w:rPr>
        <w:t>Results of sensitivity analyses (pooled target population)</w:t>
      </w:r>
      <w:r w:rsidR="00C141C8" w:rsidRPr="00F95126">
        <w:rPr>
          <w:rStyle w:val="CommentReference"/>
          <w:b/>
        </w:rPr>
        <w:t xml:space="preserve"> based on resubmission model</w:t>
      </w:r>
    </w:p>
    <w:tbl>
      <w:tblPr>
        <w:tblW w:w="9015"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1"/>
        <w:gridCol w:w="1435"/>
        <w:gridCol w:w="1435"/>
        <w:gridCol w:w="1154"/>
      </w:tblGrid>
      <w:tr w:rsidR="007D0D4C" w:rsidRPr="00DA2857" w:rsidTr="007D0D4C">
        <w:trPr>
          <w:tblHeader/>
        </w:trPr>
        <w:tc>
          <w:tcPr>
            <w:tcW w:w="4991" w:type="dxa"/>
          </w:tcPr>
          <w:p w:rsidR="007D0D4C" w:rsidRPr="00DA2857" w:rsidRDefault="007D0D4C" w:rsidP="00DA3071">
            <w:pPr>
              <w:pStyle w:val="Tabletext0"/>
              <w:keepNext/>
              <w:tabs>
                <w:tab w:val="left" w:pos="142"/>
              </w:tabs>
              <w:rPr>
                <w:b/>
              </w:rPr>
            </w:pPr>
            <w:r w:rsidRPr="00DA2857">
              <w:rPr>
                <w:b/>
              </w:rPr>
              <w:t>Analyses</w:t>
            </w:r>
          </w:p>
        </w:tc>
        <w:tc>
          <w:tcPr>
            <w:tcW w:w="1435" w:type="dxa"/>
            <w:tcBorders>
              <w:bottom w:val="single" w:sz="4" w:space="0" w:color="auto"/>
            </w:tcBorders>
          </w:tcPr>
          <w:p w:rsidR="007D0D4C" w:rsidRPr="00DA2857" w:rsidRDefault="007D0D4C" w:rsidP="00DA3071">
            <w:pPr>
              <w:pStyle w:val="Tabletext0"/>
              <w:keepNext/>
              <w:jc w:val="center"/>
              <w:rPr>
                <w:b/>
              </w:rPr>
            </w:pPr>
            <w:r w:rsidRPr="00DA2857">
              <w:rPr>
                <w:b/>
              </w:rPr>
              <w:t xml:space="preserve">Incremental </w:t>
            </w:r>
          </w:p>
          <w:p w:rsidR="007D0D4C" w:rsidRPr="00DA2857" w:rsidRDefault="007D0D4C" w:rsidP="00DA3071">
            <w:pPr>
              <w:pStyle w:val="Tabletext0"/>
              <w:keepNext/>
              <w:jc w:val="center"/>
              <w:rPr>
                <w:b/>
              </w:rPr>
            </w:pPr>
            <w:r w:rsidRPr="00DA2857">
              <w:rPr>
                <w:b/>
              </w:rPr>
              <w:t>cost</w:t>
            </w:r>
          </w:p>
        </w:tc>
        <w:tc>
          <w:tcPr>
            <w:tcW w:w="1435" w:type="dxa"/>
            <w:tcBorders>
              <w:bottom w:val="single" w:sz="4" w:space="0" w:color="auto"/>
            </w:tcBorders>
          </w:tcPr>
          <w:p w:rsidR="007D0D4C" w:rsidRPr="00DA2857" w:rsidRDefault="007D0D4C" w:rsidP="00DA3071">
            <w:pPr>
              <w:pStyle w:val="Tabletext0"/>
              <w:keepNext/>
              <w:jc w:val="center"/>
              <w:rPr>
                <w:b/>
              </w:rPr>
            </w:pPr>
            <w:r w:rsidRPr="00DA2857">
              <w:rPr>
                <w:b/>
              </w:rPr>
              <w:t>Incremental QALY</w:t>
            </w:r>
          </w:p>
        </w:tc>
        <w:tc>
          <w:tcPr>
            <w:tcW w:w="1154" w:type="dxa"/>
            <w:tcBorders>
              <w:bottom w:val="single" w:sz="4" w:space="0" w:color="auto"/>
            </w:tcBorders>
          </w:tcPr>
          <w:p w:rsidR="007D0D4C" w:rsidRPr="00DA2857" w:rsidRDefault="007D0D4C" w:rsidP="00DA3071">
            <w:pPr>
              <w:pStyle w:val="Tabletext0"/>
              <w:keepNext/>
              <w:jc w:val="center"/>
              <w:rPr>
                <w:b/>
              </w:rPr>
            </w:pPr>
            <w:r w:rsidRPr="00DA2857">
              <w:rPr>
                <w:b/>
              </w:rPr>
              <w:t>ICER</w:t>
            </w:r>
          </w:p>
        </w:tc>
      </w:tr>
      <w:tr w:rsidR="007D0D4C" w:rsidRPr="00DA2857" w:rsidTr="007D0D4C">
        <w:tc>
          <w:tcPr>
            <w:tcW w:w="4991" w:type="dxa"/>
          </w:tcPr>
          <w:p w:rsidR="007D0D4C" w:rsidRPr="00DA2857" w:rsidRDefault="007D0D4C" w:rsidP="00DA3071">
            <w:pPr>
              <w:pStyle w:val="Tabletext0"/>
              <w:keepNext/>
              <w:tabs>
                <w:tab w:val="left" w:pos="142"/>
              </w:tabs>
              <w:rPr>
                <w:b/>
              </w:rPr>
            </w:pPr>
            <w:r w:rsidRPr="00DA2857">
              <w:rPr>
                <w:b/>
              </w:rPr>
              <w:t>Base case</w:t>
            </w:r>
            <w:r w:rsidR="00460623">
              <w:rPr>
                <w:b/>
              </w:rPr>
              <w:t xml:space="preserve"> in resubmission </w:t>
            </w:r>
          </w:p>
        </w:tc>
        <w:tc>
          <w:tcPr>
            <w:tcW w:w="1435" w:type="dxa"/>
            <w:tcBorders>
              <w:top w:val="single" w:sz="4" w:space="0" w:color="auto"/>
              <w:left w:val="nil"/>
              <w:bottom w:val="single" w:sz="4" w:space="0" w:color="auto"/>
              <w:right w:val="single" w:sz="4" w:space="0" w:color="auto"/>
            </w:tcBorders>
            <w:shd w:val="clear" w:color="auto" w:fill="auto"/>
            <w:vAlign w:val="center"/>
          </w:tcPr>
          <w:p w:rsidR="007D0D4C" w:rsidRPr="00DA2857" w:rsidRDefault="007D0D4C" w:rsidP="00DA3071">
            <w:pPr>
              <w:keepNext/>
              <w:jc w:val="center"/>
              <w:rPr>
                <w:rFonts w:ascii="Arial Narrow" w:hAnsi="Arial Narrow" w:cs="Calibri"/>
                <w:sz w:val="20"/>
                <w:szCs w:val="20"/>
              </w:rPr>
            </w:pPr>
            <w:r w:rsidRPr="00DA2857">
              <w:rPr>
                <w:rFonts w:ascii="Arial Narrow" w:hAnsi="Arial Narrow" w:cs="Calibri"/>
                <w:sz w:val="20"/>
                <w:szCs w:val="20"/>
              </w:rPr>
              <w:t>$</w:t>
            </w:r>
            <w:r w:rsidR="00FC537F">
              <w:rPr>
                <w:rFonts w:ascii="Arial Narrow" w:hAnsi="Arial Narrow" w:cs="Calibri"/>
                <w:noProof/>
                <w:color w:val="000000"/>
                <w:sz w:val="20"/>
                <w:szCs w:val="20"/>
                <w:highlight w:val="black"/>
              </w:rPr>
              <w:t>''''''''''''''</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7D0D4C" w:rsidRPr="00FC537F" w:rsidRDefault="00FC537F" w:rsidP="00DA3071">
            <w:pPr>
              <w:keepNext/>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7D0D4C" w:rsidRPr="00DA2857" w:rsidRDefault="007D0D4C" w:rsidP="00DA3071">
            <w:pPr>
              <w:keepNext/>
              <w:jc w:val="center"/>
              <w:rPr>
                <w:rFonts w:ascii="Arial Narrow" w:hAnsi="Arial Narrow" w:cs="Calibri"/>
                <w:sz w:val="20"/>
                <w:szCs w:val="20"/>
              </w:rPr>
            </w:pPr>
            <w:r w:rsidRPr="00DA2857">
              <w:rPr>
                <w:rFonts w:ascii="Arial Narrow" w:hAnsi="Arial Narrow" w:cs="Calibri"/>
                <w:sz w:val="20"/>
                <w:szCs w:val="20"/>
              </w:rPr>
              <w:t>$</w:t>
            </w:r>
            <w:r w:rsidR="00FC537F">
              <w:rPr>
                <w:rFonts w:ascii="Arial Narrow" w:hAnsi="Arial Narrow" w:cs="Calibri"/>
                <w:noProof/>
                <w:color w:val="000000"/>
                <w:sz w:val="20"/>
                <w:szCs w:val="20"/>
                <w:highlight w:val="black"/>
              </w:rPr>
              <w:t>'''''''''''''''</w:t>
            </w:r>
          </w:p>
        </w:tc>
      </w:tr>
      <w:tr w:rsidR="007D0D4C" w:rsidRPr="00DA2857" w:rsidTr="007D0D4C">
        <w:tc>
          <w:tcPr>
            <w:tcW w:w="9015" w:type="dxa"/>
            <w:gridSpan w:val="4"/>
          </w:tcPr>
          <w:p w:rsidR="007D0D4C" w:rsidRPr="00DA2857" w:rsidRDefault="007D0D4C" w:rsidP="00DA3071">
            <w:pPr>
              <w:pStyle w:val="Tabletext0"/>
              <w:keepNext/>
              <w:rPr>
                <w:b/>
              </w:rPr>
            </w:pPr>
            <w:r w:rsidRPr="00DA2857">
              <w:rPr>
                <w:b/>
              </w:rPr>
              <w:t>Time horizon (base case: 30 years)</w:t>
            </w:r>
          </w:p>
        </w:tc>
      </w:tr>
      <w:tr w:rsidR="007D0D4C" w:rsidRPr="00DA2857" w:rsidTr="007D0D4C">
        <w:tc>
          <w:tcPr>
            <w:tcW w:w="4991" w:type="dxa"/>
          </w:tcPr>
          <w:p w:rsidR="007D0D4C" w:rsidRPr="00DA2857" w:rsidRDefault="007D0D4C" w:rsidP="00DA3071">
            <w:pPr>
              <w:pStyle w:val="Tabletext0"/>
              <w:keepNext/>
              <w:tabs>
                <w:tab w:val="left" w:pos="142"/>
              </w:tabs>
            </w:pPr>
            <w:r w:rsidRPr="00DA2857">
              <w:t>5 years</w:t>
            </w:r>
          </w:p>
        </w:tc>
        <w:tc>
          <w:tcPr>
            <w:tcW w:w="1435" w:type="dxa"/>
            <w:tcBorders>
              <w:top w:val="single" w:sz="4" w:space="0" w:color="auto"/>
              <w:left w:val="nil"/>
              <w:bottom w:val="single" w:sz="4" w:space="0" w:color="auto"/>
              <w:right w:val="single" w:sz="4" w:space="0" w:color="auto"/>
            </w:tcBorders>
            <w:shd w:val="clear" w:color="auto" w:fill="auto"/>
            <w:vAlign w:val="center"/>
          </w:tcPr>
          <w:p w:rsidR="007D0D4C" w:rsidRPr="00DA2857" w:rsidRDefault="007D0D4C" w:rsidP="00DA3071">
            <w:pPr>
              <w:keepNext/>
              <w:jc w:val="center"/>
              <w:rPr>
                <w:rFonts w:ascii="Arial Narrow" w:hAnsi="Arial Narrow" w:cs="Calibri"/>
                <w:sz w:val="20"/>
                <w:szCs w:val="20"/>
              </w:rPr>
            </w:pPr>
            <w:r w:rsidRPr="00DA2857">
              <w:rPr>
                <w:rFonts w:ascii="Arial Narrow" w:hAnsi="Arial Narrow" w:cs="Calibri"/>
                <w:sz w:val="20"/>
                <w:szCs w:val="20"/>
              </w:rPr>
              <w:t>$</w:t>
            </w:r>
            <w:r w:rsidR="00FC537F">
              <w:rPr>
                <w:rFonts w:ascii="Arial Narrow" w:hAnsi="Arial Narrow" w:cs="Calibri"/>
                <w:noProof/>
                <w:color w:val="000000"/>
                <w:sz w:val="20"/>
                <w:szCs w:val="20"/>
                <w:highlight w:val="black"/>
              </w:rPr>
              <w:t>'''''''''''''''</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7D0D4C" w:rsidRPr="00FC537F" w:rsidRDefault="00FC537F" w:rsidP="00DA3071">
            <w:pPr>
              <w:keepNext/>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7D0D4C" w:rsidRPr="00DA2857" w:rsidRDefault="007D0D4C" w:rsidP="00DA3071">
            <w:pPr>
              <w:keepNext/>
              <w:jc w:val="center"/>
              <w:rPr>
                <w:rFonts w:ascii="Arial Narrow" w:hAnsi="Arial Narrow" w:cs="Calibri"/>
                <w:sz w:val="20"/>
                <w:szCs w:val="20"/>
              </w:rPr>
            </w:pPr>
            <w:r w:rsidRPr="00DA2857">
              <w:rPr>
                <w:rFonts w:ascii="Arial Narrow" w:hAnsi="Arial Narrow" w:cs="Calibri"/>
                <w:sz w:val="20"/>
                <w:szCs w:val="20"/>
              </w:rPr>
              <w:t>$</w:t>
            </w:r>
            <w:r w:rsidR="00FC537F">
              <w:rPr>
                <w:rFonts w:ascii="Arial Narrow" w:hAnsi="Arial Narrow" w:cs="Calibri"/>
                <w:noProof/>
                <w:color w:val="000000"/>
                <w:sz w:val="20"/>
                <w:szCs w:val="20"/>
                <w:highlight w:val="black"/>
              </w:rPr>
              <w:t>'''''''''''''''</w:t>
            </w:r>
          </w:p>
        </w:tc>
      </w:tr>
      <w:tr w:rsidR="007D0D4C" w:rsidRPr="00DA2857" w:rsidTr="007D0D4C">
        <w:tc>
          <w:tcPr>
            <w:tcW w:w="4991" w:type="dxa"/>
          </w:tcPr>
          <w:p w:rsidR="007D0D4C" w:rsidRPr="00DA2857" w:rsidRDefault="007D0D4C" w:rsidP="00DA3071">
            <w:pPr>
              <w:pStyle w:val="Tabletext0"/>
              <w:keepNext/>
              <w:tabs>
                <w:tab w:val="left" w:pos="142"/>
              </w:tabs>
            </w:pPr>
            <w:r w:rsidRPr="00DA2857">
              <w:t>10 years</w:t>
            </w:r>
          </w:p>
        </w:tc>
        <w:tc>
          <w:tcPr>
            <w:tcW w:w="1435" w:type="dxa"/>
            <w:tcBorders>
              <w:top w:val="single" w:sz="4" w:space="0" w:color="auto"/>
              <w:left w:val="nil"/>
              <w:bottom w:val="single" w:sz="4" w:space="0" w:color="auto"/>
              <w:right w:val="single" w:sz="4" w:space="0" w:color="auto"/>
            </w:tcBorders>
            <w:shd w:val="clear" w:color="auto" w:fill="auto"/>
            <w:vAlign w:val="center"/>
          </w:tcPr>
          <w:p w:rsidR="007D0D4C" w:rsidRPr="00DA2857" w:rsidRDefault="007D0D4C" w:rsidP="00DA3071">
            <w:pPr>
              <w:keepNext/>
              <w:jc w:val="center"/>
              <w:rPr>
                <w:rFonts w:ascii="Arial Narrow" w:hAnsi="Arial Narrow" w:cs="Calibri"/>
                <w:sz w:val="20"/>
                <w:szCs w:val="20"/>
              </w:rPr>
            </w:pPr>
            <w:r w:rsidRPr="00DA2857">
              <w:rPr>
                <w:rFonts w:ascii="Arial Narrow" w:hAnsi="Arial Narrow" w:cs="Calibri"/>
                <w:sz w:val="20"/>
                <w:szCs w:val="20"/>
              </w:rPr>
              <w:t>$</w:t>
            </w:r>
            <w:r w:rsidR="00FC537F">
              <w:rPr>
                <w:rFonts w:ascii="Arial Narrow" w:hAnsi="Arial Narrow" w:cs="Calibri"/>
                <w:noProof/>
                <w:color w:val="000000"/>
                <w:sz w:val="20"/>
                <w:szCs w:val="20"/>
                <w:highlight w:val="black"/>
              </w:rPr>
              <w:t>''''''''''''</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7D0D4C" w:rsidRPr="00FC537F" w:rsidRDefault="00FC537F" w:rsidP="00DA3071">
            <w:pPr>
              <w:keepNext/>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7D0D4C" w:rsidRPr="00DA2857" w:rsidRDefault="007D0D4C" w:rsidP="00DA3071">
            <w:pPr>
              <w:keepNext/>
              <w:jc w:val="center"/>
              <w:rPr>
                <w:rFonts w:ascii="Arial Narrow" w:hAnsi="Arial Narrow" w:cs="Calibri"/>
                <w:sz w:val="20"/>
                <w:szCs w:val="20"/>
              </w:rPr>
            </w:pPr>
            <w:r w:rsidRPr="00DA2857">
              <w:rPr>
                <w:rFonts w:ascii="Arial Narrow" w:hAnsi="Arial Narrow" w:cs="Calibri"/>
                <w:sz w:val="20"/>
                <w:szCs w:val="20"/>
              </w:rPr>
              <w:t>$</w:t>
            </w:r>
            <w:r w:rsidR="00FC537F">
              <w:rPr>
                <w:rFonts w:ascii="Arial Narrow" w:hAnsi="Arial Narrow" w:cs="Calibri"/>
                <w:noProof/>
                <w:color w:val="000000"/>
                <w:sz w:val="20"/>
                <w:szCs w:val="20"/>
                <w:highlight w:val="black"/>
              </w:rPr>
              <w:t>''''''''''''''''''</w:t>
            </w:r>
          </w:p>
        </w:tc>
      </w:tr>
      <w:tr w:rsidR="007D0D4C" w:rsidRPr="00DA2857" w:rsidTr="007D0D4C">
        <w:tc>
          <w:tcPr>
            <w:tcW w:w="4991" w:type="dxa"/>
          </w:tcPr>
          <w:p w:rsidR="007D0D4C" w:rsidRPr="00DA2857" w:rsidRDefault="007D0D4C" w:rsidP="00DA3071">
            <w:pPr>
              <w:pStyle w:val="Tabletext0"/>
              <w:keepNext/>
              <w:tabs>
                <w:tab w:val="left" w:pos="142"/>
              </w:tabs>
            </w:pPr>
            <w:r w:rsidRPr="00DA2857">
              <w:t>20 years</w:t>
            </w:r>
          </w:p>
        </w:tc>
        <w:tc>
          <w:tcPr>
            <w:tcW w:w="1435" w:type="dxa"/>
            <w:tcBorders>
              <w:top w:val="single" w:sz="4" w:space="0" w:color="auto"/>
              <w:left w:val="nil"/>
              <w:bottom w:val="single" w:sz="4" w:space="0" w:color="auto"/>
              <w:right w:val="single" w:sz="4" w:space="0" w:color="auto"/>
            </w:tcBorders>
            <w:shd w:val="clear" w:color="auto" w:fill="auto"/>
            <w:vAlign w:val="center"/>
          </w:tcPr>
          <w:p w:rsidR="007D0D4C" w:rsidRPr="00DA2857" w:rsidRDefault="007D0D4C" w:rsidP="00DA3071">
            <w:pPr>
              <w:pStyle w:val="Tabletext0"/>
              <w:keepNext/>
              <w:jc w:val="center"/>
            </w:pPr>
            <w:r w:rsidRPr="00DA2857">
              <w:rPr>
                <w:rFonts w:cs="Calibri"/>
                <w:szCs w:val="20"/>
              </w:rPr>
              <w:t>$</w:t>
            </w:r>
            <w:r w:rsidR="00FC537F">
              <w:rPr>
                <w:rFonts w:cs="Calibri"/>
                <w:noProof/>
                <w:color w:val="000000"/>
                <w:szCs w:val="20"/>
                <w:highlight w:val="black"/>
              </w:rPr>
              <w:t>''''''''''''''</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7D0D4C" w:rsidRPr="00FC537F" w:rsidRDefault="00FC537F" w:rsidP="00DA3071">
            <w:pPr>
              <w:pStyle w:val="Tabletext0"/>
              <w:keepNext/>
              <w:jc w:val="center"/>
              <w:rPr>
                <w:highlight w:val="black"/>
              </w:rPr>
            </w:pPr>
            <w:r>
              <w:rPr>
                <w:rFonts w:cs="Calibri"/>
                <w:noProof/>
                <w:color w:val="000000"/>
                <w:szCs w:val="20"/>
                <w:highlight w:val="black"/>
              </w:rPr>
              <w:t>'''''''''''''''</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7D0D4C" w:rsidRPr="00DA2857" w:rsidRDefault="007D0D4C" w:rsidP="00DA3071">
            <w:pPr>
              <w:pStyle w:val="Tabletext0"/>
              <w:keepNext/>
              <w:jc w:val="center"/>
            </w:pPr>
            <w:r w:rsidRPr="00DA2857">
              <w:rPr>
                <w:rFonts w:cs="Calibri"/>
                <w:szCs w:val="20"/>
              </w:rPr>
              <w:t>$</w:t>
            </w:r>
            <w:r w:rsidR="00FC537F">
              <w:rPr>
                <w:rFonts w:cs="Calibri"/>
                <w:noProof/>
                <w:color w:val="000000"/>
                <w:szCs w:val="20"/>
                <w:highlight w:val="black"/>
              </w:rPr>
              <w:t>'''''''''''''''</w:t>
            </w:r>
          </w:p>
        </w:tc>
      </w:tr>
      <w:tr w:rsidR="007D0D4C" w:rsidRPr="00DA2857" w:rsidTr="007D0D4C">
        <w:tc>
          <w:tcPr>
            <w:tcW w:w="9015" w:type="dxa"/>
            <w:gridSpan w:val="4"/>
          </w:tcPr>
          <w:p w:rsidR="007D0D4C" w:rsidRPr="00DA2857" w:rsidRDefault="007D0D4C" w:rsidP="00FC4426">
            <w:pPr>
              <w:pStyle w:val="Tabletext0"/>
              <w:keepNext/>
              <w:rPr>
                <w:b/>
              </w:rPr>
            </w:pPr>
            <w:r w:rsidRPr="00DA2857">
              <w:rPr>
                <w:b/>
              </w:rPr>
              <w:t>Treatment effects (base case: point estimate difference from COMPASS trial</w:t>
            </w:r>
            <w:r w:rsidR="00FC4426" w:rsidRPr="00DA2857">
              <w:rPr>
                <w:b/>
              </w:rPr>
              <w:t>, using HR for ITT population</w:t>
            </w:r>
            <w:r w:rsidRPr="00DA2857">
              <w:rPr>
                <w:b/>
              </w:rPr>
              <w:t>)</w:t>
            </w:r>
          </w:p>
        </w:tc>
      </w:tr>
      <w:tr w:rsidR="007D0D4C" w:rsidRPr="00DA2857" w:rsidTr="007D0D4C">
        <w:tc>
          <w:tcPr>
            <w:tcW w:w="4991" w:type="dxa"/>
          </w:tcPr>
          <w:p w:rsidR="007D0D4C" w:rsidRPr="00DA2857" w:rsidRDefault="007D0D4C" w:rsidP="00DA3071">
            <w:pPr>
              <w:pStyle w:val="Tabletext0"/>
              <w:keepNext/>
              <w:tabs>
                <w:tab w:val="left" w:pos="142"/>
              </w:tabs>
            </w:pPr>
            <w:r w:rsidRPr="00DA2857">
              <w:t>Exclude non-CV death treatment effect</w:t>
            </w:r>
          </w:p>
        </w:tc>
        <w:tc>
          <w:tcPr>
            <w:tcW w:w="1435" w:type="dxa"/>
            <w:tcBorders>
              <w:top w:val="single" w:sz="4" w:space="0" w:color="auto"/>
              <w:left w:val="nil"/>
              <w:bottom w:val="single" w:sz="4" w:space="0" w:color="auto"/>
              <w:right w:val="single" w:sz="4" w:space="0" w:color="auto"/>
            </w:tcBorders>
            <w:shd w:val="clear" w:color="auto" w:fill="auto"/>
            <w:vAlign w:val="center"/>
          </w:tcPr>
          <w:p w:rsidR="007D0D4C" w:rsidRPr="00DA2857" w:rsidRDefault="007D0D4C" w:rsidP="00DA3071">
            <w:pPr>
              <w:pStyle w:val="Tabletext0"/>
              <w:keepNext/>
              <w:jc w:val="center"/>
            </w:pPr>
            <w:r w:rsidRPr="00DA2857">
              <w:rPr>
                <w:rFonts w:cs="Calibri"/>
                <w:color w:val="000000"/>
                <w:szCs w:val="20"/>
              </w:rPr>
              <w:t>$</w:t>
            </w:r>
            <w:r w:rsidR="00FC537F">
              <w:rPr>
                <w:rFonts w:cs="Calibri"/>
                <w:noProof/>
                <w:color w:val="000000"/>
                <w:szCs w:val="20"/>
                <w:highlight w:val="black"/>
              </w:rPr>
              <w:t>''''''''''''</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7D0D4C" w:rsidRPr="00FC537F" w:rsidRDefault="00FC537F" w:rsidP="00DA3071">
            <w:pPr>
              <w:pStyle w:val="Tabletext0"/>
              <w:keepNext/>
              <w:jc w:val="center"/>
              <w:rPr>
                <w:highlight w:val="black"/>
              </w:rPr>
            </w:pPr>
            <w:r>
              <w:rPr>
                <w:rFonts w:cs="Calibri"/>
                <w:noProof/>
                <w:color w:val="000000"/>
                <w:szCs w:val="20"/>
                <w:highlight w:val="black"/>
              </w:rPr>
              <w:t>''''''''''''''''</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7D0D4C" w:rsidRPr="00DA2857" w:rsidRDefault="007D0D4C" w:rsidP="00DA3071">
            <w:pPr>
              <w:pStyle w:val="Tabletext0"/>
              <w:keepNext/>
              <w:jc w:val="center"/>
            </w:pPr>
            <w:r w:rsidRPr="00DA2857">
              <w:rPr>
                <w:rFonts w:cs="Calibri"/>
                <w:szCs w:val="20"/>
              </w:rPr>
              <w:t>$</w:t>
            </w:r>
            <w:r w:rsidR="00FC537F">
              <w:rPr>
                <w:rFonts w:cs="Calibri"/>
                <w:noProof/>
                <w:color w:val="000000"/>
                <w:szCs w:val="20"/>
                <w:highlight w:val="black"/>
              </w:rPr>
              <w:t>''''''''''''''''</w:t>
            </w:r>
          </w:p>
        </w:tc>
      </w:tr>
      <w:tr w:rsidR="007D0D4C" w:rsidRPr="00DA2857" w:rsidTr="007D0D4C">
        <w:tc>
          <w:tcPr>
            <w:tcW w:w="4991" w:type="dxa"/>
          </w:tcPr>
          <w:p w:rsidR="007D0D4C" w:rsidRPr="00DA2857" w:rsidRDefault="007D0D4C" w:rsidP="00DA3071">
            <w:pPr>
              <w:pStyle w:val="Tabletext0"/>
              <w:keepNext/>
              <w:tabs>
                <w:tab w:val="left" w:pos="142"/>
              </w:tabs>
            </w:pPr>
            <w:r w:rsidRPr="00DA2857">
              <w:t>Only include statistically significant differences (non-fatal IS, CV death, acute limb ischaemia and major bleeds)</w:t>
            </w:r>
          </w:p>
        </w:tc>
        <w:tc>
          <w:tcPr>
            <w:tcW w:w="1435" w:type="dxa"/>
            <w:tcBorders>
              <w:top w:val="single" w:sz="4" w:space="0" w:color="auto"/>
              <w:left w:val="nil"/>
              <w:bottom w:val="single" w:sz="4" w:space="0" w:color="auto"/>
              <w:right w:val="single" w:sz="4" w:space="0" w:color="auto"/>
            </w:tcBorders>
            <w:shd w:val="clear" w:color="auto" w:fill="auto"/>
            <w:vAlign w:val="center"/>
          </w:tcPr>
          <w:p w:rsidR="007D0D4C" w:rsidRPr="00DA2857" w:rsidRDefault="007D0D4C" w:rsidP="00DA3071">
            <w:pPr>
              <w:pStyle w:val="Tabletext0"/>
              <w:keepNext/>
              <w:jc w:val="center"/>
            </w:pPr>
            <w:r w:rsidRPr="00DA2857">
              <w:rPr>
                <w:rFonts w:cs="Calibri"/>
                <w:color w:val="000000"/>
                <w:szCs w:val="20"/>
              </w:rPr>
              <w:t>$</w:t>
            </w:r>
            <w:r w:rsidR="00FC537F">
              <w:rPr>
                <w:rFonts w:cs="Calibri"/>
                <w:noProof/>
                <w:color w:val="000000"/>
                <w:szCs w:val="20"/>
                <w:highlight w:val="black"/>
              </w:rPr>
              <w:t>''''''''''''''</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7D0D4C" w:rsidRPr="00FC537F" w:rsidRDefault="00FC537F" w:rsidP="00DA3071">
            <w:pPr>
              <w:pStyle w:val="Tabletext0"/>
              <w:keepNext/>
              <w:jc w:val="center"/>
              <w:rPr>
                <w:highlight w:val="black"/>
              </w:rPr>
            </w:pPr>
            <w:r>
              <w:rPr>
                <w:rFonts w:cs="Calibri"/>
                <w:noProof/>
                <w:color w:val="000000"/>
                <w:szCs w:val="20"/>
                <w:highlight w:val="black"/>
              </w:rPr>
              <w:t>''''''''''''''''</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7D0D4C" w:rsidRPr="00DA2857" w:rsidRDefault="007D0D4C" w:rsidP="00DA3071">
            <w:pPr>
              <w:pStyle w:val="Tabletext0"/>
              <w:keepNext/>
              <w:jc w:val="center"/>
            </w:pPr>
            <w:r w:rsidRPr="00DA2857">
              <w:rPr>
                <w:rFonts w:cs="Calibri"/>
                <w:szCs w:val="20"/>
              </w:rPr>
              <w:t>$</w:t>
            </w:r>
            <w:r w:rsidR="00FC537F">
              <w:rPr>
                <w:rFonts w:cs="Calibri"/>
                <w:noProof/>
                <w:color w:val="000000"/>
                <w:szCs w:val="20"/>
                <w:highlight w:val="black"/>
              </w:rPr>
              <w:t>'''''''''''''''</w:t>
            </w:r>
          </w:p>
        </w:tc>
      </w:tr>
      <w:tr w:rsidR="007D0D4C" w:rsidRPr="00DA2857" w:rsidTr="007D0D4C">
        <w:tc>
          <w:tcPr>
            <w:tcW w:w="4991" w:type="dxa"/>
          </w:tcPr>
          <w:p w:rsidR="007D0D4C" w:rsidRPr="00DA2857" w:rsidRDefault="007D0D4C" w:rsidP="00DA3071">
            <w:pPr>
              <w:pStyle w:val="Tabletext0"/>
              <w:keepNext/>
              <w:tabs>
                <w:tab w:val="left" w:pos="142"/>
              </w:tabs>
            </w:pPr>
            <w:r w:rsidRPr="00DA2857">
              <w:t>Full treatment effect to 22 months (average trial duration), full convergence at 5 years; no drug costs beyond 5 years</w:t>
            </w:r>
          </w:p>
        </w:tc>
        <w:tc>
          <w:tcPr>
            <w:tcW w:w="1435" w:type="dxa"/>
            <w:vAlign w:val="center"/>
          </w:tcPr>
          <w:p w:rsidR="007D0D4C" w:rsidRPr="00DA2857" w:rsidRDefault="007D0D4C" w:rsidP="00DA3071">
            <w:pPr>
              <w:pStyle w:val="Tabletext0"/>
              <w:keepNext/>
              <w:jc w:val="center"/>
            </w:pPr>
            <w:r w:rsidRPr="00DA2857">
              <w:t>$</w:t>
            </w:r>
            <w:r w:rsidR="00FC537F">
              <w:rPr>
                <w:noProof/>
                <w:color w:val="000000"/>
                <w:highlight w:val="black"/>
              </w:rPr>
              <w:t>''''''''''''''</w:t>
            </w:r>
          </w:p>
        </w:tc>
        <w:tc>
          <w:tcPr>
            <w:tcW w:w="1435" w:type="dxa"/>
            <w:vAlign w:val="center"/>
          </w:tcPr>
          <w:p w:rsidR="007D0D4C" w:rsidRPr="00FC537F" w:rsidRDefault="00FC537F" w:rsidP="00DA3071">
            <w:pPr>
              <w:pStyle w:val="Tabletext0"/>
              <w:keepNext/>
              <w:jc w:val="center"/>
              <w:rPr>
                <w:highlight w:val="black"/>
              </w:rPr>
            </w:pPr>
            <w:r>
              <w:rPr>
                <w:noProof/>
                <w:color w:val="000000"/>
                <w:highlight w:val="black"/>
              </w:rPr>
              <w:t>''''''''''''''''''</w:t>
            </w:r>
          </w:p>
        </w:tc>
        <w:tc>
          <w:tcPr>
            <w:tcW w:w="1154" w:type="dxa"/>
            <w:vAlign w:val="center"/>
          </w:tcPr>
          <w:p w:rsidR="007D0D4C" w:rsidRPr="00DA2857" w:rsidRDefault="007D0D4C" w:rsidP="00DA3071">
            <w:pPr>
              <w:pStyle w:val="Tabletext0"/>
              <w:keepNext/>
              <w:jc w:val="center"/>
            </w:pPr>
            <w:r w:rsidRPr="00DA2857">
              <w:t>$</w:t>
            </w:r>
            <w:r w:rsidR="00FC537F">
              <w:rPr>
                <w:noProof/>
                <w:color w:val="000000"/>
                <w:highlight w:val="black"/>
              </w:rPr>
              <w:t>'''''''''''''''</w:t>
            </w:r>
          </w:p>
        </w:tc>
      </w:tr>
      <w:tr w:rsidR="00FC4426" w:rsidRPr="00DA2857" w:rsidTr="007D0D4C">
        <w:tc>
          <w:tcPr>
            <w:tcW w:w="4991" w:type="dxa"/>
          </w:tcPr>
          <w:p w:rsidR="00FC4426" w:rsidRPr="00DA2857" w:rsidRDefault="00FC4426" w:rsidP="00FC4426">
            <w:pPr>
              <w:pStyle w:val="Tabletext0"/>
              <w:keepNext/>
              <w:tabs>
                <w:tab w:val="left" w:pos="142"/>
              </w:tabs>
              <w:rPr>
                <w:vertAlign w:val="superscript"/>
              </w:rPr>
            </w:pPr>
            <w:r w:rsidRPr="00DA2857">
              <w:t xml:space="preserve">Treatment effects (HR) based on pooled subgroup population </w:t>
            </w:r>
            <w:r w:rsidRPr="00DA2857">
              <w:rPr>
                <w:vertAlign w:val="superscript"/>
              </w:rPr>
              <w:t>a</w:t>
            </w:r>
          </w:p>
        </w:tc>
        <w:tc>
          <w:tcPr>
            <w:tcW w:w="1435" w:type="dxa"/>
            <w:vAlign w:val="center"/>
          </w:tcPr>
          <w:p w:rsidR="00FC4426" w:rsidRPr="00DA2857" w:rsidRDefault="00FC4426" w:rsidP="00DA3071">
            <w:pPr>
              <w:pStyle w:val="Tabletext0"/>
              <w:keepNext/>
              <w:jc w:val="center"/>
            </w:pPr>
            <w:r w:rsidRPr="00DA2857">
              <w:t>$</w:t>
            </w:r>
            <w:r w:rsidR="00FC537F">
              <w:rPr>
                <w:noProof/>
                <w:color w:val="000000"/>
                <w:highlight w:val="black"/>
              </w:rPr>
              <w:t>'''''''''''''</w:t>
            </w:r>
          </w:p>
        </w:tc>
        <w:tc>
          <w:tcPr>
            <w:tcW w:w="1435" w:type="dxa"/>
            <w:vAlign w:val="center"/>
          </w:tcPr>
          <w:p w:rsidR="00FC4426" w:rsidRPr="00FC537F" w:rsidRDefault="00FC537F" w:rsidP="00DA3071">
            <w:pPr>
              <w:pStyle w:val="Tabletext0"/>
              <w:keepNext/>
              <w:jc w:val="center"/>
              <w:rPr>
                <w:highlight w:val="black"/>
              </w:rPr>
            </w:pPr>
            <w:r>
              <w:rPr>
                <w:noProof/>
                <w:color w:val="000000"/>
                <w:highlight w:val="black"/>
              </w:rPr>
              <w:t>''''''''''''''''</w:t>
            </w:r>
          </w:p>
        </w:tc>
        <w:tc>
          <w:tcPr>
            <w:tcW w:w="1154" w:type="dxa"/>
            <w:vAlign w:val="center"/>
          </w:tcPr>
          <w:p w:rsidR="00FC4426" w:rsidRPr="00DA2857" w:rsidRDefault="00FC4426" w:rsidP="00DA3071">
            <w:pPr>
              <w:pStyle w:val="Tabletext0"/>
              <w:keepNext/>
              <w:jc w:val="center"/>
            </w:pPr>
            <w:r w:rsidRPr="00DA2857">
              <w:t>$</w:t>
            </w:r>
            <w:r w:rsidR="00FC537F">
              <w:rPr>
                <w:noProof/>
                <w:color w:val="000000"/>
                <w:highlight w:val="black"/>
              </w:rPr>
              <w:t>''''''''''''''''</w:t>
            </w:r>
          </w:p>
        </w:tc>
      </w:tr>
      <w:tr w:rsidR="00FC4426" w:rsidRPr="00DA2857" w:rsidTr="00FC4426">
        <w:tc>
          <w:tcPr>
            <w:tcW w:w="9015" w:type="dxa"/>
            <w:gridSpan w:val="4"/>
          </w:tcPr>
          <w:p w:rsidR="00FC4426" w:rsidRPr="00DA2857" w:rsidRDefault="00FC4426" w:rsidP="00FC4426">
            <w:pPr>
              <w:pStyle w:val="Tabletext0"/>
              <w:keepNext/>
              <w:rPr>
                <w:b/>
              </w:rPr>
            </w:pPr>
            <w:r w:rsidRPr="00DA2857">
              <w:rPr>
                <w:b/>
              </w:rPr>
              <w:t>Multivariate sensitivity analysis</w:t>
            </w:r>
          </w:p>
        </w:tc>
      </w:tr>
      <w:tr w:rsidR="00FC4426" w:rsidRPr="00DA2857" w:rsidTr="007D0D4C">
        <w:tc>
          <w:tcPr>
            <w:tcW w:w="4991" w:type="dxa"/>
          </w:tcPr>
          <w:p w:rsidR="00FC4426" w:rsidRPr="00DA2857" w:rsidRDefault="00FC4426" w:rsidP="00FC4426">
            <w:pPr>
              <w:pStyle w:val="Tabletext0"/>
              <w:keepNext/>
              <w:tabs>
                <w:tab w:val="left" w:pos="142"/>
              </w:tabs>
            </w:pPr>
            <w:r w:rsidRPr="00DA2857">
              <w:t xml:space="preserve">Only include statistically significant differences </w:t>
            </w:r>
          </w:p>
          <w:p w:rsidR="00FC4426" w:rsidRPr="00DA2857" w:rsidRDefault="00FC4426" w:rsidP="00FC4426">
            <w:pPr>
              <w:pStyle w:val="Tabletext0"/>
              <w:keepNext/>
              <w:tabs>
                <w:tab w:val="left" w:pos="142"/>
              </w:tabs>
            </w:pPr>
            <w:r w:rsidRPr="00DA2857">
              <w:t xml:space="preserve">Treatment effect (HR) based on pooled subgroup population </w:t>
            </w:r>
          </w:p>
        </w:tc>
        <w:tc>
          <w:tcPr>
            <w:tcW w:w="1435" w:type="dxa"/>
            <w:vAlign w:val="center"/>
          </w:tcPr>
          <w:p w:rsidR="00FC4426" w:rsidRPr="00DA2857" w:rsidRDefault="00FC4426" w:rsidP="00DA3071">
            <w:pPr>
              <w:pStyle w:val="Tabletext0"/>
              <w:keepNext/>
              <w:jc w:val="center"/>
            </w:pPr>
            <w:r w:rsidRPr="00DA2857">
              <w:t>$</w:t>
            </w:r>
            <w:r w:rsidR="00FC537F">
              <w:rPr>
                <w:noProof/>
                <w:color w:val="000000"/>
                <w:highlight w:val="black"/>
              </w:rPr>
              <w:t>''''''''''''</w:t>
            </w:r>
          </w:p>
        </w:tc>
        <w:tc>
          <w:tcPr>
            <w:tcW w:w="1435" w:type="dxa"/>
            <w:vAlign w:val="center"/>
          </w:tcPr>
          <w:p w:rsidR="00FC4426" w:rsidRPr="00FC537F" w:rsidRDefault="00FC537F" w:rsidP="00DA3071">
            <w:pPr>
              <w:pStyle w:val="Tabletext0"/>
              <w:keepNext/>
              <w:jc w:val="center"/>
              <w:rPr>
                <w:highlight w:val="black"/>
              </w:rPr>
            </w:pPr>
            <w:r>
              <w:rPr>
                <w:noProof/>
                <w:color w:val="000000"/>
                <w:highlight w:val="black"/>
              </w:rPr>
              <w:t>''''''''''''''''</w:t>
            </w:r>
          </w:p>
        </w:tc>
        <w:tc>
          <w:tcPr>
            <w:tcW w:w="1154" w:type="dxa"/>
            <w:vAlign w:val="center"/>
          </w:tcPr>
          <w:p w:rsidR="00FC4426" w:rsidRPr="00DA2857" w:rsidRDefault="00FC4426" w:rsidP="00DA3071">
            <w:pPr>
              <w:pStyle w:val="Tabletext0"/>
              <w:keepNext/>
              <w:jc w:val="center"/>
            </w:pPr>
            <w:r w:rsidRPr="00DA2857">
              <w:t>$</w:t>
            </w:r>
            <w:r w:rsidR="00FC537F">
              <w:rPr>
                <w:noProof/>
                <w:color w:val="000000"/>
                <w:highlight w:val="black"/>
              </w:rPr>
              <w:t>'''''''''''''''''</w:t>
            </w:r>
          </w:p>
        </w:tc>
      </w:tr>
    </w:tbl>
    <w:p w:rsidR="007D0D4C" w:rsidRPr="00DA2857" w:rsidRDefault="007D0D4C" w:rsidP="007D0D4C">
      <w:pPr>
        <w:pStyle w:val="TableFooter"/>
      </w:pPr>
      <w:r w:rsidRPr="00DA2857">
        <w:t>Source: Table 3.9-1 (p 276) of the resubmission</w:t>
      </w:r>
    </w:p>
    <w:p w:rsidR="007D0D4C" w:rsidRPr="00DA2857" w:rsidRDefault="007D0D4C" w:rsidP="007D0D4C">
      <w:pPr>
        <w:pStyle w:val="TableFooter"/>
      </w:pPr>
      <w:r w:rsidRPr="00DA2857">
        <w:t>Abbreviations: ACS, acute coronary syndrome; CV, cardiovascular; ICER, incremental cost effectiveness ratio; ICH, intracranial haemorrhage; IS, ischaemic stroke; MI, myocardial infarction; QALY, quality-adjusted life year</w:t>
      </w:r>
    </w:p>
    <w:p w:rsidR="00FC4426" w:rsidRPr="00DA2857" w:rsidRDefault="00FC4426" w:rsidP="00FC4426">
      <w:pPr>
        <w:pStyle w:val="TableFooter"/>
        <w:spacing w:after="240"/>
      </w:pPr>
      <w:r w:rsidRPr="00DA2857">
        <w:rPr>
          <w:vertAlign w:val="superscript"/>
        </w:rPr>
        <w:t xml:space="preserve">a </w:t>
      </w:r>
      <w:r w:rsidRPr="00DA2857">
        <w:t>The HR for the ITT was used for bleeding death as the pooled HR was not available.</w:t>
      </w:r>
    </w:p>
    <w:p w:rsidR="000A1C11" w:rsidRDefault="000A1C11" w:rsidP="000A1C11">
      <w:pPr>
        <w:pStyle w:val="ExecSumBodyText"/>
      </w:pPr>
      <w:r w:rsidRPr="000A1C11">
        <w:t xml:space="preserve">The resubmission included four scenario analyses with baseline risks from the COMPASS trial </w:t>
      </w:r>
      <w:r w:rsidR="009A07CB">
        <w:t>for</w:t>
      </w:r>
      <w:r w:rsidRPr="000A1C11">
        <w:t xml:space="preserve"> the following subgroups: PAD; PAD with CAD; CAD with heart failure; and CAD with chronic kidney disease. While the estimated cost-effectiveness of rivaroxaban was consistent across each of the individual subgroups, the ESC considered that the scenario analyses did not adequately account for the baseline risk of each of the subgroups, as the microsimulation approach only accounted for heterogeneity in baseline age and gender, and their impact on background mortality. Further sensitivity analyses by the evaluators indicated that use of rivaroxaban and aspirin in the PAD without CAD population is unlikely to be cost-effective unless a treatment effect on cardiovascular death is assumed. The PBAC considered that the further refinement of the PAD population helped address this issue.</w:t>
      </w:r>
    </w:p>
    <w:p w:rsidR="007D0D4C" w:rsidRDefault="007D0D4C" w:rsidP="007D0D4C">
      <w:pPr>
        <w:pStyle w:val="3-SubsectionHeading"/>
      </w:pPr>
      <w:bookmarkStart w:id="23" w:name="_Toc27421956"/>
      <w:r w:rsidRPr="002C2775">
        <w:lastRenderedPageBreak/>
        <w:t>Drug</w:t>
      </w:r>
      <w:r>
        <w:t xml:space="preserve"> cost/patient/year</w:t>
      </w:r>
      <w:bookmarkEnd w:id="23"/>
    </w:p>
    <w:p w:rsidR="007D0D4C" w:rsidRPr="00BB732D" w:rsidRDefault="007D0D4C" w:rsidP="007D0D4C">
      <w:pPr>
        <w:pStyle w:val="TableFigureCaption"/>
      </w:pPr>
      <w:r w:rsidRPr="00BB732D">
        <w:t xml:space="preserve">Table </w:t>
      </w:r>
      <w:r w:rsidR="005424FE">
        <w:t>1</w:t>
      </w:r>
      <w:r w:rsidR="00F47BD0">
        <w:t>7</w:t>
      </w:r>
      <w:r w:rsidRPr="00BB732D">
        <w:t xml:space="preserve">: Drug cost per patient for </w:t>
      </w:r>
      <w:r>
        <w:t xml:space="preserve">rivaroxaban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70"/>
        <w:gridCol w:w="2512"/>
        <w:gridCol w:w="2514"/>
        <w:gridCol w:w="2521"/>
      </w:tblGrid>
      <w:tr w:rsidR="007D0D4C" w:rsidRPr="00E2771E" w:rsidTr="007D0D4C">
        <w:trPr>
          <w:cantSplit/>
          <w:tblHeader/>
          <w:jc w:val="center"/>
        </w:trPr>
        <w:tc>
          <w:tcPr>
            <w:tcW w:w="815" w:type="pct"/>
            <w:shd w:val="clear" w:color="auto" w:fill="auto"/>
            <w:vAlign w:val="center"/>
          </w:tcPr>
          <w:p w:rsidR="007D0D4C" w:rsidRPr="00E2771E" w:rsidRDefault="007D0D4C" w:rsidP="007D0D4C">
            <w:pPr>
              <w:pStyle w:val="Tableheadingrow"/>
              <w:jc w:val="center"/>
            </w:pPr>
          </w:p>
        </w:tc>
        <w:tc>
          <w:tcPr>
            <w:tcW w:w="1393" w:type="pct"/>
            <w:shd w:val="clear" w:color="auto" w:fill="auto"/>
            <w:vAlign w:val="center"/>
          </w:tcPr>
          <w:p w:rsidR="007D0D4C" w:rsidRPr="00E2771E" w:rsidRDefault="007D0D4C" w:rsidP="007D0D4C">
            <w:pPr>
              <w:pStyle w:val="Tableheadingrow"/>
              <w:jc w:val="center"/>
            </w:pPr>
            <w:r>
              <w:t>Trial</w:t>
            </w:r>
          </w:p>
        </w:tc>
        <w:tc>
          <w:tcPr>
            <w:tcW w:w="1394" w:type="pct"/>
            <w:shd w:val="clear" w:color="auto" w:fill="auto"/>
            <w:vAlign w:val="center"/>
          </w:tcPr>
          <w:p w:rsidR="007D0D4C" w:rsidRPr="00E2771E" w:rsidRDefault="007D0D4C" w:rsidP="007D0D4C">
            <w:pPr>
              <w:pStyle w:val="Tableheadingrow"/>
              <w:jc w:val="center"/>
            </w:pPr>
            <w:r>
              <w:t>Economic analysis</w:t>
            </w:r>
          </w:p>
        </w:tc>
        <w:tc>
          <w:tcPr>
            <w:tcW w:w="1398" w:type="pct"/>
            <w:shd w:val="clear" w:color="auto" w:fill="auto"/>
            <w:vAlign w:val="center"/>
          </w:tcPr>
          <w:p w:rsidR="007D0D4C" w:rsidRDefault="007D0D4C" w:rsidP="007D0D4C">
            <w:pPr>
              <w:pStyle w:val="Tableheadingrow"/>
              <w:jc w:val="center"/>
            </w:pPr>
            <w:r>
              <w:t>Financial estimates</w:t>
            </w:r>
          </w:p>
        </w:tc>
      </w:tr>
      <w:tr w:rsidR="007D0D4C" w:rsidRPr="00E2771E" w:rsidTr="007D0D4C">
        <w:trPr>
          <w:cantSplit/>
          <w:jc w:val="center"/>
        </w:trPr>
        <w:tc>
          <w:tcPr>
            <w:tcW w:w="815" w:type="pct"/>
            <w:shd w:val="clear" w:color="auto" w:fill="auto"/>
            <w:vAlign w:val="center"/>
          </w:tcPr>
          <w:p w:rsidR="007D0D4C" w:rsidRPr="001F5BDA" w:rsidRDefault="007D0D4C" w:rsidP="007D0D4C">
            <w:pPr>
              <w:pStyle w:val="TableText"/>
              <w:rPr>
                <w:lang w:val="en-US"/>
              </w:rPr>
            </w:pPr>
            <w:r>
              <w:rPr>
                <w:lang w:val="en-US"/>
              </w:rPr>
              <w:t>Compliance</w:t>
            </w:r>
          </w:p>
        </w:tc>
        <w:tc>
          <w:tcPr>
            <w:tcW w:w="1393" w:type="pct"/>
            <w:shd w:val="clear" w:color="auto" w:fill="auto"/>
            <w:vAlign w:val="center"/>
          </w:tcPr>
          <w:p w:rsidR="007D0D4C" w:rsidRPr="00876A88" w:rsidRDefault="007D0D4C" w:rsidP="007D0D4C">
            <w:pPr>
              <w:pStyle w:val="TableText"/>
              <w:jc w:val="center"/>
              <w:rPr>
                <w:vertAlign w:val="superscript"/>
                <w:lang w:val="en-US"/>
              </w:rPr>
            </w:pPr>
            <w:r>
              <w:rPr>
                <w:lang w:val="en-US"/>
              </w:rPr>
              <w:t>Yr 1: 83.9%</w:t>
            </w:r>
            <w:r>
              <w:rPr>
                <w:vertAlign w:val="superscript"/>
                <w:lang w:val="en-US"/>
              </w:rPr>
              <w:t>a</w:t>
            </w:r>
          </w:p>
          <w:p w:rsidR="007D0D4C" w:rsidRDefault="007D0D4C" w:rsidP="007D0D4C">
            <w:pPr>
              <w:pStyle w:val="TableText"/>
              <w:jc w:val="center"/>
              <w:rPr>
                <w:lang w:val="en-US"/>
              </w:rPr>
            </w:pPr>
            <w:r>
              <w:rPr>
                <w:lang w:val="en-US"/>
              </w:rPr>
              <w:t>Yr 2: 77.6%</w:t>
            </w:r>
          </w:p>
          <w:p w:rsidR="007D0D4C" w:rsidRPr="00153117" w:rsidRDefault="007D0D4C" w:rsidP="007D0D4C">
            <w:pPr>
              <w:pStyle w:val="TableText"/>
              <w:jc w:val="center"/>
              <w:rPr>
                <w:lang w:val="en-US"/>
              </w:rPr>
            </w:pPr>
            <w:r>
              <w:rPr>
                <w:lang w:val="en-US"/>
              </w:rPr>
              <w:t>Yr 3: 72.1%</w:t>
            </w:r>
          </w:p>
        </w:tc>
        <w:tc>
          <w:tcPr>
            <w:tcW w:w="1394" w:type="pct"/>
            <w:shd w:val="clear" w:color="auto" w:fill="auto"/>
            <w:vAlign w:val="center"/>
          </w:tcPr>
          <w:p w:rsidR="007D0D4C" w:rsidRPr="00153117" w:rsidRDefault="007D0D4C" w:rsidP="007D0D4C">
            <w:pPr>
              <w:pStyle w:val="TableText"/>
              <w:jc w:val="center"/>
              <w:rPr>
                <w:lang w:val="en-US"/>
              </w:rPr>
            </w:pPr>
            <w:r>
              <w:rPr>
                <w:lang w:val="en-US"/>
              </w:rPr>
              <w:t>-</w:t>
            </w:r>
          </w:p>
        </w:tc>
        <w:tc>
          <w:tcPr>
            <w:tcW w:w="1398" w:type="pct"/>
            <w:shd w:val="clear" w:color="auto" w:fill="auto"/>
            <w:vAlign w:val="center"/>
          </w:tcPr>
          <w:p w:rsidR="007D0D4C" w:rsidRDefault="007D0D4C" w:rsidP="007D0D4C">
            <w:pPr>
              <w:pStyle w:val="TableText"/>
              <w:jc w:val="center"/>
              <w:rPr>
                <w:vertAlign w:val="superscript"/>
                <w:lang w:val="en-US"/>
              </w:rPr>
            </w:pPr>
            <w:r>
              <w:rPr>
                <w:lang w:val="en-US"/>
              </w:rPr>
              <w:t>87.52% in each year</w:t>
            </w:r>
            <w:r>
              <w:rPr>
                <w:vertAlign w:val="superscript"/>
                <w:lang w:val="en-US"/>
              </w:rPr>
              <w:t>b</w:t>
            </w:r>
          </w:p>
          <w:p w:rsidR="000B7F8C" w:rsidRPr="006537F1" w:rsidRDefault="000B7F8C" w:rsidP="00693F36">
            <w:pPr>
              <w:pStyle w:val="TableText"/>
              <w:jc w:val="center"/>
              <w:rPr>
                <w:vertAlign w:val="superscript"/>
                <w:lang w:val="en-US"/>
              </w:rPr>
            </w:pPr>
            <w:r w:rsidRPr="000B7F8C">
              <w:rPr>
                <w:lang w:val="en-US"/>
              </w:rPr>
              <w:t>(</w:t>
            </w:r>
            <w:r w:rsidR="00693F36">
              <w:rPr>
                <w:lang w:val="en-US"/>
              </w:rPr>
              <w:t>P</w:t>
            </w:r>
            <w:r w:rsidR="00693F36" w:rsidRPr="000B7F8C">
              <w:rPr>
                <w:lang w:val="en-US"/>
              </w:rPr>
              <w:t>re-PBAC response</w:t>
            </w:r>
            <w:r w:rsidR="00693F36">
              <w:rPr>
                <w:lang w:val="en-US"/>
              </w:rPr>
              <w:t>:</w:t>
            </w:r>
            <w:r w:rsidR="00693F36" w:rsidRPr="000B7F8C">
              <w:rPr>
                <w:lang w:val="en-US"/>
              </w:rPr>
              <w:t xml:space="preserve"> </w:t>
            </w:r>
            <w:r w:rsidRPr="000B7F8C">
              <w:rPr>
                <w:lang w:val="en-US"/>
              </w:rPr>
              <w:t>76%)</w:t>
            </w:r>
          </w:p>
        </w:tc>
      </w:tr>
      <w:tr w:rsidR="007D0D4C" w:rsidRPr="00E2771E" w:rsidTr="007D0D4C">
        <w:trPr>
          <w:cantSplit/>
          <w:jc w:val="center"/>
        </w:trPr>
        <w:tc>
          <w:tcPr>
            <w:tcW w:w="815" w:type="pct"/>
            <w:shd w:val="clear" w:color="auto" w:fill="auto"/>
            <w:vAlign w:val="center"/>
          </w:tcPr>
          <w:p w:rsidR="007D0D4C" w:rsidRPr="001F5BDA" w:rsidRDefault="007D0D4C" w:rsidP="007D0D4C">
            <w:pPr>
              <w:pStyle w:val="TableText"/>
              <w:rPr>
                <w:lang w:val="en-US"/>
              </w:rPr>
            </w:pPr>
            <w:r>
              <w:rPr>
                <w:lang w:val="en-US"/>
              </w:rPr>
              <w:t>- Adherence</w:t>
            </w:r>
          </w:p>
        </w:tc>
        <w:tc>
          <w:tcPr>
            <w:tcW w:w="1393" w:type="pct"/>
            <w:shd w:val="clear" w:color="auto" w:fill="auto"/>
            <w:vAlign w:val="center"/>
          </w:tcPr>
          <w:p w:rsidR="007D0D4C" w:rsidRPr="002A3FD5" w:rsidRDefault="007D0D4C" w:rsidP="007D0D4C">
            <w:pPr>
              <w:pStyle w:val="TableText"/>
              <w:jc w:val="center"/>
              <w:rPr>
                <w:vertAlign w:val="superscript"/>
                <w:lang w:val="en-US"/>
              </w:rPr>
            </w:pPr>
            <w:r>
              <w:rPr>
                <w:lang w:val="en-US"/>
              </w:rPr>
              <w:t>Yr 1: 96.4%</w:t>
            </w:r>
            <w:r>
              <w:rPr>
                <w:vertAlign w:val="superscript"/>
                <w:lang w:val="en-US"/>
              </w:rPr>
              <w:t>c</w:t>
            </w:r>
          </w:p>
          <w:p w:rsidR="007D0D4C" w:rsidRDefault="007D0D4C" w:rsidP="007D0D4C">
            <w:pPr>
              <w:pStyle w:val="TableText"/>
              <w:jc w:val="center"/>
              <w:rPr>
                <w:lang w:val="en-US"/>
              </w:rPr>
            </w:pPr>
            <w:r>
              <w:rPr>
                <w:lang w:val="en-US"/>
              </w:rPr>
              <w:t>Yr 2: 97.2%</w:t>
            </w:r>
          </w:p>
          <w:p w:rsidR="007D0D4C" w:rsidRPr="002B79ED" w:rsidRDefault="007D0D4C" w:rsidP="007D0D4C">
            <w:pPr>
              <w:pStyle w:val="TableText"/>
              <w:jc w:val="center"/>
              <w:rPr>
                <w:lang w:val="en-US"/>
              </w:rPr>
            </w:pPr>
            <w:r>
              <w:rPr>
                <w:lang w:val="en-US"/>
              </w:rPr>
              <w:t>Yr 3: 98.1%</w:t>
            </w:r>
          </w:p>
        </w:tc>
        <w:tc>
          <w:tcPr>
            <w:tcW w:w="1394" w:type="pct"/>
            <w:shd w:val="clear" w:color="auto" w:fill="auto"/>
            <w:vAlign w:val="center"/>
          </w:tcPr>
          <w:p w:rsidR="007D0D4C" w:rsidRPr="00153117" w:rsidRDefault="007D0D4C" w:rsidP="007D0D4C">
            <w:pPr>
              <w:pStyle w:val="TableText"/>
              <w:jc w:val="center"/>
              <w:rPr>
                <w:lang w:val="en-US"/>
              </w:rPr>
            </w:pPr>
            <w:r>
              <w:rPr>
                <w:lang w:val="en-US"/>
              </w:rPr>
              <w:t>Not explicitly modelled</w:t>
            </w:r>
          </w:p>
        </w:tc>
        <w:tc>
          <w:tcPr>
            <w:tcW w:w="1398" w:type="pct"/>
            <w:shd w:val="clear" w:color="auto" w:fill="auto"/>
            <w:vAlign w:val="center"/>
          </w:tcPr>
          <w:p w:rsidR="007D0D4C" w:rsidRPr="00153117" w:rsidRDefault="007D0D4C" w:rsidP="007D0D4C">
            <w:pPr>
              <w:pStyle w:val="TableText"/>
              <w:jc w:val="center"/>
              <w:rPr>
                <w:lang w:val="en-US"/>
              </w:rPr>
            </w:pPr>
            <w:r>
              <w:rPr>
                <w:lang w:val="en-US"/>
              </w:rPr>
              <w:t>-</w:t>
            </w:r>
          </w:p>
        </w:tc>
      </w:tr>
      <w:tr w:rsidR="007D0D4C" w:rsidRPr="00E2771E" w:rsidTr="007D0D4C">
        <w:trPr>
          <w:cantSplit/>
          <w:jc w:val="center"/>
        </w:trPr>
        <w:tc>
          <w:tcPr>
            <w:tcW w:w="815" w:type="pct"/>
            <w:shd w:val="clear" w:color="auto" w:fill="auto"/>
            <w:vAlign w:val="center"/>
          </w:tcPr>
          <w:p w:rsidR="007D0D4C" w:rsidRPr="00E2771E" w:rsidRDefault="007D0D4C" w:rsidP="007D0D4C">
            <w:pPr>
              <w:pStyle w:val="TableText"/>
              <w:rPr>
                <w:lang w:val="en-US"/>
              </w:rPr>
            </w:pPr>
            <w:r>
              <w:rPr>
                <w:lang w:val="en-US"/>
              </w:rPr>
              <w:t>- Persistence</w:t>
            </w:r>
          </w:p>
        </w:tc>
        <w:tc>
          <w:tcPr>
            <w:tcW w:w="1393" w:type="pct"/>
            <w:shd w:val="clear" w:color="auto" w:fill="auto"/>
            <w:vAlign w:val="center"/>
          </w:tcPr>
          <w:p w:rsidR="007D0D4C" w:rsidRPr="003E39ED" w:rsidRDefault="007D0D4C" w:rsidP="007D0D4C">
            <w:pPr>
              <w:pStyle w:val="TableText"/>
              <w:jc w:val="center"/>
              <w:rPr>
                <w:vertAlign w:val="superscript"/>
                <w:lang w:val="en-US"/>
              </w:rPr>
            </w:pPr>
            <w:r>
              <w:rPr>
                <w:lang w:val="en-US"/>
              </w:rPr>
              <w:t>Yr 1: 87.1%</w:t>
            </w:r>
            <w:r>
              <w:rPr>
                <w:vertAlign w:val="superscript"/>
                <w:lang w:val="en-US"/>
              </w:rPr>
              <w:t>d</w:t>
            </w:r>
          </w:p>
          <w:p w:rsidR="007D0D4C" w:rsidRDefault="007D0D4C" w:rsidP="007D0D4C">
            <w:pPr>
              <w:pStyle w:val="TableText"/>
              <w:jc w:val="center"/>
              <w:rPr>
                <w:lang w:val="en-US"/>
              </w:rPr>
            </w:pPr>
            <w:r>
              <w:rPr>
                <w:lang w:val="en-US"/>
              </w:rPr>
              <w:t>Yr 2: 79.9%</w:t>
            </w:r>
          </w:p>
          <w:p w:rsidR="007D0D4C" w:rsidRPr="00153117" w:rsidRDefault="006E4A1E" w:rsidP="007D0D4C">
            <w:pPr>
              <w:pStyle w:val="TableText"/>
              <w:jc w:val="center"/>
              <w:rPr>
                <w:lang w:val="en-US"/>
              </w:rPr>
            </w:pPr>
            <w:r>
              <w:rPr>
                <w:lang w:val="en-US"/>
              </w:rPr>
              <w:t>Yr 3: 73.5%</w:t>
            </w:r>
          </w:p>
        </w:tc>
        <w:tc>
          <w:tcPr>
            <w:tcW w:w="1394" w:type="pct"/>
            <w:shd w:val="clear" w:color="auto" w:fill="auto"/>
            <w:vAlign w:val="center"/>
          </w:tcPr>
          <w:p w:rsidR="007D0D4C" w:rsidRPr="00E437F6" w:rsidRDefault="007D0D4C" w:rsidP="007D0D4C">
            <w:pPr>
              <w:pStyle w:val="TableText"/>
              <w:jc w:val="center"/>
              <w:rPr>
                <w:vertAlign w:val="superscript"/>
                <w:lang w:val="en-US"/>
              </w:rPr>
            </w:pPr>
            <w:r>
              <w:rPr>
                <w:lang w:val="en-US"/>
              </w:rPr>
              <w:t>Yr 1: 57%</w:t>
            </w:r>
            <w:r>
              <w:rPr>
                <w:vertAlign w:val="superscript"/>
                <w:lang w:val="en-US"/>
              </w:rPr>
              <w:t>e</w:t>
            </w:r>
          </w:p>
          <w:p w:rsidR="007D0D4C" w:rsidRDefault="007D0D4C" w:rsidP="007D0D4C">
            <w:pPr>
              <w:pStyle w:val="TableText"/>
              <w:jc w:val="center"/>
              <w:rPr>
                <w:lang w:val="en-US"/>
              </w:rPr>
            </w:pPr>
            <w:r>
              <w:rPr>
                <w:lang w:val="en-US"/>
              </w:rPr>
              <w:t>Yr 2: 46%</w:t>
            </w:r>
          </w:p>
          <w:p w:rsidR="007D0D4C" w:rsidRDefault="007D0D4C" w:rsidP="007D0D4C">
            <w:pPr>
              <w:pStyle w:val="TableText"/>
              <w:jc w:val="center"/>
              <w:rPr>
                <w:lang w:val="en-US"/>
              </w:rPr>
            </w:pPr>
            <w:r>
              <w:rPr>
                <w:lang w:val="en-US"/>
              </w:rPr>
              <w:t xml:space="preserve">Yr 3: 40% </w:t>
            </w:r>
          </w:p>
          <w:p w:rsidR="007D0D4C" w:rsidRDefault="007D0D4C" w:rsidP="007D0D4C">
            <w:pPr>
              <w:pStyle w:val="TableText"/>
              <w:jc w:val="center"/>
              <w:rPr>
                <w:lang w:val="en-US"/>
              </w:rPr>
            </w:pPr>
            <w:r>
              <w:rPr>
                <w:lang w:val="en-US"/>
              </w:rPr>
              <w:t>Yr 4: 36%</w:t>
            </w:r>
          </w:p>
          <w:p w:rsidR="007D0D4C" w:rsidRDefault="007D0D4C" w:rsidP="007D0D4C">
            <w:pPr>
              <w:pStyle w:val="TableText"/>
              <w:jc w:val="center"/>
              <w:rPr>
                <w:lang w:val="en-US"/>
              </w:rPr>
            </w:pPr>
            <w:r>
              <w:rPr>
                <w:lang w:val="en-US"/>
              </w:rPr>
              <w:t>Yr 5: 32%</w:t>
            </w:r>
          </w:p>
          <w:p w:rsidR="007D0D4C" w:rsidRPr="00153117" w:rsidRDefault="007D0D4C" w:rsidP="007D0D4C">
            <w:pPr>
              <w:pStyle w:val="TableText"/>
              <w:jc w:val="center"/>
              <w:rPr>
                <w:lang w:val="en-US"/>
              </w:rPr>
            </w:pPr>
            <w:r>
              <w:rPr>
                <w:lang w:val="en-US"/>
              </w:rPr>
              <w:t>Yr 6: 29%</w:t>
            </w:r>
          </w:p>
        </w:tc>
        <w:tc>
          <w:tcPr>
            <w:tcW w:w="1398" w:type="pct"/>
            <w:shd w:val="clear" w:color="auto" w:fill="auto"/>
            <w:vAlign w:val="center"/>
          </w:tcPr>
          <w:p w:rsidR="007D0D4C" w:rsidRPr="00153117" w:rsidRDefault="007D0D4C" w:rsidP="007D0D4C">
            <w:pPr>
              <w:pStyle w:val="TableText"/>
              <w:jc w:val="center"/>
              <w:rPr>
                <w:lang w:val="en-US"/>
              </w:rPr>
            </w:pPr>
            <w:r>
              <w:rPr>
                <w:lang w:val="en-US"/>
              </w:rPr>
              <w:t>-</w:t>
            </w:r>
          </w:p>
        </w:tc>
      </w:tr>
      <w:tr w:rsidR="007D0D4C" w:rsidRPr="00E2771E" w:rsidTr="007D0D4C">
        <w:trPr>
          <w:cantSplit/>
          <w:jc w:val="center"/>
        </w:trPr>
        <w:tc>
          <w:tcPr>
            <w:tcW w:w="815" w:type="pct"/>
            <w:shd w:val="clear" w:color="auto" w:fill="auto"/>
            <w:vAlign w:val="center"/>
          </w:tcPr>
          <w:p w:rsidR="007D0D4C" w:rsidRPr="00E2771E" w:rsidRDefault="007D0D4C" w:rsidP="007D0D4C">
            <w:pPr>
              <w:pStyle w:val="TableText"/>
              <w:rPr>
                <w:lang w:val="en-US"/>
              </w:rPr>
            </w:pPr>
            <w:r>
              <w:rPr>
                <w:lang w:val="en-US"/>
              </w:rPr>
              <w:t>Treatment interruptions</w:t>
            </w:r>
          </w:p>
        </w:tc>
        <w:tc>
          <w:tcPr>
            <w:tcW w:w="1393" w:type="pct"/>
            <w:shd w:val="clear" w:color="auto" w:fill="auto"/>
            <w:vAlign w:val="center"/>
          </w:tcPr>
          <w:p w:rsidR="007D0D4C" w:rsidRPr="00347120" w:rsidRDefault="007D0D4C" w:rsidP="007D0D4C">
            <w:pPr>
              <w:pStyle w:val="TableText"/>
              <w:jc w:val="center"/>
              <w:rPr>
                <w:vertAlign w:val="superscript"/>
                <w:lang w:val="en-US"/>
              </w:rPr>
            </w:pPr>
            <w:r>
              <w:rPr>
                <w:lang w:val="en-US"/>
              </w:rPr>
              <w:t>Duration of interruptions not reported</w:t>
            </w:r>
            <w:r>
              <w:rPr>
                <w:vertAlign w:val="superscript"/>
                <w:lang w:val="en-US"/>
              </w:rPr>
              <w:t>f</w:t>
            </w:r>
          </w:p>
        </w:tc>
        <w:tc>
          <w:tcPr>
            <w:tcW w:w="1394" w:type="pct"/>
            <w:shd w:val="clear" w:color="auto" w:fill="auto"/>
            <w:vAlign w:val="center"/>
          </w:tcPr>
          <w:p w:rsidR="007D0D4C" w:rsidRPr="00153117" w:rsidRDefault="007D0D4C" w:rsidP="007D0D4C">
            <w:pPr>
              <w:pStyle w:val="TableText"/>
              <w:jc w:val="center"/>
              <w:rPr>
                <w:lang w:val="en-US"/>
              </w:rPr>
            </w:pPr>
            <w:r>
              <w:rPr>
                <w:lang w:val="en-US"/>
              </w:rPr>
              <w:t>All events in the rivaroxaban and aspirin arm were associated with at least a 12 month treatment interruption</w:t>
            </w:r>
          </w:p>
        </w:tc>
        <w:tc>
          <w:tcPr>
            <w:tcW w:w="1398" w:type="pct"/>
            <w:shd w:val="clear" w:color="auto" w:fill="auto"/>
            <w:vAlign w:val="center"/>
          </w:tcPr>
          <w:p w:rsidR="007D0D4C" w:rsidRPr="00E43285" w:rsidRDefault="007D0D4C" w:rsidP="007D0D4C">
            <w:pPr>
              <w:pStyle w:val="TableText"/>
              <w:jc w:val="center"/>
              <w:rPr>
                <w:i/>
                <w:lang w:val="en-US"/>
              </w:rPr>
            </w:pPr>
            <w:r>
              <w:rPr>
                <w:lang w:val="en-US"/>
              </w:rPr>
              <w:t>Not included in the</w:t>
            </w:r>
            <w:r w:rsidR="00E43285">
              <w:rPr>
                <w:lang w:val="en-US"/>
              </w:rPr>
              <w:t xml:space="preserve"> resubmission’s</w:t>
            </w:r>
            <w:r>
              <w:rPr>
                <w:lang w:val="en-US"/>
              </w:rPr>
              <w:t xml:space="preserve"> estimates</w:t>
            </w:r>
            <w:r w:rsidR="00E43285">
              <w:rPr>
                <w:lang w:val="en-US"/>
              </w:rPr>
              <w:t xml:space="preserve">, </w:t>
            </w:r>
            <w:r w:rsidR="00E43285" w:rsidRPr="000B7F8C">
              <w:rPr>
                <w:lang w:val="en-US"/>
              </w:rPr>
              <w:t>but were included in revised estimates provided in the PSCR</w:t>
            </w:r>
            <w:r w:rsidR="00E43285">
              <w:rPr>
                <w:i/>
                <w:lang w:val="en-US"/>
              </w:rPr>
              <w:t>.</w:t>
            </w:r>
          </w:p>
        </w:tc>
      </w:tr>
      <w:tr w:rsidR="007D0D4C" w:rsidRPr="00E2771E" w:rsidTr="007D0D4C">
        <w:trPr>
          <w:cantSplit/>
          <w:jc w:val="center"/>
        </w:trPr>
        <w:tc>
          <w:tcPr>
            <w:tcW w:w="815" w:type="pct"/>
            <w:shd w:val="clear" w:color="auto" w:fill="auto"/>
            <w:vAlign w:val="center"/>
          </w:tcPr>
          <w:p w:rsidR="007D0D4C" w:rsidRPr="00E2771E" w:rsidRDefault="007D0D4C" w:rsidP="007D0D4C">
            <w:pPr>
              <w:pStyle w:val="TableText"/>
              <w:rPr>
                <w:lang w:val="en-US"/>
              </w:rPr>
            </w:pPr>
            <w:r>
              <w:rPr>
                <w:lang w:val="en-US"/>
              </w:rPr>
              <w:t>Average number of scripts per year</w:t>
            </w:r>
          </w:p>
        </w:tc>
        <w:tc>
          <w:tcPr>
            <w:tcW w:w="1393" w:type="pct"/>
            <w:shd w:val="clear" w:color="auto" w:fill="auto"/>
            <w:vAlign w:val="center"/>
          </w:tcPr>
          <w:p w:rsidR="007D0D4C" w:rsidRPr="00153117" w:rsidRDefault="007D0D4C" w:rsidP="007D0D4C">
            <w:pPr>
              <w:pStyle w:val="TableText"/>
              <w:jc w:val="center"/>
              <w:rPr>
                <w:lang w:val="en-US"/>
              </w:rPr>
            </w:pPr>
            <w:r>
              <w:rPr>
                <w:lang w:val="en-US"/>
              </w:rPr>
              <w:t>-</w:t>
            </w:r>
          </w:p>
        </w:tc>
        <w:tc>
          <w:tcPr>
            <w:tcW w:w="1394" w:type="pct"/>
            <w:shd w:val="clear" w:color="auto" w:fill="auto"/>
            <w:vAlign w:val="center"/>
          </w:tcPr>
          <w:p w:rsidR="007D0D4C" w:rsidRPr="006537F1" w:rsidRDefault="007D0D4C" w:rsidP="007D0D4C">
            <w:pPr>
              <w:pStyle w:val="TableText"/>
              <w:jc w:val="center"/>
              <w:rPr>
                <w:vertAlign w:val="superscript"/>
                <w:lang w:val="en-US"/>
              </w:rPr>
            </w:pPr>
            <w:r>
              <w:rPr>
                <w:lang w:val="en-US"/>
              </w:rPr>
              <w:t>Yr 1: 6.94</w:t>
            </w:r>
            <w:r>
              <w:rPr>
                <w:vertAlign w:val="superscript"/>
                <w:lang w:val="en-US"/>
              </w:rPr>
              <w:t>g</w:t>
            </w:r>
          </w:p>
          <w:p w:rsidR="007D0D4C" w:rsidRDefault="007D0D4C" w:rsidP="007D0D4C">
            <w:pPr>
              <w:pStyle w:val="TableText"/>
              <w:jc w:val="center"/>
              <w:rPr>
                <w:lang w:val="en-US"/>
              </w:rPr>
            </w:pPr>
            <w:r>
              <w:rPr>
                <w:lang w:val="en-US"/>
              </w:rPr>
              <w:t>Yr 2: 5.60</w:t>
            </w:r>
          </w:p>
          <w:p w:rsidR="007D0D4C" w:rsidRDefault="007D0D4C" w:rsidP="007D0D4C">
            <w:pPr>
              <w:pStyle w:val="TableText"/>
              <w:jc w:val="center"/>
              <w:rPr>
                <w:lang w:val="en-US"/>
              </w:rPr>
            </w:pPr>
            <w:r>
              <w:rPr>
                <w:lang w:val="en-US"/>
              </w:rPr>
              <w:t>Yr 3: 4.87</w:t>
            </w:r>
          </w:p>
          <w:p w:rsidR="007D0D4C" w:rsidRDefault="007D0D4C" w:rsidP="007D0D4C">
            <w:pPr>
              <w:pStyle w:val="TableText"/>
              <w:jc w:val="center"/>
              <w:rPr>
                <w:lang w:val="en-US"/>
              </w:rPr>
            </w:pPr>
            <w:r>
              <w:rPr>
                <w:lang w:val="en-US"/>
              </w:rPr>
              <w:t>Yr 4: 4.39</w:t>
            </w:r>
          </w:p>
          <w:p w:rsidR="007D0D4C" w:rsidRDefault="007D0D4C" w:rsidP="007D0D4C">
            <w:pPr>
              <w:pStyle w:val="TableText"/>
              <w:jc w:val="center"/>
              <w:rPr>
                <w:lang w:val="en-US"/>
              </w:rPr>
            </w:pPr>
            <w:r>
              <w:rPr>
                <w:lang w:val="en-US"/>
              </w:rPr>
              <w:t>Yr 5: 3.90</w:t>
            </w:r>
          </w:p>
          <w:p w:rsidR="007D0D4C" w:rsidRPr="00153117" w:rsidRDefault="007D0D4C" w:rsidP="007D0D4C">
            <w:pPr>
              <w:pStyle w:val="TableText"/>
              <w:jc w:val="center"/>
              <w:rPr>
                <w:lang w:val="en-US"/>
              </w:rPr>
            </w:pPr>
            <w:r>
              <w:rPr>
                <w:lang w:val="en-US"/>
              </w:rPr>
              <w:t>Yr 6: 3.53</w:t>
            </w:r>
          </w:p>
        </w:tc>
        <w:tc>
          <w:tcPr>
            <w:tcW w:w="1398" w:type="pct"/>
            <w:shd w:val="clear" w:color="auto" w:fill="auto"/>
            <w:vAlign w:val="center"/>
          </w:tcPr>
          <w:p w:rsidR="007D0D4C" w:rsidRDefault="007D0D4C" w:rsidP="007D0D4C">
            <w:pPr>
              <w:pStyle w:val="TableText"/>
              <w:jc w:val="center"/>
              <w:rPr>
                <w:lang w:val="en-US"/>
              </w:rPr>
            </w:pPr>
            <w:r>
              <w:rPr>
                <w:lang w:val="en-US"/>
              </w:rPr>
              <w:t>10.66</w:t>
            </w:r>
            <w:r w:rsidR="00E43285">
              <w:rPr>
                <w:lang w:val="en-US"/>
              </w:rPr>
              <w:t xml:space="preserve"> in resubmission</w:t>
            </w:r>
          </w:p>
          <w:p w:rsidR="00E37712" w:rsidRPr="00153117" w:rsidRDefault="00E37712" w:rsidP="00693F36">
            <w:pPr>
              <w:pStyle w:val="TableText"/>
              <w:jc w:val="center"/>
              <w:rPr>
                <w:lang w:val="en-US"/>
              </w:rPr>
            </w:pPr>
            <w:r>
              <w:rPr>
                <w:lang w:val="en-US"/>
              </w:rPr>
              <w:t>(</w:t>
            </w:r>
            <w:r w:rsidR="00693F36">
              <w:rPr>
                <w:lang w:val="en-US"/>
              </w:rPr>
              <w:t>P</w:t>
            </w:r>
            <w:r>
              <w:rPr>
                <w:lang w:val="en-US"/>
              </w:rPr>
              <w:t>re-PBAC response: 8.8 in Yr 1 decreasing to 8.4 in Yr 6)</w:t>
            </w:r>
          </w:p>
        </w:tc>
      </w:tr>
      <w:tr w:rsidR="007D0D4C" w:rsidRPr="00E2771E" w:rsidTr="007D0D4C">
        <w:trPr>
          <w:cantSplit/>
          <w:jc w:val="center"/>
        </w:trPr>
        <w:tc>
          <w:tcPr>
            <w:tcW w:w="815" w:type="pct"/>
            <w:shd w:val="clear" w:color="auto" w:fill="auto"/>
            <w:vAlign w:val="center"/>
          </w:tcPr>
          <w:p w:rsidR="007D0D4C" w:rsidRPr="00E2771E" w:rsidRDefault="007D0D4C" w:rsidP="007D0D4C">
            <w:pPr>
              <w:pStyle w:val="TableText"/>
              <w:rPr>
                <w:lang w:val="en-US"/>
              </w:rPr>
            </w:pPr>
            <w:r>
              <w:rPr>
                <w:lang w:val="en-US"/>
              </w:rPr>
              <w:t>Cost/patient/year</w:t>
            </w:r>
          </w:p>
        </w:tc>
        <w:tc>
          <w:tcPr>
            <w:tcW w:w="1393" w:type="pct"/>
            <w:shd w:val="clear" w:color="auto" w:fill="auto"/>
            <w:vAlign w:val="center"/>
          </w:tcPr>
          <w:p w:rsidR="007D0D4C" w:rsidRPr="00153117" w:rsidRDefault="007D0D4C" w:rsidP="007D0D4C">
            <w:pPr>
              <w:pStyle w:val="TableText"/>
              <w:jc w:val="center"/>
              <w:rPr>
                <w:lang w:val="en-US"/>
              </w:rPr>
            </w:pPr>
            <w:r>
              <w:rPr>
                <w:lang w:val="en-US"/>
              </w:rPr>
              <w:t>-</w:t>
            </w:r>
          </w:p>
        </w:tc>
        <w:tc>
          <w:tcPr>
            <w:tcW w:w="1394" w:type="pct"/>
            <w:shd w:val="clear" w:color="auto" w:fill="auto"/>
            <w:vAlign w:val="center"/>
          </w:tcPr>
          <w:p w:rsidR="00E37712" w:rsidRDefault="00693F36" w:rsidP="00E37712">
            <w:pPr>
              <w:pStyle w:val="TableText"/>
              <w:rPr>
                <w:lang w:val="en-US"/>
              </w:rPr>
            </w:pPr>
            <w:r>
              <w:rPr>
                <w:lang w:val="en-US"/>
              </w:rPr>
              <w:t>R</w:t>
            </w:r>
            <w:r w:rsidR="00E37712">
              <w:rPr>
                <w:lang w:val="en-US"/>
              </w:rPr>
              <w:t>esubmission:</w:t>
            </w:r>
          </w:p>
          <w:p w:rsidR="007D0D4C" w:rsidRPr="006940E2" w:rsidRDefault="007D0D4C" w:rsidP="007D0D4C">
            <w:pPr>
              <w:pStyle w:val="TableText"/>
              <w:jc w:val="center"/>
              <w:rPr>
                <w:vertAlign w:val="superscript"/>
                <w:lang w:val="en-US"/>
              </w:rPr>
            </w:pPr>
            <w:r>
              <w:rPr>
                <w:lang w:val="en-US"/>
              </w:rPr>
              <w:t>Yr 1: $</w:t>
            </w:r>
            <w:r w:rsidR="00FC537F">
              <w:rPr>
                <w:noProof/>
                <w:color w:val="000000"/>
                <w:highlight w:val="black"/>
                <w:lang w:val="en-US"/>
              </w:rPr>
              <w:t>''''''''''</w:t>
            </w:r>
            <w:r>
              <w:rPr>
                <w:vertAlign w:val="superscript"/>
                <w:lang w:val="en-US"/>
              </w:rPr>
              <w:t>h</w:t>
            </w:r>
          </w:p>
          <w:p w:rsidR="007D0D4C" w:rsidRPr="00FC537F" w:rsidRDefault="007D0D4C" w:rsidP="007D0D4C">
            <w:pPr>
              <w:pStyle w:val="TableText"/>
              <w:jc w:val="center"/>
              <w:rPr>
                <w:lang w:val="en-US"/>
              </w:rPr>
            </w:pPr>
            <w:r>
              <w:rPr>
                <w:lang w:val="en-US"/>
              </w:rPr>
              <w:t>Yr 2: $</w:t>
            </w:r>
            <w:r w:rsidR="00FC537F">
              <w:rPr>
                <w:noProof/>
                <w:color w:val="000000"/>
                <w:highlight w:val="black"/>
                <w:lang w:val="en-US"/>
              </w:rPr>
              <w:t>'''''''''</w:t>
            </w:r>
          </w:p>
          <w:p w:rsidR="007D0D4C" w:rsidRDefault="007D0D4C" w:rsidP="007D0D4C">
            <w:pPr>
              <w:pStyle w:val="TableText"/>
              <w:jc w:val="center"/>
              <w:rPr>
                <w:lang w:val="en-US"/>
              </w:rPr>
            </w:pPr>
            <w:r>
              <w:rPr>
                <w:lang w:val="en-US"/>
              </w:rPr>
              <w:t>Yr 3: $</w:t>
            </w:r>
            <w:r w:rsidR="00FC537F">
              <w:rPr>
                <w:noProof/>
                <w:color w:val="000000"/>
                <w:highlight w:val="black"/>
                <w:lang w:val="en-US"/>
              </w:rPr>
              <w:t>''''''''''</w:t>
            </w:r>
          </w:p>
          <w:p w:rsidR="007D0D4C" w:rsidRDefault="007D0D4C" w:rsidP="007D0D4C">
            <w:pPr>
              <w:pStyle w:val="TableText"/>
              <w:jc w:val="center"/>
              <w:rPr>
                <w:lang w:val="en-US"/>
              </w:rPr>
            </w:pPr>
            <w:r>
              <w:rPr>
                <w:lang w:val="en-US"/>
              </w:rPr>
              <w:t>Yr 4: $</w:t>
            </w:r>
            <w:r w:rsidR="00FC537F">
              <w:rPr>
                <w:noProof/>
                <w:color w:val="000000"/>
                <w:highlight w:val="black"/>
                <w:lang w:val="en-US"/>
              </w:rPr>
              <w:t>'''''''''</w:t>
            </w:r>
          </w:p>
          <w:p w:rsidR="007D0D4C" w:rsidRDefault="007D0D4C" w:rsidP="007D0D4C">
            <w:pPr>
              <w:pStyle w:val="TableText"/>
              <w:jc w:val="center"/>
              <w:rPr>
                <w:lang w:val="en-US"/>
              </w:rPr>
            </w:pPr>
            <w:r>
              <w:rPr>
                <w:lang w:val="en-US"/>
              </w:rPr>
              <w:t>Yr 5: $</w:t>
            </w:r>
            <w:r w:rsidR="00FC537F">
              <w:rPr>
                <w:noProof/>
                <w:color w:val="000000"/>
                <w:highlight w:val="black"/>
                <w:lang w:val="en-US"/>
              </w:rPr>
              <w:t>'''''''''</w:t>
            </w:r>
          </w:p>
          <w:p w:rsidR="007D0D4C" w:rsidRDefault="007D0D4C" w:rsidP="007D0D4C">
            <w:pPr>
              <w:pStyle w:val="TableText"/>
              <w:jc w:val="center"/>
              <w:rPr>
                <w:lang w:val="en-US"/>
              </w:rPr>
            </w:pPr>
            <w:r>
              <w:rPr>
                <w:lang w:val="en-US"/>
              </w:rPr>
              <w:t>Yr 6: $</w:t>
            </w:r>
            <w:r w:rsidR="00FC537F">
              <w:rPr>
                <w:noProof/>
                <w:color w:val="000000"/>
                <w:highlight w:val="black"/>
                <w:lang w:val="en-US"/>
              </w:rPr>
              <w:t>''''''''''</w:t>
            </w:r>
          </w:p>
          <w:p w:rsidR="00E37712" w:rsidRDefault="00E37712" w:rsidP="00E37712">
            <w:pPr>
              <w:pStyle w:val="TableText"/>
              <w:rPr>
                <w:lang w:val="en-US"/>
              </w:rPr>
            </w:pPr>
            <w:r>
              <w:rPr>
                <w:lang w:val="en-US"/>
              </w:rPr>
              <w:t>(</w:t>
            </w:r>
            <w:r w:rsidR="00693F36">
              <w:rPr>
                <w:lang w:val="en-US"/>
              </w:rPr>
              <w:t>P</w:t>
            </w:r>
            <w:r>
              <w:rPr>
                <w:lang w:val="en-US"/>
              </w:rPr>
              <w:t>re-PBAC response:</w:t>
            </w:r>
          </w:p>
          <w:p w:rsidR="00E37712" w:rsidRPr="00153117" w:rsidRDefault="00E37712" w:rsidP="00E37712">
            <w:pPr>
              <w:pStyle w:val="TableText"/>
              <w:jc w:val="center"/>
              <w:rPr>
                <w:lang w:val="en-US"/>
              </w:rPr>
            </w:pPr>
            <w:r>
              <w:rPr>
                <w:lang w:val="en-US"/>
              </w:rPr>
              <w:t>Yr 1: $</w:t>
            </w:r>
            <w:r w:rsidR="00FC537F">
              <w:rPr>
                <w:noProof/>
                <w:color w:val="000000"/>
                <w:highlight w:val="black"/>
                <w:lang w:val="en-US"/>
              </w:rPr>
              <w:t>''''''''''</w:t>
            </w:r>
            <w:r>
              <w:rPr>
                <w:lang w:val="en-US"/>
              </w:rPr>
              <w:t xml:space="preserve"> to Yr 6: $</w:t>
            </w:r>
            <w:r w:rsidR="00FC537F">
              <w:rPr>
                <w:noProof/>
                <w:color w:val="000000"/>
                <w:highlight w:val="black"/>
                <w:lang w:val="en-US"/>
              </w:rPr>
              <w:t>'''''''''</w:t>
            </w:r>
            <w:r>
              <w:rPr>
                <w:lang w:val="en-US"/>
              </w:rPr>
              <w:t>)</w:t>
            </w:r>
          </w:p>
        </w:tc>
        <w:tc>
          <w:tcPr>
            <w:tcW w:w="1398" w:type="pct"/>
            <w:shd w:val="clear" w:color="auto" w:fill="auto"/>
            <w:vAlign w:val="center"/>
          </w:tcPr>
          <w:p w:rsidR="007D0D4C" w:rsidRDefault="007D0D4C" w:rsidP="007D0D4C">
            <w:pPr>
              <w:pStyle w:val="TableText"/>
              <w:jc w:val="center"/>
              <w:rPr>
                <w:lang w:val="en-US"/>
              </w:rPr>
            </w:pPr>
            <w:r>
              <w:rPr>
                <w:lang w:val="en-US"/>
              </w:rPr>
              <w:t>$</w:t>
            </w:r>
            <w:r w:rsidR="00FC537F">
              <w:rPr>
                <w:noProof/>
                <w:color w:val="000000"/>
                <w:highlight w:val="black"/>
                <w:lang w:val="en-US"/>
              </w:rPr>
              <w:t>''''''''''</w:t>
            </w:r>
            <w:r>
              <w:rPr>
                <w:vertAlign w:val="superscript"/>
                <w:lang w:val="en-US"/>
              </w:rPr>
              <w:t>h</w:t>
            </w:r>
            <w:r w:rsidR="00E37712">
              <w:rPr>
                <w:vertAlign w:val="superscript"/>
                <w:lang w:val="en-US"/>
              </w:rPr>
              <w:t xml:space="preserve"> </w:t>
            </w:r>
            <w:r w:rsidR="00E37712">
              <w:rPr>
                <w:lang w:val="en-US"/>
              </w:rPr>
              <w:t>in resubmission</w:t>
            </w:r>
          </w:p>
          <w:p w:rsidR="00E37712" w:rsidRPr="00E37712" w:rsidRDefault="00693F36" w:rsidP="00693F36">
            <w:pPr>
              <w:pStyle w:val="TableText"/>
              <w:jc w:val="center"/>
              <w:rPr>
                <w:lang w:val="en-US"/>
              </w:rPr>
            </w:pPr>
            <w:r>
              <w:rPr>
                <w:lang w:val="en-US"/>
              </w:rPr>
              <w:t>(Pre-PBAC response: $</w:t>
            </w:r>
            <w:r w:rsidR="00FC537F">
              <w:rPr>
                <w:noProof/>
                <w:color w:val="000000"/>
                <w:highlight w:val="black"/>
                <w:lang w:val="en-US"/>
              </w:rPr>
              <w:t>''''''''''</w:t>
            </w:r>
            <w:r w:rsidR="00E37712">
              <w:rPr>
                <w:lang w:val="en-US"/>
              </w:rPr>
              <w:t>)</w:t>
            </w:r>
          </w:p>
        </w:tc>
      </w:tr>
    </w:tbl>
    <w:p w:rsidR="007D0D4C" w:rsidRDefault="007D0D4C" w:rsidP="007D0D4C">
      <w:pPr>
        <w:pStyle w:val="TableFigureFooter"/>
      </w:pPr>
      <w:r w:rsidRPr="007F1017">
        <w:t xml:space="preserve">Source: </w:t>
      </w:r>
      <w:r>
        <w:t>Table 14.1.4/3 of the COMPASS trial report; Xarelto (rivaroxaban) Utilisation and Cost Excel workbooks, Section 4 Spreadsheets of the resubmission</w:t>
      </w:r>
    </w:p>
    <w:p w:rsidR="007D0D4C" w:rsidRDefault="007D0D4C" w:rsidP="007D0D4C">
      <w:pPr>
        <w:pStyle w:val="TableFigureFooter"/>
      </w:pPr>
      <w:r>
        <w:rPr>
          <w:vertAlign w:val="superscript"/>
        </w:rPr>
        <w:t xml:space="preserve">a </w:t>
      </w:r>
      <w:r>
        <w:t>Proportion of patients taking at least 80% of the study drug; of patients who completed each visit</w:t>
      </w:r>
    </w:p>
    <w:p w:rsidR="007D0D4C" w:rsidRDefault="007D0D4C" w:rsidP="007D0D4C">
      <w:pPr>
        <w:pStyle w:val="TableFigureFooter"/>
      </w:pPr>
      <w:r>
        <w:rPr>
          <w:vertAlign w:val="superscript"/>
        </w:rPr>
        <w:t>b</w:t>
      </w:r>
      <w:r>
        <w:t xml:space="preserve"> Based on reported compliance in the COMPASS trial, weighted by each visit (10 visits from Month 1 to Month 42)</w:t>
      </w:r>
      <w:r w:rsidR="00170B2B">
        <w:t xml:space="preserve">. In the pre-PBAC response: based on PBS 10% sample data for rivaroxaban in non-valvular atrial fibrillation. </w:t>
      </w:r>
    </w:p>
    <w:p w:rsidR="007D0D4C" w:rsidRDefault="007D0D4C" w:rsidP="007D0D4C">
      <w:pPr>
        <w:pStyle w:val="TableFigureFooter"/>
      </w:pPr>
      <w:r w:rsidRPr="002A3FD5">
        <w:rPr>
          <w:vertAlign w:val="superscript"/>
        </w:rPr>
        <w:t>c</w:t>
      </w:r>
      <w:r>
        <w:t xml:space="preserve"> </w:t>
      </w:r>
      <w:r w:rsidRPr="002A3FD5">
        <w:t>Defined as patients taking</w:t>
      </w:r>
      <w:r>
        <w:t xml:space="preserve"> at least 80% of the study drug; of patients who were still on the study drug</w:t>
      </w:r>
    </w:p>
    <w:p w:rsidR="007D0D4C" w:rsidRDefault="007D0D4C" w:rsidP="007D0D4C">
      <w:pPr>
        <w:pStyle w:val="TableFigureFooter"/>
      </w:pPr>
      <w:r>
        <w:rPr>
          <w:vertAlign w:val="superscript"/>
        </w:rPr>
        <w:t>d</w:t>
      </w:r>
      <w:r>
        <w:t xml:space="preserve"> These proportions were based on patients still taking the study drug at each visit; of patients who completed each visit </w:t>
      </w:r>
    </w:p>
    <w:p w:rsidR="007D0D4C" w:rsidRPr="00347120" w:rsidRDefault="007D0D4C" w:rsidP="007D0D4C">
      <w:pPr>
        <w:pStyle w:val="TableFigureFooter"/>
      </w:pPr>
      <w:r>
        <w:rPr>
          <w:vertAlign w:val="superscript"/>
        </w:rPr>
        <w:t>e</w:t>
      </w:r>
      <w:r>
        <w:t xml:space="preserve"> </w:t>
      </w:r>
      <w:r w:rsidRPr="00E437F6">
        <w:t>10</w:t>
      </w:r>
      <w:r>
        <w:t>% Medicare sample analysis of rivaroxaban for stroke prevention in atrial fibrillation patients</w:t>
      </w:r>
    </w:p>
    <w:p w:rsidR="007D0D4C" w:rsidRDefault="007D0D4C" w:rsidP="007D0D4C">
      <w:pPr>
        <w:pStyle w:val="TableFigureFooter"/>
      </w:pPr>
      <w:r>
        <w:rPr>
          <w:vertAlign w:val="superscript"/>
        </w:rPr>
        <w:t>f</w:t>
      </w:r>
      <w:r>
        <w:t xml:space="preserve"> COMPASS trial report noted that treatment interruptions could not be calculated, because the number of days off study drug could not be determined from the data</w:t>
      </w:r>
    </w:p>
    <w:p w:rsidR="007D0D4C" w:rsidRDefault="007D0D4C" w:rsidP="007D0D4C">
      <w:pPr>
        <w:pStyle w:val="TableFigureFooter"/>
      </w:pPr>
      <w:r>
        <w:rPr>
          <w:vertAlign w:val="superscript"/>
        </w:rPr>
        <w:t>g</w:t>
      </w:r>
      <w:r>
        <w:t xml:space="preserve"> Calculated using persistence estimates, assuming no treatment interruptions and 12.18 scripts/patient/year</w:t>
      </w:r>
    </w:p>
    <w:p w:rsidR="007D0D4C" w:rsidRDefault="007D0D4C" w:rsidP="007D0D4C">
      <w:pPr>
        <w:pStyle w:val="TableFigureFooter"/>
      </w:pPr>
      <w:r>
        <w:rPr>
          <w:vertAlign w:val="superscript"/>
        </w:rPr>
        <w:t>h</w:t>
      </w:r>
      <w:r>
        <w:t xml:space="preserve"> Calculated using average number of scripts/year and the proposed effective price of $</w:t>
      </w:r>
      <w:r w:rsidR="00FC537F">
        <w:rPr>
          <w:noProof/>
          <w:color w:val="000000"/>
          <w:highlight w:val="black"/>
        </w:rPr>
        <w:t>'''''''''''''</w:t>
      </w:r>
      <w:r w:rsidR="00170B2B" w:rsidRPr="00170B2B">
        <w:t xml:space="preserve"> </w:t>
      </w:r>
      <w:r w:rsidR="00170B2B">
        <w:t>in the resubmission (and $</w:t>
      </w:r>
      <w:r w:rsidR="00FC537F">
        <w:rPr>
          <w:noProof/>
          <w:color w:val="000000"/>
          <w:highlight w:val="black"/>
        </w:rPr>
        <w:t>''''''''''''</w:t>
      </w:r>
      <w:r w:rsidR="00170B2B">
        <w:t xml:space="preserve"> in the pre-PBAC response)</w:t>
      </w:r>
    </w:p>
    <w:p w:rsidR="007D0D4C" w:rsidRPr="00DA2857" w:rsidRDefault="007D0D4C" w:rsidP="007D0D4C">
      <w:pPr>
        <w:pStyle w:val="ExecSumBodyText"/>
        <w:numPr>
          <w:ilvl w:val="1"/>
          <w:numId w:val="1"/>
        </w:numPr>
      </w:pPr>
      <w:r w:rsidRPr="00DA2857">
        <w:t>The estimation of treatment adherence, persistence and interruption was not consistent between different sections of the resubmission.</w:t>
      </w:r>
      <w:r w:rsidR="005C35D5" w:rsidRPr="00DA2857">
        <w:t xml:space="preserve"> The</w:t>
      </w:r>
      <w:r w:rsidR="00115242" w:rsidRPr="00DA2857">
        <w:t xml:space="preserve"> ESC considered that the</w:t>
      </w:r>
      <w:r w:rsidR="005C35D5" w:rsidRPr="00DA2857">
        <w:t xml:space="preserve">se parameters may </w:t>
      </w:r>
      <w:r w:rsidR="00115242" w:rsidRPr="00DA2857">
        <w:t xml:space="preserve">not </w:t>
      </w:r>
      <w:r w:rsidR="005C35D5" w:rsidRPr="00DA2857">
        <w:t xml:space="preserve">have been </w:t>
      </w:r>
      <w:r w:rsidR="00115242" w:rsidRPr="00DA2857">
        <w:t>adequately accounted for</w:t>
      </w:r>
      <w:r w:rsidR="005C35D5" w:rsidRPr="00DA2857">
        <w:t xml:space="preserve"> in the financial estimates.</w:t>
      </w:r>
      <w:r w:rsidR="003C0665">
        <w:t xml:space="preserve"> </w:t>
      </w:r>
      <w:r w:rsidR="000B7F8C">
        <w:t xml:space="preserve">The assumptions around persistence and interruptions were amended in the PSCR and the </w:t>
      </w:r>
      <w:r w:rsidR="003C0665">
        <w:t>pre-PBAC response.</w:t>
      </w:r>
    </w:p>
    <w:p w:rsidR="007D0D4C" w:rsidRPr="00DA2857" w:rsidRDefault="007D0D4C" w:rsidP="007D0D4C">
      <w:pPr>
        <w:pStyle w:val="ExecSumBodyText"/>
        <w:numPr>
          <w:ilvl w:val="1"/>
          <w:numId w:val="1"/>
        </w:numPr>
        <w:rPr>
          <w:snapToGrid/>
          <w:lang w:val="en-US"/>
        </w:rPr>
      </w:pPr>
      <w:r w:rsidRPr="00DA2857">
        <w:lastRenderedPageBreak/>
        <w:t xml:space="preserve">The resubmission assumed that the drug cost for aspirin was negligible and did not include this cost in the economic model or financial implications. </w:t>
      </w:r>
      <w:r w:rsidR="00E45BDF" w:rsidRPr="00DA2857">
        <w:t>The ESC noted that patients would be taking aspirin anyway.</w:t>
      </w:r>
    </w:p>
    <w:p w:rsidR="00B60939" w:rsidRPr="00C9624D" w:rsidRDefault="00B60939" w:rsidP="002B05A1">
      <w:pPr>
        <w:pStyle w:val="3-SubsectionHeading"/>
      </w:pPr>
      <w:bookmarkStart w:id="24" w:name="_Toc22897647"/>
      <w:bookmarkStart w:id="25" w:name="_Toc27421957"/>
      <w:bookmarkEnd w:id="22"/>
      <w:r w:rsidRPr="00C9624D">
        <w:t>Estimated PBS usage &amp; financial implications</w:t>
      </w:r>
      <w:bookmarkEnd w:id="24"/>
      <w:bookmarkEnd w:id="25"/>
    </w:p>
    <w:p w:rsidR="00062912" w:rsidRPr="00C74A12" w:rsidRDefault="00062912" w:rsidP="00062912">
      <w:pPr>
        <w:pStyle w:val="ExecSumBodyText"/>
      </w:pPr>
      <w:r w:rsidRPr="00C74A12">
        <w:t xml:space="preserve">This </w:t>
      </w:r>
      <w:r w:rsidR="00C74A12" w:rsidRPr="00C74A12">
        <w:t>re</w:t>
      </w:r>
      <w:r w:rsidR="00AE7F2D">
        <w:t>submission was not</w:t>
      </w:r>
      <w:r w:rsidRPr="00C74A12">
        <w:t xml:space="preserve"> considered by DUSC. The resubmission took a similar epidemiological approach to the previous submission. The total eligible population from the pooled and individual subgroups of PAD, PAD &amp; CAD, CAD &amp; HF and CAD &amp; CKD were estimated from the same source as used in the previous submission, an analysis of Western Australian linked health data. An updated analysis was conducted to identify patients within the newly specified subgroups. The resubmission used a 15 year lookback period to define the prevalent population of patients with atherothrombotic cardiovascular disease. Patients meeting the eligibility criteria for the eligible disease subgroups on 1 July 2010 (‘prevalence date’) were included in the analysis. Key inputs are summarised in the table below.</w:t>
      </w:r>
    </w:p>
    <w:p w:rsidR="00C74A12" w:rsidRPr="007925DF" w:rsidRDefault="00C74A12" w:rsidP="00C74A12">
      <w:pPr>
        <w:pStyle w:val="TableFigureCaption"/>
      </w:pPr>
      <w:r w:rsidRPr="007925DF">
        <w:t>Table</w:t>
      </w:r>
      <w:r w:rsidR="005424FE">
        <w:t xml:space="preserve"> 1</w:t>
      </w:r>
      <w:r w:rsidR="00F47BD0">
        <w:t>8</w:t>
      </w:r>
      <w:r w:rsidRPr="007925DF">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3544"/>
        <w:gridCol w:w="4344"/>
      </w:tblGrid>
      <w:tr w:rsidR="00C74A12" w:rsidRPr="003D1DE4" w:rsidTr="00693F36">
        <w:trPr>
          <w:tblHeader/>
        </w:trPr>
        <w:tc>
          <w:tcPr>
            <w:tcW w:w="626" w:type="pct"/>
            <w:shd w:val="clear" w:color="auto" w:fill="auto"/>
            <w:vAlign w:val="center"/>
          </w:tcPr>
          <w:p w:rsidR="00C74A12" w:rsidRPr="003D1DE4" w:rsidRDefault="00C74A12" w:rsidP="000242C7">
            <w:pPr>
              <w:pStyle w:val="Tableheadingrow"/>
            </w:pPr>
            <w:r>
              <w:t>Parameter</w:t>
            </w:r>
          </w:p>
        </w:tc>
        <w:tc>
          <w:tcPr>
            <w:tcW w:w="1965" w:type="pct"/>
            <w:shd w:val="clear" w:color="auto" w:fill="auto"/>
            <w:vAlign w:val="center"/>
          </w:tcPr>
          <w:p w:rsidR="00C74A12" w:rsidRPr="003D1DE4" w:rsidRDefault="00C74A12" w:rsidP="000242C7">
            <w:pPr>
              <w:pStyle w:val="Tableheadingrow"/>
            </w:pPr>
            <w:r>
              <w:t>Value applied and source</w:t>
            </w:r>
          </w:p>
        </w:tc>
        <w:tc>
          <w:tcPr>
            <w:tcW w:w="2409" w:type="pct"/>
            <w:shd w:val="clear" w:color="auto" w:fill="auto"/>
            <w:vAlign w:val="center"/>
          </w:tcPr>
          <w:p w:rsidR="00C74A12" w:rsidRPr="003D1DE4" w:rsidRDefault="00C74A12" w:rsidP="000242C7">
            <w:pPr>
              <w:pStyle w:val="Tableheadingrow"/>
            </w:pPr>
            <w:r>
              <w:t>Comment</w:t>
            </w:r>
          </w:p>
        </w:tc>
      </w:tr>
      <w:tr w:rsidR="00C74A12" w:rsidRPr="00E2771E" w:rsidTr="00693F36">
        <w:tc>
          <w:tcPr>
            <w:tcW w:w="626" w:type="pct"/>
            <w:shd w:val="clear" w:color="auto" w:fill="auto"/>
            <w:vAlign w:val="center"/>
          </w:tcPr>
          <w:p w:rsidR="00C74A12" w:rsidRPr="00DA2857" w:rsidRDefault="00C74A12" w:rsidP="000242C7">
            <w:pPr>
              <w:pStyle w:val="TableText"/>
              <w:rPr>
                <w:lang w:val="en-US"/>
              </w:rPr>
            </w:pPr>
            <w:r w:rsidRPr="00DA2857">
              <w:rPr>
                <w:lang w:val="en-US"/>
              </w:rPr>
              <w:t>Prevalent population</w:t>
            </w:r>
          </w:p>
        </w:tc>
        <w:tc>
          <w:tcPr>
            <w:tcW w:w="1965" w:type="pct"/>
            <w:shd w:val="clear" w:color="auto" w:fill="auto"/>
            <w:vAlign w:val="center"/>
          </w:tcPr>
          <w:p w:rsidR="00C74A12" w:rsidRPr="00DA2857" w:rsidRDefault="00C74A12" w:rsidP="000242C7">
            <w:pPr>
              <w:pStyle w:val="TableText"/>
              <w:rPr>
                <w:lang w:val="en-US"/>
              </w:rPr>
            </w:pPr>
            <w:r w:rsidRPr="00DA2857">
              <w:rPr>
                <w:lang w:val="en-US"/>
              </w:rPr>
              <w:t xml:space="preserve">Prevalence of 0.77% to 0.83% based on eligible patients in an analysis of hospital data from 2010 in Western Australia, extrapolated to Australian prevalence based on ABS population statistics, and extended to current year based on projected growth in prevalence of cardiovascular disease (Sarink 2016). </w:t>
            </w:r>
          </w:p>
        </w:tc>
        <w:tc>
          <w:tcPr>
            <w:tcW w:w="2409" w:type="pct"/>
            <w:shd w:val="clear" w:color="auto" w:fill="auto"/>
            <w:vAlign w:val="center"/>
          </w:tcPr>
          <w:p w:rsidR="00DB4EFC" w:rsidRPr="00DA2857" w:rsidRDefault="00DB4EFC" w:rsidP="00693F36">
            <w:pPr>
              <w:pStyle w:val="TableText"/>
              <w:rPr>
                <w:lang w:val="en-US"/>
              </w:rPr>
            </w:pPr>
            <w:r w:rsidRPr="00DA2857">
              <w:rPr>
                <w:lang w:val="en-US"/>
              </w:rPr>
              <w:t xml:space="preserve">Para 7.15 of March 2019 PSD: “The PBAC noted that DUSC had identified issues with the prevalence rates used in the financial estimates. However, the PBAC considered that, while the prevalence was highly uncertain, there were unlikely to be better data available and considered the prevalence used in the submission was reasonable.” </w:t>
            </w:r>
            <w:r w:rsidR="00FC59C8" w:rsidRPr="00DA2857">
              <w:rPr>
                <w:lang w:val="en-US"/>
              </w:rPr>
              <w:t>The ESC considered th</w:t>
            </w:r>
            <w:r w:rsidR="00B27F3D" w:rsidRPr="00DA2857">
              <w:rPr>
                <w:lang w:val="en-US"/>
              </w:rPr>
              <w:t>ere is remaining uncertainty with respect to the</w:t>
            </w:r>
            <w:r w:rsidR="00FC59C8" w:rsidRPr="00DA2857">
              <w:rPr>
                <w:lang w:val="en-US"/>
              </w:rPr>
              <w:t xml:space="preserve"> eligible population</w:t>
            </w:r>
            <w:r w:rsidR="00B27F3D" w:rsidRPr="00DA2857">
              <w:rPr>
                <w:lang w:val="en-US"/>
              </w:rPr>
              <w:t>.</w:t>
            </w:r>
            <w:r w:rsidR="00FC59C8" w:rsidRPr="00DA2857">
              <w:rPr>
                <w:lang w:val="en-US"/>
              </w:rPr>
              <w:t xml:space="preserve"> </w:t>
            </w:r>
          </w:p>
        </w:tc>
      </w:tr>
      <w:tr w:rsidR="00C74A12" w:rsidRPr="00E2771E" w:rsidTr="00693F36">
        <w:tc>
          <w:tcPr>
            <w:tcW w:w="626" w:type="pct"/>
            <w:shd w:val="clear" w:color="auto" w:fill="auto"/>
            <w:vAlign w:val="center"/>
          </w:tcPr>
          <w:p w:rsidR="00C74A12" w:rsidRPr="00DA2857" w:rsidRDefault="00C74A12" w:rsidP="000242C7">
            <w:pPr>
              <w:pStyle w:val="TableText"/>
              <w:rPr>
                <w:lang w:val="en-US"/>
              </w:rPr>
            </w:pPr>
            <w:r w:rsidRPr="00DA2857">
              <w:rPr>
                <w:lang w:val="en-US"/>
              </w:rPr>
              <w:t>Uptake rate</w:t>
            </w:r>
          </w:p>
        </w:tc>
        <w:tc>
          <w:tcPr>
            <w:tcW w:w="1965" w:type="pct"/>
            <w:shd w:val="clear" w:color="auto" w:fill="auto"/>
            <w:vAlign w:val="center"/>
          </w:tcPr>
          <w:p w:rsidR="00C74A12" w:rsidRDefault="000B7F8C" w:rsidP="000242C7">
            <w:pPr>
              <w:pStyle w:val="TableText"/>
              <w:rPr>
                <w:lang w:val="en-US"/>
              </w:rPr>
            </w:pPr>
            <w:r>
              <w:rPr>
                <w:lang w:val="en-US"/>
              </w:rPr>
              <w:t xml:space="preserve">Resubmission base case: </w:t>
            </w:r>
            <w:r w:rsidR="00FC537F">
              <w:rPr>
                <w:noProof/>
                <w:color w:val="000000"/>
                <w:highlight w:val="black"/>
                <w:lang w:val="en-US"/>
              </w:rPr>
              <w:t>'''''''</w:t>
            </w:r>
            <w:r w:rsidR="00C74A12" w:rsidRPr="00DA2857">
              <w:rPr>
                <w:lang w:val="en-US"/>
              </w:rPr>
              <w:t xml:space="preserve">% in Year 1 increasing to </w:t>
            </w:r>
            <w:r w:rsidR="00FC537F">
              <w:rPr>
                <w:noProof/>
                <w:color w:val="000000"/>
                <w:highlight w:val="black"/>
                <w:lang w:val="en-US"/>
              </w:rPr>
              <w:t>''''''</w:t>
            </w:r>
            <w:r w:rsidR="00C74A12" w:rsidRPr="00DA2857">
              <w:rPr>
                <w:lang w:val="en-US"/>
              </w:rPr>
              <w:t>% in Year 6 for the pooled patient group. Based on market research conducted by the sponsor.</w:t>
            </w:r>
          </w:p>
          <w:p w:rsidR="000B7F8C" w:rsidRPr="00DA2857" w:rsidRDefault="000B7F8C" w:rsidP="000B7F8C">
            <w:pPr>
              <w:pStyle w:val="TableText"/>
              <w:rPr>
                <w:lang w:val="en-US"/>
              </w:rPr>
            </w:pPr>
            <w:r>
              <w:rPr>
                <w:lang w:val="en-US"/>
              </w:rPr>
              <w:t xml:space="preserve">Pre-PBAC response base case: </w:t>
            </w:r>
            <w:r w:rsidR="00FC537F">
              <w:rPr>
                <w:noProof/>
                <w:color w:val="000000"/>
                <w:highlight w:val="black"/>
                <w:lang w:val="en-US"/>
              </w:rPr>
              <w:t>''''''</w:t>
            </w:r>
            <w:r w:rsidRPr="00DA2857">
              <w:rPr>
                <w:lang w:val="en-US"/>
              </w:rPr>
              <w:t xml:space="preserve">% in Year 1 increasing to </w:t>
            </w:r>
            <w:r w:rsidR="00FC537F">
              <w:rPr>
                <w:noProof/>
                <w:color w:val="000000"/>
                <w:highlight w:val="black"/>
                <w:lang w:val="en-US"/>
              </w:rPr>
              <w:t>''''''</w:t>
            </w:r>
            <w:r w:rsidRPr="00DA2857">
              <w:rPr>
                <w:lang w:val="en-US"/>
              </w:rPr>
              <w:t xml:space="preserve">% in Year 6 for the pooled patient group. </w:t>
            </w:r>
            <w:r>
              <w:rPr>
                <w:lang w:val="en-US"/>
              </w:rPr>
              <w:t xml:space="preserve">Based on the lower limit of the 95% CI from the market research. </w:t>
            </w:r>
          </w:p>
        </w:tc>
        <w:tc>
          <w:tcPr>
            <w:tcW w:w="2409" w:type="pct"/>
            <w:shd w:val="clear" w:color="auto" w:fill="auto"/>
            <w:vAlign w:val="center"/>
          </w:tcPr>
          <w:p w:rsidR="00C74A12" w:rsidRPr="00DA2857" w:rsidRDefault="005A5BCB" w:rsidP="00693F36">
            <w:pPr>
              <w:pStyle w:val="TableText"/>
              <w:rPr>
                <w:lang w:val="en-US"/>
              </w:rPr>
            </w:pPr>
            <w:r w:rsidRPr="00DA2857">
              <w:rPr>
                <w:lang w:val="en-US"/>
              </w:rPr>
              <w:t>The ESC noted that uptake rates were b</w:t>
            </w:r>
            <w:r w:rsidR="00C74A12" w:rsidRPr="00DA2857">
              <w:rPr>
                <w:lang w:val="en-US"/>
              </w:rPr>
              <w:t xml:space="preserve">ased on assumptions </w:t>
            </w:r>
            <w:r w:rsidRPr="00DA2857">
              <w:rPr>
                <w:lang w:val="en-US"/>
              </w:rPr>
              <w:t xml:space="preserve">from a clinician survey </w:t>
            </w:r>
            <w:r w:rsidR="00C74A12" w:rsidRPr="00DA2857">
              <w:rPr>
                <w:lang w:val="en-US"/>
              </w:rPr>
              <w:t>and therefore</w:t>
            </w:r>
            <w:r w:rsidR="00F06E37" w:rsidRPr="00DA2857">
              <w:rPr>
                <w:lang w:val="en-US"/>
              </w:rPr>
              <w:t xml:space="preserve"> subject to considerable</w:t>
            </w:r>
            <w:r w:rsidR="00C74A12" w:rsidRPr="00DA2857">
              <w:rPr>
                <w:lang w:val="en-US"/>
              </w:rPr>
              <w:t xml:space="preserve"> uncertain</w:t>
            </w:r>
            <w:r w:rsidR="00F06E37" w:rsidRPr="00DA2857">
              <w:rPr>
                <w:lang w:val="en-US"/>
              </w:rPr>
              <w:t>ty</w:t>
            </w:r>
            <w:r w:rsidR="00C74A12" w:rsidRPr="00DA2857">
              <w:rPr>
                <w:lang w:val="en-US"/>
              </w:rPr>
              <w:t>.</w:t>
            </w:r>
            <w:r w:rsidRPr="00DA2857">
              <w:rPr>
                <w:lang w:val="en-US"/>
              </w:rPr>
              <w:t xml:space="preserve"> </w:t>
            </w:r>
            <w:r w:rsidR="00DB4EFC" w:rsidRPr="00DA2857">
              <w:rPr>
                <w:lang w:val="en-US"/>
              </w:rPr>
              <w:t xml:space="preserve">The ESC considered the uptake rates </w:t>
            </w:r>
            <w:r w:rsidR="00E45BDF" w:rsidRPr="00DA2857">
              <w:rPr>
                <w:lang w:val="en-US"/>
              </w:rPr>
              <w:t xml:space="preserve">may be </w:t>
            </w:r>
            <w:r w:rsidR="00DB4EFC" w:rsidRPr="00DA2857">
              <w:rPr>
                <w:lang w:val="en-US"/>
              </w:rPr>
              <w:t>significantly overestimated</w:t>
            </w:r>
            <w:r w:rsidR="00E45BDF" w:rsidRPr="00DA2857">
              <w:rPr>
                <w:lang w:val="en-US"/>
              </w:rPr>
              <w:t>, due to patient and/or clinic</w:t>
            </w:r>
            <w:r w:rsidR="00115242" w:rsidRPr="00DA2857">
              <w:rPr>
                <w:lang w:val="en-US"/>
              </w:rPr>
              <w:t>i</w:t>
            </w:r>
            <w:r w:rsidR="00E45BDF" w:rsidRPr="00DA2857">
              <w:rPr>
                <w:lang w:val="en-US"/>
              </w:rPr>
              <w:t>a</w:t>
            </w:r>
            <w:r w:rsidR="00115242" w:rsidRPr="00DA2857">
              <w:rPr>
                <w:lang w:val="en-US"/>
              </w:rPr>
              <w:t>n</w:t>
            </w:r>
            <w:r w:rsidR="00E45BDF" w:rsidRPr="00DA2857">
              <w:rPr>
                <w:lang w:val="en-US"/>
              </w:rPr>
              <w:t xml:space="preserve"> reluctance to prescribe long</w:t>
            </w:r>
            <w:r w:rsidR="00115242" w:rsidRPr="00DA2857">
              <w:rPr>
                <w:lang w:val="en-US"/>
              </w:rPr>
              <w:t>-</w:t>
            </w:r>
            <w:r w:rsidR="00E45BDF" w:rsidRPr="00DA2857">
              <w:rPr>
                <w:lang w:val="en-US"/>
              </w:rPr>
              <w:t xml:space="preserve">term antiplatelet and anticoagulant agents together, at least until considerable clinical experience using this combination of antithrombotics </w:t>
            </w:r>
            <w:r w:rsidR="00115242" w:rsidRPr="00DA2857">
              <w:rPr>
                <w:lang w:val="en-US"/>
              </w:rPr>
              <w:t>i</w:t>
            </w:r>
            <w:r w:rsidR="00E45BDF" w:rsidRPr="00DA2857">
              <w:rPr>
                <w:lang w:val="en-US"/>
              </w:rPr>
              <w:t>s attained</w:t>
            </w:r>
            <w:r w:rsidR="00DB4EFC" w:rsidRPr="00DA2857">
              <w:rPr>
                <w:lang w:val="en-US"/>
              </w:rPr>
              <w:t>.</w:t>
            </w:r>
            <w:r w:rsidR="000B7F8C">
              <w:rPr>
                <w:lang w:val="en-US"/>
              </w:rPr>
              <w:t xml:space="preserve"> </w:t>
            </w:r>
          </w:p>
        </w:tc>
      </w:tr>
      <w:tr w:rsidR="00C74A12" w:rsidRPr="00E2771E" w:rsidTr="00693F36">
        <w:tc>
          <w:tcPr>
            <w:tcW w:w="626" w:type="pct"/>
            <w:shd w:val="clear" w:color="auto" w:fill="auto"/>
            <w:vAlign w:val="center"/>
          </w:tcPr>
          <w:p w:rsidR="00C74A12" w:rsidRPr="00DA2857" w:rsidRDefault="00C74A12" w:rsidP="000242C7">
            <w:pPr>
              <w:pStyle w:val="TableText"/>
              <w:rPr>
                <w:lang w:val="en-US"/>
              </w:rPr>
            </w:pPr>
            <w:r w:rsidRPr="00DA2857">
              <w:rPr>
                <w:lang w:val="en-US"/>
              </w:rPr>
              <w:t>Compliance rate</w:t>
            </w:r>
          </w:p>
        </w:tc>
        <w:tc>
          <w:tcPr>
            <w:tcW w:w="1965" w:type="pct"/>
            <w:shd w:val="clear" w:color="auto" w:fill="auto"/>
            <w:vAlign w:val="center"/>
          </w:tcPr>
          <w:p w:rsidR="00C74A12" w:rsidRDefault="000B7F8C" w:rsidP="000242C7">
            <w:pPr>
              <w:pStyle w:val="TableText"/>
              <w:rPr>
                <w:lang w:val="en-US"/>
              </w:rPr>
            </w:pPr>
            <w:r>
              <w:rPr>
                <w:lang w:val="en-US"/>
              </w:rPr>
              <w:t xml:space="preserve">Resubmission base case: </w:t>
            </w:r>
            <w:r w:rsidR="00C74A12" w:rsidRPr="00DA2857">
              <w:rPr>
                <w:lang w:val="en-US"/>
              </w:rPr>
              <w:t>87.5% compliance, based on weighted average compliance across all months of the COMPASS trial</w:t>
            </w:r>
            <w:r>
              <w:rPr>
                <w:lang w:val="en-US"/>
              </w:rPr>
              <w:t>.</w:t>
            </w:r>
          </w:p>
          <w:p w:rsidR="000B7F8C" w:rsidRPr="00DA2857" w:rsidRDefault="000B7F8C" w:rsidP="000242C7">
            <w:pPr>
              <w:pStyle w:val="TableText"/>
              <w:rPr>
                <w:lang w:val="en-US"/>
              </w:rPr>
            </w:pPr>
            <w:r>
              <w:rPr>
                <w:lang w:val="en-US"/>
              </w:rPr>
              <w:t>Pre-PBAC response base case: 76% compliance, based on 10% sample data for rivaroxaban in the non-valvular atrial fibrillation indication.</w:t>
            </w:r>
          </w:p>
        </w:tc>
        <w:tc>
          <w:tcPr>
            <w:tcW w:w="2409" w:type="pct"/>
            <w:shd w:val="clear" w:color="auto" w:fill="auto"/>
            <w:vAlign w:val="center"/>
          </w:tcPr>
          <w:p w:rsidR="00C74A12" w:rsidRPr="00DA2857" w:rsidRDefault="00FC59C8" w:rsidP="00693F36">
            <w:pPr>
              <w:pStyle w:val="TableText"/>
              <w:rPr>
                <w:lang w:val="en-US"/>
              </w:rPr>
            </w:pPr>
            <w:r w:rsidRPr="00DA2857">
              <w:rPr>
                <w:lang w:val="en-US"/>
              </w:rPr>
              <w:t xml:space="preserve">The ESC considered </w:t>
            </w:r>
            <w:r w:rsidR="00693F36">
              <w:rPr>
                <w:lang w:val="en-US"/>
              </w:rPr>
              <w:t>compliance</w:t>
            </w:r>
            <w:r w:rsidRPr="00DA2857">
              <w:rPr>
                <w:lang w:val="en-US"/>
              </w:rPr>
              <w:t xml:space="preserve"> was l</w:t>
            </w:r>
            <w:r w:rsidR="00C74A12" w:rsidRPr="00DA2857">
              <w:rPr>
                <w:lang w:val="en-US"/>
              </w:rPr>
              <w:t>ike</w:t>
            </w:r>
            <w:r w:rsidR="00A42106">
              <w:rPr>
                <w:lang w:val="en-US"/>
              </w:rPr>
              <w:t>ly overestimated because compliance</w:t>
            </w:r>
            <w:r w:rsidR="00C74A12" w:rsidRPr="00DA2857">
              <w:t xml:space="preserve"> estimates reported in the clinical trial setting are unlikely to be representative of clinical practice, particularly given that patients with poor adherence were excluded from the COMPASS trial during the run-in period.</w:t>
            </w:r>
            <w:r w:rsidR="00596445" w:rsidRPr="00DA2857">
              <w:t xml:space="preserve"> The ESC </w:t>
            </w:r>
            <w:r w:rsidR="007F21AB" w:rsidRPr="00DA2857">
              <w:t xml:space="preserve">further </w:t>
            </w:r>
            <w:r w:rsidR="00596445" w:rsidRPr="00DA2857">
              <w:t>noted that the compliance rates</w:t>
            </w:r>
            <w:r w:rsidR="007F21AB" w:rsidRPr="00DA2857">
              <w:t xml:space="preserve"> in the trial decreased </w:t>
            </w:r>
            <w:r w:rsidR="00596445" w:rsidRPr="00DA2857">
              <w:t>over time</w:t>
            </w:r>
            <w:r w:rsidR="007F21AB" w:rsidRPr="00DA2857">
              <w:t xml:space="preserve"> (per Table 18)</w:t>
            </w:r>
            <w:r w:rsidR="00596445" w:rsidRPr="00DA2857">
              <w:t>.</w:t>
            </w:r>
          </w:p>
        </w:tc>
      </w:tr>
    </w:tbl>
    <w:p w:rsidR="00C74A12" w:rsidRDefault="00C74A12" w:rsidP="00C74A12">
      <w:pPr>
        <w:pStyle w:val="TableFigureFooter"/>
      </w:pPr>
      <w:r>
        <w:t>Source: Table 4.1.1, p279</w:t>
      </w:r>
      <w:r w:rsidRPr="007925DF">
        <w:t xml:space="preserve"> of the </w:t>
      </w:r>
      <w:r>
        <w:t>re</w:t>
      </w:r>
      <w:r w:rsidRPr="007925DF">
        <w:t>submission.</w:t>
      </w:r>
    </w:p>
    <w:p w:rsidR="00C74A12" w:rsidRDefault="00C74A12" w:rsidP="00C74A12">
      <w:pPr>
        <w:pStyle w:val="TableFigureFooter"/>
      </w:pPr>
      <w:r>
        <w:t>ABS, Australian Bureau of Statistics.</w:t>
      </w:r>
    </w:p>
    <w:p w:rsidR="00C74A12" w:rsidRPr="00DA2857" w:rsidRDefault="00C74A12" w:rsidP="000C04BF">
      <w:pPr>
        <w:pStyle w:val="ExecSumBodyText"/>
      </w:pPr>
      <w:r w:rsidRPr="00DA2857">
        <w:t xml:space="preserve">Table </w:t>
      </w:r>
      <w:r w:rsidR="00455986" w:rsidRPr="00DA2857">
        <w:t>20</w:t>
      </w:r>
      <w:r w:rsidR="00C265D6" w:rsidRPr="00DA2857">
        <w:t xml:space="preserve"> </w:t>
      </w:r>
      <w:r w:rsidRPr="00DA2857">
        <w:t xml:space="preserve">presents the estimated utilisation and total cost of rivaroxaban for the overall pooled patient population (accounting for overlap). </w:t>
      </w:r>
      <w:r w:rsidR="000C04BF" w:rsidRPr="00DA2857">
        <w:t xml:space="preserve">The PSCR revised </w:t>
      </w:r>
      <w:r w:rsidR="00693F36">
        <w:t xml:space="preserve">the </w:t>
      </w:r>
      <w:r w:rsidR="000C04BF" w:rsidRPr="00DA2857">
        <w:t>estimates to account for treatment interruptions and permanent treatment discontinuations</w:t>
      </w:r>
      <w:r w:rsidR="00317BC3">
        <w:t>, and t</w:t>
      </w:r>
      <w:r w:rsidR="00CF1E7E">
        <w:t>he pre-PBAC response</w:t>
      </w:r>
      <w:r w:rsidR="00FC4672">
        <w:t xml:space="preserve"> </w:t>
      </w:r>
      <w:r w:rsidR="00CF1E7E">
        <w:t>provided revised estimates to account for a price reduction, reduced uptake rates, and reduced compliance</w:t>
      </w:r>
      <w:r w:rsidR="00317BC3">
        <w:t>. T</w:t>
      </w:r>
      <w:r w:rsidR="00CF1E7E">
        <w:t>hese revised estimates a</w:t>
      </w:r>
      <w:r w:rsidR="006E4A1E">
        <w:t>re also presented in Table 20.</w:t>
      </w:r>
    </w:p>
    <w:p w:rsidR="00C74A12" w:rsidRDefault="00C74A12" w:rsidP="00C74A12">
      <w:pPr>
        <w:pStyle w:val="TableFigureCaption"/>
      </w:pPr>
      <w:r w:rsidRPr="00606FBA">
        <w:lastRenderedPageBreak/>
        <w:t xml:space="preserve">Table </w:t>
      </w:r>
      <w:r w:rsidR="00F47BD0">
        <w:t>19</w:t>
      </w:r>
      <w:r w:rsidRPr="00606FBA">
        <w:t>: Estimated use and financial implications</w:t>
      </w:r>
      <w:r>
        <w:t>, pooled subgroup population</w:t>
      </w:r>
    </w:p>
    <w:tbl>
      <w:tblPr>
        <w:tblStyle w:val="TableGrid"/>
        <w:tblW w:w="5000" w:type="pct"/>
        <w:tblLayout w:type="fixed"/>
        <w:tblLook w:val="04A0" w:firstRow="1" w:lastRow="0" w:firstColumn="1" w:lastColumn="0" w:noHBand="0" w:noVBand="1"/>
        <w:tblCaption w:val="Table 19: Estimated use and financial implications, pooled subgroup population"/>
        <w:tblDescription w:val="Table 19: Estimated use and financial implications, pooled subgroup population"/>
      </w:tblPr>
      <w:tblGrid>
        <w:gridCol w:w="1981"/>
        <w:gridCol w:w="1172"/>
        <w:gridCol w:w="1172"/>
        <w:gridCol w:w="1172"/>
        <w:gridCol w:w="1172"/>
        <w:gridCol w:w="1172"/>
        <w:gridCol w:w="1176"/>
      </w:tblGrid>
      <w:tr w:rsidR="00C74A12" w:rsidRPr="000A6039" w:rsidTr="00D32BF3">
        <w:trPr>
          <w:tblHeader/>
        </w:trPr>
        <w:tc>
          <w:tcPr>
            <w:tcW w:w="1098" w:type="pct"/>
          </w:tcPr>
          <w:p w:rsidR="00C74A12" w:rsidRPr="000A6039" w:rsidRDefault="00C74A12" w:rsidP="000242C7">
            <w:pPr>
              <w:keepNext/>
              <w:rPr>
                <w:color w:val="3366FF"/>
              </w:rPr>
            </w:pPr>
          </w:p>
        </w:tc>
        <w:tc>
          <w:tcPr>
            <w:tcW w:w="650" w:type="pct"/>
            <w:shd w:val="clear" w:color="auto" w:fill="auto"/>
            <w:vAlign w:val="center"/>
          </w:tcPr>
          <w:p w:rsidR="00C74A12" w:rsidRPr="000A6039" w:rsidRDefault="00C74A12" w:rsidP="000242C7">
            <w:pPr>
              <w:pStyle w:val="TableFigureCaption"/>
              <w:jc w:val="center"/>
            </w:pPr>
            <w:r w:rsidRPr="000A6039">
              <w:t>Year 1</w:t>
            </w:r>
          </w:p>
        </w:tc>
        <w:tc>
          <w:tcPr>
            <w:tcW w:w="650" w:type="pct"/>
            <w:shd w:val="clear" w:color="auto" w:fill="auto"/>
            <w:vAlign w:val="center"/>
          </w:tcPr>
          <w:p w:rsidR="00C74A12" w:rsidRPr="000A6039" w:rsidRDefault="00C74A12" w:rsidP="000242C7">
            <w:pPr>
              <w:pStyle w:val="TableFigureCaption"/>
              <w:jc w:val="center"/>
            </w:pPr>
            <w:r w:rsidRPr="000A6039">
              <w:t>Year 2</w:t>
            </w:r>
          </w:p>
        </w:tc>
        <w:tc>
          <w:tcPr>
            <w:tcW w:w="650" w:type="pct"/>
            <w:shd w:val="clear" w:color="auto" w:fill="auto"/>
            <w:vAlign w:val="center"/>
          </w:tcPr>
          <w:p w:rsidR="00C74A12" w:rsidRPr="000A6039" w:rsidRDefault="00C74A12" w:rsidP="000242C7">
            <w:pPr>
              <w:pStyle w:val="TableFigureCaption"/>
              <w:jc w:val="center"/>
            </w:pPr>
            <w:r w:rsidRPr="000A6039">
              <w:t>Year 3</w:t>
            </w:r>
          </w:p>
        </w:tc>
        <w:tc>
          <w:tcPr>
            <w:tcW w:w="650" w:type="pct"/>
            <w:shd w:val="clear" w:color="auto" w:fill="auto"/>
            <w:vAlign w:val="center"/>
          </w:tcPr>
          <w:p w:rsidR="00C74A12" w:rsidRPr="000A6039" w:rsidRDefault="00C74A12" w:rsidP="000242C7">
            <w:pPr>
              <w:pStyle w:val="TableFigureCaption"/>
              <w:jc w:val="center"/>
            </w:pPr>
            <w:r w:rsidRPr="000A6039">
              <w:t>Year 4</w:t>
            </w:r>
          </w:p>
        </w:tc>
        <w:tc>
          <w:tcPr>
            <w:tcW w:w="650" w:type="pct"/>
            <w:shd w:val="clear" w:color="auto" w:fill="auto"/>
            <w:vAlign w:val="center"/>
          </w:tcPr>
          <w:p w:rsidR="00C74A12" w:rsidRPr="000A6039" w:rsidRDefault="00C74A12" w:rsidP="000242C7">
            <w:pPr>
              <w:pStyle w:val="TableFigureCaption"/>
              <w:jc w:val="center"/>
            </w:pPr>
            <w:r w:rsidRPr="000A6039">
              <w:t>Year 5</w:t>
            </w:r>
          </w:p>
        </w:tc>
        <w:tc>
          <w:tcPr>
            <w:tcW w:w="652" w:type="pct"/>
            <w:shd w:val="clear" w:color="auto" w:fill="auto"/>
            <w:vAlign w:val="center"/>
          </w:tcPr>
          <w:p w:rsidR="00C74A12" w:rsidRPr="000A6039" w:rsidRDefault="00C74A12" w:rsidP="000242C7">
            <w:pPr>
              <w:pStyle w:val="TableFigureCaption"/>
              <w:jc w:val="center"/>
            </w:pPr>
            <w:r w:rsidRPr="000A6039">
              <w:t>Year 6</w:t>
            </w:r>
          </w:p>
        </w:tc>
      </w:tr>
      <w:tr w:rsidR="00C74A12" w:rsidRPr="000A6039" w:rsidTr="000242C7">
        <w:tc>
          <w:tcPr>
            <w:tcW w:w="1098" w:type="pct"/>
          </w:tcPr>
          <w:p w:rsidR="00C74A12" w:rsidRPr="000A6039" w:rsidRDefault="00C74A12" w:rsidP="000242C7">
            <w:pPr>
              <w:pStyle w:val="TableText"/>
            </w:pPr>
            <w:r>
              <w:t>Australian population</w:t>
            </w:r>
          </w:p>
        </w:tc>
        <w:tc>
          <w:tcPr>
            <w:tcW w:w="650" w:type="pct"/>
          </w:tcPr>
          <w:p w:rsidR="00C74A12" w:rsidRPr="000A6039" w:rsidRDefault="00C74A12" w:rsidP="000242C7">
            <w:pPr>
              <w:pStyle w:val="TableText"/>
              <w:jc w:val="center"/>
            </w:pPr>
            <w:r w:rsidRPr="009331EB">
              <w:t>25,873,480</w:t>
            </w:r>
          </w:p>
        </w:tc>
        <w:tc>
          <w:tcPr>
            <w:tcW w:w="650" w:type="pct"/>
          </w:tcPr>
          <w:p w:rsidR="00C74A12" w:rsidRPr="000A6039" w:rsidRDefault="00C74A12" w:rsidP="000242C7">
            <w:pPr>
              <w:pStyle w:val="TableText"/>
              <w:jc w:val="center"/>
            </w:pPr>
            <w:r w:rsidRPr="009331EB">
              <w:t>26,301,274</w:t>
            </w:r>
          </w:p>
        </w:tc>
        <w:tc>
          <w:tcPr>
            <w:tcW w:w="650" w:type="pct"/>
          </w:tcPr>
          <w:p w:rsidR="00C74A12" w:rsidRPr="000A6039" w:rsidRDefault="00C74A12" w:rsidP="000242C7">
            <w:pPr>
              <w:pStyle w:val="TableText"/>
              <w:jc w:val="center"/>
            </w:pPr>
            <w:r w:rsidRPr="009331EB">
              <w:t>26,727,025</w:t>
            </w:r>
          </w:p>
        </w:tc>
        <w:tc>
          <w:tcPr>
            <w:tcW w:w="650" w:type="pct"/>
          </w:tcPr>
          <w:p w:rsidR="00C74A12" w:rsidRPr="000A6039" w:rsidRDefault="00C74A12" w:rsidP="000242C7">
            <w:pPr>
              <w:pStyle w:val="TableText"/>
              <w:jc w:val="center"/>
            </w:pPr>
            <w:r w:rsidRPr="009331EB">
              <w:t>27,147,199</w:t>
            </w:r>
          </w:p>
        </w:tc>
        <w:tc>
          <w:tcPr>
            <w:tcW w:w="650" w:type="pct"/>
          </w:tcPr>
          <w:p w:rsidR="00C74A12" w:rsidRPr="000A6039" w:rsidRDefault="00C74A12" w:rsidP="000242C7">
            <w:pPr>
              <w:pStyle w:val="TableText"/>
              <w:jc w:val="center"/>
            </w:pPr>
            <w:r w:rsidRPr="009331EB">
              <w:t>27,562,195</w:t>
            </w:r>
          </w:p>
        </w:tc>
        <w:tc>
          <w:tcPr>
            <w:tcW w:w="652" w:type="pct"/>
          </w:tcPr>
          <w:p w:rsidR="00C74A12" w:rsidRPr="000A6039" w:rsidRDefault="00C74A12" w:rsidP="000242C7">
            <w:pPr>
              <w:pStyle w:val="TableText"/>
              <w:jc w:val="center"/>
            </w:pPr>
            <w:r w:rsidRPr="009331EB">
              <w:t>27,970,435</w:t>
            </w:r>
          </w:p>
        </w:tc>
      </w:tr>
      <w:tr w:rsidR="00C74A12" w:rsidRPr="000A6039" w:rsidTr="000242C7">
        <w:tc>
          <w:tcPr>
            <w:tcW w:w="1098" w:type="pct"/>
          </w:tcPr>
          <w:p w:rsidR="00C74A12" w:rsidRPr="000A6039" w:rsidRDefault="00C74A12" w:rsidP="000242C7">
            <w:pPr>
              <w:pStyle w:val="TableText"/>
            </w:pPr>
            <w:r>
              <w:t>Prevalence</w:t>
            </w:r>
            <w:r w:rsidRPr="000A6039">
              <w:t xml:space="preserve"> rate</w:t>
            </w:r>
          </w:p>
        </w:tc>
        <w:tc>
          <w:tcPr>
            <w:tcW w:w="650" w:type="pct"/>
            <w:vAlign w:val="center"/>
          </w:tcPr>
          <w:p w:rsidR="00C74A12" w:rsidRPr="00FC537F" w:rsidRDefault="00FC537F" w:rsidP="000242C7">
            <w:pPr>
              <w:pStyle w:val="TableText"/>
              <w:jc w:val="center"/>
              <w:rPr>
                <w:highlight w:val="black"/>
              </w:rPr>
            </w:pPr>
            <w:r>
              <w:rPr>
                <w:noProof/>
                <w:color w:val="000000"/>
                <w:highlight w:val="black"/>
              </w:rPr>
              <w:t>''''''''''''''''</w:t>
            </w:r>
          </w:p>
        </w:tc>
        <w:tc>
          <w:tcPr>
            <w:tcW w:w="650" w:type="pct"/>
            <w:vAlign w:val="center"/>
          </w:tcPr>
          <w:p w:rsidR="00C74A12" w:rsidRPr="00FC537F" w:rsidRDefault="00FC537F" w:rsidP="000242C7">
            <w:pPr>
              <w:pStyle w:val="TableText"/>
              <w:jc w:val="center"/>
              <w:rPr>
                <w:highlight w:val="black"/>
              </w:rPr>
            </w:pPr>
            <w:r>
              <w:rPr>
                <w:noProof/>
                <w:color w:val="000000"/>
                <w:highlight w:val="black"/>
              </w:rPr>
              <w:t>'''''''''''''''</w:t>
            </w:r>
          </w:p>
        </w:tc>
        <w:tc>
          <w:tcPr>
            <w:tcW w:w="650" w:type="pct"/>
            <w:vAlign w:val="center"/>
          </w:tcPr>
          <w:p w:rsidR="00C74A12" w:rsidRPr="00FC537F" w:rsidRDefault="00FC537F" w:rsidP="000242C7">
            <w:pPr>
              <w:pStyle w:val="TableText"/>
              <w:jc w:val="center"/>
              <w:rPr>
                <w:highlight w:val="black"/>
              </w:rPr>
            </w:pPr>
            <w:r>
              <w:rPr>
                <w:noProof/>
                <w:color w:val="000000"/>
                <w:highlight w:val="black"/>
              </w:rPr>
              <w:t>'''''''''''''''''</w:t>
            </w:r>
          </w:p>
        </w:tc>
        <w:tc>
          <w:tcPr>
            <w:tcW w:w="650" w:type="pct"/>
            <w:vAlign w:val="center"/>
          </w:tcPr>
          <w:p w:rsidR="00C74A12" w:rsidRPr="00FC537F" w:rsidRDefault="00FC537F" w:rsidP="000242C7">
            <w:pPr>
              <w:pStyle w:val="TableText"/>
              <w:jc w:val="center"/>
              <w:rPr>
                <w:highlight w:val="black"/>
              </w:rPr>
            </w:pPr>
            <w:r>
              <w:rPr>
                <w:noProof/>
                <w:color w:val="000000"/>
                <w:highlight w:val="black"/>
              </w:rPr>
              <w:t>''''''''''''''''</w:t>
            </w:r>
          </w:p>
        </w:tc>
        <w:tc>
          <w:tcPr>
            <w:tcW w:w="650" w:type="pct"/>
            <w:vAlign w:val="center"/>
          </w:tcPr>
          <w:p w:rsidR="00C74A12" w:rsidRPr="00FC537F" w:rsidRDefault="00FC537F" w:rsidP="000242C7">
            <w:pPr>
              <w:pStyle w:val="TableText"/>
              <w:jc w:val="center"/>
              <w:rPr>
                <w:highlight w:val="black"/>
              </w:rPr>
            </w:pPr>
            <w:r>
              <w:rPr>
                <w:noProof/>
                <w:color w:val="000000"/>
                <w:highlight w:val="black"/>
              </w:rPr>
              <w:t>'''''''''''''''</w:t>
            </w:r>
          </w:p>
        </w:tc>
        <w:tc>
          <w:tcPr>
            <w:tcW w:w="652" w:type="pct"/>
            <w:vAlign w:val="center"/>
          </w:tcPr>
          <w:p w:rsidR="00C74A12" w:rsidRPr="00FC537F" w:rsidRDefault="00FC537F" w:rsidP="000242C7">
            <w:pPr>
              <w:pStyle w:val="TableText"/>
              <w:jc w:val="center"/>
              <w:rPr>
                <w:highlight w:val="black"/>
              </w:rPr>
            </w:pPr>
            <w:r>
              <w:rPr>
                <w:noProof/>
                <w:color w:val="000000"/>
                <w:highlight w:val="black"/>
              </w:rPr>
              <w:t>'''''''''''''''</w:t>
            </w:r>
          </w:p>
        </w:tc>
      </w:tr>
      <w:tr w:rsidR="00C74A12" w:rsidRPr="000A6039" w:rsidTr="000242C7">
        <w:tc>
          <w:tcPr>
            <w:tcW w:w="1098" w:type="pct"/>
          </w:tcPr>
          <w:p w:rsidR="00C74A12" w:rsidRPr="000A6039" w:rsidRDefault="00C74A12" w:rsidP="000242C7">
            <w:pPr>
              <w:pStyle w:val="TableText"/>
            </w:pPr>
            <w:r>
              <w:t>Total eligible patients</w:t>
            </w:r>
          </w:p>
        </w:tc>
        <w:tc>
          <w:tcPr>
            <w:tcW w:w="650" w:type="pct"/>
            <w:vAlign w:val="center"/>
          </w:tcPr>
          <w:p w:rsidR="00C74A12" w:rsidRPr="00FC537F" w:rsidRDefault="00FC537F" w:rsidP="000242C7">
            <w:pPr>
              <w:pStyle w:val="TableText"/>
              <w:jc w:val="center"/>
              <w:rPr>
                <w:highlight w:val="black"/>
              </w:rPr>
            </w:pPr>
            <w:r>
              <w:rPr>
                <w:noProof/>
                <w:color w:val="000000"/>
                <w:highlight w:val="black"/>
              </w:rPr>
              <w:t>''''''''''''''''''''''</w:t>
            </w:r>
          </w:p>
        </w:tc>
        <w:tc>
          <w:tcPr>
            <w:tcW w:w="650" w:type="pct"/>
            <w:vAlign w:val="center"/>
          </w:tcPr>
          <w:p w:rsidR="00C74A12" w:rsidRPr="00FC537F" w:rsidRDefault="00FC537F" w:rsidP="000242C7">
            <w:pPr>
              <w:pStyle w:val="TableText"/>
              <w:jc w:val="center"/>
              <w:rPr>
                <w:highlight w:val="black"/>
              </w:rPr>
            </w:pPr>
            <w:r>
              <w:rPr>
                <w:noProof/>
                <w:color w:val="000000"/>
                <w:highlight w:val="black"/>
              </w:rPr>
              <w:t>''''''''''''''''''</w:t>
            </w:r>
          </w:p>
        </w:tc>
        <w:tc>
          <w:tcPr>
            <w:tcW w:w="650" w:type="pct"/>
            <w:vAlign w:val="center"/>
          </w:tcPr>
          <w:p w:rsidR="00C74A12" w:rsidRPr="00FC537F" w:rsidRDefault="00FC537F" w:rsidP="000242C7">
            <w:pPr>
              <w:pStyle w:val="TableText"/>
              <w:jc w:val="center"/>
              <w:rPr>
                <w:highlight w:val="black"/>
              </w:rPr>
            </w:pPr>
            <w:r>
              <w:rPr>
                <w:noProof/>
                <w:color w:val="000000"/>
                <w:highlight w:val="black"/>
              </w:rPr>
              <w:t>'''''''''''''''''''''</w:t>
            </w:r>
          </w:p>
        </w:tc>
        <w:tc>
          <w:tcPr>
            <w:tcW w:w="650" w:type="pct"/>
            <w:vAlign w:val="center"/>
          </w:tcPr>
          <w:p w:rsidR="00C74A12" w:rsidRPr="00FC537F" w:rsidRDefault="00FC537F" w:rsidP="000242C7">
            <w:pPr>
              <w:pStyle w:val="TableText"/>
              <w:jc w:val="center"/>
              <w:rPr>
                <w:highlight w:val="black"/>
              </w:rPr>
            </w:pPr>
            <w:r>
              <w:rPr>
                <w:noProof/>
                <w:color w:val="000000"/>
                <w:highlight w:val="black"/>
              </w:rPr>
              <w:t>''''''''''''''''''</w:t>
            </w:r>
          </w:p>
        </w:tc>
        <w:tc>
          <w:tcPr>
            <w:tcW w:w="650" w:type="pct"/>
            <w:vAlign w:val="center"/>
          </w:tcPr>
          <w:p w:rsidR="00C74A12" w:rsidRPr="00FC537F" w:rsidRDefault="00FC537F" w:rsidP="000242C7">
            <w:pPr>
              <w:pStyle w:val="TableText"/>
              <w:jc w:val="center"/>
              <w:rPr>
                <w:highlight w:val="black"/>
              </w:rPr>
            </w:pPr>
            <w:r>
              <w:rPr>
                <w:noProof/>
                <w:color w:val="000000"/>
                <w:highlight w:val="black"/>
              </w:rPr>
              <w:t>'''''''''''''''''</w:t>
            </w:r>
          </w:p>
        </w:tc>
        <w:tc>
          <w:tcPr>
            <w:tcW w:w="652" w:type="pct"/>
            <w:vAlign w:val="center"/>
          </w:tcPr>
          <w:p w:rsidR="00C74A12" w:rsidRPr="00FC537F" w:rsidRDefault="00FC537F" w:rsidP="000242C7">
            <w:pPr>
              <w:pStyle w:val="TableText"/>
              <w:jc w:val="center"/>
              <w:rPr>
                <w:highlight w:val="black"/>
              </w:rPr>
            </w:pPr>
            <w:r>
              <w:rPr>
                <w:noProof/>
                <w:color w:val="000000"/>
                <w:highlight w:val="black"/>
              </w:rPr>
              <w:t>''''''''''''''''''''</w:t>
            </w:r>
          </w:p>
        </w:tc>
      </w:tr>
      <w:tr w:rsidR="00C74A12" w:rsidRPr="000A6039" w:rsidTr="000242C7">
        <w:tc>
          <w:tcPr>
            <w:tcW w:w="1098" w:type="pct"/>
          </w:tcPr>
          <w:p w:rsidR="00C74A12" w:rsidRPr="000A6039" w:rsidRDefault="00C74A12" w:rsidP="000242C7">
            <w:pPr>
              <w:pStyle w:val="TableText"/>
            </w:pPr>
            <w:r>
              <w:t>Uptake rate (pooled)</w:t>
            </w:r>
          </w:p>
        </w:tc>
        <w:tc>
          <w:tcPr>
            <w:tcW w:w="650" w:type="pct"/>
            <w:vAlign w:val="center"/>
          </w:tcPr>
          <w:p w:rsidR="00C74A12" w:rsidRPr="003B10E5" w:rsidRDefault="00C74A12" w:rsidP="000242C7">
            <w:pPr>
              <w:pStyle w:val="TableText"/>
              <w:jc w:val="center"/>
            </w:pPr>
            <w:r w:rsidRPr="003B10E5">
              <w:t>18%</w:t>
            </w:r>
          </w:p>
        </w:tc>
        <w:tc>
          <w:tcPr>
            <w:tcW w:w="650" w:type="pct"/>
            <w:vAlign w:val="center"/>
          </w:tcPr>
          <w:p w:rsidR="00C74A12" w:rsidRPr="003B10E5" w:rsidRDefault="00C74A12" w:rsidP="000242C7">
            <w:pPr>
              <w:pStyle w:val="TableText"/>
              <w:jc w:val="center"/>
            </w:pPr>
            <w:r w:rsidRPr="003B10E5">
              <w:t>31%</w:t>
            </w:r>
          </w:p>
        </w:tc>
        <w:tc>
          <w:tcPr>
            <w:tcW w:w="650" w:type="pct"/>
            <w:vAlign w:val="center"/>
          </w:tcPr>
          <w:p w:rsidR="00C74A12" w:rsidRPr="000A6039" w:rsidRDefault="00C74A12" w:rsidP="000242C7">
            <w:pPr>
              <w:pStyle w:val="TableText"/>
              <w:jc w:val="center"/>
            </w:pPr>
            <w:r>
              <w:t>36%</w:t>
            </w:r>
          </w:p>
        </w:tc>
        <w:tc>
          <w:tcPr>
            <w:tcW w:w="650" w:type="pct"/>
            <w:vAlign w:val="center"/>
          </w:tcPr>
          <w:p w:rsidR="00C74A12" w:rsidRPr="000A6039" w:rsidRDefault="00C74A12" w:rsidP="000242C7">
            <w:pPr>
              <w:pStyle w:val="TableText"/>
              <w:jc w:val="center"/>
            </w:pPr>
            <w:r>
              <w:t>40%</w:t>
            </w:r>
          </w:p>
        </w:tc>
        <w:tc>
          <w:tcPr>
            <w:tcW w:w="650" w:type="pct"/>
            <w:vAlign w:val="center"/>
          </w:tcPr>
          <w:p w:rsidR="00C74A12" w:rsidRPr="000A6039" w:rsidRDefault="00C74A12" w:rsidP="000242C7">
            <w:pPr>
              <w:pStyle w:val="TableText"/>
              <w:jc w:val="center"/>
            </w:pPr>
            <w:r>
              <w:t>43%</w:t>
            </w:r>
          </w:p>
        </w:tc>
        <w:tc>
          <w:tcPr>
            <w:tcW w:w="652" w:type="pct"/>
            <w:vAlign w:val="center"/>
          </w:tcPr>
          <w:p w:rsidR="00C74A12" w:rsidRPr="000A6039" w:rsidRDefault="00C74A12" w:rsidP="000242C7">
            <w:pPr>
              <w:pStyle w:val="TableText"/>
              <w:jc w:val="center"/>
            </w:pPr>
            <w:r>
              <w:t>43%</w:t>
            </w:r>
          </w:p>
        </w:tc>
      </w:tr>
      <w:tr w:rsidR="00C74A12" w:rsidRPr="000A6039" w:rsidTr="000242C7">
        <w:tc>
          <w:tcPr>
            <w:tcW w:w="1098" w:type="pct"/>
          </w:tcPr>
          <w:p w:rsidR="00C74A12" w:rsidRPr="002A51A1" w:rsidRDefault="00C74A12" w:rsidP="000242C7">
            <w:pPr>
              <w:pStyle w:val="TableText"/>
              <w:rPr>
                <w:vertAlign w:val="superscript"/>
              </w:rPr>
            </w:pPr>
            <w:r>
              <w:t xml:space="preserve">Total treated patients </w:t>
            </w:r>
            <w:r>
              <w:rPr>
                <w:vertAlign w:val="superscript"/>
              </w:rPr>
              <w:t>a</w:t>
            </w:r>
          </w:p>
        </w:tc>
        <w:tc>
          <w:tcPr>
            <w:tcW w:w="650" w:type="pct"/>
          </w:tcPr>
          <w:p w:rsidR="00C74A12" w:rsidRPr="00FC537F" w:rsidRDefault="00FC537F" w:rsidP="000242C7">
            <w:pPr>
              <w:pStyle w:val="TableText"/>
              <w:jc w:val="center"/>
              <w:rPr>
                <w:highlight w:val="black"/>
              </w:rPr>
            </w:pPr>
            <w:r>
              <w:rPr>
                <w:noProof/>
                <w:color w:val="000000"/>
                <w:highlight w:val="black"/>
              </w:rPr>
              <w:t xml:space="preserve">'''''''''''''''''' </w:t>
            </w:r>
          </w:p>
        </w:tc>
        <w:tc>
          <w:tcPr>
            <w:tcW w:w="650" w:type="pct"/>
          </w:tcPr>
          <w:p w:rsidR="00C74A12" w:rsidRPr="00FC537F" w:rsidRDefault="00FC537F" w:rsidP="000242C7">
            <w:pPr>
              <w:pStyle w:val="TableText"/>
              <w:jc w:val="center"/>
              <w:rPr>
                <w:highlight w:val="black"/>
              </w:rPr>
            </w:pPr>
            <w:r>
              <w:rPr>
                <w:noProof/>
                <w:color w:val="000000"/>
                <w:highlight w:val="black"/>
              </w:rPr>
              <w:t xml:space="preserve">''''''''''''''''' </w:t>
            </w:r>
          </w:p>
        </w:tc>
        <w:tc>
          <w:tcPr>
            <w:tcW w:w="650" w:type="pct"/>
          </w:tcPr>
          <w:p w:rsidR="00C74A12" w:rsidRPr="00FC537F" w:rsidRDefault="00FC537F" w:rsidP="000242C7">
            <w:pPr>
              <w:pStyle w:val="TableText"/>
              <w:jc w:val="center"/>
              <w:rPr>
                <w:highlight w:val="black"/>
              </w:rPr>
            </w:pPr>
            <w:r>
              <w:rPr>
                <w:noProof/>
                <w:color w:val="000000"/>
                <w:highlight w:val="black"/>
              </w:rPr>
              <w:t xml:space="preserve">'''''''''''''''' </w:t>
            </w:r>
          </w:p>
        </w:tc>
        <w:tc>
          <w:tcPr>
            <w:tcW w:w="650" w:type="pct"/>
          </w:tcPr>
          <w:p w:rsidR="00C74A12" w:rsidRPr="00FC537F" w:rsidRDefault="00FC537F" w:rsidP="000242C7">
            <w:pPr>
              <w:pStyle w:val="TableText"/>
              <w:jc w:val="center"/>
              <w:rPr>
                <w:highlight w:val="black"/>
              </w:rPr>
            </w:pPr>
            <w:r>
              <w:rPr>
                <w:noProof/>
                <w:color w:val="000000"/>
                <w:highlight w:val="black"/>
              </w:rPr>
              <w:t xml:space="preserve">''''''''''''''' </w:t>
            </w:r>
          </w:p>
        </w:tc>
        <w:tc>
          <w:tcPr>
            <w:tcW w:w="650" w:type="pct"/>
          </w:tcPr>
          <w:p w:rsidR="00C74A12" w:rsidRPr="00FC537F" w:rsidRDefault="00FC537F" w:rsidP="000242C7">
            <w:pPr>
              <w:pStyle w:val="TableText"/>
              <w:jc w:val="center"/>
              <w:rPr>
                <w:highlight w:val="black"/>
              </w:rPr>
            </w:pPr>
            <w:r>
              <w:rPr>
                <w:noProof/>
                <w:color w:val="000000"/>
                <w:highlight w:val="black"/>
              </w:rPr>
              <w:t xml:space="preserve">''''''''''''''''' </w:t>
            </w:r>
          </w:p>
        </w:tc>
        <w:tc>
          <w:tcPr>
            <w:tcW w:w="652" w:type="pct"/>
          </w:tcPr>
          <w:p w:rsidR="00C74A12" w:rsidRPr="00FC537F" w:rsidRDefault="00FC537F" w:rsidP="000242C7">
            <w:pPr>
              <w:pStyle w:val="TableText"/>
              <w:jc w:val="center"/>
              <w:rPr>
                <w:highlight w:val="black"/>
              </w:rPr>
            </w:pPr>
            <w:r>
              <w:rPr>
                <w:noProof/>
                <w:color w:val="000000"/>
                <w:highlight w:val="black"/>
              </w:rPr>
              <w:t xml:space="preserve">'''''''''''''''''''' </w:t>
            </w:r>
          </w:p>
        </w:tc>
      </w:tr>
      <w:tr w:rsidR="00C74A12" w:rsidRPr="000A6039" w:rsidTr="000242C7">
        <w:tc>
          <w:tcPr>
            <w:tcW w:w="1098" w:type="pct"/>
          </w:tcPr>
          <w:p w:rsidR="00C74A12" w:rsidRPr="00D60A87" w:rsidRDefault="00C74A12" w:rsidP="000242C7">
            <w:pPr>
              <w:pStyle w:val="TableText"/>
              <w:rPr>
                <w:vertAlign w:val="superscript"/>
              </w:rPr>
            </w:pPr>
            <w:r>
              <w:t xml:space="preserve">Total script numbers </w:t>
            </w:r>
            <w:r>
              <w:rPr>
                <w:vertAlign w:val="superscript"/>
              </w:rPr>
              <w:t>b</w:t>
            </w:r>
          </w:p>
        </w:tc>
        <w:tc>
          <w:tcPr>
            <w:tcW w:w="650" w:type="pct"/>
          </w:tcPr>
          <w:p w:rsidR="00C74A12" w:rsidRPr="00FC537F" w:rsidRDefault="00FC537F" w:rsidP="000242C7">
            <w:pPr>
              <w:pStyle w:val="TableText"/>
              <w:jc w:val="center"/>
              <w:rPr>
                <w:highlight w:val="black"/>
              </w:rPr>
            </w:pPr>
            <w:r>
              <w:rPr>
                <w:noProof/>
                <w:color w:val="000000"/>
                <w:highlight w:val="black"/>
              </w:rPr>
              <w:t>'''''''''''''''''''''</w:t>
            </w:r>
          </w:p>
        </w:tc>
        <w:tc>
          <w:tcPr>
            <w:tcW w:w="650" w:type="pct"/>
          </w:tcPr>
          <w:p w:rsidR="00C74A12" w:rsidRPr="00FC537F" w:rsidRDefault="00FC537F" w:rsidP="000242C7">
            <w:pPr>
              <w:pStyle w:val="TableText"/>
              <w:jc w:val="center"/>
              <w:rPr>
                <w:highlight w:val="black"/>
              </w:rPr>
            </w:pPr>
            <w:r>
              <w:rPr>
                <w:noProof/>
                <w:color w:val="000000"/>
                <w:highlight w:val="black"/>
              </w:rPr>
              <w:t>'''''''''''''''''''''</w:t>
            </w:r>
          </w:p>
        </w:tc>
        <w:tc>
          <w:tcPr>
            <w:tcW w:w="650" w:type="pct"/>
          </w:tcPr>
          <w:p w:rsidR="00C74A12" w:rsidRPr="00FC537F" w:rsidRDefault="00FC537F" w:rsidP="000242C7">
            <w:pPr>
              <w:pStyle w:val="TableText"/>
              <w:jc w:val="center"/>
              <w:rPr>
                <w:highlight w:val="black"/>
              </w:rPr>
            </w:pPr>
            <w:r>
              <w:rPr>
                <w:noProof/>
                <w:color w:val="000000"/>
                <w:highlight w:val="black"/>
              </w:rPr>
              <w:t>'''''''''''''''''''</w:t>
            </w:r>
          </w:p>
        </w:tc>
        <w:tc>
          <w:tcPr>
            <w:tcW w:w="650" w:type="pct"/>
          </w:tcPr>
          <w:p w:rsidR="00C74A12" w:rsidRPr="00FC537F" w:rsidRDefault="00FC537F" w:rsidP="000242C7">
            <w:pPr>
              <w:pStyle w:val="TableText"/>
              <w:jc w:val="center"/>
              <w:rPr>
                <w:highlight w:val="black"/>
              </w:rPr>
            </w:pPr>
            <w:r>
              <w:rPr>
                <w:noProof/>
                <w:color w:val="000000"/>
                <w:highlight w:val="black"/>
              </w:rPr>
              <w:t>'''''''''''''''''''''</w:t>
            </w:r>
          </w:p>
        </w:tc>
        <w:tc>
          <w:tcPr>
            <w:tcW w:w="650" w:type="pct"/>
          </w:tcPr>
          <w:p w:rsidR="00C74A12" w:rsidRPr="00FC537F" w:rsidRDefault="00FC537F" w:rsidP="000242C7">
            <w:pPr>
              <w:pStyle w:val="TableText"/>
              <w:jc w:val="center"/>
              <w:rPr>
                <w:highlight w:val="black"/>
              </w:rPr>
            </w:pPr>
            <w:r>
              <w:rPr>
                <w:noProof/>
                <w:color w:val="000000"/>
                <w:highlight w:val="black"/>
              </w:rPr>
              <w:t>''''''''''''''''''''''''</w:t>
            </w:r>
          </w:p>
        </w:tc>
        <w:tc>
          <w:tcPr>
            <w:tcW w:w="652" w:type="pct"/>
          </w:tcPr>
          <w:p w:rsidR="00C74A12" w:rsidRPr="00FC537F" w:rsidRDefault="00FC537F" w:rsidP="000242C7">
            <w:pPr>
              <w:pStyle w:val="TableText"/>
              <w:jc w:val="center"/>
              <w:rPr>
                <w:highlight w:val="black"/>
              </w:rPr>
            </w:pPr>
            <w:r>
              <w:rPr>
                <w:noProof/>
                <w:color w:val="000000"/>
                <w:highlight w:val="black"/>
              </w:rPr>
              <w:t>''''''''''''''''''''''''</w:t>
            </w:r>
          </w:p>
        </w:tc>
      </w:tr>
      <w:tr w:rsidR="00C74A12" w:rsidRPr="003B3E34" w:rsidTr="000242C7">
        <w:tc>
          <w:tcPr>
            <w:tcW w:w="5000" w:type="pct"/>
            <w:gridSpan w:val="7"/>
            <w:tcBorders>
              <w:top w:val="nil"/>
              <w:left w:val="single" w:sz="4" w:space="0" w:color="auto"/>
              <w:bottom w:val="single" w:sz="4" w:space="0" w:color="auto"/>
            </w:tcBorders>
            <w:shd w:val="clear" w:color="auto" w:fill="FFFFFF" w:themeFill="background1"/>
            <w:vAlign w:val="center"/>
          </w:tcPr>
          <w:p w:rsidR="00C74A12" w:rsidRPr="003B3E34" w:rsidRDefault="00C74A12" w:rsidP="000242C7">
            <w:pPr>
              <w:pStyle w:val="TableText"/>
              <w:rPr>
                <w:b/>
              </w:rPr>
            </w:pPr>
            <w:r w:rsidRPr="003B3E34">
              <w:rPr>
                <w:b/>
              </w:rPr>
              <w:t>Total costs (Effective DMPQ $</w:t>
            </w:r>
            <w:r w:rsidR="00FC537F">
              <w:rPr>
                <w:b/>
                <w:noProof/>
                <w:color w:val="000000"/>
                <w:highlight w:val="black"/>
              </w:rPr>
              <w:t>''''''''''</w:t>
            </w:r>
            <w:r w:rsidRPr="003B3E34">
              <w:rPr>
                <w:b/>
              </w:rPr>
              <w:t>)</w:t>
            </w:r>
          </w:p>
        </w:tc>
      </w:tr>
      <w:tr w:rsidR="00C74A12" w:rsidRPr="000A6039" w:rsidTr="000242C7">
        <w:tc>
          <w:tcPr>
            <w:tcW w:w="1098" w:type="pct"/>
            <w:tcBorders>
              <w:top w:val="nil"/>
              <w:left w:val="single" w:sz="4" w:space="0" w:color="auto"/>
              <w:bottom w:val="single" w:sz="4" w:space="0" w:color="auto"/>
              <w:right w:val="single" w:sz="4" w:space="0" w:color="auto"/>
            </w:tcBorders>
            <w:shd w:val="clear" w:color="auto" w:fill="FFFFFF" w:themeFill="background1"/>
            <w:vAlign w:val="center"/>
          </w:tcPr>
          <w:p w:rsidR="00C74A12" w:rsidRDefault="00C74A12" w:rsidP="000242C7">
            <w:pPr>
              <w:pStyle w:val="TableText"/>
            </w:pPr>
            <w:r>
              <w:t>Total cost</w:t>
            </w:r>
          </w:p>
        </w:tc>
        <w:tc>
          <w:tcPr>
            <w:tcW w:w="650" w:type="pct"/>
            <w:tcBorders>
              <w:top w:val="single" w:sz="4" w:space="0" w:color="auto"/>
              <w:left w:val="single" w:sz="4" w:space="0" w:color="auto"/>
              <w:bottom w:val="single" w:sz="4" w:space="0" w:color="auto"/>
              <w:right w:val="single" w:sz="4" w:space="0" w:color="auto"/>
            </w:tcBorders>
            <w:shd w:val="clear" w:color="auto" w:fill="FFFFFF" w:themeFill="background1"/>
          </w:tcPr>
          <w:p w:rsidR="00C74A12" w:rsidRPr="007B1561" w:rsidRDefault="00C74A12" w:rsidP="000242C7">
            <w:pPr>
              <w:pStyle w:val="TableText"/>
              <w:jc w:val="center"/>
            </w:pPr>
            <w:r w:rsidRPr="00A924FC">
              <w:t>$</w:t>
            </w:r>
            <w:r w:rsidR="00FC537F">
              <w:rPr>
                <w:noProof/>
                <w:color w:val="000000"/>
                <w:highlight w:val="black"/>
              </w:rPr>
              <w:t>''''''''''''''''''''''''''</w:t>
            </w:r>
          </w:p>
        </w:tc>
        <w:tc>
          <w:tcPr>
            <w:tcW w:w="650" w:type="pct"/>
            <w:tcBorders>
              <w:top w:val="nil"/>
              <w:left w:val="nil"/>
              <w:bottom w:val="single" w:sz="4" w:space="0" w:color="auto"/>
              <w:right w:val="single" w:sz="4" w:space="0" w:color="auto"/>
            </w:tcBorders>
            <w:shd w:val="clear" w:color="auto" w:fill="FFFFFF" w:themeFill="background1"/>
          </w:tcPr>
          <w:p w:rsidR="00C74A12" w:rsidRPr="007B1561" w:rsidRDefault="00C74A12" w:rsidP="000242C7">
            <w:pPr>
              <w:pStyle w:val="TableText"/>
              <w:jc w:val="center"/>
            </w:pPr>
            <w:r w:rsidRPr="00A924FC">
              <w:t>$</w:t>
            </w:r>
            <w:r w:rsidR="00FC537F">
              <w:rPr>
                <w:noProof/>
                <w:color w:val="000000"/>
                <w:highlight w:val="black"/>
              </w:rPr>
              <w:t>''''''''''''''''''''''''''''</w:t>
            </w:r>
          </w:p>
        </w:tc>
        <w:tc>
          <w:tcPr>
            <w:tcW w:w="650" w:type="pct"/>
            <w:tcBorders>
              <w:top w:val="nil"/>
              <w:left w:val="nil"/>
              <w:bottom w:val="single" w:sz="4" w:space="0" w:color="auto"/>
              <w:right w:val="single" w:sz="4" w:space="0" w:color="auto"/>
            </w:tcBorders>
            <w:shd w:val="clear" w:color="auto" w:fill="FFFFFF" w:themeFill="background1"/>
          </w:tcPr>
          <w:p w:rsidR="00C74A12" w:rsidRPr="007B1561" w:rsidRDefault="00C74A12" w:rsidP="000242C7">
            <w:pPr>
              <w:pStyle w:val="TableText"/>
              <w:jc w:val="center"/>
            </w:pPr>
            <w:r w:rsidRPr="00A924FC">
              <w:t>$</w:t>
            </w:r>
            <w:r w:rsidR="00FC537F">
              <w:rPr>
                <w:noProof/>
                <w:color w:val="000000"/>
                <w:highlight w:val="black"/>
              </w:rPr>
              <w:t>'''''''''''''''''''''''''</w:t>
            </w:r>
          </w:p>
        </w:tc>
        <w:tc>
          <w:tcPr>
            <w:tcW w:w="650" w:type="pct"/>
            <w:tcBorders>
              <w:top w:val="nil"/>
              <w:left w:val="nil"/>
              <w:bottom w:val="single" w:sz="4" w:space="0" w:color="auto"/>
              <w:right w:val="single" w:sz="4" w:space="0" w:color="auto"/>
            </w:tcBorders>
            <w:shd w:val="clear" w:color="auto" w:fill="FFFFFF" w:themeFill="background1"/>
          </w:tcPr>
          <w:p w:rsidR="00C74A12" w:rsidRPr="007B1561" w:rsidRDefault="00C74A12" w:rsidP="000242C7">
            <w:pPr>
              <w:pStyle w:val="TableText"/>
              <w:jc w:val="center"/>
            </w:pPr>
            <w:r w:rsidRPr="00A924FC">
              <w:t>$</w:t>
            </w:r>
            <w:r w:rsidR="00FC537F">
              <w:rPr>
                <w:noProof/>
                <w:color w:val="000000"/>
                <w:highlight w:val="black"/>
              </w:rPr>
              <w:t>'''''''''''''''''''''''''</w:t>
            </w:r>
          </w:p>
        </w:tc>
        <w:tc>
          <w:tcPr>
            <w:tcW w:w="650" w:type="pct"/>
            <w:tcBorders>
              <w:top w:val="nil"/>
              <w:left w:val="nil"/>
              <w:bottom w:val="single" w:sz="4" w:space="0" w:color="auto"/>
              <w:right w:val="single" w:sz="4" w:space="0" w:color="auto"/>
            </w:tcBorders>
            <w:shd w:val="clear" w:color="auto" w:fill="FFFFFF" w:themeFill="background1"/>
          </w:tcPr>
          <w:p w:rsidR="00C74A12" w:rsidRPr="007B1561" w:rsidRDefault="00C74A12" w:rsidP="000242C7">
            <w:pPr>
              <w:pStyle w:val="TableText"/>
              <w:jc w:val="center"/>
            </w:pPr>
            <w:r w:rsidRPr="00A924FC">
              <w:t>$</w:t>
            </w:r>
            <w:r w:rsidR="00FC537F">
              <w:rPr>
                <w:noProof/>
                <w:color w:val="000000"/>
                <w:highlight w:val="black"/>
              </w:rPr>
              <w:t>''''''''''''''''''''''''''</w:t>
            </w:r>
          </w:p>
        </w:tc>
        <w:tc>
          <w:tcPr>
            <w:tcW w:w="652" w:type="pct"/>
            <w:tcBorders>
              <w:top w:val="nil"/>
              <w:left w:val="nil"/>
              <w:bottom w:val="single" w:sz="4" w:space="0" w:color="auto"/>
              <w:right w:val="single" w:sz="4" w:space="0" w:color="auto"/>
            </w:tcBorders>
            <w:shd w:val="clear" w:color="auto" w:fill="FFFFFF" w:themeFill="background1"/>
          </w:tcPr>
          <w:p w:rsidR="00C74A12" w:rsidRPr="007B1561" w:rsidRDefault="00C74A12" w:rsidP="000242C7">
            <w:pPr>
              <w:pStyle w:val="TableText"/>
              <w:jc w:val="center"/>
            </w:pPr>
            <w:r w:rsidRPr="00A924FC">
              <w:t>$</w:t>
            </w:r>
            <w:r w:rsidR="00FC537F">
              <w:rPr>
                <w:noProof/>
                <w:color w:val="000000"/>
                <w:highlight w:val="black"/>
              </w:rPr>
              <w:t>''''''''''''''''''''''''</w:t>
            </w:r>
          </w:p>
        </w:tc>
      </w:tr>
      <w:tr w:rsidR="00C74A12" w:rsidRPr="000A6039" w:rsidTr="000242C7">
        <w:tc>
          <w:tcPr>
            <w:tcW w:w="1098" w:type="pct"/>
            <w:tcBorders>
              <w:top w:val="nil"/>
              <w:left w:val="single" w:sz="4" w:space="0" w:color="auto"/>
              <w:bottom w:val="single" w:sz="4" w:space="0" w:color="auto"/>
              <w:right w:val="single" w:sz="4" w:space="0" w:color="auto"/>
            </w:tcBorders>
            <w:shd w:val="clear" w:color="auto" w:fill="FFFFFF" w:themeFill="background1"/>
            <w:vAlign w:val="center"/>
          </w:tcPr>
          <w:p w:rsidR="00C74A12" w:rsidRPr="000A6039" w:rsidRDefault="00C74A12" w:rsidP="008C0596">
            <w:pPr>
              <w:pStyle w:val="TableText"/>
            </w:pPr>
            <w:r>
              <w:t>Patient co</w:t>
            </w:r>
            <w:r w:rsidR="00FB4613">
              <w:t>-</w:t>
            </w:r>
            <w:r>
              <w:t xml:space="preserve">payments </w:t>
            </w:r>
            <w:r w:rsidR="008C0596">
              <w:rPr>
                <w:vertAlign w:val="superscript"/>
              </w:rPr>
              <w:t>c</w:t>
            </w:r>
          </w:p>
        </w:tc>
        <w:tc>
          <w:tcPr>
            <w:tcW w:w="650" w:type="pct"/>
            <w:tcBorders>
              <w:top w:val="single" w:sz="4" w:space="0" w:color="auto"/>
              <w:left w:val="single" w:sz="4" w:space="0" w:color="auto"/>
              <w:bottom w:val="single" w:sz="4" w:space="0" w:color="auto"/>
              <w:right w:val="single" w:sz="4" w:space="0" w:color="auto"/>
            </w:tcBorders>
            <w:shd w:val="clear" w:color="auto" w:fill="FFFFFF" w:themeFill="background1"/>
          </w:tcPr>
          <w:p w:rsidR="00C74A12" w:rsidRPr="000A6039" w:rsidRDefault="00C74A12" w:rsidP="000242C7">
            <w:pPr>
              <w:pStyle w:val="TableText"/>
              <w:jc w:val="center"/>
            </w:pPr>
            <w:r w:rsidRPr="00D32737">
              <w:t>$</w:t>
            </w:r>
            <w:r w:rsidR="00FC537F">
              <w:rPr>
                <w:noProof/>
                <w:color w:val="000000"/>
                <w:highlight w:val="black"/>
              </w:rPr>
              <w:t>'''''''''''''''''''''''''</w:t>
            </w:r>
          </w:p>
        </w:tc>
        <w:tc>
          <w:tcPr>
            <w:tcW w:w="650" w:type="pct"/>
            <w:tcBorders>
              <w:top w:val="nil"/>
              <w:left w:val="nil"/>
              <w:bottom w:val="single" w:sz="4" w:space="0" w:color="auto"/>
              <w:right w:val="single" w:sz="4" w:space="0" w:color="auto"/>
            </w:tcBorders>
            <w:shd w:val="clear" w:color="auto" w:fill="FFFFFF" w:themeFill="background1"/>
          </w:tcPr>
          <w:p w:rsidR="00C74A12" w:rsidRPr="000A6039" w:rsidRDefault="00C74A12" w:rsidP="000242C7">
            <w:pPr>
              <w:pStyle w:val="TableText"/>
              <w:jc w:val="center"/>
            </w:pPr>
            <w:r w:rsidRPr="00D32737">
              <w:t>$</w:t>
            </w:r>
            <w:r w:rsidR="00FC537F">
              <w:rPr>
                <w:noProof/>
                <w:color w:val="000000"/>
                <w:highlight w:val="black"/>
              </w:rPr>
              <w:t>'''''''''''''''''''''''</w:t>
            </w:r>
          </w:p>
        </w:tc>
        <w:tc>
          <w:tcPr>
            <w:tcW w:w="650" w:type="pct"/>
            <w:tcBorders>
              <w:top w:val="nil"/>
              <w:left w:val="nil"/>
              <w:bottom w:val="single" w:sz="4" w:space="0" w:color="auto"/>
              <w:right w:val="single" w:sz="4" w:space="0" w:color="auto"/>
            </w:tcBorders>
            <w:shd w:val="clear" w:color="auto" w:fill="FFFFFF" w:themeFill="background1"/>
          </w:tcPr>
          <w:p w:rsidR="00C74A12" w:rsidRPr="000A6039" w:rsidRDefault="00C74A12" w:rsidP="000242C7">
            <w:pPr>
              <w:pStyle w:val="TableText"/>
              <w:jc w:val="center"/>
            </w:pPr>
            <w:r w:rsidRPr="00D32737">
              <w:t>$</w:t>
            </w:r>
            <w:r w:rsidR="00FC537F">
              <w:rPr>
                <w:noProof/>
                <w:color w:val="000000"/>
                <w:highlight w:val="black"/>
              </w:rPr>
              <w:t>''''''''''''''''''''''''</w:t>
            </w:r>
          </w:p>
        </w:tc>
        <w:tc>
          <w:tcPr>
            <w:tcW w:w="650" w:type="pct"/>
            <w:tcBorders>
              <w:top w:val="nil"/>
              <w:left w:val="nil"/>
              <w:bottom w:val="single" w:sz="4" w:space="0" w:color="auto"/>
              <w:right w:val="single" w:sz="4" w:space="0" w:color="auto"/>
            </w:tcBorders>
            <w:shd w:val="clear" w:color="auto" w:fill="FFFFFF" w:themeFill="background1"/>
          </w:tcPr>
          <w:p w:rsidR="00C74A12" w:rsidRPr="000A6039" w:rsidRDefault="00C74A12" w:rsidP="000242C7">
            <w:pPr>
              <w:pStyle w:val="TableText"/>
              <w:jc w:val="center"/>
            </w:pPr>
            <w:r w:rsidRPr="00D32737">
              <w:t>$</w:t>
            </w:r>
            <w:r w:rsidR="00FC537F">
              <w:rPr>
                <w:noProof/>
                <w:color w:val="000000"/>
                <w:highlight w:val="black"/>
              </w:rPr>
              <w:t>'''''''''''''''''''''''</w:t>
            </w:r>
          </w:p>
        </w:tc>
        <w:tc>
          <w:tcPr>
            <w:tcW w:w="650" w:type="pct"/>
            <w:tcBorders>
              <w:top w:val="nil"/>
              <w:left w:val="nil"/>
              <w:bottom w:val="single" w:sz="4" w:space="0" w:color="auto"/>
              <w:right w:val="single" w:sz="4" w:space="0" w:color="auto"/>
            </w:tcBorders>
            <w:shd w:val="clear" w:color="auto" w:fill="FFFFFF" w:themeFill="background1"/>
          </w:tcPr>
          <w:p w:rsidR="00C74A12" w:rsidRPr="000A6039" w:rsidRDefault="00C74A12" w:rsidP="000242C7">
            <w:pPr>
              <w:pStyle w:val="TableText"/>
              <w:jc w:val="center"/>
            </w:pPr>
            <w:r w:rsidRPr="00D32737">
              <w:t>$</w:t>
            </w:r>
            <w:r w:rsidR="00FC537F">
              <w:rPr>
                <w:noProof/>
                <w:color w:val="000000"/>
                <w:highlight w:val="black"/>
              </w:rPr>
              <w:t>''''''''''''''''''''''''</w:t>
            </w:r>
          </w:p>
        </w:tc>
        <w:tc>
          <w:tcPr>
            <w:tcW w:w="652" w:type="pct"/>
            <w:tcBorders>
              <w:top w:val="nil"/>
              <w:left w:val="nil"/>
              <w:bottom w:val="single" w:sz="4" w:space="0" w:color="auto"/>
              <w:right w:val="single" w:sz="4" w:space="0" w:color="auto"/>
            </w:tcBorders>
            <w:shd w:val="clear" w:color="auto" w:fill="FFFFFF" w:themeFill="background1"/>
          </w:tcPr>
          <w:p w:rsidR="00C74A12" w:rsidRPr="000A6039" w:rsidRDefault="00C74A12" w:rsidP="000242C7">
            <w:pPr>
              <w:pStyle w:val="TableText"/>
              <w:jc w:val="center"/>
            </w:pPr>
            <w:r w:rsidRPr="00D32737">
              <w:t>$</w:t>
            </w:r>
            <w:r w:rsidR="00FC537F">
              <w:rPr>
                <w:noProof/>
                <w:color w:val="000000"/>
                <w:highlight w:val="black"/>
              </w:rPr>
              <w:t>'''''''''''''''''''''''</w:t>
            </w:r>
          </w:p>
        </w:tc>
      </w:tr>
      <w:tr w:rsidR="00C74A12" w:rsidRPr="000A6039" w:rsidTr="000242C7">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74A12" w:rsidRPr="000A6039" w:rsidRDefault="00C74A12" w:rsidP="000242C7">
            <w:pPr>
              <w:pStyle w:val="TableText"/>
            </w:pPr>
            <w:r>
              <w:t xml:space="preserve">Total cost excl </w:t>
            </w:r>
            <w:r w:rsidR="00FB4613">
              <w:t>co-pay</w:t>
            </w:r>
          </w:p>
        </w:tc>
        <w:tc>
          <w:tcPr>
            <w:tcW w:w="650" w:type="pct"/>
            <w:tcBorders>
              <w:top w:val="single" w:sz="4" w:space="0" w:color="auto"/>
              <w:left w:val="single" w:sz="4" w:space="0" w:color="auto"/>
              <w:bottom w:val="single" w:sz="4" w:space="0" w:color="auto"/>
              <w:right w:val="single" w:sz="4" w:space="0" w:color="auto"/>
            </w:tcBorders>
            <w:shd w:val="clear" w:color="auto" w:fill="auto"/>
          </w:tcPr>
          <w:p w:rsidR="00C74A12" w:rsidRPr="000A6039" w:rsidRDefault="00C74A12" w:rsidP="000242C7">
            <w:pPr>
              <w:pStyle w:val="TableText"/>
              <w:jc w:val="center"/>
            </w:pPr>
            <w:r w:rsidRPr="0096284D">
              <w:t>$</w:t>
            </w:r>
            <w:r w:rsidR="00FC537F">
              <w:rPr>
                <w:noProof/>
                <w:color w:val="000000"/>
                <w:highlight w:val="black"/>
              </w:rPr>
              <w:t>'''''''''''''''''''''''''</w:t>
            </w:r>
          </w:p>
        </w:tc>
        <w:tc>
          <w:tcPr>
            <w:tcW w:w="650" w:type="pct"/>
            <w:tcBorders>
              <w:top w:val="single" w:sz="4" w:space="0" w:color="auto"/>
              <w:left w:val="nil"/>
              <w:bottom w:val="single" w:sz="4" w:space="0" w:color="auto"/>
              <w:right w:val="single" w:sz="4" w:space="0" w:color="auto"/>
            </w:tcBorders>
            <w:shd w:val="clear" w:color="auto" w:fill="auto"/>
          </w:tcPr>
          <w:p w:rsidR="00C74A12" w:rsidRPr="000A6039" w:rsidRDefault="00C74A12" w:rsidP="000242C7">
            <w:pPr>
              <w:pStyle w:val="TableText"/>
              <w:jc w:val="center"/>
            </w:pPr>
            <w:r w:rsidRPr="0096284D">
              <w:t>$</w:t>
            </w:r>
            <w:r w:rsidR="00FC537F">
              <w:rPr>
                <w:noProof/>
                <w:color w:val="000000"/>
                <w:highlight w:val="black"/>
              </w:rPr>
              <w:t>'''''''''''''''''''''''''</w:t>
            </w:r>
          </w:p>
        </w:tc>
        <w:tc>
          <w:tcPr>
            <w:tcW w:w="650" w:type="pct"/>
            <w:tcBorders>
              <w:top w:val="single" w:sz="4" w:space="0" w:color="auto"/>
              <w:left w:val="nil"/>
              <w:bottom w:val="single" w:sz="4" w:space="0" w:color="auto"/>
              <w:right w:val="single" w:sz="4" w:space="0" w:color="auto"/>
            </w:tcBorders>
            <w:shd w:val="clear" w:color="auto" w:fill="auto"/>
          </w:tcPr>
          <w:p w:rsidR="00C74A12" w:rsidRPr="000A6039" w:rsidRDefault="00C74A12" w:rsidP="000242C7">
            <w:pPr>
              <w:pStyle w:val="TableText"/>
              <w:jc w:val="center"/>
            </w:pPr>
            <w:r w:rsidRPr="0096284D">
              <w:t>$</w:t>
            </w:r>
            <w:r w:rsidR="00FC537F">
              <w:rPr>
                <w:noProof/>
                <w:color w:val="000000"/>
                <w:highlight w:val="black"/>
              </w:rPr>
              <w:t>''''''''''''''''''''''''''''</w:t>
            </w:r>
          </w:p>
        </w:tc>
        <w:tc>
          <w:tcPr>
            <w:tcW w:w="650" w:type="pct"/>
            <w:tcBorders>
              <w:top w:val="single" w:sz="4" w:space="0" w:color="auto"/>
              <w:left w:val="nil"/>
              <w:bottom w:val="single" w:sz="4" w:space="0" w:color="auto"/>
              <w:right w:val="single" w:sz="4" w:space="0" w:color="auto"/>
            </w:tcBorders>
            <w:shd w:val="clear" w:color="auto" w:fill="auto"/>
          </w:tcPr>
          <w:p w:rsidR="00C74A12" w:rsidRPr="000A6039" w:rsidRDefault="00C74A12" w:rsidP="000242C7">
            <w:pPr>
              <w:pStyle w:val="TableText"/>
              <w:jc w:val="center"/>
            </w:pPr>
            <w:r w:rsidRPr="0096284D">
              <w:t>$</w:t>
            </w:r>
            <w:r w:rsidR="00FC537F">
              <w:rPr>
                <w:noProof/>
                <w:color w:val="000000"/>
                <w:highlight w:val="black"/>
              </w:rPr>
              <w:t>'''''''''''''''''''''''''''</w:t>
            </w:r>
          </w:p>
        </w:tc>
        <w:tc>
          <w:tcPr>
            <w:tcW w:w="650" w:type="pct"/>
            <w:tcBorders>
              <w:top w:val="single" w:sz="4" w:space="0" w:color="auto"/>
              <w:left w:val="nil"/>
              <w:bottom w:val="single" w:sz="4" w:space="0" w:color="auto"/>
              <w:right w:val="single" w:sz="4" w:space="0" w:color="auto"/>
            </w:tcBorders>
            <w:shd w:val="clear" w:color="auto" w:fill="auto"/>
          </w:tcPr>
          <w:p w:rsidR="00C74A12" w:rsidRPr="000A6039" w:rsidRDefault="00C74A12" w:rsidP="000242C7">
            <w:pPr>
              <w:pStyle w:val="TableText"/>
              <w:jc w:val="center"/>
            </w:pPr>
            <w:r w:rsidRPr="0096284D">
              <w:t>$</w:t>
            </w:r>
            <w:r w:rsidR="00FC537F">
              <w:rPr>
                <w:noProof/>
                <w:color w:val="000000"/>
                <w:highlight w:val="black"/>
              </w:rPr>
              <w:t>''''''''''''''''''''''''''''</w:t>
            </w:r>
          </w:p>
        </w:tc>
        <w:tc>
          <w:tcPr>
            <w:tcW w:w="652" w:type="pct"/>
            <w:tcBorders>
              <w:top w:val="single" w:sz="4" w:space="0" w:color="auto"/>
              <w:left w:val="nil"/>
              <w:bottom w:val="single" w:sz="4" w:space="0" w:color="auto"/>
              <w:right w:val="single" w:sz="4" w:space="0" w:color="auto"/>
            </w:tcBorders>
            <w:shd w:val="clear" w:color="auto" w:fill="auto"/>
          </w:tcPr>
          <w:p w:rsidR="00C74A12" w:rsidRPr="000A6039" w:rsidRDefault="00C74A12" w:rsidP="000242C7">
            <w:pPr>
              <w:pStyle w:val="TableText"/>
              <w:jc w:val="center"/>
            </w:pPr>
            <w:r w:rsidRPr="0096284D">
              <w:t>$</w:t>
            </w:r>
            <w:r w:rsidR="00FC537F">
              <w:rPr>
                <w:noProof/>
                <w:color w:val="000000"/>
                <w:highlight w:val="black"/>
              </w:rPr>
              <w:t>''''''''''''''''''''''''</w:t>
            </w:r>
          </w:p>
        </w:tc>
      </w:tr>
      <w:tr w:rsidR="00DB4EFC" w:rsidRPr="000A6039" w:rsidTr="000C04BF">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DB4EFC" w:rsidRPr="006276E2" w:rsidRDefault="00DB4EFC" w:rsidP="00DB4EFC">
            <w:pPr>
              <w:pStyle w:val="TableText"/>
              <w:rPr>
                <w:b/>
              </w:rPr>
            </w:pPr>
            <w:r w:rsidRPr="006276E2">
              <w:rPr>
                <w:b/>
              </w:rPr>
              <w:t>Revised estimates in PSCR</w:t>
            </w:r>
          </w:p>
        </w:tc>
      </w:tr>
      <w:tr w:rsidR="000C04BF" w:rsidRPr="000A6039" w:rsidTr="000242C7">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0C04BF" w:rsidRPr="006276E2" w:rsidRDefault="000C04BF" w:rsidP="000C04BF">
            <w:pPr>
              <w:pStyle w:val="TableText"/>
            </w:pPr>
            <w:r w:rsidRPr="006276E2">
              <w:t xml:space="preserve">Total cost excl </w:t>
            </w:r>
            <w:r w:rsidR="00FB4613" w:rsidRPr="006276E2">
              <w:t>co-pay</w:t>
            </w:r>
          </w:p>
        </w:tc>
        <w:tc>
          <w:tcPr>
            <w:tcW w:w="650" w:type="pct"/>
            <w:tcBorders>
              <w:top w:val="single" w:sz="4" w:space="0" w:color="auto"/>
              <w:left w:val="single" w:sz="4" w:space="0" w:color="auto"/>
              <w:bottom w:val="single" w:sz="4" w:space="0" w:color="auto"/>
              <w:right w:val="single" w:sz="4" w:space="0" w:color="auto"/>
            </w:tcBorders>
            <w:shd w:val="clear" w:color="auto" w:fill="auto"/>
          </w:tcPr>
          <w:p w:rsidR="000C04BF" w:rsidRPr="006276E2" w:rsidRDefault="000C04BF" w:rsidP="000C04BF">
            <w:pPr>
              <w:pStyle w:val="TableText"/>
              <w:jc w:val="center"/>
            </w:pPr>
            <w:r w:rsidRPr="006276E2">
              <w:t>$</w:t>
            </w:r>
            <w:r w:rsidR="00FC537F">
              <w:rPr>
                <w:noProof/>
                <w:color w:val="000000"/>
                <w:highlight w:val="black"/>
              </w:rPr>
              <w:t>'''''''''''''''''''''''''</w:t>
            </w:r>
          </w:p>
        </w:tc>
        <w:tc>
          <w:tcPr>
            <w:tcW w:w="650" w:type="pct"/>
            <w:tcBorders>
              <w:top w:val="single" w:sz="4" w:space="0" w:color="auto"/>
              <w:left w:val="nil"/>
              <w:bottom w:val="single" w:sz="4" w:space="0" w:color="auto"/>
              <w:right w:val="single" w:sz="4" w:space="0" w:color="auto"/>
            </w:tcBorders>
            <w:shd w:val="clear" w:color="auto" w:fill="auto"/>
          </w:tcPr>
          <w:p w:rsidR="000C04BF" w:rsidRPr="006276E2" w:rsidRDefault="000C04BF" w:rsidP="000C04BF">
            <w:pPr>
              <w:pStyle w:val="TableText"/>
              <w:jc w:val="center"/>
            </w:pPr>
            <w:r w:rsidRPr="006276E2">
              <w:rPr>
                <w:szCs w:val="20"/>
              </w:rPr>
              <w:t>$</w:t>
            </w:r>
            <w:r w:rsidR="00FC537F">
              <w:rPr>
                <w:noProof/>
                <w:color w:val="000000"/>
                <w:szCs w:val="20"/>
                <w:highlight w:val="black"/>
              </w:rPr>
              <w:t>'''''''''''''''''''''''''''</w:t>
            </w:r>
            <w:r w:rsidRPr="006276E2">
              <w:rPr>
                <w:szCs w:val="20"/>
              </w:rPr>
              <w:t xml:space="preserve"> </w:t>
            </w:r>
          </w:p>
        </w:tc>
        <w:tc>
          <w:tcPr>
            <w:tcW w:w="650" w:type="pct"/>
            <w:tcBorders>
              <w:top w:val="single" w:sz="4" w:space="0" w:color="auto"/>
              <w:left w:val="nil"/>
              <w:bottom w:val="single" w:sz="4" w:space="0" w:color="auto"/>
              <w:right w:val="single" w:sz="4" w:space="0" w:color="auto"/>
            </w:tcBorders>
            <w:shd w:val="clear" w:color="auto" w:fill="auto"/>
          </w:tcPr>
          <w:p w:rsidR="000C04BF" w:rsidRPr="006276E2" w:rsidRDefault="000C04BF" w:rsidP="000C04BF">
            <w:pPr>
              <w:pStyle w:val="TableText"/>
              <w:jc w:val="center"/>
            </w:pPr>
            <w:r w:rsidRPr="006276E2">
              <w:rPr>
                <w:szCs w:val="20"/>
              </w:rPr>
              <w:t>$</w:t>
            </w:r>
            <w:r w:rsidR="00FC537F">
              <w:rPr>
                <w:noProof/>
                <w:color w:val="000000"/>
                <w:szCs w:val="20"/>
                <w:highlight w:val="black"/>
              </w:rPr>
              <w:t>''''''''''''''''''''''''</w:t>
            </w:r>
            <w:r w:rsidRPr="006276E2">
              <w:rPr>
                <w:szCs w:val="20"/>
              </w:rPr>
              <w:t xml:space="preserve"> </w:t>
            </w:r>
          </w:p>
        </w:tc>
        <w:tc>
          <w:tcPr>
            <w:tcW w:w="650" w:type="pct"/>
            <w:tcBorders>
              <w:top w:val="single" w:sz="4" w:space="0" w:color="auto"/>
              <w:left w:val="nil"/>
              <w:bottom w:val="single" w:sz="4" w:space="0" w:color="auto"/>
              <w:right w:val="single" w:sz="4" w:space="0" w:color="auto"/>
            </w:tcBorders>
            <w:shd w:val="clear" w:color="auto" w:fill="auto"/>
          </w:tcPr>
          <w:p w:rsidR="000C04BF" w:rsidRPr="006276E2" w:rsidRDefault="000C04BF" w:rsidP="000C04BF">
            <w:pPr>
              <w:pStyle w:val="TableText"/>
              <w:jc w:val="center"/>
            </w:pPr>
            <w:r w:rsidRPr="006276E2">
              <w:rPr>
                <w:szCs w:val="20"/>
              </w:rPr>
              <w:t>$</w:t>
            </w:r>
            <w:r w:rsidR="00FC537F">
              <w:rPr>
                <w:noProof/>
                <w:color w:val="000000"/>
                <w:szCs w:val="20"/>
                <w:highlight w:val="black"/>
              </w:rPr>
              <w:t>''''''''''''''''''''''''</w:t>
            </w:r>
            <w:r w:rsidRPr="006276E2">
              <w:rPr>
                <w:szCs w:val="20"/>
              </w:rPr>
              <w:t xml:space="preserve"> </w:t>
            </w:r>
          </w:p>
        </w:tc>
        <w:tc>
          <w:tcPr>
            <w:tcW w:w="650" w:type="pct"/>
            <w:tcBorders>
              <w:top w:val="single" w:sz="4" w:space="0" w:color="auto"/>
              <w:left w:val="nil"/>
              <w:bottom w:val="single" w:sz="4" w:space="0" w:color="auto"/>
              <w:right w:val="single" w:sz="4" w:space="0" w:color="auto"/>
            </w:tcBorders>
            <w:shd w:val="clear" w:color="auto" w:fill="auto"/>
          </w:tcPr>
          <w:p w:rsidR="000C04BF" w:rsidRPr="006276E2" w:rsidRDefault="000C04BF" w:rsidP="000C04BF">
            <w:pPr>
              <w:pStyle w:val="TableText"/>
              <w:jc w:val="center"/>
            </w:pPr>
            <w:r w:rsidRPr="006276E2">
              <w:rPr>
                <w:szCs w:val="20"/>
              </w:rPr>
              <w:t>$</w:t>
            </w:r>
            <w:r w:rsidR="00FC537F">
              <w:rPr>
                <w:noProof/>
                <w:color w:val="000000"/>
                <w:szCs w:val="20"/>
                <w:highlight w:val="black"/>
              </w:rPr>
              <w:t>'''''''''''''''''''''''''''</w:t>
            </w:r>
            <w:r w:rsidRPr="006276E2">
              <w:rPr>
                <w:szCs w:val="20"/>
              </w:rPr>
              <w:t xml:space="preserve"> </w:t>
            </w:r>
          </w:p>
        </w:tc>
        <w:tc>
          <w:tcPr>
            <w:tcW w:w="652" w:type="pct"/>
            <w:tcBorders>
              <w:top w:val="single" w:sz="4" w:space="0" w:color="auto"/>
              <w:left w:val="nil"/>
              <w:bottom w:val="single" w:sz="4" w:space="0" w:color="auto"/>
              <w:right w:val="single" w:sz="4" w:space="0" w:color="auto"/>
            </w:tcBorders>
            <w:shd w:val="clear" w:color="auto" w:fill="auto"/>
          </w:tcPr>
          <w:p w:rsidR="000C04BF" w:rsidRPr="006276E2" w:rsidRDefault="000C04BF" w:rsidP="000C04BF">
            <w:pPr>
              <w:pStyle w:val="TableText"/>
              <w:jc w:val="center"/>
            </w:pPr>
            <w:r w:rsidRPr="006276E2">
              <w:rPr>
                <w:szCs w:val="20"/>
              </w:rPr>
              <w:t>$</w:t>
            </w:r>
            <w:r w:rsidR="00FC537F">
              <w:rPr>
                <w:noProof/>
                <w:color w:val="000000"/>
                <w:szCs w:val="20"/>
                <w:highlight w:val="black"/>
              </w:rPr>
              <w:t>''''''''''''''''''''''''''''</w:t>
            </w:r>
            <w:r w:rsidRPr="006276E2">
              <w:rPr>
                <w:szCs w:val="20"/>
              </w:rPr>
              <w:t xml:space="preserve"> </w:t>
            </w:r>
          </w:p>
        </w:tc>
      </w:tr>
      <w:tr w:rsidR="00FD4D85" w:rsidRPr="000A6039" w:rsidTr="00FD4D85">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FD4D85" w:rsidRPr="006276E2" w:rsidRDefault="00FD4D85" w:rsidP="00FD4D85">
            <w:pPr>
              <w:pStyle w:val="TableText"/>
              <w:rPr>
                <w:szCs w:val="20"/>
              </w:rPr>
            </w:pPr>
            <w:r w:rsidRPr="00FD4D85">
              <w:rPr>
                <w:b/>
              </w:rPr>
              <w:t>Revised estimates in pre-PBAC response</w:t>
            </w:r>
          </w:p>
        </w:tc>
      </w:tr>
      <w:tr w:rsidR="00170B2B" w:rsidRPr="000A6039" w:rsidTr="00170B2B">
        <w:tc>
          <w:tcPr>
            <w:tcW w:w="1098" w:type="pct"/>
            <w:tcBorders>
              <w:top w:val="single" w:sz="4" w:space="0" w:color="auto"/>
              <w:left w:val="single" w:sz="4" w:space="0" w:color="auto"/>
              <w:bottom w:val="single" w:sz="4" w:space="0" w:color="auto"/>
              <w:right w:val="single" w:sz="4" w:space="0" w:color="auto"/>
            </w:tcBorders>
            <w:shd w:val="clear" w:color="auto" w:fill="auto"/>
          </w:tcPr>
          <w:p w:rsidR="00170B2B" w:rsidRDefault="00170B2B" w:rsidP="00170B2B">
            <w:pPr>
              <w:pStyle w:val="TableText"/>
            </w:pPr>
            <w:r>
              <w:t>Uptake rate (pooled)</w:t>
            </w:r>
          </w:p>
        </w:tc>
        <w:tc>
          <w:tcPr>
            <w:tcW w:w="650" w:type="pct"/>
            <w:tcBorders>
              <w:top w:val="single" w:sz="4" w:space="0" w:color="auto"/>
              <w:left w:val="single" w:sz="4" w:space="0" w:color="auto"/>
              <w:bottom w:val="single" w:sz="4" w:space="0" w:color="auto"/>
              <w:right w:val="single" w:sz="4" w:space="0" w:color="auto"/>
            </w:tcBorders>
            <w:shd w:val="clear" w:color="auto" w:fill="auto"/>
          </w:tcPr>
          <w:p w:rsidR="00170B2B" w:rsidRDefault="00170B2B" w:rsidP="00170B2B">
            <w:pPr>
              <w:pStyle w:val="TableText"/>
              <w:jc w:val="center"/>
            </w:pPr>
            <w:r w:rsidRPr="007F6E9F">
              <w:t>15%</w:t>
            </w:r>
          </w:p>
        </w:tc>
        <w:tc>
          <w:tcPr>
            <w:tcW w:w="650" w:type="pct"/>
            <w:tcBorders>
              <w:top w:val="single" w:sz="4" w:space="0" w:color="auto"/>
              <w:left w:val="nil"/>
              <w:bottom w:val="single" w:sz="4" w:space="0" w:color="auto"/>
              <w:right w:val="single" w:sz="4" w:space="0" w:color="auto"/>
            </w:tcBorders>
            <w:shd w:val="clear" w:color="auto" w:fill="auto"/>
          </w:tcPr>
          <w:p w:rsidR="00170B2B" w:rsidRDefault="00170B2B" w:rsidP="00170B2B">
            <w:pPr>
              <w:pStyle w:val="TableText"/>
              <w:jc w:val="center"/>
              <w:rPr>
                <w:szCs w:val="20"/>
              </w:rPr>
            </w:pPr>
            <w:r w:rsidRPr="007F6E9F">
              <w:t>26%</w:t>
            </w:r>
          </w:p>
        </w:tc>
        <w:tc>
          <w:tcPr>
            <w:tcW w:w="650" w:type="pct"/>
            <w:tcBorders>
              <w:top w:val="single" w:sz="4" w:space="0" w:color="auto"/>
              <w:left w:val="nil"/>
              <w:bottom w:val="single" w:sz="4" w:space="0" w:color="auto"/>
              <w:right w:val="single" w:sz="4" w:space="0" w:color="auto"/>
            </w:tcBorders>
            <w:shd w:val="clear" w:color="auto" w:fill="auto"/>
          </w:tcPr>
          <w:p w:rsidR="00170B2B" w:rsidRDefault="00170B2B" w:rsidP="00170B2B">
            <w:pPr>
              <w:pStyle w:val="TableText"/>
              <w:jc w:val="center"/>
              <w:rPr>
                <w:szCs w:val="20"/>
              </w:rPr>
            </w:pPr>
            <w:r w:rsidRPr="007F6E9F">
              <w:t>32%</w:t>
            </w:r>
          </w:p>
        </w:tc>
        <w:tc>
          <w:tcPr>
            <w:tcW w:w="650" w:type="pct"/>
            <w:tcBorders>
              <w:top w:val="single" w:sz="4" w:space="0" w:color="auto"/>
              <w:left w:val="nil"/>
              <w:bottom w:val="single" w:sz="4" w:space="0" w:color="auto"/>
              <w:right w:val="single" w:sz="4" w:space="0" w:color="auto"/>
            </w:tcBorders>
            <w:shd w:val="clear" w:color="auto" w:fill="auto"/>
          </w:tcPr>
          <w:p w:rsidR="00170B2B" w:rsidRDefault="00170B2B" w:rsidP="00170B2B">
            <w:pPr>
              <w:pStyle w:val="TableText"/>
              <w:jc w:val="center"/>
              <w:rPr>
                <w:szCs w:val="20"/>
              </w:rPr>
            </w:pPr>
            <w:r w:rsidRPr="007F6E9F">
              <w:t>36%</w:t>
            </w:r>
          </w:p>
        </w:tc>
        <w:tc>
          <w:tcPr>
            <w:tcW w:w="650" w:type="pct"/>
            <w:tcBorders>
              <w:top w:val="single" w:sz="4" w:space="0" w:color="auto"/>
              <w:left w:val="nil"/>
              <w:bottom w:val="single" w:sz="4" w:space="0" w:color="auto"/>
              <w:right w:val="single" w:sz="4" w:space="0" w:color="auto"/>
            </w:tcBorders>
            <w:shd w:val="clear" w:color="auto" w:fill="auto"/>
          </w:tcPr>
          <w:p w:rsidR="00170B2B" w:rsidRDefault="00170B2B" w:rsidP="00170B2B">
            <w:pPr>
              <w:pStyle w:val="TableText"/>
              <w:jc w:val="center"/>
              <w:rPr>
                <w:szCs w:val="20"/>
              </w:rPr>
            </w:pPr>
            <w:r w:rsidRPr="007F6E9F">
              <w:t>40%</w:t>
            </w:r>
          </w:p>
        </w:tc>
        <w:tc>
          <w:tcPr>
            <w:tcW w:w="652" w:type="pct"/>
            <w:tcBorders>
              <w:top w:val="single" w:sz="4" w:space="0" w:color="auto"/>
              <w:left w:val="nil"/>
              <w:bottom w:val="single" w:sz="4" w:space="0" w:color="auto"/>
              <w:right w:val="single" w:sz="4" w:space="0" w:color="auto"/>
            </w:tcBorders>
            <w:shd w:val="clear" w:color="auto" w:fill="auto"/>
          </w:tcPr>
          <w:p w:rsidR="00170B2B" w:rsidRDefault="00170B2B" w:rsidP="00170B2B">
            <w:pPr>
              <w:pStyle w:val="TableText"/>
              <w:jc w:val="center"/>
              <w:rPr>
                <w:szCs w:val="20"/>
              </w:rPr>
            </w:pPr>
            <w:r w:rsidRPr="007F6E9F">
              <w:t>40%</w:t>
            </w:r>
          </w:p>
        </w:tc>
      </w:tr>
      <w:tr w:rsidR="006276E2" w:rsidRPr="000A6039" w:rsidTr="000242C7">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160076" w:rsidRPr="006276E2" w:rsidRDefault="00FD4D85" w:rsidP="000C04BF">
            <w:pPr>
              <w:pStyle w:val="TableText"/>
            </w:pPr>
            <w:r>
              <w:t xml:space="preserve">Total cost excl </w:t>
            </w:r>
            <w:r w:rsidR="00FB4613">
              <w:t>co-pay</w:t>
            </w:r>
          </w:p>
        </w:tc>
        <w:tc>
          <w:tcPr>
            <w:tcW w:w="650" w:type="pct"/>
            <w:tcBorders>
              <w:top w:val="single" w:sz="4" w:space="0" w:color="auto"/>
              <w:left w:val="single" w:sz="4" w:space="0" w:color="auto"/>
              <w:bottom w:val="single" w:sz="4" w:space="0" w:color="auto"/>
              <w:right w:val="single" w:sz="4" w:space="0" w:color="auto"/>
            </w:tcBorders>
            <w:shd w:val="clear" w:color="auto" w:fill="auto"/>
          </w:tcPr>
          <w:p w:rsidR="006276E2" w:rsidRPr="006276E2" w:rsidRDefault="00FD4D85" w:rsidP="000C04BF">
            <w:pPr>
              <w:pStyle w:val="TableText"/>
              <w:jc w:val="center"/>
            </w:pPr>
            <w:r>
              <w:t>$</w:t>
            </w:r>
            <w:r w:rsidR="00FC537F">
              <w:rPr>
                <w:noProof/>
                <w:color w:val="000000"/>
                <w:highlight w:val="black"/>
              </w:rPr>
              <w:t>'''''''''''''''''''''''''''</w:t>
            </w:r>
          </w:p>
        </w:tc>
        <w:tc>
          <w:tcPr>
            <w:tcW w:w="650" w:type="pct"/>
            <w:tcBorders>
              <w:top w:val="single" w:sz="4" w:space="0" w:color="auto"/>
              <w:left w:val="nil"/>
              <w:bottom w:val="single" w:sz="4" w:space="0" w:color="auto"/>
              <w:right w:val="single" w:sz="4" w:space="0" w:color="auto"/>
            </w:tcBorders>
            <w:shd w:val="clear" w:color="auto" w:fill="auto"/>
          </w:tcPr>
          <w:p w:rsidR="006276E2" w:rsidRPr="006276E2" w:rsidRDefault="00FD4D85" w:rsidP="000C04BF">
            <w:pPr>
              <w:pStyle w:val="TableText"/>
              <w:jc w:val="center"/>
              <w:rPr>
                <w:szCs w:val="20"/>
              </w:rPr>
            </w:pPr>
            <w:r>
              <w:rPr>
                <w:szCs w:val="20"/>
              </w:rPr>
              <w:t>$</w:t>
            </w:r>
            <w:r w:rsidR="00FC537F">
              <w:rPr>
                <w:noProof/>
                <w:color w:val="000000"/>
                <w:szCs w:val="20"/>
                <w:highlight w:val="black"/>
              </w:rPr>
              <w:t>''''''''''''''''''''''''''</w:t>
            </w:r>
          </w:p>
        </w:tc>
        <w:tc>
          <w:tcPr>
            <w:tcW w:w="650" w:type="pct"/>
            <w:tcBorders>
              <w:top w:val="single" w:sz="4" w:space="0" w:color="auto"/>
              <w:left w:val="nil"/>
              <w:bottom w:val="single" w:sz="4" w:space="0" w:color="auto"/>
              <w:right w:val="single" w:sz="4" w:space="0" w:color="auto"/>
            </w:tcBorders>
            <w:shd w:val="clear" w:color="auto" w:fill="auto"/>
          </w:tcPr>
          <w:p w:rsidR="006276E2" w:rsidRPr="006276E2" w:rsidRDefault="00FD4D85" w:rsidP="000C04BF">
            <w:pPr>
              <w:pStyle w:val="TableText"/>
              <w:jc w:val="center"/>
              <w:rPr>
                <w:szCs w:val="20"/>
              </w:rPr>
            </w:pPr>
            <w:r>
              <w:rPr>
                <w:szCs w:val="20"/>
              </w:rPr>
              <w:t>$</w:t>
            </w:r>
            <w:r w:rsidR="00FC537F">
              <w:rPr>
                <w:noProof/>
                <w:color w:val="000000"/>
                <w:szCs w:val="20"/>
                <w:highlight w:val="black"/>
              </w:rPr>
              <w:t>'''''''''''''''''''''''''</w:t>
            </w:r>
          </w:p>
        </w:tc>
        <w:tc>
          <w:tcPr>
            <w:tcW w:w="650" w:type="pct"/>
            <w:tcBorders>
              <w:top w:val="single" w:sz="4" w:space="0" w:color="auto"/>
              <w:left w:val="nil"/>
              <w:bottom w:val="single" w:sz="4" w:space="0" w:color="auto"/>
              <w:right w:val="single" w:sz="4" w:space="0" w:color="auto"/>
            </w:tcBorders>
            <w:shd w:val="clear" w:color="auto" w:fill="auto"/>
          </w:tcPr>
          <w:p w:rsidR="006276E2" w:rsidRPr="006276E2" w:rsidRDefault="00FD4D85" w:rsidP="000C04BF">
            <w:pPr>
              <w:pStyle w:val="TableText"/>
              <w:jc w:val="center"/>
              <w:rPr>
                <w:szCs w:val="20"/>
              </w:rPr>
            </w:pPr>
            <w:r>
              <w:rPr>
                <w:szCs w:val="20"/>
              </w:rPr>
              <w:t>$</w:t>
            </w:r>
            <w:r w:rsidR="00FC537F">
              <w:rPr>
                <w:noProof/>
                <w:color w:val="000000"/>
                <w:szCs w:val="20"/>
                <w:highlight w:val="black"/>
              </w:rPr>
              <w:t>''''''''''''''''''''''''''''</w:t>
            </w:r>
          </w:p>
        </w:tc>
        <w:tc>
          <w:tcPr>
            <w:tcW w:w="650" w:type="pct"/>
            <w:tcBorders>
              <w:top w:val="single" w:sz="4" w:space="0" w:color="auto"/>
              <w:left w:val="nil"/>
              <w:bottom w:val="single" w:sz="4" w:space="0" w:color="auto"/>
              <w:right w:val="single" w:sz="4" w:space="0" w:color="auto"/>
            </w:tcBorders>
            <w:shd w:val="clear" w:color="auto" w:fill="auto"/>
          </w:tcPr>
          <w:p w:rsidR="006276E2" w:rsidRPr="006276E2" w:rsidRDefault="00FD4D85" w:rsidP="000C04BF">
            <w:pPr>
              <w:pStyle w:val="TableText"/>
              <w:jc w:val="center"/>
              <w:rPr>
                <w:szCs w:val="20"/>
              </w:rPr>
            </w:pPr>
            <w:r>
              <w:rPr>
                <w:szCs w:val="20"/>
              </w:rPr>
              <w:t>$</w:t>
            </w:r>
            <w:r w:rsidR="00FC537F">
              <w:rPr>
                <w:noProof/>
                <w:color w:val="000000"/>
                <w:szCs w:val="20"/>
                <w:highlight w:val="black"/>
              </w:rPr>
              <w:t>''''''''''''''''''''''''''</w:t>
            </w:r>
          </w:p>
        </w:tc>
        <w:tc>
          <w:tcPr>
            <w:tcW w:w="652" w:type="pct"/>
            <w:tcBorders>
              <w:top w:val="single" w:sz="4" w:space="0" w:color="auto"/>
              <w:left w:val="nil"/>
              <w:bottom w:val="single" w:sz="4" w:space="0" w:color="auto"/>
              <w:right w:val="single" w:sz="4" w:space="0" w:color="auto"/>
            </w:tcBorders>
            <w:shd w:val="clear" w:color="auto" w:fill="auto"/>
          </w:tcPr>
          <w:p w:rsidR="006276E2" w:rsidRPr="006276E2" w:rsidRDefault="00FD4D85" w:rsidP="000C04BF">
            <w:pPr>
              <w:pStyle w:val="TableText"/>
              <w:jc w:val="center"/>
              <w:rPr>
                <w:szCs w:val="20"/>
              </w:rPr>
            </w:pPr>
            <w:r>
              <w:rPr>
                <w:szCs w:val="20"/>
              </w:rPr>
              <w:t>$</w:t>
            </w:r>
            <w:r w:rsidR="00FC537F">
              <w:rPr>
                <w:noProof/>
                <w:color w:val="000000"/>
                <w:szCs w:val="20"/>
                <w:highlight w:val="black"/>
              </w:rPr>
              <w:t>''''''''''''''''''''''''</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Estimated use and financial implications, pooled subgroup population"/>
        <w:tblDescription w:val="Table 19: Estimated use and financial implications, pooled subgroup population"/>
      </w:tblPr>
      <w:tblGrid>
        <w:gridCol w:w="2012"/>
        <w:gridCol w:w="1167"/>
        <w:gridCol w:w="1167"/>
        <w:gridCol w:w="1167"/>
        <w:gridCol w:w="1167"/>
        <w:gridCol w:w="1167"/>
        <w:gridCol w:w="1170"/>
      </w:tblGrid>
      <w:tr w:rsidR="00C74A12" w:rsidRPr="003639A6" w:rsidTr="000242C7">
        <w:tc>
          <w:tcPr>
            <w:tcW w:w="5000" w:type="pct"/>
            <w:gridSpan w:val="7"/>
            <w:shd w:val="clear" w:color="auto" w:fill="B8CCE4" w:themeFill="accent1" w:themeFillTint="66"/>
            <w:vAlign w:val="center"/>
          </w:tcPr>
          <w:p w:rsidR="00C74A12" w:rsidRPr="000902D9" w:rsidRDefault="008C0596" w:rsidP="008C0596">
            <w:pPr>
              <w:pStyle w:val="Tableheadingrow"/>
            </w:pPr>
            <w:r>
              <w:t>Total</w:t>
            </w:r>
            <w:r w:rsidR="00C74A12">
              <w:t xml:space="preserve"> cost from </w:t>
            </w:r>
            <w:r>
              <w:t>March 2019</w:t>
            </w:r>
            <w:r w:rsidR="00C74A12">
              <w:t xml:space="preserve"> submission</w:t>
            </w:r>
            <w:r>
              <w:t xml:space="preserve"> (inclusive of </w:t>
            </w:r>
            <w:r w:rsidR="00FC537F">
              <w:rPr>
                <w:noProof/>
                <w:color w:val="000000"/>
                <w:highlight w:val="black"/>
              </w:rPr>
              <w:t>'''''''''</w:t>
            </w:r>
            <w:r>
              <w:t>% rebate)</w:t>
            </w:r>
            <w:r w:rsidRPr="008C0596">
              <w:rPr>
                <w:vertAlign w:val="superscript"/>
              </w:rPr>
              <w:t>d</w:t>
            </w:r>
          </w:p>
        </w:tc>
      </w:tr>
      <w:tr w:rsidR="00C74A12" w:rsidRPr="003639A6" w:rsidTr="000242C7">
        <w:tc>
          <w:tcPr>
            <w:tcW w:w="1116" w:type="pct"/>
            <w:shd w:val="clear" w:color="auto" w:fill="B8CCE4" w:themeFill="accent1" w:themeFillTint="66"/>
            <w:vAlign w:val="center"/>
          </w:tcPr>
          <w:p w:rsidR="00C74A12" w:rsidRPr="00CB38A0" w:rsidRDefault="008C0596" w:rsidP="008C0596">
            <w:pPr>
              <w:pStyle w:val="TableText"/>
              <w:rPr>
                <w:sz w:val="19"/>
                <w:szCs w:val="19"/>
                <w:vertAlign w:val="superscript"/>
              </w:rPr>
            </w:pPr>
            <w:r>
              <w:rPr>
                <w:sz w:val="19"/>
                <w:szCs w:val="19"/>
              </w:rPr>
              <w:t xml:space="preserve">Total cost excl </w:t>
            </w:r>
            <w:r w:rsidR="00FB4613">
              <w:rPr>
                <w:sz w:val="19"/>
                <w:szCs w:val="19"/>
              </w:rPr>
              <w:t>co-pay</w:t>
            </w:r>
          </w:p>
        </w:tc>
        <w:tc>
          <w:tcPr>
            <w:tcW w:w="647" w:type="pct"/>
            <w:shd w:val="clear" w:color="auto" w:fill="B8CCE4" w:themeFill="accent1" w:themeFillTint="66"/>
          </w:tcPr>
          <w:p w:rsidR="00C74A12" w:rsidRPr="003806F0" w:rsidRDefault="00C74A12" w:rsidP="000242C7">
            <w:pPr>
              <w:pStyle w:val="TableText"/>
              <w:jc w:val="center"/>
            </w:pPr>
            <w:r w:rsidRPr="003806F0">
              <w:t>$</w:t>
            </w:r>
            <w:r w:rsidR="00FC537F">
              <w:rPr>
                <w:noProof/>
                <w:color w:val="000000"/>
                <w:highlight w:val="black"/>
              </w:rPr>
              <w:t>''''''''''''''''''''''''''''</w:t>
            </w:r>
          </w:p>
        </w:tc>
        <w:tc>
          <w:tcPr>
            <w:tcW w:w="647" w:type="pct"/>
            <w:shd w:val="clear" w:color="auto" w:fill="B8CCE4" w:themeFill="accent1" w:themeFillTint="66"/>
          </w:tcPr>
          <w:p w:rsidR="00C74A12" w:rsidRPr="003806F0" w:rsidRDefault="00C74A12" w:rsidP="000242C7">
            <w:pPr>
              <w:pStyle w:val="TableText"/>
              <w:jc w:val="center"/>
            </w:pPr>
            <w:r w:rsidRPr="003806F0">
              <w:t>$</w:t>
            </w:r>
            <w:r w:rsidR="00FC537F">
              <w:rPr>
                <w:noProof/>
                <w:color w:val="000000"/>
                <w:highlight w:val="black"/>
              </w:rPr>
              <w:t>'''''''''''''''''''''''''</w:t>
            </w:r>
          </w:p>
        </w:tc>
        <w:tc>
          <w:tcPr>
            <w:tcW w:w="647" w:type="pct"/>
            <w:shd w:val="clear" w:color="auto" w:fill="B8CCE4" w:themeFill="accent1" w:themeFillTint="66"/>
          </w:tcPr>
          <w:p w:rsidR="00C74A12" w:rsidRPr="003806F0" w:rsidRDefault="00C74A12" w:rsidP="000242C7">
            <w:pPr>
              <w:pStyle w:val="TableText"/>
              <w:jc w:val="center"/>
            </w:pPr>
            <w:r w:rsidRPr="003806F0">
              <w:t>$</w:t>
            </w:r>
            <w:r w:rsidR="00FC537F">
              <w:rPr>
                <w:noProof/>
                <w:color w:val="000000"/>
                <w:highlight w:val="black"/>
              </w:rPr>
              <w:t>''''''''''''''''''''''''</w:t>
            </w:r>
          </w:p>
        </w:tc>
        <w:tc>
          <w:tcPr>
            <w:tcW w:w="647" w:type="pct"/>
            <w:shd w:val="clear" w:color="auto" w:fill="B8CCE4" w:themeFill="accent1" w:themeFillTint="66"/>
          </w:tcPr>
          <w:p w:rsidR="00C74A12" w:rsidRPr="003806F0" w:rsidRDefault="00C74A12" w:rsidP="000242C7">
            <w:pPr>
              <w:pStyle w:val="TableText"/>
              <w:jc w:val="center"/>
            </w:pPr>
            <w:r w:rsidRPr="003806F0">
              <w:t>$</w:t>
            </w:r>
            <w:r w:rsidR="00FC537F">
              <w:rPr>
                <w:noProof/>
                <w:color w:val="000000"/>
                <w:highlight w:val="black"/>
              </w:rPr>
              <w:t>'''''''''''''''''''''''''''''</w:t>
            </w:r>
          </w:p>
        </w:tc>
        <w:tc>
          <w:tcPr>
            <w:tcW w:w="647" w:type="pct"/>
            <w:shd w:val="clear" w:color="auto" w:fill="B8CCE4" w:themeFill="accent1" w:themeFillTint="66"/>
          </w:tcPr>
          <w:p w:rsidR="00C74A12" w:rsidRPr="003806F0" w:rsidRDefault="00C74A12" w:rsidP="000242C7">
            <w:pPr>
              <w:pStyle w:val="TableText"/>
              <w:jc w:val="center"/>
            </w:pPr>
            <w:r w:rsidRPr="003806F0">
              <w:t>$</w:t>
            </w:r>
            <w:r w:rsidR="00FC537F">
              <w:rPr>
                <w:noProof/>
                <w:color w:val="000000"/>
                <w:highlight w:val="black"/>
              </w:rPr>
              <w:t>''''''''''''''''''''''''''''''''</w:t>
            </w:r>
          </w:p>
        </w:tc>
        <w:tc>
          <w:tcPr>
            <w:tcW w:w="649" w:type="pct"/>
            <w:shd w:val="clear" w:color="auto" w:fill="B8CCE4" w:themeFill="accent1" w:themeFillTint="66"/>
          </w:tcPr>
          <w:p w:rsidR="00C74A12" w:rsidRPr="003806F0" w:rsidRDefault="00C74A12" w:rsidP="000242C7">
            <w:pPr>
              <w:pStyle w:val="TableText"/>
              <w:jc w:val="center"/>
            </w:pPr>
            <w:r w:rsidRPr="003806F0">
              <w:t>$</w:t>
            </w:r>
            <w:r w:rsidR="00FC537F">
              <w:rPr>
                <w:noProof/>
                <w:color w:val="000000"/>
                <w:highlight w:val="black"/>
              </w:rPr>
              <w:t>''''''''''''''''''''''''''''''''</w:t>
            </w:r>
          </w:p>
        </w:tc>
      </w:tr>
    </w:tbl>
    <w:p w:rsidR="00C74A12" w:rsidRDefault="00C74A12" w:rsidP="00C74A12">
      <w:pPr>
        <w:pStyle w:val="TableFigureFooter"/>
      </w:pPr>
      <w:r>
        <w:t xml:space="preserve">Source: </w:t>
      </w:r>
      <w:r w:rsidRPr="000A6039">
        <w:t>Table</w:t>
      </w:r>
      <w:r>
        <w:t xml:space="preserve"> 4.2.1, Table 4.2.2, p287 of</w:t>
      </w:r>
      <w:r w:rsidRPr="000A6039">
        <w:t xml:space="preserve"> the </w:t>
      </w:r>
      <w:r>
        <w:t>re</w:t>
      </w:r>
      <w:r w:rsidRPr="000A6039">
        <w:t>submission</w:t>
      </w:r>
      <w:r>
        <w:t>.</w:t>
      </w:r>
    </w:p>
    <w:p w:rsidR="00C74A12" w:rsidRDefault="00C74A12" w:rsidP="00C74A12">
      <w:pPr>
        <w:pStyle w:val="TableFigureFooter"/>
      </w:pPr>
      <w:r>
        <w:t>DPMQ, dispensed price for maximum quantity</w:t>
      </w:r>
      <w:r w:rsidRPr="000A6039">
        <w:t>.</w:t>
      </w:r>
    </w:p>
    <w:p w:rsidR="00C74A12" w:rsidRDefault="00C74A12" w:rsidP="00C74A12">
      <w:pPr>
        <w:pStyle w:val="TableFigureFooter"/>
      </w:pPr>
      <w:r>
        <w:rPr>
          <w:vertAlign w:val="superscript"/>
        </w:rPr>
        <w:t>a</w:t>
      </w:r>
      <w:r>
        <w:t xml:space="preserve"> uptake rate x total eligible patients. Year 1 also includes </w:t>
      </w:r>
      <w:r w:rsidR="00FC537F">
        <w:rPr>
          <w:noProof/>
          <w:color w:val="000000"/>
          <w:highlight w:val="black"/>
        </w:rPr>
        <w:t>''''''''''''</w:t>
      </w:r>
      <w:r>
        <w:t xml:space="preserve"> grandfathered patients, which are assumed to be accounted for as part of the uptake rate in Years 2-6.</w:t>
      </w:r>
    </w:p>
    <w:p w:rsidR="00C74A12" w:rsidRDefault="00C74A12" w:rsidP="00C74A12">
      <w:pPr>
        <w:pStyle w:val="TableFigureFooter"/>
      </w:pPr>
      <w:r>
        <w:rPr>
          <w:vertAlign w:val="superscript"/>
        </w:rPr>
        <w:t>b</w:t>
      </w:r>
      <w:r>
        <w:t xml:space="preserve"> 10.66 scripts/patient/year based on compliance of 87.5%</w:t>
      </w:r>
    </w:p>
    <w:p w:rsidR="00C74A12" w:rsidRDefault="008C0596" w:rsidP="00C74A12">
      <w:pPr>
        <w:pStyle w:val="TableFigureFooter"/>
      </w:pPr>
      <w:r>
        <w:rPr>
          <w:vertAlign w:val="superscript"/>
        </w:rPr>
        <w:t xml:space="preserve">c </w:t>
      </w:r>
      <w:r w:rsidR="00C74A12" w:rsidRPr="00CF7050">
        <w:t>Weighted average patient co</w:t>
      </w:r>
      <w:r w:rsidR="00FB4613">
        <w:t>-</w:t>
      </w:r>
      <w:r w:rsidR="00C74A12" w:rsidRPr="00CF7050">
        <w:t>payment of $5.06 for PBS and $4.81 for RPBS.</w:t>
      </w:r>
    </w:p>
    <w:p w:rsidR="00C74A12" w:rsidRPr="00CB38A0" w:rsidRDefault="008C0596" w:rsidP="00C74A12">
      <w:pPr>
        <w:pStyle w:val="TableFigureFooter"/>
      </w:pPr>
      <w:r>
        <w:rPr>
          <w:vertAlign w:val="superscript"/>
        </w:rPr>
        <w:t>d</w:t>
      </w:r>
      <w:r>
        <w:t> </w:t>
      </w:r>
      <w:r w:rsidR="00C74A12">
        <w:t xml:space="preserve">Based on previous submission’s proposed risk share arrangement with </w:t>
      </w:r>
      <w:r w:rsidR="00FC537F">
        <w:rPr>
          <w:noProof/>
          <w:color w:val="000000"/>
          <w:highlight w:val="black"/>
        </w:rPr>
        <w:t>''''''''''</w:t>
      </w:r>
      <w:r w:rsidR="00C74A12">
        <w:t>% rebate applied to patients with CAD only and PAD only.</w:t>
      </w:r>
    </w:p>
    <w:p w:rsidR="00B41631" w:rsidRPr="00617EE2" w:rsidRDefault="00B41631" w:rsidP="00617EE2">
      <w:pPr>
        <w:pStyle w:val="ExecSumBodyText"/>
        <w:numPr>
          <w:ilvl w:val="0"/>
          <w:numId w:val="0"/>
        </w:numPr>
        <w:ind w:left="720"/>
        <w:rPr>
          <w:i/>
        </w:rPr>
      </w:pPr>
      <w:r w:rsidRPr="00617EE2">
        <w:rPr>
          <w:i/>
        </w:rPr>
        <w:t>The redacted tabl</w:t>
      </w:r>
      <w:bookmarkStart w:id="26" w:name="_GoBack"/>
      <w:bookmarkEnd w:id="26"/>
      <w:r w:rsidRPr="00617EE2">
        <w:rPr>
          <w:i/>
        </w:rPr>
        <w:t xml:space="preserve">e shows that at Year 6, the estimated number of patients was </w:t>
      </w:r>
      <w:r w:rsidR="00313AF9" w:rsidRPr="00617EE2">
        <w:rPr>
          <w:i/>
        </w:rPr>
        <w:t xml:space="preserve">100,000 – 200,000 per year </w:t>
      </w:r>
      <w:r w:rsidRPr="00617EE2">
        <w:rPr>
          <w:i/>
        </w:rPr>
        <w:t xml:space="preserve">and the net cost to the PBS would be </w:t>
      </w:r>
      <w:r w:rsidR="00313AF9" w:rsidRPr="00617EE2">
        <w:rPr>
          <w:i/>
        </w:rPr>
        <w:t>$30 - $60 million.</w:t>
      </w:r>
    </w:p>
    <w:p w:rsidR="00C74A12" w:rsidRPr="00DA2857" w:rsidRDefault="00693F36" w:rsidP="00C74A12">
      <w:pPr>
        <w:pStyle w:val="ExecSumBodyText"/>
      </w:pPr>
      <w:r>
        <w:t xml:space="preserve">The resubmission estimated that </w:t>
      </w:r>
      <w:r w:rsidR="00C74A12" w:rsidRPr="00DA2857">
        <w:t>the total cost to the PBS/RPBS of listing rivaroxaban (less patient co</w:t>
      </w:r>
      <w:r w:rsidR="00FB4613">
        <w:t>-</w:t>
      </w:r>
      <w:r w:rsidR="00C74A12" w:rsidRPr="00DA2857">
        <w:t xml:space="preserve">payments) </w:t>
      </w:r>
      <w:r>
        <w:t>would</w:t>
      </w:r>
      <w:r w:rsidR="00C74A12" w:rsidRPr="00DA2857">
        <w:t xml:space="preserve"> be </w:t>
      </w:r>
      <w:r w:rsidR="005E5B29">
        <w:t>$60 - $100</w:t>
      </w:r>
      <w:r w:rsidR="00C93F06" w:rsidRPr="00DA2857">
        <w:t> </w:t>
      </w:r>
      <w:r w:rsidR="00C74A12" w:rsidRPr="00DA2857">
        <w:t xml:space="preserve">million in Year 6, and a total of </w:t>
      </w:r>
      <w:r w:rsidR="005E5B29">
        <w:t>more than $100</w:t>
      </w:r>
      <w:r w:rsidR="00C74A12" w:rsidRPr="00DA2857">
        <w:t xml:space="preserve"> million in the first 6 years of listing</w:t>
      </w:r>
      <w:r w:rsidR="00C93F06" w:rsidRPr="00DA2857">
        <w:t xml:space="preserve">. </w:t>
      </w:r>
      <w:r w:rsidR="00BD07E0">
        <w:t xml:space="preserve">This was reduced in the pre-PBAC response to </w:t>
      </w:r>
      <w:r w:rsidR="005E5B29">
        <w:t>$30 - $60</w:t>
      </w:r>
      <w:r w:rsidR="00BD07E0">
        <w:t xml:space="preserve"> million in Year 6, and a total of </w:t>
      </w:r>
      <w:r w:rsidR="005E5B29">
        <w:t>more than $100</w:t>
      </w:r>
      <w:r w:rsidR="00BD07E0">
        <w:t xml:space="preserve"> million i</w:t>
      </w:r>
      <w:r w:rsidR="00D32BF3">
        <w:t>n the first 6 years of listing.</w:t>
      </w:r>
    </w:p>
    <w:p w:rsidR="00C74A12" w:rsidRPr="00DA2857" w:rsidRDefault="00C74A12" w:rsidP="00C74A12">
      <w:pPr>
        <w:pStyle w:val="ExecSumBodyText"/>
      </w:pPr>
      <w:r w:rsidRPr="00DA2857">
        <w:t>The utilisation/financial estimates were uncertain due to the following issues:</w:t>
      </w:r>
    </w:p>
    <w:p w:rsidR="00C74A12" w:rsidRPr="00DA2857" w:rsidRDefault="00C74A12" w:rsidP="00BD1BEC">
      <w:pPr>
        <w:pStyle w:val="ExecSumBodyText"/>
        <w:numPr>
          <w:ilvl w:val="1"/>
          <w:numId w:val="19"/>
        </w:numPr>
        <w:ind w:left="1066" w:hanging="357"/>
        <w:contextualSpacing/>
      </w:pPr>
      <w:r w:rsidRPr="00DA2857">
        <w:t xml:space="preserve">The PBAC previously considered that the Western Australian linked health data were likely to be the best available </w:t>
      </w:r>
      <w:r w:rsidRPr="00DA2857">
        <w:rPr>
          <w:iCs/>
        </w:rPr>
        <w:t>data to inform epidemiology estimates. However, the reliability of hospital administrative data to predict underlying cardiovascular disease prevalence is unclear. The resubmission acknowledge</w:t>
      </w:r>
      <w:r w:rsidR="003B6B4C">
        <w:rPr>
          <w:iCs/>
        </w:rPr>
        <w:t xml:space="preserve">d </w:t>
      </w:r>
      <w:r w:rsidRPr="00DA2857">
        <w:rPr>
          <w:iCs/>
        </w:rPr>
        <w:t xml:space="preserve">that the estimated eligible population may have been underestimated due to reliance on hospital admission records for case identification. </w:t>
      </w:r>
      <w:r w:rsidR="001C3F78" w:rsidRPr="00DA2857">
        <w:rPr>
          <w:iCs/>
        </w:rPr>
        <w:t xml:space="preserve">The PSCR </w:t>
      </w:r>
      <w:r w:rsidR="00F06E37" w:rsidRPr="00DA2857">
        <w:rPr>
          <w:iCs/>
        </w:rPr>
        <w:t xml:space="preserve">acknowledged the limitations of the dataset but </w:t>
      </w:r>
      <w:r w:rsidR="001C3F78" w:rsidRPr="00DA2857">
        <w:rPr>
          <w:iCs/>
        </w:rPr>
        <w:t xml:space="preserve">argued that </w:t>
      </w:r>
      <w:r w:rsidR="00F06E37" w:rsidRPr="00DA2857">
        <w:rPr>
          <w:iCs/>
        </w:rPr>
        <w:t xml:space="preserve">it </w:t>
      </w:r>
      <w:r w:rsidR="001C3F78" w:rsidRPr="00DA2857">
        <w:rPr>
          <w:iCs/>
        </w:rPr>
        <w:t xml:space="preserve">continues to provide the best </w:t>
      </w:r>
      <w:r w:rsidR="009268DA" w:rsidRPr="00DA2857">
        <w:rPr>
          <w:iCs/>
        </w:rPr>
        <w:t>information</w:t>
      </w:r>
      <w:r w:rsidR="001C3F78" w:rsidRPr="00DA2857">
        <w:rPr>
          <w:iCs/>
        </w:rPr>
        <w:t xml:space="preserve"> to inform epidemiology estimates.</w:t>
      </w:r>
      <w:r w:rsidR="00F06E37" w:rsidRPr="00DA2857">
        <w:rPr>
          <w:iCs/>
        </w:rPr>
        <w:t xml:space="preserve"> The ESC considered </w:t>
      </w:r>
      <w:r w:rsidR="00FC59C8" w:rsidRPr="00DA2857">
        <w:rPr>
          <w:iCs/>
        </w:rPr>
        <w:t>the</w:t>
      </w:r>
      <w:r w:rsidR="00B27F3D" w:rsidRPr="00DA2857">
        <w:rPr>
          <w:iCs/>
        </w:rPr>
        <w:t>re is remaining uncertainty with respect to the</w:t>
      </w:r>
      <w:r w:rsidR="00FC59C8" w:rsidRPr="00DA2857">
        <w:rPr>
          <w:iCs/>
        </w:rPr>
        <w:t xml:space="preserve"> eligible population</w:t>
      </w:r>
      <w:r w:rsidR="00B27F3D" w:rsidRPr="00DA2857">
        <w:rPr>
          <w:iCs/>
        </w:rPr>
        <w:t>.</w:t>
      </w:r>
      <w:r w:rsidR="00FC59C8" w:rsidRPr="00DA2857">
        <w:rPr>
          <w:iCs/>
        </w:rPr>
        <w:t xml:space="preserve"> </w:t>
      </w:r>
    </w:p>
    <w:p w:rsidR="00C74A12" w:rsidRPr="00DA2857" w:rsidRDefault="00C74A12" w:rsidP="009A07CB">
      <w:pPr>
        <w:pStyle w:val="ExecSumBodyText"/>
        <w:numPr>
          <w:ilvl w:val="1"/>
          <w:numId w:val="19"/>
        </w:numPr>
        <w:ind w:left="1066" w:hanging="357"/>
      </w:pPr>
      <w:r w:rsidRPr="00DA2857">
        <w:t>Compliance rates used in the</w:t>
      </w:r>
      <w:r w:rsidR="00F12358">
        <w:t xml:space="preserve"> resubmission’s</w:t>
      </w:r>
      <w:r w:rsidRPr="00DA2857">
        <w:t xml:space="preserve"> financial impact estimates were based on weighted average numbers of compliant patients across 42 months of </w:t>
      </w:r>
      <w:r w:rsidRPr="00DA2857">
        <w:lastRenderedPageBreak/>
        <w:t>the COMPASS trial. Compliance estimates reported in the clinical trial setting are unlikely to be representative of clinical practice, particularly given that patients with poor adherence were excluded from the COMPASS trial during the run-in period</w:t>
      </w:r>
      <w:r w:rsidR="006F1F38" w:rsidRPr="00DA2857">
        <w:t xml:space="preserve">, and are therefore potentially overstated. </w:t>
      </w:r>
      <w:r w:rsidR="007F21AB" w:rsidRPr="00DA2857">
        <w:t xml:space="preserve">The ESC further noted that the compliance rates in the trial decreased over time (per Table 18) which may not have been adequately accounted for in the weighted average approach used, given no data were available beyond 42 months. </w:t>
      </w:r>
      <w:r w:rsidRPr="00DA2857">
        <w:t xml:space="preserve">The approach used in </w:t>
      </w:r>
      <w:r w:rsidR="00E43285" w:rsidRPr="00DA2857">
        <w:t xml:space="preserve">the </w:t>
      </w:r>
      <w:r w:rsidRPr="00DA2857">
        <w:t>financial estimates was inconsistent with the economic model, which did not explicitly model compliance</w:t>
      </w:r>
      <w:r w:rsidR="00E43285" w:rsidRPr="00DA2857">
        <w:t xml:space="preserve"> but did model persistence</w:t>
      </w:r>
      <w:r w:rsidRPr="00DA2857">
        <w:t>.</w:t>
      </w:r>
      <w:r w:rsidR="00E43285" w:rsidRPr="00DA2857">
        <w:t xml:space="preserve"> The persistence rates applied in the economic model (based on a 10% </w:t>
      </w:r>
      <w:r w:rsidR="00CD20F2">
        <w:t>PBS</w:t>
      </w:r>
      <w:r w:rsidR="00E43285" w:rsidRPr="00DA2857">
        <w:t xml:space="preserve"> sample of rivaroxaban for stroke prevention in atrial fibrillation) were lower than the compliance rate applied in the financial estimates, which contributed </w:t>
      </w:r>
      <w:r w:rsidR="004E408E" w:rsidRPr="00DA2857">
        <w:t>to a large difference in the average number of scripts per patient between the economic model and financial estimates (refer to Table 18 in the ‘Drug cost/patient/year’ section).</w:t>
      </w:r>
      <w:r w:rsidR="00E43285" w:rsidRPr="00DA2857">
        <w:t xml:space="preserve"> </w:t>
      </w:r>
      <w:r w:rsidR="00C01A84">
        <w:t>Th</w:t>
      </w:r>
      <w:r w:rsidR="003B6B4C">
        <w:t>e</w:t>
      </w:r>
      <w:r w:rsidR="006C537B">
        <w:t xml:space="preserve"> </w:t>
      </w:r>
      <w:r w:rsidR="00C01A84">
        <w:t xml:space="preserve">pre-PBAC </w:t>
      </w:r>
      <w:r w:rsidR="00FB4613">
        <w:t>response provided</w:t>
      </w:r>
      <w:r w:rsidR="002A76B7">
        <w:t xml:space="preserve"> updated estimates</w:t>
      </w:r>
      <w:r w:rsidR="003B6B4C">
        <w:t xml:space="preserve"> (</w:t>
      </w:r>
      <w:r w:rsidR="003B6B4C" w:rsidRPr="003B6B4C">
        <w:t>based on 10% sample data for rivaroxaban in the non-valvular atrial fibrillation indication</w:t>
      </w:r>
      <w:r w:rsidR="003B6B4C">
        <w:t>)</w:t>
      </w:r>
      <w:r w:rsidR="002A76B7">
        <w:t xml:space="preserve"> </w:t>
      </w:r>
      <w:r w:rsidR="003B6B4C">
        <w:t xml:space="preserve">which </w:t>
      </w:r>
      <w:r w:rsidR="002A76B7">
        <w:t>reduc</w:t>
      </w:r>
      <w:r w:rsidR="003B6B4C">
        <w:t>ed</w:t>
      </w:r>
      <w:r w:rsidR="002A76B7">
        <w:t xml:space="preserve"> the compliance rate from 87.5% to 76%</w:t>
      </w:r>
      <w:r w:rsidR="00C01A84">
        <w:t xml:space="preserve">. </w:t>
      </w:r>
    </w:p>
    <w:p w:rsidR="00132A57" w:rsidRPr="00DA2857" w:rsidRDefault="004021D2" w:rsidP="00C0246E">
      <w:pPr>
        <w:pStyle w:val="ExecSumBodyText"/>
      </w:pPr>
      <w:r w:rsidRPr="00DA2857">
        <w:t>The PBAC previously considered that uptake rates in the March 2019 submission were likely to have been substantially overestimated</w:t>
      </w:r>
      <w:r w:rsidR="0083490F" w:rsidRPr="00DA2857">
        <w:t xml:space="preserve">. The </w:t>
      </w:r>
      <w:r w:rsidR="00740638" w:rsidRPr="00DA2857">
        <w:t>ESC</w:t>
      </w:r>
      <w:r w:rsidR="0083490F" w:rsidRPr="00DA2857">
        <w:t xml:space="preserve"> </w:t>
      </w:r>
      <w:r w:rsidR="007A3CFD" w:rsidRPr="00DA2857">
        <w:t>considered</w:t>
      </w:r>
      <w:r w:rsidR="0083490F" w:rsidRPr="00DA2857">
        <w:t xml:space="preserve"> that the addition of another antithrombotic agent on a twice daily basis would add considerably to the overall “pill burden” on these patents, which is already high in patients on secondary prevention strategies, as well as add minor and major bleeding risks. The PBAC </w:t>
      </w:r>
      <w:r w:rsidR="00740638" w:rsidRPr="00DA2857">
        <w:t xml:space="preserve">previously considered </w:t>
      </w:r>
      <w:r w:rsidR="0083490F" w:rsidRPr="00DA2857">
        <w:t>that uptake was also likely to be lower than forecast</w:t>
      </w:r>
      <w:r w:rsidRPr="00DA2857">
        <w:t xml:space="preserve"> due to </w:t>
      </w:r>
      <w:r w:rsidR="0083490F" w:rsidRPr="00DA2857">
        <w:t>some</w:t>
      </w:r>
      <w:r w:rsidRPr="00DA2857">
        <w:t xml:space="preserve"> uncertainty in the risk/benefit profile of rivaroxaban for individual patients and a general reluctance from GPs to prescribe rivaroxaban without considerable guidance from specialists (paragraph 7.14, Rivaroxaban Public Summary Document, March 2019 PBAC meeting). </w:t>
      </w:r>
      <w:r w:rsidR="0083490F" w:rsidRPr="00DA2857">
        <w:t xml:space="preserve">This reluctance would be higher given that patients would be on both an antiplatelet agent and an anticoagulant, a combination that has historically been </w:t>
      </w:r>
      <w:r w:rsidR="00361F1E" w:rsidRPr="00DA2857">
        <w:t>discouraged</w:t>
      </w:r>
      <w:r w:rsidR="0083490F" w:rsidRPr="00DA2857">
        <w:t>. Despite this, e</w:t>
      </w:r>
      <w:r w:rsidRPr="00DA2857">
        <w:t>stimated uptake rates in the pooled population were higher in the current resubmission compared to the previous submission</w:t>
      </w:r>
      <w:r w:rsidR="006C2112" w:rsidRPr="00DA2857">
        <w:t>,</w:t>
      </w:r>
      <w:r w:rsidRPr="00DA2857">
        <w:t xml:space="preserve"> which </w:t>
      </w:r>
      <w:r w:rsidR="006C2112" w:rsidRPr="00DA2857">
        <w:t>the resubmission</w:t>
      </w:r>
      <w:r w:rsidRPr="00DA2857">
        <w:t xml:space="preserve"> justified based on market research (from both GPs and specialists) for the </w:t>
      </w:r>
      <w:r w:rsidR="006C2112" w:rsidRPr="00DA2857">
        <w:t>four</w:t>
      </w:r>
      <w:r w:rsidRPr="00DA2857">
        <w:t xml:space="preserve"> individual subgroup populations. Faster uptake was assumed in the PAD populations due to a perceived unmet clinical need for treatment</w:t>
      </w:r>
      <w:r w:rsidR="006C2112" w:rsidRPr="00DA2857">
        <w:t>s</w:t>
      </w:r>
      <w:r w:rsidRPr="00DA2857">
        <w:t xml:space="preserve"> to manage PAD. </w:t>
      </w:r>
      <w:r w:rsidR="0083490F" w:rsidRPr="00DA2857">
        <w:t xml:space="preserve">The ESC </w:t>
      </w:r>
      <w:r w:rsidR="00A64AFB" w:rsidRPr="00DA2857">
        <w:t>considered</w:t>
      </w:r>
      <w:r w:rsidR="0083490F" w:rsidRPr="00DA2857">
        <w:t xml:space="preserve"> that any market research would likely overestimate enthusiasm to prescribe both rivaroxaban and aspirin due to </w:t>
      </w:r>
      <w:r w:rsidR="00361F1E" w:rsidRPr="00DA2857">
        <w:t xml:space="preserve">likely </w:t>
      </w:r>
      <w:r w:rsidR="0083490F" w:rsidRPr="00DA2857">
        <w:t xml:space="preserve">bias in the sampling and the likely higher enthusiasm for new therapies in those who answer surveys as opposed to those who do not. </w:t>
      </w:r>
      <w:r w:rsidR="00132A57">
        <w:t xml:space="preserve">The pre-PBAC response </w:t>
      </w:r>
      <w:r w:rsidR="001A31F0">
        <w:t xml:space="preserve">reduced </w:t>
      </w:r>
      <w:r w:rsidR="00C0246E">
        <w:t xml:space="preserve">the </w:t>
      </w:r>
      <w:r w:rsidR="001A31F0">
        <w:t>uptake rates for the pooled target population</w:t>
      </w:r>
      <w:r w:rsidR="002A76B7">
        <w:t xml:space="preserve"> </w:t>
      </w:r>
      <w:r w:rsidR="00C0246E">
        <w:t xml:space="preserve">(in Year 6 the uptake rates were </w:t>
      </w:r>
      <w:r w:rsidR="00FC537F">
        <w:rPr>
          <w:noProof/>
          <w:color w:val="000000"/>
          <w:highlight w:val="black"/>
        </w:rPr>
        <w:t>'''''</w:t>
      </w:r>
      <w:r w:rsidR="00C0246E">
        <w:t xml:space="preserve">% in the resubmission versus </w:t>
      </w:r>
      <w:r w:rsidR="00FC537F">
        <w:rPr>
          <w:noProof/>
          <w:color w:val="000000"/>
          <w:highlight w:val="black"/>
        </w:rPr>
        <w:t>'''''</w:t>
      </w:r>
      <w:r w:rsidR="00C0246E">
        <w:t>% in the pre-PBAC response). The reduced estimates in the pre-PBAC response were based on the lower limit of the 95% CI from the market research.</w:t>
      </w:r>
    </w:p>
    <w:p w:rsidR="0083490F" w:rsidRPr="00DA2857" w:rsidRDefault="0083490F" w:rsidP="00C93F06">
      <w:pPr>
        <w:pStyle w:val="ExecSumBodyText"/>
      </w:pPr>
      <w:r w:rsidRPr="00DA2857">
        <w:t xml:space="preserve">Overall, the ESC </w:t>
      </w:r>
      <w:r w:rsidR="006F1F38" w:rsidRPr="00DA2857">
        <w:t>considered</w:t>
      </w:r>
      <w:r w:rsidRPr="00DA2857">
        <w:t xml:space="preserve"> that the </w:t>
      </w:r>
      <w:r w:rsidR="006F1F38" w:rsidRPr="00DA2857">
        <w:t xml:space="preserve">financial </w:t>
      </w:r>
      <w:r w:rsidRPr="00DA2857">
        <w:t>estimates</w:t>
      </w:r>
      <w:r w:rsidR="006F1F38" w:rsidRPr="00DA2857">
        <w:t xml:space="preserve"> were high and uncertain</w:t>
      </w:r>
      <w:r w:rsidR="00695483" w:rsidRPr="00DA2857">
        <w:t xml:space="preserve">, with </w:t>
      </w:r>
      <w:r w:rsidR="00DC12F7" w:rsidRPr="00DA2857">
        <w:t xml:space="preserve">the greatest uncertainty being </w:t>
      </w:r>
      <w:r w:rsidR="00740638" w:rsidRPr="00DA2857">
        <w:t xml:space="preserve">the </w:t>
      </w:r>
      <w:r w:rsidR="001F615B" w:rsidRPr="00DA2857">
        <w:t xml:space="preserve">likely overestimated </w:t>
      </w:r>
      <w:r w:rsidR="00695483" w:rsidRPr="00DA2857">
        <w:t xml:space="preserve">uptake rate. </w:t>
      </w:r>
      <w:r w:rsidR="00EC0A98" w:rsidRPr="00DA2857">
        <w:t>The ESC consi</w:t>
      </w:r>
      <w:r w:rsidR="00886D52" w:rsidRPr="00DA2857">
        <w:t xml:space="preserve">dered that conservative assumptions would be required for the financial </w:t>
      </w:r>
      <w:r w:rsidR="00886D52" w:rsidRPr="00DA2857">
        <w:lastRenderedPageBreak/>
        <w:t>estimates, which are being used to inform a</w:t>
      </w:r>
      <w:r w:rsidR="00102174" w:rsidRPr="00DA2857">
        <w:t xml:space="preserve"> risk sharing arrangement</w:t>
      </w:r>
      <w:r w:rsidR="00886D52" w:rsidRPr="00DA2857">
        <w:t>,</w:t>
      </w:r>
      <w:r w:rsidR="00285B05" w:rsidRPr="00DA2857">
        <w:t xml:space="preserve"> in order</w:t>
      </w:r>
      <w:r w:rsidR="00886D52" w:rsidRPr="00DA2857">
        <w:t xml:space="preserve"> to provide a greater level of confidence that utilisation reflects only the </w:t>
      </w:r>
      <w:r w:rsidR="00C93F06" w:rsidRPr="00DA2857">
        <w:t>intended</w:t>
      </w:r>
      <w:r w:rsidR="00886D52" w:rsidRPr="00DA2857">
        <w:t xml:space="preserve"> high risk population</w:t>
      </w:r>
      <w:r w:rsidR="00DC12F7" w:rsidRPr="00DA2857">
        <w:t xml:space="preserve"> on which the economic model was based</w:t>
      </w:r>
      <w:r w:rsidR="006E4A1E">
        <w:t>.</w:t>
      </w:r>
    </w:p>
    <w:p w:rsidR="00AB34CA" w:rsidRDefault="00AB34CA" w:rsidP="00AB34CA">
      <w:pPr>
        <w:pStyle w:val="ExecSumBodyText"/>
      </w:pPr>
      <w:r>
        <w:t xml:space="preserve">The pre-PBAC response </w:t>
      </w:r>
      <w:r w:rsidR="00C0246E">
        <w:t xml:space="preserve">also </w:t>
      </w:r>
      <w:r w:rsidR="00AB6240">
        <w:t>estim</w:t>
      </w:r>
      <w:r>
        <w:t>ated</w:t>
      </w:r>
      <w:r w:rsidR="00CE65C1">
        <w:t xml:space="preserve"> the</w:t>
      </w:r>
      <w:r>
        <w:t xml:space="preserve"> </w:t>
      </w:r>
      <w:r w:rsidR="00C0246E">
        <w:t xml:space="preserve">impact </w:t>
      </w:r>
      <w:r w:rsidR="00CD20F2">
        <w:t>on utilisation due to</w:t>
      </w:r>
      <w:r w:rsidR="00C0246E">
        <w:t xml:space="preserve"> the </w:t>
      </w:r>
      <w:r w:rsidR="00CE65C1">
        <w:rPr>
          <w:lang w:val="en-US"/>
        </w:rPr>
        <w:t>ESC’s suggested changes</w:t>
      </w:r>
      <w:r w:rsidR="00C0246E" w:rsidRPr="00DA2857">
        <w:rPr>
          <w:lang w:val="en-US"/>
        </w:rPr>
        <w:t xml:space="preserve"> to the restriction (inclusion of patients with CAD and diabetes which may increase patient numbers, and further targeting of the PAD only population which may reduce patient numbers)</w:t>
      </w:r>
      <w:r w:rsidR="00CE65C1">
        <w:rPr>
          <w:lang w:val="en-US"/>
        </w:rPr>
        <w:t xml:space="preserve"> based on data from the Western Australia linked data analysis</w:t>
      </w:r>
      <w:r w:rsidR="00C0246E">
        <w:rPr>
          <w:lang w:val="en-US"/>
        </w:rPr>
        <w:t>.</w:t>
      </w:r>
      <w:r w:rsidR="00C0246E">
        <w:t xml:space="preserve"> The pre-PBAC response estimated that the </w:t>
      </w:r>
      <w:r>
        <w:t xml:space="preserve">restriction </w:t>
      </w:r>
      <w:r w:rsidR="00C0246E">
        <w:t>changes would</w:t>
      </w:r>
      <w:r w:rsidR="00AB6240">
        <w:t xml:space="preserve"> lead to</w:t>
      </w:r>
      <w:r w:rsidR="00C0246E">
        <w:t xml:space="preserve"> an </w:t>
      </w:r>
      <w:r w:rsidR="00AB6240">
        <w:t xml:space="preserve">overall </w:t>
      </w:r>
      <w:r w:rsidR="00C0246E">
        <w:t>increase of</w:t>
      </w:r>
      <w:r>
        <w:t xml:space="preserve"> </w:t>
      </w:r>
      <w:r w:rsidR="00617EE2">
        <w:t xml:space="preserve">less than 10,000 </w:t>
      </w:r>
      <w:r>
        <w:t>patients, compris</w:t>
      </w:r>
      <w:r w:rsidR="00C0246E">
        <w:t>ing</w:t>
      </w:r>
      <w:r>
        <w:t xml:space="preserve"> an increase of</w:t>
      </w:r>
      <w:r w:rsidR="006E4A1E">
        <w:t xml:space="preserve"> </w:t>
      </w:r>
      <w:r w:rsidR="00617EE2">
        <w:t xml:space="preserve">less than 10,000 </w:t>
      </w:r>
      <w:r>
        <w:t>patients with CAD and diabetes, and a reduction of</w:t>
      </w:r>
      <w:r w:rsidR="006E4A1E">
        <w:t xml:space="preserve"> </w:t>
      </w:r>
      <w:r w:rsidR="00617EE2">
        <w:t>less than 10,000</w:t>
      </w:r>
      <w:r w:rsidR="006E4A1E">
        <w:t xml:space="preserve"> </w:t>
      </w:r>
      <w:r>
        <w:t xml:space="preserve">patients with PAD only (i.e. </w:t>
      </w:r>
      <w:r w:rsidR="00AB6240">
        <w:t>without</w:t>
      </w:r>
      <w:r>
        <w:t xml:space="preserve"> concomitant diabetes, HF, or CKD). </w:t>
      </w:r>
      <w:r w:rsidR="00CE65C1">
        <w:t xml:space="preserve">The pre-PBAC response did not include </w:t>
      </w:r>
      <w:r>
        <w:t xml:space="preserve">these additional patients in the revised </w:t>
      </w:r>
      <w:r w:rsidR="008F0963">
        <w:t xml:space="preserve">financial </w:t>
      </w:r>
      <w:r>
        <w:t>estimates</w:t>
      </w:r>
      <w:r w:rsidR="00AB6240">
        <w:t xml:space="preserve"> nor the revised RSA</w:t>
      </w:r>
      <w:r w:rsidR="009A07CB">
        <w:t xml:space="preserve"> caps</w:t>
      </w:r>
      <w:r w:rsidR="00AB6240">
        <w:t xml:space="preserve">. This was likely conservative in the context of an RSA with </w:t>
      </w:r>
      <w:r w:rsidR="00FC537F">
        <w:rPr>
          <w:noProof/>
          <w:color w:val="000000"/>
          <w:highlight w:val="black"/>
        </w:rPr>
        <w:t>''''''''</w:t>
      </w:r>
      <w:r w:rsidR="00AB6240">
        <w:t>% rebate above the caps</w:t>
      </w:r>
      <w:r>
        <w:t xml:space="preserve">. </w:t>
      </w:r>
    </w:p>
    <w:p w:rsidR="00C74A12" w:rsidRPr="00DA2857" w:rsidRDefault="00C93F06" w:rsidP="00CB4858">
      <w:pPr>
        <w:pStyle w:val="ExecSumBodyText"/>
      </w:pPr>
      <w:r w:rsidRPr="00DA2857">
        <w:t xml:space="preserve">The resubmission stated that the sponsor plans to commence a special access program for rivaroxaban in line with the proposed clinical criteria. </w:t>
      </w:r>
      <w:r w:rsidR="00C74A12" w:rsidRPr="00DA2857">
        <w:t xml:space="preserve">There </w:t>
      </w:r>
      <w:r w:rsidR="00FB4613" w:rsidRPr="00DA2857">
        <w:t>were less</w:t>
      </w:r>
      <w:r w:rsidR="00D14A4E">
        <w:t xml:space="preserve"> than 10,000 </w:t>
      </w:r>
      <w:r w:rsidR="00C74A12" w:rsidRPr="00DA2857">
        <w:t xml:space="preserve">grandfathered patients included in the resubmission’s estimates of uptake in Year 1 of listing. </w:t>
      </w:r>
      <w:r w:rsidRPr="00DA2857">
        <w:t xml:space="preserve">The ESC considered this may be double-counting as these patients may already be included in the prevalence-based financial estimates. </w:t>
      </w:r>
    </w:p>
    <w:p w:rsidR="00576972" w:rsidRPr="00C9624D" w:rsidRDefault="00576972" w:rsidP="00606FBA">
      <w:pPr>
        <w:pStyle w:val="3-SubsectionHeading"/>
      </w:pPr>
      <w:bookmarkStart w:id="27" w:name="_Toc22897648"/>
      <w:bookmarkStart w:id="28" w:name="_Toc27421958"/>
      <w:r w:rsidRPr="00C9624D">
        <w:t>Quality Use of Medicines</w:t>
      </w:r>
      <w:bookmarkEnd w:id="27"/>
      <w:bookmarkEnd w:id="28"/>
    </w:p>
    <w:p w:rsidR="00C74A12" w:rsidRPr="00DA2857" w:rsidRDefault="00C74A12" w:rsidP="00C74A12">
      <w:pPr>
        <w:pStyle w:val="ExecSumBodyText"/>
      </w:pPr>
      <w:r w:rsidRPr="00DA2857">
        <w:t>The sponsor listed the following activities to support the quality use of medicines, which were the same as detailed in the previous submission:</w:t>
      </w:r>
    </w:p>
    <w:p w:rsidR="00C74A12" w:rsidRPr="00DA2857" w:rsidRDefault="00C74A12" w:rsidP="00BD1BEC">
      <w:pPr>
        <w:pStyle w:val="ExecSumBodyText"/>
        <w:numPr>
          <w:ilvl w:val="1"/>
          <w:numId w:val="20"/>
        </w:numPr>
      </w:pPr>
      <w:r w:rsidRPr="00DA2857">
        <w:t>Optimised labelling and packaging to reduce dispensing and administration errors. Administration of higher than recommended doses of rivaroxaban may occur due to erroneous prescribing or administration of higher doses of rivaroxaban. There may be potential for use of rivaroxaban without aspirin (i.e. low-dose rivaroxaban monotherapy), resulting in suboptimal disease management.</w:t>
      </w:r>
    </w:p>
    <w:p w:rsidR="00C74A12" w:rsidRPr="00DA2857" w:rsidRDefault="00C74A12" w:rsidP="00BD1BEC">
      <w:pPr>
        <w:pStyle w:val="ExecSumBodyText"/>
        <w:numPr>
          <w:ilvl w:val="1"/>
          <w:numId w:val="20"/>
        </w:numPr>
      </w:pPr>
      <w:r w:rsidRPr="00DA2857">
        <w:t>Provision of a prescriber guide.</w:t>
      </w:r>
      <w:r w:rsidR="0083490F" w:rsidRPr="00DA2857">
        <w:t xml:space="preserve"> The ESC was concerned that the different treatment regimens and indications for rivaroxaban (</w:t>
      </w:r>
      <w:r w:rsidR="00F06E37" w:rsidRPr="00DA2857">
        <w:t>atrial fibrillation</w:t>
      </w:r>
      <w:r w:rsidR="0083490F" w:rsidRPr="00DA2857">
        <w:t>, venous thromboembolic disease management and prophylaxis, stable atherosclerotic disease) across a wide range of doses raises considerable potential for incorrect dosing and administration. This is particularly likely when the indication for rivaroxaban changes within an individual patient necessitating a change in dose.</w:t>
      </w:r>
    </w:p>
    <w:p w:rsidR="00C74A12" w:rsidRPr="00DA2857" w:rsidRDefault="00C74A12" w:rsidP="00BD1BEC">
      <w:pPr>
        <w:pStyle w:val="ExecSumBodyText"/>
        <w:numPr>
          <w:ilvl w:val="1"/>
          <w:numId w:val="20"/>
        </w:numPr>
      </w:pPr>
      <w:r w:rsidRPr="00DA2857">
        <w:t xml:space="preserve">Provision of a patient alert card to increase awareness and understanding among patients about the potential bleeding risk during treatment. </w:t>
      </w:r>
    </w:p>
    <w:p w:rsidR="00C74A12" w:rsidRPr="00DA2857" w:rsidRDefault="00C74A12" w:rsidP="00BD1BEC">
      <w:pPr>
        <w:pStyle w:val="ExecSumBodyText"/>
        <w:numPr>
          <w:ilvl w:val="1"/>
          <w:numId w:val="20"/>
        </w:numPr>
      </w:pPr>
      <w:r w:rsidRPr="00DA2857">
        <w:t xml:space="preserve">Routine risk minimisation activities, including warning statements and notification of undesirable effects in the Australian Product Information to ensure healthcare professionals are fully informed of the identified safety concerns in order to undertake an individualised risk benefit evaluation for the patient. </w:t>
      </w:r>
    </w:p>
    <w:p w:rsidR="00576972" w:rsidRPr="00C9624D" w:rsidRDefault="00576972" w:rsidP="00606FBA">
      <w:pPr>
        <w:pStyle w:val="3-SubsectionHeading"/>
      </w:pPr>
      <w:bookmarkStart w:id="29" w:name="_Toc22897649"/>
      <w:bookmarkStart w:id="30" w:name="_Toc27421959"/>
      <w:r w:rsidRPr="00C9624D">
        <w:lastRenderedPageBreak/>
        <w:t>Financial Management – Risk Sharing Arrangements</w:t>
      </w:r>
      <w:bookmarkEnd w:id="29"/>
      <w:bookmarkEnd w:id="30"/>
    </w:p>
    <w:p w:rsidR="00C74A12" w:rsidRPr="00DA2857" w:rsidRDefault="00C74A12" w:rsidP="006D6498">
      <w:pPr>
        <w:pStyle w:val="ExecSumBodyText"/>
      </w:pPr>
      <w:r w:rsidRPr="00DA2857">
        <w:t>In response to a request from the PBAC, the resubmission proposed an updated risk sharing arrangement</w:t>
      </w:r>
      <w:r w:rsidR="006D6498" w:rsidRPr="00DA2857">
        <w:t xml:space="preserve"> (RSA)</w:t>
      </w:r>
      <w:r w:rsidRPr="00DA2857">
        <w:t xml:space="preserve"> which takes the form of capped Commonwealth expenditure with a </w:t>
      </w:r>
      <w:r w:rsidR="00FC537F">
        <w:rPr>
          <w:noProof/>
          <w:color w:val="000000"/>
          <w:highlight w:val="black"/>
        </w:rPr>
        <w:t>''''''''</w:t>
      </w:r>
      <w:r w:rsidRPr="00DA2857">
        <w:t>% rebate for all expenditure beyond the agreed annual expenditure caps (</w:t>
      </w:r>
      <w:r w:rsidR="00740638" w:rsidRPr="00DA2857">
        <w:t>based on the total cost excluding co-payments in Table 20 above</w:t>
      </w:r>
      <w:r w:rsidRPr="00DA2857">
        <w:t xml:space="preserve">). </w:t>
      </w:r>
      <w:r w:rsidR="00FF6A01">
        <w:t xml:space="preserve">The pre-PBAC </w:t>
      </w:r>
      <w:r w:rsidR="00FB4613">
        <w:t>response proposed</w:t>
      </w:r>
      <w:r w:rsidR="00FF6A01">
        <w:t xml:space="preserve"> that the </w:t>
      </w:r>
      <w:r w:rsidR="00160076" w:rsidRPr="00DA2857">
        <w:t>capped Commonwealth expenditure</w:t>
      </w:r>
      <w:r w:rsidR="00160076">
        <w:t xml:space="preserve"> be based on the pre-PBAC response’s revised estimates as outlined in Table 20 above</w:t>
      </w:r>
      <w:r w:rsidR="00FF6A01">
        <w:t>.</w:t>
      </w:r>
    </w:p>
    <w:p w:rsidR="002517F9" w:rsidRDefault="00740638" w:rsidP="002517F9">
      <w:pPr>
        <w:pStyle w:val="ExecSumBodyText"/>
      </w:pPr>
      <w:r w:rsidRPr="00DA2857">
        <w:t xml:space="preserve">The ESC considered </w:t>
      </w:r>
      <w:r w:rsidR="006D6498" w:rsidRPr="00DA2857">
        <w:t xml:space="preserve">that the proposal for an RSA with a </w:t>
      </w:r>
      <w:r w:rsidR="00FC537F">
        <w:rPr>
          <w:noProof/>
          <w:color w:val="000000"/>
          <w:highlight w:val="black"/>
        </w:rPr>
        <w:t>''''''''</w:t>
      </w:r>
      <w:r w:rsidR="006D6498" w:rsidRPr="00DA2857">
        <w:t xml:space="preserve">% rebate over the cap was appropriate to mitigate the uncertain patient population, the potential for use outside the restriction and the high overall financial impact. </w:t>
      </w:r>
    </w:p>
    <w:p w:rsidR="00AE7F2D" w:rsidRDefault="00F236E0" w:rsidP="00AE7F2D">
      <w:pPr>
        <w:ind w:left="720"/>
        <w:rPr>
          <w:i/>
          <w:lang w:val="en-US"/>
        </w:rPr>
      </w:pPr>
      <w:r w:rsidRPr="00F236E0">
        <w:rPr>
          <w:i/>
          <w:lang w:val="en-US"/>
        </w:rPr>
        <w:t>For more detail on PBAC’s view, see section 7 PBAC outcome.</w:t>
      </w:r>
    </w:p>
    <w:p w:rsidR="007601CC" w:rsidRPr="007601CC" w:rsidRDefault="007601CC" w:rsidP="007601CC">
      <w:pPr>
        <w:pStyle w:val="2-SectionHeading"/>
        <w:numPr>
          <w:ilvl w:val="0"/>
          <w:numId w:val="1"/>
        </w:numPr>
      </w:pPr>
      <w:r w:rsidRPr="007601CC">
        <w:t>PBAC Outcome</w:t>
      </w:r>
    </w:p>
    <w:p w:rsidR="00F82943" w:rsidRPr="00F82943" w:rsidRDefault="00581D3B" w:rsidP="00D47D06">
      <w:pPr>
        <w:pStyle w:val="ExecSumBodyText"/>
      </w:pPr>
      <w:r w:rsidRPr="009923E9">
        <w:t>The PBAC deferred making a recommendat</w:t>
      </w:r>
      <w:r>
        <w:t xml:space="preserve">ion on the listing of rivaroxaban for the prevention of cardiovascular events </w:t>
      </w:r>
      <w:r w:rsidR="004F37BD" w:rsidRPr="009177EC">
        <w:t xml:space="preserve">in patients </w:t>
      </w:r>
      <w:r w:rsidR="004F37BD">
        <w:t>at high risk of recurrent thrombotic events, specifically patients with</w:t>
      </w:r>
      <w:r w:rsidR="005E7902">
        <w:t xml:space="preserve"> CAD</w:t>
      </w:r>
      <w:r w:rsidR="00572790">
        <w:t xml:space="preserve"> and</w:t>
      </w:r>
      <w:r w:rsidR="005E7902">
        <w:t xml:space="preserve"> </w:t>
      </w:r>
      <w:r w:rsidR="004F37BD">
        <w:t xml:space="preserve">/or </w:t>
      </w:r>
      <w:r w:rsidR="005E7902">
        <w:t>PAD,</w:t>
      </w:r>
      <w:r w:rsidRPr="009923E9">
        <w:t xml:space="preserve"> and additional high-risk factors</w:t>
      </w:r>
      <w:r w:rsidR="005E7902">
        <w:t>.</w:t>
      </w:r>
      <w:r w:rsidRPr="009923E9">
        <w:t xml:space="preserve"> </w:t>
      </w:r>
      <w:r>
        <w:t>T</w:t>
      </w:r>
      <w:r w:rsidRPr="009923E9">
        <w:t>he PBAC considered there were important clinical benefits as</w:t>
      </w:r>
      <w:r>
        <w:t xml:space="preserve">sociated with rivaroxaban </w:t>
      </w:r>
      <w:r w:rsidRPr="00581D3B">
        <w:t>and that the patient</w:t>
      </w:r>
      <w:r w:rsidR="00510D6E">
        <w:t xml:space="preserve"> group</w:t>
      </w:r>
      <w:r w:rsidRPr="00581D3B">
        <w:t>s who are likely to achieve the most favourable risk-benefit profile</w:t>
      </w:r>
      <w:r w:rsidR="004724B4">
        <w:t xml:space="preserve"> had been identified</w:t>
      </w:r>
      <w:r w:rsidR="00160076" w:rsidRPr="00160076">
        <w:t xml:space="preserve"> </w:t>
      </w:r>
      <w:r w:rsidR="00160076">
        <w:t>appropriately</w:t>
      </w:r>
      <w:r w:rsidRPr="00581D3B">
        <w:t>. The PBAC acknowledged the reductions in the price and the financial estimates since the previous submission, but considered that the proposed price</w:t>
      </w:r>
      <w:r w:rsidR="00D47D06">
        <w:t xml:space="preserve"> and</w:t>
      </w:r>
      <w:r w:rsidRPr="00581D3B">
        <w:t xml:space="preserve"> </w:t>
      </w:r>
      <w:r w:rsidR="00FE3FBB">
        <w:t>ICER</w:t>
      </w:r>
      <w:r w:rsidRPr="00581D3B">
        <w:t xml:space="preserve"> </w:t>
      </w:r>
      <w:r w:rsidR="00D47D06">
        <w:t>were still</w:t>
      </w:r>
      <w:r w:rsidR="00D47D06" w:rsidRPr="00581D3B">
        <w:t xml:space="preserve"> unacceptably high </w:t>
      </w:r>
      <w:r w:rsidRPr="00581D3B">
        <w:t xml:space="preserve">and </w:t>
      </w:r>
      <w:r w:rsidR="00D47D06" w:rsidRPr="00D47D06">
        <w:rPr>
          <w:rFonts w:ascii="Calibri" w:hAnsi="Calibri"/>
        </w:rPr>
        <w:t>there remained considerable uncertainty regarding the financial estimates</w:t>
      </w:r>
      <w:r w:rsidRPr="00581D3B">
        <w:t>.</w:t>
      </w:r>
    </w:p>
    <w:p w:rsidR="00F82943" w:rsidRPr="00F82943" w:rsidRDefault="005E7902" w:rsidP="00F82943">
      <w:pPr>
        <w:pStyle w:val="ListParagraph"/>
        <w:widowControl w:val="0"/>
        <w:numPr>
          <w:ilvl w:val="1"/>
          <w:numId w:val="1"/>
        </w:numPr>
        <w:spacing w:after="160"/>
        <w:contextualSpacing w:val="0"/>
        <w:rPr>
          <w:rFonts w:asciiTheme="minorHAnsi" w:hAnsiTheme="minorHAnsi" w:cstheme="minorHAnsi"/>
        </w:rPr>
      </w:pPr>
      <w:r w:rsidRPr="00F82943">
        <w:rPr>
          <w:rFonts w:asciiTheme="minorHAnsi" w:hAnsiTheme="minorHAnsi"/>
          <w:bCs/>
          <w:snapToGrid w:val="0"/>
          <w:lang w:val="en-GB"/>
        </w:rPr>
        <w:t xml:space="preserve">The PBAC </w:t>
      </w:r>
      <w:r w:rsidR="00065A6C" w:rsidRPr="00F82943">
        <w:rPr>
          <w:rFonts w:asciiTheme="minorHAnsi" w:hAnsiTheme="minorHAnsi"/>
          <w:bCs/>
          <w:snapToGrid w:val="0"/>
          <w:lang w:val="en-GB"/>
        </w:rPr>
        <w:t>considered</w:t>
      </w:r>
      <w:r w:rsidR="00CC2A1B" w:rsidRPr="00F82943">
        <w:rPr>
          <w:rFonts w:asciiTheme="minorHAnsi" w:hAnsiTheme="minorHAnsi"/>
          <w:bCs/>
          <w:snapToGrid w:val="0"/>
          <w:lang w:val="en-GB"/>
        </w:rPr>
        <w:t xml:space="preserve"> </w:t>
      </w:r>
      <w:r w:rsidRPr="00F82943">
        <w:rPr>
          <w:rFonts w:asciiTheme="minorHAnsi" w:hAnsiTheme="minorHAnsi"/>
          <w:bCs/>
          <w:snapToGrid w:val="0"/>
          <w:lang w:val="en-GB"/>
        </w:rPr>
        <w:t>there is a</w:t>
      </w:r>
      <w:r w:rsidR="00CC2A1B" w:rsidRPr="00F82943">
        <w:rPr>
          <w:rFonts w:asciiTheme="minorHAnsi" w:hAnsiTheme="minorHAnsi"/>
          <w:bCs/>
          <w:snapToGrid w:val="0"/>
          <w:lang w:val="en-GB"/>
        </w:rPr>
        <w:t xml:space="preserve"> </w:t>
      </w:r>
      <w:r w:rsidRPr="00F82943">
        <w:rPr>
          <w:rFonts w:asciiTheme="minorHAnsi" w:hAnsiTheme="minorHAnsi"/>
          <w:bCs/>
          <w:snapToGrid w:val="0"/>
          <w:lang w:val="en-GB"/>
        </w:rPr>
        <w:t>clinical need for effective treatments</w:t>
      </w:r>
      <w:r w:rsidR="003E4B7A" w:rsidRPr="00F82943">
        <w:rPr>
          <w:rFonts w:asciiTheme="minorHAnsi" w:hAnsiTheme="minorHAnsi"/>
          <w:bCs/>
          <w:snapToGrid w:val="0"/>
          <w:lang w:val="en-GB"/>
        </w:rPr>
        <w:t xml:space="preserve"> for the secondary prevention of thrombotic events</w:t>
      </w:r>
      <w:r w:rsidR="004F37BD">
        <w:rPr>
          <w:rFonts w:asciiTheme="minorHAnsi" w:hAnsiTheme="minorHAnsi"/>
          <w:bCs/>
          <w:snapToGrid w:val="0"/>
          <w:lang w:val="en-GB"/>
        </w:rPr>
        <w:t xml:space="preserve"> in</w:t>
      </w:r>
      <w:r w:rsidR="00810EA6">
        <w:rPr>
          <w:rFonts w:asciiTheme="minorHAnsi" w:hAnsiTheme="minorHAnsi"/>
          <w:bCs/>
          <w:snapToGrid w:val="0"/>
          <w:lang w:val="en-GB"/>
        </w:rPr>
        <w:t xml:space="preserve"> patients with </w:t>
      </w:r>
      <w:r w:rsidR="00873FCC">
        <w:rPr>
          <w:rFonts w:asciiTheme="minorHAnsi" w:hAnsiTheme="minorHAnsi"/>
          <w:bCs/>
          <w:snapToGrid w:val="0"/>
          <w:lang w:val="en-GB"/>
        </w:rPr>
        <w:t xml:space="preserve">a </w:t>
      </w:r>
      <w:r w:rsidR="00810EA6">
        <w:rPr>
          <w:rFonts w:asciiTheme="minorHAnsi" w:hAnsiTheme="minorHAnsi"/>
          <w:bCs/>
          <w:snapToGrid w:val="0"/>
          <w:lang w:val="en-GB"/>
        </w:rPr>
        <w:t>high risk</w:t>
      </w:r>
      <w:r w:rsidR="00873FCC" w:rsidRPr="00873FCC">
        <w:rPr>
          <w:rFonts w:asciiTheme="minorHAnsi" w:hAnsiTheme="minorHAnsi"/>
          <w:bCs/>
          <w:snapToGrid w:val="0"/>
          <w:lang w:val="en-GB"/>
        </w:rPr>
        <w:t xml:space="preserve"> </w:t>
      </w:r>
      <w:r w:rsidR="00873FCC">
        <w:rPr>
          <w:rFonts w:asciiTheme="minorHAnsi" w:hAnsiTheme="minorHAnsi"/>
          <w:bCs/>
          <w:snapToGrid w:val="0"/>
          <w:lang w:val="en-GB"/>
        </w:rPr>
        <w:t>of cardiovascular events</w:t>
      </w:r>
      <w:r w:rsidR="00810EA6">
        <w:rPr>
          <w:rFonts w:asciiTheme="minorHAnsi" w:hAnsiTheme="minorHAnsi"/>
          <w:bCs/>
          <w:snapToGrid w:val="0"/>
          <w:lang w:val="en-GB"/>
        </w:rPr>
        <w:t xml:space="preserve">. </w:t>
      </w:r>
    </w:p>
    <w:p w:rsidR="007C3BC4" w:rsidRPr="004F37BD" w:rsidRDefault="000A1C11" w:rsidP="007C3BC4">
      <w:pPr>
        <w:pStyle w:val="ListParagraph"/>
        <w:widowControl w:val="0"/>
        <w:numPr>
          <w:ilvl w:val="1"/>
          <w:numId w:val="1"/>
        </w:numPr>
        <w:spacing w:after="120"/>
        <w:contextualSpacing w:val="0"/>
      </w:pPr>
      <w:r>
        <w:t xml:space="preserve">The PBAC considered that the patient population suggested by ESC and accepted in the pre-PBAC response adequately </w:t>
      </w:r>
      <w:r w:rsidRPr="00333B57">
        <w:t>defined the high-risk subgroups who would derive the most benefit from treatment with rivaroxaban, that is, patients with:</w:t>
      </w:r>
    </w:p>
    <w:p w:rsidR="007C3BC4" w:rsidRPr="004F37BD" w:rsidRDefault="007C3BC4" w:rsidP="007C3BC4">
      <w:pPr>
        <w:pStyle w:val="ListParagraph"/>
        <w:numPr>
          <w:ilvl w:val="0"/>
          <w:numId w:val="38"/>
        </w:numPr>
      </w:pPr>
      <w:r w:rsidRPr="004F37BD">
        <w:rPr>
          <w:rFonts w:asciiTheme="minorHAnsi" w:hAnsiTheme="minorHAnsi" w:cstheme="minorHAnsi"/>
        </w:rPr>
        <w:t xml:space="preserve">CAD </w:t>
      </w:r>
      <w:r>
        <w:rPr>
          <w:rFonts w:asciiTheme="minorHAnsi" w:hAnsiTheme="minorHAnsi" w:cstheme="minorHAnsi"/>
        </w:rPr>
        <w:t xml:space="preserve">and PAD, or </w:t>
      </w:r>
    </w:p>
    <w:p w:rsidR="007C3BC4" w:rsidRPr="003E4B7A" w:rsidRDefault="007C3BC4" w:rsidP="007C3BC4">
      <w:pPr>
        <w:pStyle w:val="ListParagraph"/>
        <w:numPr>
          <w:ilvl w:val="0"/>
          <w:numId w:val="38"/>
        </w:numPr>
      </w:pPr>
      <w:r>
        <w:rPr>
          <w:rFonts w:asciiTheme="minorHAnsi" w:hAnsiTheme="minorHAnsi" w:cstheme="minorHAnsi"/>
        </w:rPr>
        <w:t xml:space="preserve">CAD </w:t>
      </w:r>
      <w:r w:rsidRPr="004F37BD">
        <w:rPr>
          <w:rFonts w:asciiTheme="minorHAnsi" w:hAnsiTheme="minorHAnsi" w:cstheme="minorHAnsi"/>
        </w:rPr>
        <w:t>or PAD with one or more of the following risk factors:</w:t>
      </w:r>
    </w:p>
    <w:p w:rsidR="007C3BC4" w:rsidRDefault="007C3BC4" w:rsidP="007C3BC4">
      <w:pPr>
        <w:pStyle w:val="ListParagraph"/>
        <w:numPr>
          <w:ilvl w:val="1"/>
          <w:numId w:val="38"/>
        </w:numPr>
      </w:pPr>
      <w:r>
        <w:t>Diagnosed heart failure (left ventricular ejection fraction greater than or equal to 30% but less than 50%);</w:t>
      </w:r>
    </w:p>
    <w:p w:rsidR="007C3BC4" w:rsidRDefault="007C3BC4" w:rsidP="007C3BC4">
      <w:pPr>
        <w:pStyle w:val="ListParagraph"/>
        <w:numPr>
          <w:ilvl w:val="1"/>
          <w:numId w:val="38"/>
        </w:numPr>
      </w:pPr>
      <w:r>
        <w:t xml:space="preserve">Diagnosed kidney disease classified by an eGFR 15-60mL/min; </w:t>
      </w:r>
      <w:r w:rsidR="00D47D06">
        <w:t>or</w:t>
      </w:r>
    </w:p>
    <w:p w:rsidR="007C3BC4" w:rsidRDefault="007C3BC4" w:rsidP="00D47D06">
      <w:pPr>
        <w:pStyle w:val="ListParagraph"/>
        <w:numPr>
          <w:ilvl w:val="1"/>
          <w:numId w:val="38"/>
        </w:numPr>
        <w:spacing w:after="120"/>
        <w:ind w:left="1797" w:hanging="357"/>
        <w:contextualSpacing w:val="0"/>
      </w:pPr>
      <w:r>
        <w:t>Diabetes mellitus and: age greater than or equal to 60; concomitant microalbuminuria; or of Aboriginal or Torres Strait Islander descent</w:t>
      </w:r>
      <w:r w:rsidR="00D47D06">
        <w:t>.</w:t>
      </w:r>
      <w:r w:rsidRPr="00333B57">
        <w:t xml:space="preserve"> </w:t>
      </w:r>
    </w:p>
    <w:p w:rsidR="009001C9" w:rsidRDefault="009001C9" w:rsidP="007601CC">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The PBAC consider</w:t>
      </w:r>
      <w:r w:rsidR="00842D92">
        <w:rPr>
          <w:rFonts w:asciiTheme="minorHAnsi" w:hAnsiTheme="minorHAnsi"/>
          <w:bCs/>
          <w:snapToGrid w:val="0"/>
          <w:lang w:val="en-GB"/>
        </w:rPr>
        <w:t>ed</w:t>
      </w:r>
      <w:r>
        <w:rPr>
          <w:rFonts w:asciiTheme="minorHAnsi" w:hAnsiTheme="minorHAnsi"/>
          <w:bCs/>
          <w:snapToGrid w:val="0"/>
          <w:lang w:val="en-GB"/>
        </w:rPr>
        <w:t xml:space="preserve"> that aspirin alone, the nominated main comparator, was appropriate. </w:t>
      </w:r>
      <w:r w:rsidR="00842D92">
        <w:rPr>
          <w:lang w:val="en-US"/>
        </w:rPr>
        <w:t>T</w:t>
      </w:r>
      <w:r>
        <w:rPr>
          <w:rFonts w:asciiTheme="minorHAnsi" w:hAnsiTheme="minorHAnsi"/>
          <w:bCs/>
          <w:snapToGrid w:val="0"/>
          <w:lang w:val="en-GB"/>
        </w:rPr>
        <w:t xml:space="preserve">he PBAC </w:t>
      </w:r>
      <w:r w:rsidR="0032723F">
        <w:rPr>
          <w:rFonts w:asciiTheme="minorHAnsi" w:hAnsiTheme="minorHAnsi"/>
          <w:bCs/>
          <w:snapToGrid w:val="0"/>
          <w:lang w:val="en-GB"/>
        </w:rPr>
        <w:t xml:space="preserve">considered </w:t>
      </w:r>
      <w:r>
        <w:rPr>
          <w:rFonts w:asciiTheme="minorHAnsi" w:hAnsiTheme="minorHAnsi"/>
          <w:bCs/>
          <w:snapToGrid w:val="0"/>
          <w:lang w:val="en-GB"/>
        </w:rPr>
        <w:t xml:space="preserve">that </w:t>
      </w:r>
      <w:r w:rsidR="00842D92">
        <w:rPr>
          <w:rFonts w:asciiTheme="minorHAnsi" w:hAnsiTheme="minorHAnsi"/>
          <w:bCs/>
          <w:snapToGrid w:val="0"/>
          <w:lang w:val="en-GB"/>
        </w:rPr>
        <w:t xml:space="preserve">while clopidogrel (in combination with aspirin) may also be a relevant comparator, </w:t>
      </w:r>
      <w:r>
        <w:rPr>
          <w:rFonts w:asciiTheme="minorHAnsi" w:hAnsiTheme="minorHAnsi"/>
          <w:bCs/>
          <w:snapToGrid w:val="0"/>
          <w:lang w:val="en-GB"/>
        </w:rPr>
        <w:t xml:space="preserve">the extent of the overlapping population would likely be small, particularly if current clinical guidelines for </w:t>
      </w:r>
      <w:r w:rsidR="00160076">
        <w:rPr>
          <w:rFonts w:asciiTheme="minorHAnsi" w:hAnsiTheme="minorHAnsi"/>
          <w:bCs/>
          <w:snapToGrid w:val="0"/>
          <w:lang w:val="en-GB"/>
        </w:rPr>
        <w:t xml:space="preserve">the </w:t>
      </w:r>
      <w:r>
        <w:rPr>
          <w:rFonts w:asciiTheme="minorHAnsi" w:hAnsiTheme="minorHAnsi"/>
          <w:bCs/>
          <w:snapToGrid w:val="0"/>
          <w:lang w:val="en-GB"/>
        </w:rPr>
        <w:t xml:space="preserve">use of dual anti-platelet therapy are followed. </w:t>
      </w:r>
    </w:p>
    <w:p w:rsidR="0035554E" w:rsidRPr="0035554E" w:rsidRDefault="003438AF" w:rsidP="007D330B">
      <w:pPr>
        <w:pStyle w:val="ExecSumBodyText"/>
      </w:pPr>
      <w:r w:rsidRPr="00E07AC8">
        <w:rPr>
          <w:bCs/>
          <w:lang w:val="en-GB"/>
        </w:rPr>
        <w:lastRenderedPageBreak/>
        <w:t>The key clinical evidence presented wa</w:t>
      </w:r>
      <w:r w:rsidR="007F1C50" w:rsidRPr="00E07AC8">
        <w:rPr>
          <w:bCs/>
          <w:lang w:val="en-GB"/>
        </w:rPr>
        <w:t>s the COMPASS trial (</w:t>
      </w:r>
      <w:r w:rsidR="008B1DDF" w:rsidRPr="00E07AC8">
        <w:rPr>
          <w:bCs/>
          <w:lang w:val="en-GB"/>
        </w:rPr>
        <w:t>unchange</w:t>
      </w:r>
      <w:r w:rsidR="007F1C50" w:rsidRPr="00E07AC8">
        <w:rPr>
          <w:bCs/>
          <w:lang w:val="en-GB"/>
        </w:rPr>
        <w:t xml:space="preserve">d from the previous submission), </w:t>
      </w:r>
      <w:r w:rsidR="008315BD" w:rsidRPr="00E07AC8">
        <w:rPr>
          <w:bCs/>
          <w:lang w:val="en-GB"/>
        </w:rPr>
        <w:t xml:space="preserve">which found that rivaroxaban plus aspirin was associated with a </w:t>
      </w:r>
      <w:r w:rsidR="008315BD" w:rsidRPr="00E07AC8">
        <w:rPr>
          <w:bCs/>
        </w:rPr>
        <w:t>statistically significant reduction in the proportion of patients who experienced myocardial infarction, stroke, or cardiovascular death (the primary outcome) compared with aspirin alone</w:t>
      </w:r>
      <w:r w:rsidR="007F1C50" w:rsidRPr="00E07AC8">
        <w:rPr>
          <w:bCs/>
        </w:rPr>
        <w:t xml:space="preserve"> in the ITT population</w:t>
      </w:r>
      <w:r w:rsidR="008315BD" w:rsidRPr="00E07AC8">
        <w:rPr>
          <w:bCs/>
        </w:rPr>
        <w:t xml:space="preserve"> (HR: 0.76 (95% CI: 0.66, 0.86)</w:t>
      </w:r>
      <w:r w:rsidR="00160076">
        <w:rPr>
          <w:bCs/>
        </w:rPr>
        <w:t>)</w:t>
      </w:r>
      <w:r w:rsidR="007A6957">
        <w:rPr>
          <w:bCs/>
        </w:rPr>
        <w:t xml:space="preserve">, which comprises a </w:t>
      </w:r>
      <w:r w:rsidR="00C0587F">
        <w:rPr>
          <w:bCs/>
        </w:rPr>
        <w:t xml:space="preserve">broader </w:t>
      </w:r>
      <w:r w:rsidR="007A6957">
        <w:rPr>
          <w:bCs/>
        </w:rPr>
        <w:t xml:space="preserve">population </w:t>
      </w:r>
      <w:r w:rsidR="000A1710">
        <w:rPr>
          <w:bCs/>
        </w:rPr>
        <w:t>than requested for listing</w:t>
      </w:r>
      <w:r w:rsidR="004A4224">
        <w:rPr>
          <w:bCs/>
        </w:rPr>
        <w:t>. The HR</w:t>
      </w:r>
      <w:r w:rsidR="005A0DF7">
        <w:rPr>
          <w:bCs/>
        </w:rPr>
        <w:t xml:space="preserve">s were generally </w:t>
      </w:r>
      <w:r w:rsidR="004A4224">
        <w:rPr>
          <w:bCs/>
        </w:rPr>
        <w:t>more favourable in</w:t>
      </w:r>
      <w:r w:rsidR="004A4224" w:rsidRPr="004A4224">
        <w:rPr>
          <w:bCs/>
        </w:rPr>
        <w:t xml:space="preserve"> </w:t>
      </w:r>
      <w:r w:rsidR="004A4224" w:rsidRPr="00E07AC8">
        <w:rPr>
          <w:bCs/>
        </w:rPr>
        <w:t xml:space="preserve">the </w:t>
      </w:r>
      <w:r w:rsidR="005A0DF7">
        <w:rPr>
          <w:bCs/>
        </w:rPr>
        <w:t xml:space="preserve">individual </w:t>
      </w:r>
      <w:r w:rsidR="004A4224" w:rsidRPr="00E07AC8">
        <w:rPr>
          <w:bCs/>
        </w:rPr>
        <w:t>high</w:t>
      </w:r>
      <w:r w:rsidR="004A4224">
        <w:rPr>
          <w:bCs/>
        </w:rPr>
        <w:t>-</w:t>
      </w:r>
      <w:r w:rsidR="004A4224" w:rsidRPr="00E07AC8">
        <w:rPr>
          <w:bCs/>
        </w:rPr>
        <w:t>risk subgroups</w:t>
      </w:r>
      <w:r w:rsidR="004A4224">
        <w:rPr>
          <w:bCs/>
        </w:rPr>
        <w:t xml:space="preserve"> </w:t>
      </w:r>
      <w:r w:rsidR="00160076">
        <w:rPr>
          <w:bCs/>
        </w:rPr>
        <w:t>(</w:t>
      </w:r>
      <w:r w:rsidR="00C07CF0">
        <w:rPr>
          <w:bCs/>
        </w:rPr>
        <w:t>and the pooled subgroup</w:t>
      </w:r>
      <w:r w:rsidR="00160076">
        <w:rPr>
          <w:bCs/>
        </w:rPr>
        <w:t>)</w:t>
      </w:r>
      <w:r w:rsidR="008F244A">
        <w:rPr>
          <w:bCs/>
        </w:rPr>
        <w:t>,</w:t>
      </w:r>
      <w:r w:rsidR="00C07CF0">
        <w:rPr>
          <w:bCs/>
        </w:rPr>
        <w:t xml:space="preserve"> </w:t>
      </w:r>
      <w:r w:rsidR="004A4224">
        <w:rPr>
          <w:bCs/>
        </w:rPr>
        <w:t>except the PAD only population</w:t>
      </w:r>
      <w:r w:rsidR="00D27216">
        <w:rPr>
          <w:bCs/>
        </w:rPr>
        <w:t>,</w:t>
      </w:r>
      <w:r w:rsidR="004A4224">
        <w:rPr>
          <w:bCs/>
        </w:rPr>
        <w:t xml:space="preserve"> which had been refined in the restriction proposed by ESC and agreed by the pre-PBAC response. </w:t>
      </w:r>
    </w:p>
    <w:p w:rsidR="006B3C06" w:rsidRPr="007D330B" w:rsidRDefault="007B6600" w:rsidP="00D43AAA">
      <w:pPr>
        <w:pStyle w:val="ExecSumBodyText"/>
      </w:pPr>
      <w:r w:rsidRPr="007B6600">
        <w:rPr>
          <w:bCs/>
        </w:rPr>
        <w:t>In the pooled subgroup specified in the resubmission, t</w:t>
      </w:r>
      <w:r w:rsidR="005A0DF7" w:rsidRPr="007B6600">
        <w:rPr>
          <w:bCs/>
        </w:rPr>
        <w:t xml:space="preserve">he </w:t>
      </w:r>
      <w:r w:rsidRPr="007B6600">
        <w:rPr>
          <w:bCs/>
        </w:rPr>
        <w:t>HR for myocardial infarction, stroke, or cardiovascular death (the primary outcome) was</w:t>
      </w:r>
      <w:r w:rsidR="003D7DAD" w:rsidRPr="007B6600">
        <w:rPr>
          <w:bCs/>
        </w:rPr>
        <w:t xml:space="preserve"> </w:t>
      </w:r>
      <w:r w:rsidR="00FC537F">
        <w:rPr>
          <w:bCs/>
          <w:noProof/>
          <w:color w:val="000000"/>
          <w:highlight w:val="black"/>
        </w:rPr>
        <w:t>''''''''' ''''''''' ''''' ''''''''' ''''''''''</w:t>
      </w:r>
      <w:r w:rsidRPr="007B6600">
        <w:rPr>
          <w:bCs/>
        </w:rPr>
        <w:t xml:space="preserve">. </w:t>
      </w:r>
      <w:r w:rsidR="008F244A">
        <w:rPr>
          <w:bCs/>
        </w:rPr>
        <w:t>As noted above, t</w:t>
      </w:r>
      <w:r w:rsidRPr="007B6600">
        <w:rPr>
          <w:bCs/>
        </w:rPr>
        <w:t xml:space="preserve">his population was further refined by the ESC and the pre-PBAC response to target use to a higher risk PAD population and </w:t>
      </w:r>
      <w:r w:rsidR="00C0587F">
        <w:rPr>
          <w:bCs/>
        </w:rPr>
        <w:t xml:space="preserve">to </w:t>
      </w:r>
      <w:r w:rsidRPr="007B6600">
        <w:rPr>
          <w:bCs/>
        </w:rPr>
        <w:t xml:space="preserve">include diabetes as a risk factor. </w:t>
      </w:r>
    </w:p>
    <w:p w:rsidR="00C0587F" w:rsidRDefault="00F445BE" w:rsidP="0035554E">
      <w:pPr>
        <w:pStyle w:val="ExecSumBodyText"/>
        <w:rPr>
          <w:bCs/>
          <w:lang w:val="en-GB"/>
        </w:rPr>
      </w:pPr>
      <w:r>
        <w:rPr>
          <w:bCs/>
        </w:rPr>
        <w:t>The PBAC reiterated its previous consideration that</w:t>
      </w:r>
      <w:r w:rsidRPr="00BE5FAF">
        <w:rPr>
          <w:bCs/>
        </w:rPr>
        <w:t xml:space="preserve"> the claim of </w:t>
      </w:r>
      <w:r w:rsidRPr="00BE5FAF">
        <w:t xml:space="preserve">inferior comparative safety was reasonable. </w:t>
      </w:r>
      <w:r w:rsidR="00932413">
        <w:t>R</w:t>
      </w:r>
      <w:r w:rsidR="00DF3025" w:rsidRPr="000B6B6A">
        <w:t xml:space="preserve">ivaroxaban in combination with aspirin was associated with a </w:t>
      </w:r>
      <w:r w:rsidR="00DF3025" w:rsidRPr="003D7DAD">
        <w:t>higher incidence of major bleeding overall compared with the aspirin monotherapy group, primarily driven by gastrointestinal bleeding and hospitalisations.</w:t>
      </w:r>
      <w:r w:rsidR="00DF3025">
        <w:t xml:space="preserve"> The hazard ratio </w:t>
      </w:r>
      <w:r w:rsidR="00932413">
        <w:t>for</w:t>
      </w:r>
      <w:r w:rsidR="00DF3025">
        <w:t xml:space="preserve"> major bleeding events</w:t>
      </w:r>
      <w:r w:rsidR="00932413">
        <w:t xml:space="preserve"> was</w:t>
      </w:r>
      <w:r w:rsidR="00BB267D">
        <w:t xml:space="preserve"> </w:t>
      </w:r>
      <w:r w:rsidR="00DF3025">
        <w:t>1.70 (</w:t>
      </w:r>
      <w:r w:rsidR="00932413">
        <w:t xml:space="preserve">95% </w:t>
      </w:r>
      <w:r w:rsidR="00DF3025">
        <w:t>CI: 1.40, 2.05)</w:t>
      </w:r>
      <w:r w:rsidR="00BB267D">
        <w:t xml:space="preserve"> </w:t>
      </w:r>
      <w:r w:rsidR="00932413">
        <w:t xml:space="preserve">in the ITT population </w:t>
      </w:r>
      <w:r w:rsidR="00BB267D">
        <w:t xml:space="preserve">and </w:t>
      </w:r>
      <w:r w:rsidR="00FC537F">
        <w:rPr>
          <w:noProof/>
          <w:color w:val="000000"/>
          <w:highlight w:val="black"/>
        </w:rPr>
        <w:t>'''''''' ''''''''' ''''' ''''''''' ''''''''''</w:t>
      </w:r>
      <w:r w:rsidR="00932413">
        <w:t xml:space="preserve"> in</w:t>
      </w:r>
      <w:r w:rsidR="00DF3025">
        <w:t xml:space="preserve"> </w:t>
      </w:r>
      <w:r w:rsidR="00932413">
        <w:t xml:space="preserve">the pooled subgroup population (noting the latter was based on the resubmission’s proposed population and did not account for refinement of the PAD population or inclusion of diabetes as a risk factor). </w:t>
      </w:r>
      <w:r w:rsidR="00BB267D">
        <w:t>T</w:t>
      </w:r>
      <w:r w:rsidR="00DF3025">
        <w:t xml:space="preserve">he PBAC </w:t>
      </w:r>
      <w:r w:rsidR="00932413">
        <w:t>considered</w:t>
      </w:r>
      <w:r w:rsidR="00DF3025">
        <w:t xml:space="preserve"> that the risk of bleeding in the </w:t>
      </w:r>
      <w:r w:rsidR="000C71BE">
        <w:t>target</w:t>
      </w:r>
      <w:r w:rsidR="00DF3025">
        <w:t xml:space="preserve"> population </w:t>
      </w:r>
      <w:r w:rsidR="0035554E">
        <w:t>was unlikely to be</w:t>
      </w:r>
      <w:r w:rsidR="00DF3025">
        <w:t xml:space="preserve"> </w:t>
      </w:r>
      <w:r w:rsidR="0035554E">
        <w:t xml:space="preserve">higher </w:t>
      </w:r>
      <w:r w:rsidR="00DF3025">
        <w:t xml:space="preserve">than </w:t>
      </w:r>
      <w:r w:rsidR="0035554E">
        <w:t>in</w:t>
      </w:r>
      <w:r w:rsidR="006E4A1E">
        <w:t xml:space="preserve"> the ITT population.</w:t>
      </w:r>
    </w:p>
    <w:p w:rsidR="008F244A" w:rsidRPr="008F244A" w:rsidRDefault="007B6600" w:rsidP="0035554E">
      <w:pPr>
        <w:pStyle w:val="ExecSumBodyText"/>
        <w:rPr>
          <w:bCs/>
          <w:lang w:val="en-GB"/>
        </w:rPr>
      </w:pPr>
      <w:r>
        <w:rPr>
          <w:bCs/>
        </w:rPr>
        <w:t xml:space="preserve">Overall, the PBAC accepted the resubmission’s claim that the </w:t>
      </w:r>
      <w:r>
        <w:t xml:space="preserve">revised </w:t>
      </w:r>
      <w:r w:rsidR="00FC29AA">
        <w:t>target population</w:t>
      </w:r>
      <w:r>
        <w:t xml:space="preserve"> would increase the absolute benefit associated with using rivaroxaban with aspirin compared to aspirin alone without an increase in the risk of major bleeding compared with the ITT population. However, the PBAC considered that some uncertainties remained with the clinical data</w:t>
      </w:r>
      <w:r w:rsidR="008F244A">
        <w:t xml:space="preserve"> including:</w:t>
      </w:r>
    </w:p>
    <w:p w:rsidR="00C31FDB" w:rsidRDefault="00C31FDB" w:rsidP="00C31FDB">
      <w:pPr>
        <w:pStyle w:val="ListParagraph"/>
        <w:numPr>
          <w:ilvl w:val="0"/>
          <w:numId w:val="40"/>
        </w:numPr>
      </w:pPr>
      <w:r>
        <w:t>The m</w:t>
      </w:r>
      <w:r w:rsidRPr="00705E2A">
        <w:t xml:space="preserve">agnitude of the clinical benefit </w:t>
      </w:r>
      <w:r>
        <w:t>may have</w:t>
      </w:r>
      <w:r w:rsidRPr="00705E2A">
        <w:t xml:space="preserve"> been overestimated in the trial (due to the premature stopping of the trial) and may not be reflected in clinical practice (due to potential differences between the trial population and likely PBS population in terms of baseline risk and compliance</w:t>
      </w:r>
      <w:r>
        <w:t xml:space="preserve">); </w:t>
      </w:r>
    </w:p>
    <w:p w:rsidR="00C31FDB" w:rsidRDefault="00C31FDB" w:rsidP="00C31FDB">
      <w:pPr>
        <w:pStyle w:val="ListParagraph"/>
        <w:numPr>
          <w:ilvl w:val="0"/>
          <w:numId w:val="40"/>
        </w:numPr>
        <w:ind w:left="1077" w:hanging="357"/>
      </w:pPr>
      <w:r>
        <w:t>While acknowledging that subgroup analyses were necessary given the narrower population, the PBAC considered that the subgroup analyses need to be interpreted with caution (as many of the analyses were</w:t>
      </w:r>
      <w:r w:rsidRPr="00BB347F">
        <w:t xml:space="preserve"> </w:t>
      </w:r>
      <w:r w:rsidRPr="000B6B6A">
        <w:t>specified post hoc</w:t>
      </w:r>
      <w:r>
        <w:t xml:space="preserve"> and </w:t>
      </w:r>
      <w:r w:rsidRPr="001A35DD">
        <w:t xml:space="preserve">were not adjusted for multiple statistical testing </w:t>
      </w:r>
      <w:r w:rsidRPr="001B30AA">
        <w:t xml:space="preserve">despite </w:t>
      </w:r>
      <w:r>
        <w:t>the</w:t>
      </w:r>
      <w:r w:rsidRPr="001B30AA">
        <w:t xml:space="preserve"> high number of statistical tests </w:t>
      </w:r>
      <w:r>
        <w:t xml:space="preserve">conducted); </w:t>
      </w:r>
    </w:p>
    <w:p w:rsidR="00C31FDB" w:rsidRPr="001C4355" w:rsidRDefault="00C31FDB" w:rsidP="00B30ADF">
      <w:pPr>
        <w:pStyle w:val="ListParagraph"/>
        <w:numPr>
          <w:ilvl w:val="0"/>
          <w:numId w:val="40"/>
        </w:numPr>
        <w:ind w:left="1077" w:hanging="357"/>
        <w:contextualSpacing w:val="0"/>
        <w:rPr>
          <w:bCs/>
          <w:lang w:val="en-GB"/>
        </w:rPr>
      </w:pPr>
      <w:r w:rsidRPr="001C4355">
        <w:rPr>
          <w:bCs/>
          <w:lang w:val="en-GB"/>
        </w:rPr>
        <w:t>There were limited long term data (median follow up of 23 months)</w:t>
      </w:r>
      <w:r>
        <w:rPr>
          <w:bCs/>
          <w:lang w:val="en-GB"/>
        </w:rPr>
        <w:t xml:space="preserve"> </w:t>
      </w:r>
      <w:r w:rsidRPr="00932413">
        <w:rPr>
          <w:bCs/>
          <w:lang w:val="en-GB"/>
        </w:rPr>
        <w:t>in the context of a long-term treatment</w:t>
      </w:r>
      <w:r>
        <w:rPr>
          <w:bCs/>
          <w:lang w:val="en-GB"/>
        </w:rPr>
        <w:t>;</w:t>
      </w:r>
      <w:r w:rsidRPr="00C31FDB">
        <w:t xml:space="preserve"> </w:t>
      </w:r>
      <w:r>
        <w:t>and</w:t>
      </w:r>
    </w:p>
    <w:p w:rsidR="007B6600" w:rsidRDefault="00C31FDB" w:rsidP="00C31FDB">
      <w:pPr>
        <w:pStyle w:val="ListParagraph"/>
        <w:numPr>
          <w:ilvl w:val="0"/>
          <w:numId w:val="40"/>
        </w:numPr>
        <w:spacing w:after="120"/>
        <w:contextualSpacing w:val="0"/>
        <w:rPr>
          <w:bCs/>
          <w:lang w:val="en-GB"/>
        </w:rPr>
      </w:pPr>
      <w:r>
        <w:rPr>
          <w:bCs/>
          <w:lang w:val="en-GB"/>
        </w:rPr>
        <w:t>T</w:t>
      </w:r>
      <w:r w:rsidR="008F244A" w:rsidRPr="008F244A">
        <w:t xml:space="preserve">he risk of bleeding with rivaroxaban was likely underestimated in the COMPASS trial because patients at high risk of bleeding were excluded, and patients treated </w:t>
      </w:r>
      <w:r w:rsidR="008F244A" w:rsidRPr="008F244A">
        <w:lastRenderedPageBreak/>
        <w:t>in clinical practice may be older and at a higher risk of bleeding than patients in the trial.</w:t>
      </w:r>
    </w:p>
    <w:p w:rsidR="00362E1B" w:rsidRDefault="00393F29" w:rsidP="0035554E">
      <w:pPr>
        <w:pStyle w:val="ExecSumBodyText"/>
        <w:rPr>
          <w:bCs/>
          <w:lang w:val="en-GB"/>
        </w:rPr>
      </w:pPr>
      <w:r w:rsidRPr="00362E1B">
        <w:rPr>
          <w:bCs/>
          <w:lang w:val="en-GB"/>
        </w:rPr>
        <w:t xml:space="preserve">The pre-PBAC response presented a revised base case for the economic analysis that addressed the </w:t>
      </w:r>
      <w:r w:rsidR="00F445BE">
        <w:rPr>
          <w:bCs/>
          <w:lang w:val="en-GB"/>
        </w:rPr>
        <w:t xml:space="preserve">ESC’s concerns </w:t>
      </w:r>
      <w:r w:rsidRPr="00362E1B">
        <w:rPr>
          <w:bCs/>
          <w:lang w:val="en-GB"/>
        </w:rPr>
        <w:t xml:space="preserve">that </w:t>
      </w:r>
      <w:r w:rsidR="00D272F3">
        <w:rPr>
          <w:bCs/>
          <w:lang w:val="en-GB"/>
        </w:rPr>
        <w:t xml:space="preserve">it was not appropriate to </w:t>
      </w:r>
      <w:r w:rsidRPr="00362E1B">
        <w:rPr>
          <w:bCs/>
          <w:lang w:val="en-GB"/>
        </w:rPr>
        <w:t>inclu</w:t>
      </w:r>
      <w:r w:rsidR="00D272F3">
        <w:rPr>
          <w:bCs/>
          <w:lang w:val="en-GB"/>
        </w:rPr>
        <w:t>de</w:t>
      </w:r>
      <w:r w:rsidRPr="00362E1B">
        <w:rPr>
          <w:bCs/>
          <w:lang w:val="en-GB"/>
        </w:rPr>
        <w:t xml:space="preserve"> non-cardiovascular death transition probabilities (in addition to background mortality, which would result in double-counting) and non-cardiovascular death treatment effects (no proposed mechanism and differences between arms were not statistically significant). </w:t>
      </w:r>
      <w:r w:rsidR="00592BC8" w:rsidRPr="00362E1B">
        <w:rPr>
          <w:bCs/>
          <w:lang w:val="en-GB"/>
        </w:rPr>
        <w:t>The pre-PBAC response</w:t>
      </w:r>
      <w:r w:rsidR="0043274E" w:rsidRPr="00362E1B">
        <w:rPr>
          <w:bCs/>
          <w:lang w:val="en-GB"/>
        </w:rPr>
        <w:t>’s revised base case</w:t>
      </w:r>
      <w:r w:rsidR="009A139A">
        <w:rPr>
          <w:bCs/>
          <w:lang w:val="en-GB"/>
        </w:rPr>
        <w:t xml:space="preserve"> </w:t>
      </w:r>
      <w:r w:rsidR="007F7FFD">
        <w:rPr>
          <w:bCs/>
          <w:lang w:val="en-GB"/>
        </w:rPr>
        <w:t>also included</w:t>
      </w:r>
      <w:r w:rsidR="00592BC8" w:rsidRPr="00362E1B">
        <w:rPr>
          <w:bCs/>
          <w:lang w:val="en-GB"/>
        </w:rPr>
        <w:t xml:space="preserve"> a further </w:t>
      </w:r>
      <w:r w:rsidR="00FC537F">
        <w:rPr>
          <w:bCs/>
          <w:noProof/>
          <w:color w:val="000000"/>
          <w:highlight w:val="black"/>
          <w:lang w:val="en-GB"/>
        </w:rPr>
        <w:t>'''''</w:t>
      </w:r>
      <w:r w:rsidR="00592BC8" w:rsidRPr="00362E1B">
        <w:rPr>
          <w:bCs/>
          <w:lang w:val="en-GB"/>
        </w:rPr>
        <w:t xml:space="preserve">% price reduction, </w:t>
      </w:r>
      <w:r w:rsidR="007F7FFD">
        <w:rPr>
          <w:bCs/>
          <w:lang w:val="en-GB"/>
        </w:rPr>
        <w:t xml:space="preserve">which </w:t>
      </w:r>
      <w:r w:rsidR="00592BC8" w:rsidRPr="00362E1B">
        <w:rPr>
          <w:bCs/>
          <w:lang w:val="en-GB"/>
        </w:rPr>
        <w:t xml:space="preserve">resulted in an ICER of </w:t>
      </w:r>
      <w:r w:rsidR="00687A4F">
        <w:rPr>
          <w:bCs/>
          <w:lang w:val="en-GB"/>
        </w:rPr>
        <w:t>$15,000 - $45,000</w:t>
      </w:r>
      <w:r w:rsidR="00592BC8" w:rsidRPr="00362E1B">
        <w:rPr>
          <w:bCs/>
          <w:lang w:val="en-GB"/>
        </w:rPr>
        <w:t xml:space="preserve"> per QALY. </w:t>
      </w:r>
    </w:p>
    <w:p w:rsidR="002E3C72" w:rsidRPr="00B30ADF" w:rsidRDefault="002E3C72" w:rsidP="006F1C0D">
      <w:pPr>
        <w:pStyle w:val="ExecSumBodyText"/>
        <w:rPr>
          <w:lang w:val="en-GB"/>
        </w:rPr>
      </w:pPr>
      <w:r w:rsidRPr="00B30ADF">
        <w:rPr>
          <w:lang w:val="en-GB"/>
        </w:rPr>
        <w:t xml:space="preserve">The PBAC considered </w:t>
      </w:r>
      <w:r w:rsidR="00D272F3" w:rsidRPr="00B30ADF">
        <w:rPr>
          <w:lang w:val="en-GB"/>
        </w:rPr>
        <w:t>that a number of</w:t>
      </w:r>
      <w:r w:rsidRPr="00B30ADF">
        <w:rPr>
          <w:lang w:val="en-GB"/>
        </w:rPr>
        <w:t xml:space="preserve"> outstanding issues </w:t>
      </w:r>
      <w:r w:rsidR="00D272F3" w:rsidRPr="00B30ADF">
        <w:rPr>
          <w:lang w:val="en-GB"/>
        </w:rPr>
        <w:t xml:space="preserve">remained </w:t>
      </w:r>
      <w:r w:rsidRPr="00B30ADF">
        <w:rPr>
          <w:lang w:val="en-GB"/>
        </w:rPr>
        <w:t xml:space="preserve">with the economic model including </w:t>
      </w:r>
      <w:r w:rsidR="00D272F3" w:rsidRPr="00B30ADF">
        <w:rPr>
          <w:lang w:val="en-GB"/>
        </w:rPr>
        <w:t>that: the d</w:t>
      </w:r>
      <w:r w:rsidRPr="00B30ADF">
        <w:rPr>
          <w:lang w:val="en-GB"/>
        </w:rPr>
        <w:t xml:space="preserve">ata informing transition probabilities </w:t>
      </w:r>
      <w:r w:rsidR="00D272F3" w:rsidRPr="00B30ADF">
        <w:rPr>
          <w:lang w:val="en-GB"/>
        </w:rPr>
        <w:t xml:space="preserve">were </w:t>
      </w:r>
      <w:r w:rsidRPr="00B30ADF">
        <w:rPr>
          <w:lang w:val="en-GB"/>
        </w:rPr>
        <w:t>sparse</w:t>
      </w:r>
      <w:r w:rsidR="00D272F3" w:rsidRPr="00B30ADF">
        <w:rPr>
          <w:lang w:val="en-GB"/>
        </w:rPr>
        <w:t>;</w:t>
      </w:r>
      <w:r w:rsidRPr="00B30ADF">
        <w:rPr>
          <w:lang w:val="en-GB"/>
        </w:rPr>
        <w:t xml:space="preserve"> and </w:t>
      </w:r>
      <w:r w:rsidR="00D272F3" w:rsidRPr="00B30ADF">
        <w:rPr>
          <w:lang w:val="en-GB"/>
        </w:rPr>
        <w:t xml:space="preserve">non-statistically significant </w:t>
      </w:r>
      <w:r w:rsidRPr="00B30ADF">
        <w:rPr>
          <w:lang w:val="en-GB"/>
        </w:rPr>
        <w:t>cardiovascular ben</w:t>
      </w:r>
      <w:r w:rsidR="00D272F3" w:rsidRPr="00B30ADF">
        <w:rPr>
          <w:lang w:val="en-GB"/>
        </w:rPr>
        <w:t>e</w:t>
      </w:r>
      <w:r w:rsidRPr="00B30ADF">
        <w:rPr>
          <w:lang w:val="en-GB"/>
        </w:rPr>
        <w:t xml:space="preserve">fits were included. </w:t>
      </w:r>
      <w:r w:rsidR="00D272F3" w:rsidRPr="00B30ADF">
        <w:rPr>
          <w:lang w:val="en-GB"/>
        </w:rPr>
        <w:t>T</w:t>
      </w:r>
      <w:r w:rsidRPr="00B30ADF">
        <w:rPr>
          <w:lang w:val="en-GB"/>
        </w:rPr>
        <w:t xml:space="preserve">he PBAC acknowledged there were some conservative assumptions </w:t>
      </w:r>
      <w:r w:rsidR="00B30ADF" w:rsidRPr="00B30ADF">
        <w:rPr>
          <w:lang w:val="en-GB"/>
        </w:rPr>
        <w:t xml:space="preserve">in the economic model </w:t>
      </w:r>
      <w:r w:rsidRPr="00B30ADF">
        <w:rPr>
          <w:lang w:val="en-GB"/>
        </w:rPr>
        <w:t xml:space="preserve">including </w:t>
      </w:r>
      <w:r w:rsidR="00D272F3" w:rsidRPr="00B30ADF">
        <w:rPr>
          <w:lang w:val="en-GB"/>
        </w:rPr>
        <w:t>that: p</w:t>
      </w:r>
      <w:r w:rsidRPr="00B30ADF">
        <w:rPr>
          <w:lang w:val="en-GB"/>
        </w:rPr>
        <w:t>atients experiencing multiple cardiovascular events accrue the ongoing cost and utility of the most severe event only</w:t>
      </w:r>
      <w:r w:rsidR="00D272F3" w:rsidRPr="00B30ADF">
        <w:rPr>
          <w:lang w:val="en-GB"/>
        </w:rPr>
        <w:t>;</w:t>
      </w:r>
      <w:r w:rsidRPr="00B30ADF">
        <w:rPr>
          <w:lang w:val="en-GB"/>
        </w:rPr>
        <w:t xml:space="preserve"> </w:t>
      </w:r>
      <w:r w:rsidR="00747C51" w:rsidRPr="00B30ADF">
        <w:rPr>
          <w:lang w:val="en-GB"/>
        </w:rPr>
        <w:t xml:space="preserve">and </w:t>
      </w:r>
      <w:r w:rsidRPr="00B30ADF">
        <w:rPr>
          <w:lang w:val="en-GB"/>
        </w:rPr>
        <w:t xml:space="preserve">the hazard ratios applied were based on the ITT (not the pooled subgroup). However, on balance the PBAC considered that the ICER remained uncertain and likely overestimated. </w:t>
      </w:r>
      <w:r w:rsidR="006C537B" w:rsidRPr="00B30ADF">
        <w:rPr>
          <w:bCs/>
          <w:lang w:val="en-GB"/>
        </w:rPr>
        <w:t>The PBAC acknowledged that it would not be possible to address these uncertainties in a revised economic model.</w:t>
      </w:r>
      <w:r w:rsidR="00B30ADF" w:rsidRPr="00B30ADF">
        <w:rPr>
          <w:bCs/>
          <w:lang w:val="en-GB"/>
        </w:rPr>
        <w:t xml:space="preserve"> </w:t>
      </w:r>
    </w:p>
    <w:p w:rsidR="00362E1B" w:rsidRPr="00E546B3" w:rsidRDefault="00ED1492" w:rsidP="00036E7A">
      <w:pPr>
        <w:widowControl w:val="0"/>
        <w:numPr>
          <w:ilvl w:val="1"/>
          <w:numId w:val="1"/>
        </w:numPr>
        <w:spacing w:after="120"/>
        <w:rPr>
          <w:rFonts w:asciiTheme="minorHAnsi" w:hAnsiTheme="minorHAnsi"/>
          <w:bCs/>
          <w:snapToGrid w:val="0"/>
          <w:lang w:val="en-GB"/>
        </w:rPr>
      </w:pPr>
      <w:r w:rsidRPr="00E546B3">
        <w:rPr>
          <w:rFonts w:asciiTheme="minorHAnsi" w:hAnsiTheme="minorHAnsi"/>
          <w:bCs/>
          <w:snapToGrid w:val="0"/>
          <w:lang w:val="en-GB"/>
        </w:rPr>
        <w:t>Given</w:t>
      </w:r>
      <w:r w:rsidR="00953607" w:rsidRPr="00E546B3">
        <w:rPr>
          <w:rFonts w:asciiTheme="minorHAnsi" w:hAnsiTheme="minorHAnsi"/>
          <w:bCs/>
          <w:snapToGrid w:val="0"/>
          <w:lang w:val="en-GB"/>
        </w:rPr>
        <w:t xml:space="preserve"> the </w:t>
      </w:r>
      <w:r w:rsidR="00C7114A" w:rsidRPr="00E546B3">
        <w:rPr>
          <w:rFonts w:asciiTheme="minorHAnsi" w:hAnsiTheme="minorHAnsi"/>
          <w:bCs/>
          <w:snapToGrid w:val="0"/>
          <w:lang w:val="en-GB"/>
        </w:rPr>
        <w:t xml:space="preserve">uncertain safety </w:t>
      </w:r>
      <w:r w:rsidRPr="00E546B3">
        <w:rPr>
          <w:rFonts w:asciiTheme="minorHAnsi" w:hAnsiTheme="minorHAnsi"/>
          <w:bCs/>
          <w:snapToGrid w:val="0"/>
          <w:lang w:val="en-GB"/>
        </w:rPr>
        <w:t xml:space="preserve">and efficacy </w:t>
      </w:r>
      <w:r w:rsidR="00C7114A" w:rsidRPr="00E546B3">
        <w:rPr>
          <w:rFonts w:asciiTheme="minorHAnsi" w:hAnsiTheme="minorHAnsi"/>
          <w:bCs/>
          <w:snapToGrid w:val="0"/>
          <w:lang w:val="en-GB"/>
        </w:rPr>
        <w:t xml:space="preserve">in clinical practice, particularly the risk of bleeding </w:t>
      </w:r>
      <w:r w:rsidRPr="00E546B3">
        <w:rPr>
          <w:rFonts w:asciiTheme="minorHAnsi" w:hAnsiTheme="minorHAnsi"/>
          <w:bCs/>
          <w:snapToGrid w:val="0"/>
          <w:lang w:val="en-GB"/>
        </w:rPr>
        <w:t xml:space="preserve">and </w:t>
      </w:r>
      <w:r w:rsidR="00E546B3" w:rsidRPr="00E546B3">
        <w:rPr>
          <w:rFonts w:asciiTheme="minorHAnsi" w:hAnsiTheme="minorHAnsi"/>
          <w:bCs/>
          <w:snapToGrid w:val="0"/>
          <w:lang w:val="en-GB"/>
        </w:rPr>
        <w:t xml:space="preserve">the </w:t>
      </w:r>
      <w:r w:rsidRPr="00E546B3">
        <w:rPr>
          <w:rFonts w:asciiTheme="minorHAnsi" w:hAnsiTheme="minorHAnsi"/>
          <w:bCs/>
          <w:snapToGrid w:val="0"/>
          <w:lang w:val="en-GB"/>
        </w:rPr>
        <w:t xml:space="preserve">likely overestimation of the clinical benefit in the trial </w:t>
      </w:r>
      <w:r w:rsidRPr="00705E2A">
        <w:t>(due to the premature stopping of the trial)</w:t>
      </w:r>
      <w:r w:rsidR="000B1904" w:rsidRPr="00E546B3">
        <w:rPr>
          <w:rFonts w:asciiTheme="minorHAnsi" w:hAnsiTheme="minorHAnsi"/>
          <w:bCs/>
          <w:snapToGrid w:val="0"/>
          <w:lang w:val="en-GB"/>
        </w:rPr>
        <w:t>,</w:t>
      </w:r>
      <w:r w:rsidR="002E3C72" w:rsidRPr="00E546B3">
        <w:rPr>
          <w:rFonts w:asciiTheme="minorHAnsi" w:hAnsiTheme="minorHAnsi"/>
          <w:bCs/>
          <w:snapToGrid w:val="0"/>
          <w:lang w:val="en-GB"/>
        </w:rPr>
        <w:t xml:space="preserve"> </w:t>
      </w:r>
      <w:r w:rsidRPr="00E546B3">
        <w:rPr>
          <w:rFonts w:asciiTheme="minorHAnsi" w:hAnsiTheme="minorHAnsi"/>
          <w:bCs/>
          <w:snapToGrid w:val="0"/>
          <w:lang w:val="en-GB"/>
        </w:rPr>
        <w:t>and in the context of a secondary prevention medicine</w:t>
      </w:r>
      <w:r w:rsidR="00E546B3" w:rsidRPr="00E546B3">
        <w:rPr>
          <w:rFonts w:asciiTheme="minorHAnsi" w:hAnsiTheme="minorHAnsi"/>
          <w:bCs/>
          <w:snapToGrid w:val="0"/>
          <w:lang w:val="en-GB"/>
        </w:rPr>
        <w:t xml:space="preserve"> for a broad patient population</w:t>
      </w:r>
      <w:r w:rsidRPr="00E546B3">
        <w:rPr>
          <w:rFonts w:asciiTheme="minorHAnsi" w:hAnsiTheme="minorHAnsi"/>
          <w:bCs/>
          <w:snapToGrid w:val="0"/>
          <w:lang w:val="en-GB"/>
        </w:rPr>
        <w:t xml:space="preserve">, </w:t>
      </w:r>
      <w:r w:rsidR="002E3C72" w:rsidRPr="00E546B3">
        <w:rPr>
          <w:rFonts w:asciiTheme="minorHAnsi" w:hAnsiTheme="minorHAnsi"/>
          <w:bCs/>
          <w:snapToGrid w:val="0"/>
          <w:lang w:val="en-GB"/>
        </w:rPr>
        <w:t>th</w:t>
      </w:r>
      <w:r w:rsidR="00DA0BB9" w:rsidRPr="00E546B3">
        <w:rPr>
          <w:rFonts w:asciiTheme="minorHAnsi" w:hAnsiTheme="minorHAnsi"/>
          <w:bCs/>
          <w:snapToGrid w:val="0"/>
          <w:lang w:val="en-GB"/>
        </w:rPr>
        <w:t xml:space="preserve">e PBAC </w:t>
      </w:r>
      <w:r w:rsidR="002E3C72" w:rsidRPr="00E546B3">
        <w:rPr>
          <w:rFonts w:asciiTheme="minorHAnsi" w:hAnsiTheme="minorHAnsi"/>
          <w:bCs/>
          <w:snapToGrid w:val="0"/>
          <w:lang w:val="en-GB"/>
        </w:rPr>
        <w:t xml:space="preserve">considered that </w:t>
      </w:r>
      <w:r w:rsidR="00C7114A" w:rsidRPr="00E546B3">
        <w:rPr>
          <w:rFonts w:asciiTheme="minorHAnsi" w:hAnsiTheme="minorHAnsi"/>
          <w:bCs/>
          <w:snapToGrid w:val="0"/>
          <w:lang w:val="en-GB"/>
        </w:rPr>
        <w:t xml:space="preserve">an ICER </w:t>
      </w:r>
      <w:r w:rsidR="000B1904" w:rsidRPr="00E546B3">
        <w:rPr>
          <w:rFonts w:asciiTheme="minorHAnsi" w:hAnsiTheme="minorHAnsi"/>
          <w:bCs/>
          <w:snapToGrid w:val="0"/>
          <w:lang w:val="en-GB"/>
        </w:rPr>
        <w:t xml:space="preserve">in the range of around </w:t>
      </w:r>
      <w:r w:rsidR="00687A4F">
        <w:rPr>
          <w:rFonts w:asciiTheme="minorHAnsi" w:hAnsiTheme="minorHAnsi"/>
          <w:bCs/>
          <w:snapToGrid w:val="0"/>
          <w:lang w:val="en-GB"/>
        </w:rPr>
        <w:t>$15,000 - $45,000</w:t>
      </w:r>
      <w:r w:rsidR="00362E1B" w:rsidRPr="00E546B3">
        <w:rPr>
          <w:rFonts w:asciiTheme="minorHAnsi" w:hAnsiTheme="minorHAnsi"/>
          <w:bCs/>
          <w:snapToGrid w:val="0"/>
          <w:lang w:val="en-GB"/>
        </w:rPr>
        <w:t xml:space="preserve"> per QALY would be required</w:t>
      </w:r>
      <w:r w:rsidR="006E6C0B" w:rsidRPr="00E546B3">
        <w:rPr>
          <w:rFonts w:asciiTheme="minorHAnsi" w:hAnsiTheme="minorHAnsi"/>
          <w:bCs/>
          <w:snapToGrid w:val="0"/>
          <w:lang w:val="en-GB"/>
        </w:rPr>
        <w:t xml:space="preserve"> for rivaroxaban to be considered suitably cost-effective</w:t>
      </w:r>
      <w:r w:rsidR="00362E1B" w:rsidRPr="00E546B3">
        <w:rPr>
          <w:rFonts w:asciiTheme="minorHAnsi" w:hAnsiTheme="minorHAnsi"/>
          <w:bCs/>
          <w:snapToGrid w:val="0"/>
          <w:lang w:val="en-GB"/>
        </w:rPr>
        <w:t xml:space="preserve">. </w:t>
      </w:r>
      <w:r w:rsidR="00F24B52">
        <w:rPr>
          <w:rFonts w:asciiTheme="minorHAnsi" w:hAnsiTheme="minorHAnsi"/>
          <w:bCs/>
          <w:snapToGrid w:val="0"/>
          <w:lang w:val="en-GB"/>
        </w:rPr>
        <w:t xml:space="preserve">The PBAC was particularly concerned that the risk of bleeding would be higher in the proposed PBS population than in the COMPASS </w:t>
      </w:r>
      <w:r w:rsidR="00D47D06">
        <w:rPr>
          <w:rFonts w:asciiTheme="minorHAnsi" w:hAnsiTheme="minorHAnsi"/>
          <w:bCs/>
          <w:snapToGrid w:val="0"/>
          <w:lang w:val="en-GB"/>
        </w:rPr>
        <w:t>t</w:t>
      </w:r>
      <w:r w:rsidR="00F24B52">
        <w:rPr>
          <w:rFonts w:asciiTheme="minorHAnsi" w:hAnsiTheme="minorHAnsi"/>
          <w:bCs/>
          <w:snapToGrid w:val="0"/>
          <w:lang w:val="en-GB"/>
        </w:rPr>
        <w:t xml:space="preserve">rial (which likely underestimated the bleeding risk) and </w:t>
      </w:r>
      <w:r w:rsidR="00A52070">
        <w:rPr>
          <w:rFonts w:asciiTheme="minorHAnsi" w:hAnsiTheme="minorHAnsi"/>
          <w:bCs/>
          <w:snapToGrid w:val="0"/>
          <w:lang w:val="en-GB"/>
        </w:rPr>
        <w:t xml:space="preserve">considered that this </w:t>
      </w:r>
      <w:r w:rsidR="00632261">
        <w:rPr>
          <w:rFonts w:asciiTheme="minorHAnsi" w:hAnsiTheme="minorHAnsi"/>
          <w:bCs/>
          <w:snapToGrid w:val="0"/>
          <w:lang w:val="en-GB"/>
        </w:rPr>
        <w:t xml:space="preserve">contributed to </w:t>
      </w:r>
      <w:r w:rsidR="00F24B52">
        <w:rPr>
          <w:rFonts w:asciiTheme="minorHAnsi" w:hAnsiTheme="minorHAnsi"/>
          <w:bCs/>
          <w:snapToGrid w:val="0"/>
          <w:lang w:val="en-GB"/>
        </w:rPr>
        <w:t xml:space="preserve">uncertainty </w:t>
      </w:r>
      <w:r w:rsidR="00632261">
        <w:rPr>
          <w:rFonts w:asciiTheme="minorHAnsi" w:hAnsiTheme="minorHAnsi"/>
          <w:bCs/>
          <w:snapToGrid w:val="0"/>
          <w:lang w:val="en-GB"/>
        </w:rPr>
        <w:t>regarding</w:t>
      </w:r>
      <w:r w:rsidR="00F24B52">
        <w:rPr>
          <w:rFonts w:asciiTheme="minorHAnsi" w:hAnsiTheme="minorHAnsi"/>
          <w:bCs/>
          <w:snapToGrid w:val="0"/>
          <w:lang w:val="en-GB"/>
        </w:rPr>
        <w:t xml:space="preserve"> the ICER and the need for the ICER to be more conservative than proposed in the submission and the pre-PBAC response. </w:t>
      </w:r>
      <w:r w:rsidR="006C537B" w:rsidRPr="00E546B3">
        <w:rPr>
          <w:rFonts w:asciiTheme="minorHAnsi" w:hAnsiTheme="minorHAnsi"/>
          <w:bCs/>
          <w:snapToGrid w:val="0"/>
          <w:lang w:val="en-GB"/>
        </w:rPr>
        <w:t>The PBAC considered that this ICER should be based on the model submitted with the pre-PBAC response.</w:t>
      </w:r>
    </w:p>
    <w:p w:rsidR="00C33C3C" w:rsidRDefault="00E82B36" w:rsidP="00693F36">
      <w:pPr>
        <w:widowControl w:val="0"/>
        <w:numPr>
          <w:ilvl w:val="1"/>
          <w:numId w:val="1"/>
        </w:numPr>
        <w:spacing w:after="120"/>
      </w:pPr>
      <w:r>
        <w:t>The PBAC</w:t>
      </w:r>
      <w:r w:rsidR="007D1998">
        <w:t xml:space="preserve"> noted that the resubmission had estimated a net cost to the PBS/RPBS of </w:t>
      </w:r>
      <w:r w:rsidR="00D14A4E">
        <w:t xml:space="preserve">more than $100 </w:t>
      </w:r>
      <w:r w:rsidR="007D1998">
        <w:t xml:space="preserve">million over 6 years, </w:t>
      </w:r>
      <w:r w:rsidR="00F32D4D">
        <w:t>which</w:t>
      </w:r>
      <w:r w:rsidR="007D1998">
        <w:t xml:space="preserve"> was reduced to </w:t>
      </w:r>
      <w:r w:rsidR="00D14A4E">
        <w:t xml:space="preserve">more than $100 </w:t>
      </w:r>
      <w:r w:rsidR="007D1998">
        <w:t>million over 6 years in the pre-PBAC response. The PBAC accepted the changes in the pre-PBAC response’s revised financial estimates, with th</w:t>
      </w:r>
      <w:r w:rsidR="00FE3FBB">
        <w:t xml:space="preserve">e exception of </w:t>
      </w:r>
      <w:r w:rsidR="00FC29AA">
        <w:t xml:space="preserve">the </w:t>
      </w:r>
      <w:r w:rsidR="00F32D4D">
        <w:t xml:space="preserve">estimated </w:t>
      </w:r>
      <w:r w:rsidR="00FE3FBB">
        <w:t>uptake</w:t>
      </w:r>
      <w:r w:rsidR="00FC29AA">
        <w:t xml:space="preserve"> rate</w:t>
      </w:r>
      <w:r w:rsidR="00FE3FBB">
        <w:t>.</w:t>
      </w:r>
      <w:r w:rsidR="007D1998">
        <w:t xml:space="preserve"> The PBAC considered that </w:t>
      </w:r>
      <w:r w:rsidR="00B30ADF">
        <w:t xml:space="preserve">the </w:t>
      </w:r>
      <w:r w:rsidR="007D1998">
        <w:t>uptake</w:t>
      </w:r>
      <w:r w:rsidR="00FE3FBB">
        <w:t xml:space="preserve"> rates </w:t>
      </w:r>
      <w:r w:rsidR="00FC29AA">
        <w:t>remained</w:t>
      </w:r>
      <w:r w:rsidR="007D1998">
        <w:t xml:space="preserve"> overestimated</w:t>
      </w:r>
      <w:r w:rsidR="00C33C3C">
        <w:t xml:space="preserve"> given that rivaroxaban </w:t>
      </w:r>
      <w:r w:rsidR="00C33C3C" w:rsidRPr="00DA2857">
        <w:t>would add considerably to the overall “pill burden” in patients on secondary prevention strategies,</w:t>
      </w:r>
      <w:r w:rsidR="00C33C3C">
        <w:t xml:space="preserve"> and the</w:t>
      </w:r>
      <w:r w:rsidR="00C33C3C" w:rsidRPr="00DA2857">
        <w:t xml:space="preserve"> uncertainty in the risk/benefit profile of rivaroxaban for individual patients</w:t>
      </w:r>
      <w:r w:rsidR="00C33C3C">
        <w:t>. The PBAC considered</w:t>
      </w:r>
      <w:r w:rsidR="007D1998">
        <w:t xml:space="preserve"> </w:t>
      </w:r>
      <w:r w:rsidR="006C537B">
        <w:t xml:space="preserve">that it would be more reasonable to assume uptake rates of </w:t>
      </w:r>
      <w:r w:rsidR="00FC537F">
        <w:rPr>
          <w:noProof/>
          <w:color w:val="000000"/>
          <w:highlight w:val="black"/>
        </w:rPr>
        <w:t>'''''</w:t>
      </w:r>
      <w:r w:rsidR="00F24B52">
        <w:t xml:space="preserve"> to </w:t>
      </w:r>
      <w:r w:rsidR="00FC537F">
        <w:rPr>
          <w:noProof/>
          <w:color w:val="000000"/>
          <w:highlight w:val="black"/>
        </w:rPr>
        <w:t>'''''</w:t>
      </w:r>
      <w:r w:rsidR="007D1998">
        <w:t>% over six years</w:t>
      </w:r>
      <w:r w:rsidR="006C537B" w:rsidRPr="006C537B">
        <w:t xml:space="preserve"> </w:t>
      </w:r>
      <w:r w:rsidR="006C537B">
        <w:t xml:space="preserve">(rather than </w:t>
      </w:r>
      <w:r w:rsidR="00FC537F">
        <w:rPr>
          <w:noProof/>
          <w:color w:val="000000"/>
          <w:highlight w:val="black"/>
        </w:rPr>
        <w:t>''''''</w:t>
      </w:r>
      <w:r w:rsidR="00F24B52">
        <w:t xml:space="preserve"> to </w:t>
      </w:r>
      <w:r w:rsidR="00FC537F">
        <w:rPr>
          <w:noProof/>
          <w:color w:val="000000"/>
          <w:highlight w:val="black"/>
        </w:rPr>
        <w:t>''''''</w:t>
      </w:r>
      <w:r w:rsidR="006C537B">
        <w:t>% over six years, as estimated in the pre-PBAC response)</w:t>
      </w:r>
      <w:r w:rsidR="007D1998">
        <w:t xml:space="preserve">. </w:t>
      </w:r>
    </w:p>
    <w:p w:rsidR="004A4617" w:rsidRDefault="004A4617" w:rsidP="00693F36">
      <w:pPr>
        <w:widowControl w:val="0"/>
        <w:numPr>
          <w:ilvl w:val="1"/>
          <w:numId w:val="1"/>
        </w:numPr>
        <w:spacing w:after="120"/>
      </w:pPr>
      <w:r>
        <w:t xml:space="preserve">The PBAC considered that a risk sharing arrangement (RSA) with a </w:t>
      </w:r>
      <w:r w:rsidR="00FC537F">
        <w:rPr>
          <w:noProof/>
          <w:color w:val="000000"/>
          <w:highlight w:val="black"/>
        </w:rPr>
        <w:t>'''''''</w:t>
      </w:r>
      <w:r>
        <w:t xml:space="preserve">% rebate for use above the caps would be required </w:t>
      </w:r>
      <w:r w:rsidR="00EF2E54">
        <w:t xml:space="preserve">given the uncertain patient numbers and the potential for use outside the restriction. </w:t>
      </w:r>
      <w:r w:rsidR="00B30ADF">
        <w:t xml:space="preserve">The PBAC emphasised that the financial estimates underpinning this RSA would need to be based on conservative assumptions to provide confidence that the utilisation estimates reflect only the intended high-risk population in order to ensure cost-effectiveness. </w:t>
      </w:r>
    </w:p>
    <w:p w:rsidR="009338DD" w:rsidRDefault="009338DD" w:rsidP="007601CC">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advised that a minor resubmission would be required that addresses the following issues: </w:t>
      </w:r>
    </w:p>
    <w:p w:rsidR="006276E2" w:rsidRDefault="006276E2" w:rsidP="00747C51">
      <w:pPr>
        <w:pStyle w:val="ListParagraph"/>
        <w:widowControl w:val="0"/>
        <w:numPr>
          <w:ilvl w:val="0"/>
          <w:numId w:val="41"/>
        </w:numPr>
        <w:spacing w:after="120"/>
        <w:ind w:left="1077" w:hanging="357"/>
        <w:rPr>
          <w:rFonts w:asciiTheme="minorHAnsi" w:hAnsiTheme="minorHAnsi"/>
          <w:bCs/>
          <w:snapToGrid w:val="0"/>
          <w:lang w:val="en-GB"/>
        </w:rPr>
      </w:pPr>
      <w:r>
        <w:rPr>
          <w:rFonts w:asciiTheme="minorHAnsi" w:hAnsiTheme="minorHAnsi"/>
          <w:bCs/>
          <w:snapToGrid w:val="0"/>
          <w:lang w:val="en-GB"/>
        </w:rPr>
        <w:t xml:space="preserve">Include the updated restriction based on the PBAC’s advice (i.e. per the amended restriction under paragraph 3.1). </w:t>
      </w:r>
    </w:p>
    <w:p w:rsidR="006276E2" w:rsidRDefault="006276E2" w:rsidP="00747C51">
      <w:pPr>
        <w:pStyle w:val="ListParagraph"/>
        <w:widowControl w:val="0"/>
        <w:numPr>
          <w:ilvl w:val="0"/>
          <w:numId w:val="41"/>
        </w:numPr>
        <w:spacing w:after="120"/>
        <w:ind w:left="1077" w:hanging="357"/>
        <w:rPr>
          <w:rFonts w:asciiTheme="minorHAnsi" w:hAnsiTheme="minorHAnsi"/>
          <w:bCs/>
          <w:snapToGrid w:val="0"/>
          <w:lang w:val="en-GB"/>
        </w:rPr>
      </w:pPr>
      <w:r>
        <w:rPr>
          <w:rFonts w:asciiTheme="minorHAnsi" w:hAnsiTheme="minorHAnsi"/>
          <w:bCs/>
          <w:snapToGrid w:val="0"/>
          <w:lang w:val="en-GB"/>
        </w:rPr>
        <w:t xml:space="preserve">A further price reduction would be required to achieve an ICER </w:t>
      </w:r>
      <w:r w:rsidR="00747C51">
        <w:rPr>
          <w:rFonts w:asciiTheme="minorHAnsi" w:hAnsiTheme="minorHAnsi"/>
          <w:bCs/>
          <w:snapToGrid w:val="0"/>
          <w:lang w:val="en-GB"/>
        </w:rPr>
        <w:t xml:space="preserve">in the range of around </w:t>
      </w:r>
      <w:r w:rsidR="00687A4F">
        <w:rPr>
          <w:rFonts w:asciiTheme="minorHAnsi" w:hAnsiTheme="minorHAnsi"/>
          <w:bCs/>
          <w:snapToGrid w:val="0"/>
          <w:lang w:val="en-GB"/>
        </w:rPr>
        <w:t>$15,000 - $45,000</w:t>
      </w:r>
      <w:r>
        <w:rPr>
          <w:rFonts w:asciiTheme="minorHAnsi" w:hAnsiTheme="minorHAnsi"/>
          <w:bCs/>
          <w:snapToGrid w:val="0"/>
          <w:lang w:val="en-GB"/>
        </w:rPr>
        <w:t xml:space="preserve"> per QALY, using the pre-PBAC response economic model. </w:t>
      </w:r>
    </w:p>
    <w:p w:rsidR="006276E2" w:rsidRDefault="006276E2" w:rsidP="00747C51">
      <w:pPr>
        <w:pStyle w:val="ListParagraph"/>
        <w:widowControl w:val="0"/>
        <w:numPr>
          <w:ilvl w:val="0"/>
          <w:numId w:val="41"/>
        </w:numPr>
        <w:spacing w:after="120"/>
        <w:ind w:left="1077" w:hanging="357"/>
        <w:rPr>
          <w:rFonts w:asciiTheme="minorHAnsi" w:hAnsiTheme="minorHAnsi"/>
          <w:bCs/>
          <w:snapToGrid w:val="0"/>
          <w:lang w:val="en-GB"/>
        </w:rPr>
      </w:pPr>
      <w:r>
        <w:rPr>
          <w:rFonts w:asciiTheme="minorHAnsi" w:hAnsiTheme="minorHAnsi"/>
          <w:bCs/>
          <w:snapToGrid w:val="0"/>
          <w:lang w:val="en-GB"/>
        </w:rPr>
        <w:t>The financial estimates should be revised to reflect the lower price (derived from the economic model outlined above)</w:t>
      </w:r>
      <w:r w:rsidR="00B93083">
        <w:rPr>
          <w:rFonts w:asciiTheme="minorHAnsi" w:hAnsiTheme="minorHAnsi"/>
          <w:bCs/>
          <w:snapToGrid w:val="0"/>
          <w:lang w:val="en-GB"/>
        </w:rPr>
        <w:t xml:space="preserve"> and reduced uptake rate estimates</w:t>
      </w:r>
      <w:r>
        <w:rPr>
          <w:rFonts w:asciiTheme="minorHAnsi" w:hAnsiTheme="minorHAnsi"/>
          <w:bCs/>
          <w:snapToGrid w:val="0"/>
          <w:lang w:val="en-GB"/>
        </w:rPr>
        <w:t xml:space="preserve">. </w:t>
      </w:r>
    </w:p>
    <w:p w:rsidR="006276E2" w:rsidRPr="006276E2" w:rsidRDefault="006276E2" w:rsidP="006276E2">
      <w:pPr>
        <w:pStyle w:val="ListParagraph"/>
        <w:widowControl w:val="0"/>
        <w:numPr>
          <w:ilvl w:val="0"/>
          <w:numId w:val="41"/>
        </w:numPr>
        <w:spacing w:after="120"/>
        <w:ind w:left="1077" w:hanging="357"/>
        <w:contextualSpacing w:val="0"/>
        <w:rPr>
          <w:rFonts w:asciiTheme="minorHAnsi" w:hAnsiTheme="minorHAnsi"/>
          <w:bCs/>
          <w:snapToGrid w:val="0"/>
          <w:lang w:val="en-GB"/>
        </w:rPr>
      </w:pPr>
      <w:r>
        <w:rPr>
          <w:rFonts w:asciiTheme="minorHAnsi" w:hAnsiTheme="minorHAnsi"/>
          <w:bCs/>
          <w:snapToGrid w:val="0"/>
          <w:lang w:val="en-GB"/>
        </w:rPr>
        <w:t xml:space="preserve">An RSA with a </w:t>
      </w:r>
      <w:r w:rsidR="00FC537F">
        <w:rPr>
          <w:rFonts w:asciiTheme="minorHAnsi" w:hAnsiTheme="minorHAnsi"/>
          <w:bCs/>
          <w:noProof/>
          <w:snapToGrid w:val="0"/>
          <w:color w:val="000000"/>
          <w:highlight w:val="black"/>
          <w:lang w:val="en-GB"/>
        </w:rPr>
        <w:t>'''''''</w:t>
      </w:r>
      <w:r>
        <w:rPr>
          <w:rFonts w:asciiTheme="minorHAnsi" w:hAnsiTheme="minorHAnsi"/>
          <w:bCs/>
          <w:snapToGrid w:val="0"/>
          <w:lang w:val="en-GB"/>
        </w:rPr>
        <w:t xml:space="preserve">% rebate above the caps would be required given the uncertain patient numbers and the potential for use outside the restriction. </w:t>
      </w:r>
    </w:p>
    <w:p w:rsidR="007601CC" w:rsidRPr="00525B39" w:rsidRDefault="007601CC" w:rsidP="007601CC">
      <w:pPr>
        <w:spacing w:before="240"/>
        <w:rPr>
          <w:rFonts w:asciiTheme="minorHAnsi" w:hAnsiTheme="minorHAnsi"/>
          <w:b/>
          <w:bCs/>
          <w:snapToGrid w:val="0"/>
          <w:lang w:val="en-GB"/>
        </w:rPr>
      </w:pPr>
      <w:r w:rsidRPr="00525B39">
        <w:rPr>
          <w:rFonts w:asciiTheme="minorHAnsi" w:hAnsiTheme="minorHAnsi"/>
          <w:b/>
          <w:bCs/>
          <w:snapToGrid w:val="0"/>
          <w:lang w:val="en-GB"/>
        </w:rPr>
        <w:t>Outcome:</w:t>
      </w:r>
    </w:p>
    <w:p w:rsidR="007601CC" w:rsidRPr="00073864" w:rsidRDefault="00581D3B" w:rsidP="00073864">
      <w:pPr>
        <w:rPr>
          <w:rFonts w:asciiTheme="minorHAnsi" w:hAnsiTheme="minorHAnsi"/>
          <w:bCs/>
          <w:snapToGrid w:val="0"/>
          <w:lang w:val="en-GB"/>
        </w:rPr>
      </w:pPr>
      <w:r>
        <w:rPr>
          <w:rFonts w:asciiTheme="minorHAnsi" w:hAnsiTheme="minorHAnsi"/>
          <w:bCs/>
          <w:snapToGrid w:val="0"/>
          <w:lang w:val="en-GB"/>
        </w:rPr>
        <w:t>Deferred</w:t>
      </w:r>
    </w:p>
    <w:p w:rsidR="00073864" w:rsidRPr="003B7841" w:rsidRDefault="00073864" w:rsidP="00073864">
      <w:pPr>
        <w:keepNext/>
        <w:numPr>
          <w:ilvl w:val="0"/>
          <w:numId w:val="1"/>
        </w:numPr>
        <w:spacing w:before="240" w:after="120"/>
        <w:jc w:val="left"/>
        <w:outlineLvl w:val="0"/>
        <w:rPr>
          <w:rFonts w:asciiTheme="minorHAnsi" w:eastAsiaTheme="minorHAnsi" w:hAnsiTheme="minorHAnsi"/>
          <w:b/>
          <w:snapToGrid w:val="0"/>
          <w:sz w:val="32"/>
          <w:szCs w:val="22"/>
          <w:lang w:eastAsia="en-US"/>
        </w:rPr>
      </w:pPr>
      <w:r w:rsidRPr="003B7841">
        <w:rPr>
          <w:rFonts w:asciiTheme="minorHAnsi" w:eastAsiaTheme="minorHAnsi" w:hAnsiTheme="minorHAnsi"/>
          <w:b/>
          <w:snapToGrid w:val="0"/>
          <w:sz w:val="32"/>
          <w:szCs w:val="22"/>
          <w:lang w:eastAsia="en-US"/>
        </w:rPr>
        <w:t>Context for Decision</w:t>
      </w:r>
    </w:p>
    <w:p w:rsidR="00073864" w:rsidRPr="003B7841" w:rsidRDefault="00073864" w:rsidP="00073864">
      <w:pPr>
        <w:spacing w:line="276" w:lineRule="auto"/>
        <w:jc w:val="left"/>
        <w:rPr>
          <w:rFonts w:asciiTheme="minorHAnsi" w:eastAsiaTheme="minorHAnsi" w:hAnsiTheme="minorHAnsi" w:cs="Times New Roman"/>
          <w:szCs w:val="22"/>
          <w:lang w:eastAsia="en-US"/>
        </w:rPr>
      </w:pPr>
      <w:r w:rsidRPr="003B7841">
        <w:rPr>
          <w:rFonts w:asciiTheme="minorHAnsi" w:eastAsiaTheme="minorHAnsi" w:hAnsiTheme="minorHAnsi" w:cs="Times New Roman"/>
          <w:szCs w:val="22"/>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073864" w:rsidRPr="003B7841" w:rsidRDefault="00073864" w:rsidP="00073864">
      <w:pPr>
        <w:keepNext/>
        <w:numPr>
          <w:ilvl w:val="0"/>
          <w:numId w:val="1"/>
        </w:numPr>
        <w:spacing w:before="240" w:after="120"/>
        <w:jc w:val="left"/>
        <w:outlineLvl w:val="0"/>
        <w:rPr>
          <w:rFonts w:asciiTheme="minorHAnsi" w:eastAsiaTheme="minorHAnsi" w:hAnsiTheme="minorHAnsi"/>
          <w:b/>
          <w:snapToGrid w:val="0"/>
          <w:sz w:val="32"/>
          <w:szCs w:val="22"/>
          <w:lang w:eastAsia="en-US"/>
        </w:rPr>
      </w:pPr>
      <w:r w:rsidRPr="003B7841">
        <w:rPr>
          <w:rFonts w:asciiTheme="minorHAnsi" w:eastAsiaTheme="minorHAnsi" w:hAnsiTheme="minorHAnsi"/>
          <w:b/>
          <w:snapToGrid w:val="0"/>
          <w:sz w:val="32"/>
          <w:szCs w:val="22"/>
          <w:lang w:eastAsia="en-US"/>
        </w:rPr>
        <w:t>Sponsor’s Comment</w:t>
      </w:r>
    </w:p>
    <w:p w:rsidR="00073864" w:rsidRPr="00525B39" w:rsidRDefault="00DA2265" w:rsidP="007601CC">
      <w:pPr>
        <w:widowControl w:val="0"/>
        <w:rPr>
          <w:rFonts w:asciiTheme="minorHAnsi" w:hAnsiTheme="minorHAnsi"/>
          <w:b/>
          <w:bCs/>
          <w:snapToGrid w:val="0"/>
        </w:rPr>
      </w:pPr>
      <w:r w:rsidRPr="00DA2265">
        <w:t>Bayer will continue to work with the PBAC and the Department of Health on the listing of rivaroxaban 2.5mg.</w:t>
      </w:r>
    </w:p>
    <w:sectPr w:rsidR="00073864" w:rsidRPr="00525B39" w:rsidSect="006C2112">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FF0F6" w16cex:dateUtc="2020-04-13T22:21:00Z"/>
  <w16cex:commentExtensible w16cex:durableId="223FF241" w16cex:dateUtc="2020-04-13T22:26:00Z"/>
  <w16cex:commentExtensible w16cex:durableId="223FFAD1" w16cex:dateUtc="2020-04-13T23:03:00Z"/>
  <w16cex:commentExtensible w16cex:durableId="223FFD80" w16cex:dateUtc="2020-04-13T23:14:00Z"/>
  <w16cex:commentExtensible w16cex:durableId="223FFE16" w16cex:dateUtc="2020-04-13T23:17:00Z"/>
  <w16cex:commentExtensible w16cex:durableId="22400013" w16cex:dateUtc="2020-04-13T23:25:00Z"/>
  <w16cex:commentExtensible w16cex:durableId="22400050" w16cex:dateUtc="2020-04-13T23: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ACC90CC" w16cid:durableId="223FF0F6"/>
  <w16cid:commentId w16cid:paraId="33DC7C22" w16cid:durableId="223DAAD4"/>
  <w16cid:commentId w16cid:paraId="6DEBCC24" w16cid:durableId="223DAAD5"/>
  <w16cid:commentId w16cid:paraId="0E4AF9A8" w16cid:durableId="223FF241"/>
  <w16cid:commentId w16cid:paraId="5BDB569A" w16cid:durableId="223FFAD1"/>
  <w16cid:commentId w16cid:paraId="2FE88FD2" w16cid:durableId="223FFD80"/>
  <w16cid:commentId w16cid:paraId="690E471F" w16cid:durableId="223DAAD6"/>
  <w16cid:commentId w16cid:paraId="5AE197D1" w16cid:durableId="223DAAD7"/>
  <w16cid:commentId w16cid:paraId="0C0DBAC9" w16cid:durableId="223FFE16"/>
  <w16cid:commentId w16cid:paraId="028D316C" w16cid:durableId="223DAAD8"/>
  <w16cid:commentId w16cid:paraId="59DE8410" w16cid:durableId="22400013"/>
  <w16cid:commentId w16cid:paraId="6ADAEDC5" w16cid:durableId="224000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37F" w:rsidRDefault="00FC537F" w:rsidP="00124A51">
      <w:r>
        <w:separator/>
      </w:r>
    </w:p>
    <w:p w:rsidR="00FC537F" w:rsidRDefault="00FC537F"/>
  </w:endnote>
  <w:endnote w:type="continuationSeparator" w:id="0">
    <w:p w:rsidR="00FC537F" w:rsidRDefault="00FC537F" w:rsidP="00124A51">
      <w:r>
        <w:continuationSeparator/>
      </w:r>
    </w:p>
    <w:p w:rsidR="00FC537F" w:rsidRDefault="00FC53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37F" w:rsidRDefault="00FC53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0245164"/>
      <w:docPartObj>
        <w:docPartGallery w:val="Page Numbers (Bottom of Page)"/>
        <w:docPartUnique/>
      </w:docPartObj>
    </w:sdtPr>
    <w:sdtEndPr>
      <w:rPr>
        <w:b/>
        <w:noProof/>
      </w:rPr>
    </w:sdtEndPr>
    <w:sdtContent>
      <w:p w:rsidR="00FC537F" w:rsidRDefault="00FC537F">
        <w:pPr>
          <w:pStyle w:val="Footer"/>
          <w:jc w:val="center"/>
        </w:pPr>
      </w:p>
      <w:p w:rsidR="00FC537F" w:rsidRPr="00F236E0" w:rsidRDefault="00FC537F">
        <w:pPr>
          <w:pStyle w:val="Footer"/>
          <w:jc w:val="center"/>
          <w:rPr>
            <w:b/>
          </w:rPr>
        </w:pPr>
        <w:r w:rsidRPr="00F236E0">
          <w:rPr>
            <w:b/>
          </w:rPr>
          <w:fldChar w:fldCharType="begin"/>
        </w:r>
        <w:r w:rsidRPr="00F236E0">
          <w:rPr>
            <w:b/>
          </w:rPr>
          <w:instrText xml:space="preserve"> PAGE   \* MERGEFORMAT </w:instrText>
        </w:r>
        <w:r w:rsidRPr="00F236E0">
          <w:rPr>
            <w:b/>
          </w:rPr>
          <w:fldChar w:fldCharType="separate"/>
        </w:r>
        <w:r w:rsidR="002D22F6">
          <w:rPr>
            <w:b/>
            <w:noProof/>
          </w:rPr>
          <w:t>38</w:t>
        </w:r>
        <w:r w:rsidRPr="00F236E0">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37F" w:rsidRDefault="00FC53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37F" w:rsidRDefault="00FC537F" w:rsidP="00124A51">
      <w:r>
        <w:separator/>
      </w:r>
    </w:p>
    <w:p w:rsidR="00FC537F" w:rsidRDefault="00FC537F"/>
  </w:footnote>
  <w:footnote w:type="continuationSeparator" w:id="0">
    <w:p w:rsidR="00FC537F" w:rsidRDefault="00FC537F" w:rsidP="00124A51">
      <w:r>
        <w:continuationSeparator/>
      </w:r>
    </w:p>
    <w:p w:rsidR="00FC537F" w:rsidRDefault="00FC537F"/>
  </w:footnote>
  <w:footnote w:id="1">
    <w:p w:rsidR="00FC537F" w:rsidRDefault="00FC537F" w:rsidP="00667E1B">
      <w:pPr>
        <w:pStyle w:val="FootnoteText"/>
      </w:pPr>
      <w:r>
        <w:rPr>
          <w:rStyle w:val="FootnoteReference"/>
        </w:rPr>
        <w:footnoteRef/>
      </w:r>
      <w:r>
        <w:t xml:space="preserve"> </w:t>
      </w:r>
      <w:r w:rsidRPr="0055407F">
        <w:t>https://www.pbs.gov.au/industry/listing/elements/pbac-meetings/pbac-outcomes/2019-11/positive-recommendations-11-2019.docx.pdf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37F" w:rsidRDefault="00FC53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37F" w:rsidRPr="004A60CC" w:rsidRDefault="00FC537F" w:rsidP="004A60CC">
    <w:pPr>
      <w:tabs>
        <w:tab w:val="left" w:pos="142"/>
        <w:tab w:val="right" w:pos="9026"/>
      </w:tabs>
      <w:jc w:val="center"/>
      <w:rPr>
        <w:i/>
      </w:rPr>
    </w:pPr>
    <w:r>
      <w:rPr>
        <w:i/>
      </w:rPr>
      <w:t>Public Summary Document – March 2020 PBAC Meeting</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37F" w:rsidRDefault="00FC53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31E56"/>
    <w:multiLevelType w:val="hybridMultilevel"/>
    <w:tmpl w:val="E66AF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753B85"/>
    <w:multiLevelType w:val="hybridMultilevel"/>
    <w:tmpl w:val="4F3874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5331246"/>
    <w:multiLevelType w:val="hybridMultilevel"/>
    <w:tmpl w:val="9C10B6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7417618"/>
    <w:multiLevelType w:val="hybridMultilevel"/>
    <w:tmpl w:val="CD385FF2"/>
    <w:lvl w:ilvl="0" w:tplc="42FC5336">
      <w:start w:val="7"/>
      <w:numFmt w:val="bullet"/>
      <w:lvlText w:val="-"/>
      <w:lvlJc w:val="left"/>
      <w:pPr>
        <w:ind w:left="720" w:hanging="360"/>
      </w:pPr>
      <w:rPr>
        <w:rFonts w:ascii="Arial Narrow" w:eastAsia="Times New Roman" w:hAnsi="Arial Narrow"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2C2A84"/>
    <w:multiLevelType w:val="hybridMultilevel"/>
    <w:tmpl w:val="740442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0997353"/>
    <w:multiLevelType w:val="hybridMultilevel"/>
    <w:tmpl w:val="088C53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1D65FFB"/>
    <w:multiLevelType w:val="hybridMultilevel"/>
    <w:tmpl w:val="F058276A"/>
    <w:lvl w:ilvl="0" w:tplc="0C090011">
      <w:start w:val="1"/>
      <w:numFmt w:val="decimal"/>
      <w:lvlText w:val="%1)"/>
      <w:lvlJc w:val="left"/>
      <w:pPr>
        <w:ind w:left="1778"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007C5"/>
    <w:multiLevelType w:val="multilevel"/>
    <w:tmpl w:val="937ED5DE"/>
    <w:lvl w:ilvl="0">
      <w:start w:val="1"/>
      <w:numFmt w:val="decimal"/>
      <w:lvlText w:val="%1"/>
      <w:lvlJc w:val="left"/>
      <w:pPr>
        <w:ind w:left="720" w:hanging="720"/>
      </w:pPr>
      <w:rPr>
        <w:rFonts w:hint="default"/>
        <w:b/>
      </w:rPr>
    </w:lvl>
    <w:lvl w:ilvl="1">
      <w:start w:val="1"/>
      <w:numFmt w:val="bullet"/>
      <w:lvlText w:val=""/>
      <w:lvlJc w:val="left"/>
      <w:pPr>
        <w:ind w:left="907" w:hanging="510"/>
      </w:pPr>
      <w:rPr>
        <w:rFonts w:ascii="Symbol" w:hAnsi="Symbol" w:hint="default"/>
        <w:b w:val="0"/>
        <w:bCs w:val="0"/>
        <w:i w:val="0"/>
        <w:iCs w:val="0"/>
        <w:caps w:val="0"/>
        <w:smallCaps w:val="0"/>
        <w:strike w:val="0"/>
        <w:dstrike w:val="0"/>
        <w:outline w:val="0"/>
        <w:shadow w:val="0"/>
        <w:emboss w:val="0"/>
        <w:imprint w:val="0"/>
        <w:vanish w:val="0"/>
        <w:color w:val="auto"/>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5A1B51"/>
    <w:multiLevelType w:val="hybridMultilevel"/>
    <w:tmpl w:val="476A0F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079782B"/>
    <w:multiLevelType w:val="hybridMultilevel"/>
    <w:tmpl w:val="DD4A0466"/>
    <w:lvl w:ilvl="0" w:tplc="E1B6BF4A">
      <w:start w:val="1"/>
      <w:numFmt w:val="decimal"/>
      <w:lvlText w:val="%1."/>
      <w:lvlJc w:val="left"/>
      <w:pPr>
        <w:ind w:left="360" w:hanging="360"/>
      </w:pPr>
      <w:rPr>
        <w:rFonts w:hint="default"/>
        <w:color w:val="auto"/>
      </w:rPr>
    </w:lvl>
    <w:lvl w:ilvl="1" w:tplc="0C090019">
      <w:start w:val="1"/>
      <w:numFmt w:val="lowerLetter"/>
      <w:lvlText w:val="%2."/>
      <w:lvlJc w:val="left"/>
      <w:pPr>
        <w:ind w:left="-3947" w:hanging="360"/>
      </w:pPr>
    </w:lvl>
    <w:lvl w:ilvl="2" w:tplc="0C09001B" w:tentative="1">
      <w:start w:val="1"/>
      <w:numFmt w:val="lowerRoman"/>
      <w:lvlText w:val="%3."/>
      <w:lvlJc w:val="right"/>
      <w:pPr>
        <w:ind w:left="-3227" w:hanging="180"/>
      </w:pPr>
    </w:lvl>
    <w:lvl w:ilvl="3" w:tplc="0C09000F">
      <w:start w:val="1"/>
      <w:numFmt w:val="decimal"/>
      <w:lvlText w:val="%4."/>
      <w:lvlJc w:val="left"/>
      <w:pPr>
        <w:ind w:left="-2507" w:hanging="360"/>
      </w:pPr>
    </w:lvl>
    <w:lvl w:ilvl="4" w:tplc="0C090019" w:tentative="1">
      <w:start w:val="1"/>
      <w:numFmt w:val="lowerLetter"/>
      <w:lvlText w:val="%5."/>
      <w:lvlJc w:val="left"/>
      <w:pPr>
        <w:ind w:left="-1787" w:hanging="360"/>
      </w:pPr>
    </w:lvl>
    <w:lvl w:ilvl="5" w:tplc="0C09001B" w:tentative="1">
      <w:start w:val="1"/>
      <w:numFmt w:val="lowerRoman"/>
      <w:lvlText w:val="%6."/>
      <w:lvlJc w:val="right"/>
      <w:pPr>
        <w:ind w:left="-1067" w:hanging="180"/>
      </w:pPr>
    </w:lvl>
    <w:lvl w:ilvl="6" w:tplc="0C09000F" w:tentative="1">
      <w:start w:val="1"/>
      <w:numFmt w:val="decimal"/>
      <w:lvlText w:val="%7."/>
      <w:lvlJc w:val="left"/>
      <w:pPr>
        <w:ind w:left="-347" w:hanging="360"/>
      </w:pPr>
    </w:lvl>
    <w:lvl w:ilvl="7" w:tplc="0C090019" w:tentative="1">
      <w:start w:val="1"/>
      <w:numFmt w:val="lowerLetter"/>
      <w:lvlText w:val="%8."/>
      <w:lvlJc w:val="left"/>
      <w:pPr>
        <w:ind w:left="373" w:hanging="360"/>
      </w:pPr>
    </w:lvl>
    <w:lvl w:ilvl="8" w:tplc="0C09001B" w:tentative="1">
      <w:start w:val="1"/>
      <w:numFmt w:val="lowerRoman"/>
      <w:lvlText w:val="%9."/>
      <w:lvlJc w:val="right"/>
      <w:pPr>
        <w:ind w:left="1093" w:hanging="180"/>
      </w:p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D72ED7"/>
    <w:multiLevelType w:val="hybridMultilevel"/>
    <w:tmpl w:val="CFC8DBD6"/>
    <w:lvl w:ilvl="0" w:tplc="6512E728">
      <w:start w:val="1"/>
      <w:numFmt w:val="lowerRoman"/>
      <w:lvlText w:val="%1)"/>
      <w:lvlJc w:val="left"/>
      <w:pPr>
        <w:ind w:left="1080" w:hanging="72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2E1250B"/>
    <w:multiLevelType w:val="hybridMultilevel"/>
    <w:tmpl w:val="68060A3A"/>
    <w:lvl w:ilvl="0" w:tplc="66CAE8CC">
      <w:start w:val="7"/>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016175"/>
    <w:multiLevelType w:val="multilevel"/>
    <w:tmpl w:val="937ED5DE"/>
    <w:lvl w:ilvl="0">
      <w:start w:val="1"/>
      <w:numFmt w:val="decimal"/>
      <w:lvlText w:val="%1"/>
      <w:lvlJc w:val="left"/>
      <w:pPr>
        <w:ind w:left="720" w:hanging="720"/>
      </w:pPr>
      <w:rPr>
        <w:rFonts w:hint="default"/>
        <w:b/>
      </w:rPr>
    </w:lvl>
    <w:lvl w:ilvl="1">
      <w:start w:val="1"/>
      <w:numFmt w:val="bullet"/>
      <w:lvlText w:val=""/>
      <w:lvlJc w:val="left"/>
      <w:pPr>
        <w:ind w:left="907" w:hanging="510"/>
      </w:pPr>
      <w:rPr>
        <w:rFonts w:ascii="Symbol" w:hAnsi="Symbol" w:hint="default"/>
        <w:b w:val="0"/>
        <w:bCs w:val="0"/>
        <w:i w:val="0"/>
        <w:iCs w:val="0"/>
        <w:caps w:val="0"/>
        <w:smallCaps w:val="0"/>
        <w:strike w:val="0"/>
        <w:dstrike w:val="0"/>
        <w:outline w:val="0"/>
        <w:shadow w:val="0"/>
        <w:emboss w:val="0"/>
        <w:imprint w:val="0"/>
        <w:vanish w:val="0"/>
        <w:color w:val="auto"/>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F61F53"/>
    <w:multiLevelType w:val="hybridMultilevel"/>
    <w:tmpl w:val="EEF0F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30F5AB0"/>
    <w:multiLevelType w:val="hybridMultilevel"/>
    <w:tmpl w:val="2E8E434C"/>
    <w:lvl w:ilvl="0" w:tplc="2EFE4B3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4442297"/>
    <w:multiLevelType w:val="hybridMultilevel"/>
    <w:tmpl w:val="6C126612"/>
    <w:lvl w:ilvl="0" w:tplc="37FAF906">
      <w:start w:val="1"/>
      <w:numFmt w:val="bullet"/>
      <w:pStyle w:val="Bulletpoints"/>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5A6B91"/>
    <w:multiLevelType w:val="hybridMultilevel"/>
    <w:tmpl w:val="2FA0655A"/>
    <w:lvl w:ilvl="0" w:tplc="50D2E46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DE2D0E"/>
    <w:multiLevelType w:val="hybridMultilevel"/>
    <w:tmpl w:val="38BC101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74729F2"/>
    <w:multiLevelType w:val="hybridMultilevel"/>
    <w:tmpl w:val="C472BA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47FB25BB"/>
    <w:multiLevelType w:val="hybridMultilevel"/>
    <w:tmpl w:val="E7B47D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485F2469"/>
    <w:multiLevelType w:val="hybridMultilevel"/>
    <w:tmpl w:val="F3F81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C807E15"/>
    <w:multiLevelType w:val="hybridMultilevel"/>
    <w:tmpl w:val="9D507F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4DB01139"/>
    <w:multiLevelType w:val="hybridMultilevel"/>
    <w:tmpl w:val="D0D66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F1D638E"/>
    <w:multiLevelType w:val="multilevel"/>
    <w:tmpl w:val="2E7811DC"/>
    <w:styleLink w:val="SectionBi"/>
    <w:lvl w:ilvl="0">
      <w:start w:val="2"/>
      <w:numFmt w:val="upperLetter"/>
      <w:lvlText w:val="%1(i)."/>
      <w:lvlJc w:val="left"/>
      <w:pPr>
        <w:ind w:left="1134" w:hanging="1134"/>
      </w:pPr>
      <w:rPr>
        <w:rFonts w:ascii="Arial" w:hAnsi="Arial" w:hint="default"/>
        <w:b/>
        <w:sz w:val="22"/>
        <w:szCs w:val="22"/>
      </w:rPr>
    </w:lvl>
    <w:lvl w:ilvl="1">
      <w:start w:val="1"/>
      <w:numFmt w:val="decimal"/>
      <w:lvlText w:val="%1(i).%2"/>
      <w:lvlJc w:val="left"/>
      <w:pPr>
        <w:ind w:left="1134" w:hanging="1134"/>
      </w:pPr>
      <w:rPr>
        <w:rFonts w:ascii="Arial" w:hAnsi="Arial" w:hint="default"/>
        <w:sz w:val="22"/>
      </w:rPr>
    </w:lvl>
    <w:lvl w:ilvl="2">
      <w:start w:val="1"/>
      <w:numFmt w:val="decimal"/>
      <w:lvlText w:val="%1(i).%2.%3"/>
      <w:lvlJc w:val="left"/>
      <w:pPr>
        <w:ind w:left="1134" w:hanging="1134"/>
      </w:pPr>
      <w:rPr>
        <w:rFonts w:ascii="Arial" w:hAnsi="Arial" w:hint="default"/>
        <w:sz w:val="22"/>
      </w:rPr>
    </w:lvl>
    <w:lvl w:ilvl="3">
      <w:start w:val="1"/>
      <w:numFmt w:val="decimal"/>
      <w:lvlText w:val="%1(i).%2.%3.%4"/>
      <w:lvlJc w:val="left"/>
      <w:pPr>
        <w:ind w:left="1134" w:hanging="1134"/>
      </w:pPr>
      <w:rPr>
        <w:rFonts w:ascii="Arial" w:hAnsi="Arial" w:hint="default"/>
        <w:sz w:val="22"/>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32" w15:restartNumberingAfterBreak="0">
    <w:nsid w:val="51F85E45"/>
    <w:multiLevelType w:val="hybridMultilevel"/>
    <w:tmpl w:val="DF544BAC"/>
    <w:lvl w:ilvl="0" w:tplc="0C090001">
      <w:start w:val="1"/>
      <w:numFmt w:val="bullet"/>
      <w:lvlText w:val=""/>
      <w:lvlJc w:val="left"/>
      <w:pPr>
        <w:ind w:left="720" w:hanging="360"/>
      </w:pPr>
      <w:rPr>
        <w:rFonts w:ascii="Symbol" w:hAnsi="Symbol" w:hint="default"/>
      </w:rPr>
    </w:lvl>
    <w:lvl w:ilvl="1" w:tplc="BFD251CC">
      <w:start w:val="140"/>
      <w:numFmt w:val="bullet"/>
      <w:lvlText w:val="-"/>
      <w:lvlJc w:val="left"/>
      <w:pPr>
        <w:ind w:left="1440" w:hanging="360"/>
      </w:pPr>
      <w:rPr>
        <w:rFonts w:ascii="Arial Narrow" w:eastAsia="Times New Roman" w:hAnsi="Arial Narrow"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6653286"/>
    <w:multiLevelType w:val="hybridMultilevel"/>
    <w:tmpl w:val="EC4CC6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4056E25"/>
    <w:multiLevelType w:val="hybridMultilevel"/>
    <w:tmpl w:val="7AAEE5C6"/>
    <w:lvl w:ilvl="0" w:tplc="AAEA7A2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E8369F1"/>
    <w:multiLevelType w:val="hybridMultilevel"/>
    <w:tmpl w:val="2FC8943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73821436"/>
    <w:multiLevelType w:val="hybridMultilevel"/>
    <w:tmpl w:val="179E6D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6AF67DD"/>
    <w:multiLevelType w:val="multilevel"/>
    <w:tmpl w:val="937ED5DE"/>
    <w:lvl w:ilvl="0">
      <w:start w:val="1"/>
      <w:numFmt w:val="decimal"/>
      <w:lvlText w:val="%1"/>
      <w:lvlJc w:val="left"/>
      <w:pPr>
        <w:ind w:left="720" w:hanging="720"/>
      </w:pPr>
      <w:rPr>
        <w:rFonts w:hint="default"/>
        <w:b/>
      </w:rPr>
    </w:lvl>
    <w:lvl w:ilvl="1">
      <w:start w:val="1"/>
      <w:numFmt w:val="bullet"/>
      <w:lvlText w:val=""/>
      <w:lvlJc w:val="left"/>
      <w:pPr>
        <w:ind w:left="907" w:hanging="510"/>
      </w:pPr>
      <w:rPr>
        <w:rFonts w:ascii="Symbol" w:hAnsi="Symbol" w:hint="default"/>
        <w:b w:val="0"/>
        <w:bCs w:val="0"/>
        <w:i w:val="0"/>
        <w:iCs w:val="0"/>
        <w:caps w:val="0"/>
        <w:smallCaps w:val="0"/>
        <w:strike w:val="0"/>
        <w:dstrike w:val="0"/>
        <w:outline w:val="0"/>
        <w:shadow w:val="0"/>
        <w:emboss w:val="0"/>
        <w:imprint w:val="0"/>
        <w:vanish w:val="0"/>
        <w:color w:val="auto"/>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4D033C"/>
    <w:multiLevelType w:val="multilevel"/>
    <w:tmpl w:val="AE44DC30"/>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D6F6AC8"/>
    <w:multiLevelType w:val="hybridMultilevel"/>
    <w:tmpl w:val="B50E5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1"/>
  </w:num>
  <w:num w:numId="2">
    <w:abstractNumId w:val="22"/>
  </w:num>
  <w:num w:numId="3">
    <w:abstractNumId w:val="0"/>
  </w:num>
  <w:num w:numId="4">
    <w:abstractNumId w:val="41"/>
  </w:num>
  <w:num w:numId="5">
    <w:abstractNumId w:val="39"/>
  </w:num>
  <w:num w:numId="6">
    <w:abstractNumId w:val="8"/>
  </w:num>
  <w:num w:numId="7">
    <w:abstractNumId w:val="11"/>
  </w:num>
  <w:num w:numId="8">
    <w:abstractNumId w:val="27"/>
  </w:num>
  <w:num w:numId="9">
    <w:abstractNumId w:val="1"/>
  </w:num>
  <w:num w:numId="10">
    <w:abstractNumId w:val="30"/>
  </w:num>
  <w:num w:numId="11">
    <w:abstractNumId w:val="42"/>
  </w:num>
  <w:num w:numId="12">
    <w:abstractNumId w:val="16"/>
  </w:num>
  <w:num w:numId="13">
    <w:abstractNumId w:val="28"/>
  </w:num>
  <w:num w:numId="14">
    <w:abstractNumId w:val="36"/>
  </w:num>
  <w:num w:numId="15">
    <w:abstractNumId w:val="19"/>
  </w:num>
  <w:num w:numId="16">
    <w:abstractNumId w:val="31"/>
  </w:num>
  <w:num w:numId="17">
    <w:abstractNumId w:val="5"/>
  </w:num>
  <w:num w:numId="18">
    <w:abstractNumId w:val="18"/>
  </w:num>
  <w:num w:numId="19">
    <w:abstractNumId w:val="10"/>
  </w:num>
  <w:num w:numId="20">
    <w:abstractNumId w:val="40"/>
  </w:num>
  <w:num w:numId="21">
    <w:abstractNumId w:val="25"/>
  </w:num>
  <w:num w:numId="22">
    <w:abstractNumId w:val="26"/>
  </w:num>
  <w:num w:numId="23">
    <w:abstractNumId w:val="12"/>
  </w:num>
  <w:num w:numId="24">
    <w:abstractNumId w:val="9"/>
  </w:num>
  <w:num w:numId="25">
    <w:abstractNumId w:val="2"/>
  </w:num>
  <w:num w:numId="26">
    <w:abstractNumId w:val="37"/>
  </w:num>
  <w:num w:numId="27">
    <w:abstractNumId w:val="21"/>
  </w:num>
  <w:num w:numId="28">
    <w:abstractNumId w:val="14"/>
  </w:num>
  <w:num w:numId="29">
    <w:abstractNumId w:val="33"/>
  </w:num>
  <w:num w:numId="30">
    <w:abstractNumId w:val="34"/>
  </w:num>
  <w:num w:numId="31">
    <w:abstractNumId w:val="6"/>
  </w:num>
  <w:num w:numId="32">
    <w:abstractNumId w:val="3"/>
  </w:num>
  <w:num w:numId="33">
    <w:abstractNumId w:val="15"/>
  </w:num>
  <w:num w:numId="34">
    <w:abstractNumId w:val="17"/>
  </w:num>
  <w:num w:numId="35">
    <w:abstractNumId w:val="13"/>
  </w:num>
  <w:num w:numId="36">
    <w:abstractNumId w:val="23"/>
  </w:num>
  <w:num w:numId="37">
    <w:abstractNumId w:val="4"/>
  </w:num>
  <w:num w:numId="38">
    <w:abstractNumId w:val="24"/>
  </w:num>
  <w:num w:numId="39">
    <w:abstractNumId w:val="7"/>
  </w:num>
  <w:num w:numId="40">
    <w:abstractNumId w:val="38"/>
  </w:num>
  <w:num w:numId="41">
    <w:abstractNumId w:val="29"/>
  </w:num>
  <w:num w:numId="42">
    <w:abstractNumId w:val="32"/>
  </w:num>
  <w:num w:numId="43">
    <w:abstractNumId w:val="35"/>
  </w:num>
  <w:num w:numId="44">
    <w:abstractNumId w:val="22"/>
  </w:num>
  <w:num w:numId="45">
    <w:abstractNumId w:val="22"/>
  </w:num>
  <w:num w:numId="46">
    <w:abstractNumId w:val="22"/>
  </w:num>
  <w:num w:numId="47">
    <w:abstractNumId w:val="20"/>
  </w:num>
  <w:num w:numId="48">
    <w:abstractNumId w:val="4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961"/>
    <w:rsid w:val="0000110B"/>
    <w:rsid w:val="000023A7"/>
    <w:rsid w:val="00002C02"/>
    <w:rsid w:val="00003499"/>
    <w:rsid w:val="000039B7"/>
    <w:rsid w:val="00004306"/>
    <w:rsid w:val="00004664"/>
    <w:rsid w:val="0000639A"/>
    <w:rsid w:val="00010105"/>
    <w:rsid w:val="0001018D"/>
    <w:rsid w:val="00013247"/>
    <w:rsid w:val="0001514E"/>
    <w:rsid w:val="00015886"/>
    <w:rsid w:val="00015FB0"/>
    <w:rsid w:val="000162EF"/>
    <w:rsid w:val="000207C9"/>
    <w:rsid w:val="00021BCD"/>
    <w:rsid w:val="0002225F"/>
    <w:rsid w:val="000228EF"/>
    <w:rsid w:val="00023763"/>
    <w:rsid w:val="000242C7"/>
    <w:rsid w:val="00025EAC"/>
    <w:rsid w:val="000274B8"/>
    <w:rsid w:val="00031FE5"/>
    <w:rsid w:val="00033863"/>
    <w:rsid w:val="00035B86"/>
    <w:rsid w:val="00035DC0"/>
    <w:rsid w:val="00035E43"/>
    <w:rsid w:val="00035FBD"/>
    <w:rsid w:val="0003615B"/>
    <w:rsid w:val="00036829"/>
    <w:rsid w:val="00036E7A"/>
    <w:rsid w:val="00037EBB"/>
    <w:rsid w:val="00040895"/>
    <w:rsid w:val="000426B2"/>
    <w:rsid w:val="000435EE"/>
    <w:rsid w:val="00043C37"/>
    <w:rsid w:val="00043F75"/>
    <w:rsid w:val="0004410E"/>
    <w:rsid w:val="00045017"/>
    <w:rsid w:val="0004566B"/>
    <w:rsid w:val="00045A2B"/>
    <w:rsid w:val="00045B37"/>
    <w:rsid w:val="0004698F"/>
    <w:rsid w:val="00050115"/>
    <w:rsid w:val="000539D0"/>
    <w:rsid w:val="00053A6A"/>
    <w:rsid w:val="00054621"/>
    <w:rsid w:val="000546D7"/>
    <w:rsid w:val="00054AFF"/>
    <w:rsid w:val="00054D02"/>
    <w:rsid w:val="00056ECF"/>
    <w:rsid w:val="0005718C"/>
    <w:rsid w:val="00057D8F"/>
    <w:rsid w:val="000604DF"/>
    <w:rsid w:val="000610E3"/>
    <w:rsid w:val="00062912"/>
    <w:rsid w:val="000653B5"/>
    <w:rsid w:val="000655A0"/>
    <w:rsid w:val="00065A6C"/>
    <w:rsid w:val="00066360"/>
    <w:rsid w:val="00066AF8"/>
    <w:rsid w:val="00071244"/>
    <w:rsid w:val="00071248"/>
    <w:rsid w:val="00071CB3"/>
    <w:rsid w:val="00071E70"/>
    <w:rsid w:val="000720B9"/>
    <w:rsid w:val="000737F7"/>
    <w:rsid w:val="00073864"/>
    <w:rsid w:val="00074456"/>
    <w:rsid w:val="0007672F"/>
    <w:rsid w:val="00076B24"/>
    <w:rsid w:val="00076B54"/>
    <w:rsid w:val="000774F0"/>
    <w:rsid w:val="00077BAD"/>
    <w:rsid w:val="0008061D"/>
    <w:rsid w:val="00080909"/>
    <w:rsid w:val="000812CA"/>
    <w:rsid w:val="00081E63"/>
    <w:rsid w:val="0008258D"/>
    <w:rsid w:val="00083E99"/>
    <w:rsid w:val="00084FA8"/>
    <w:rsid w:val="000856C5"/>
    <w:rsid w:val="00085C31"/>
    <w:rsid w:val="00085CB5"/>
    <w:rsid w:val="000875C7"/>
    <w:rsid w:val="00087613"/>
    <w:rsid w:val="00087FD6"/>
    <w:rsid w:val="000902D9"/>
    <w:rsid w:val="00090AF8"/>
    <w:rsid w:val="00090C7E"/>
    <w:rsid w:val="00091D3C"/>
    <w:rsid w:val="00092600"/>
    <w:rsid w:val="0009262B"/>
    <w:rsid w:val="00093310"/>
    <w:rsid w:val="00093FAF"/>
    <w:rsid w:val="0009445C"/>
    <w:rsid w:val="00095200"/>
    <w:rsid w:val="00095FE5"/>
    <w:rsid w:val="00096284"/>
    <w:rsid w:val="000A156C"/>
    <w:rsid w:val="000A1710"/>
    <w:rsid w:val="000A1BC0"/>
    <w:rsid w:val="000A1C11"/>
    <w:rsid w:val="000A2207"/>
    <w:rsid w:val="000A6039"/>
    <w:rsid w:val="000A6DC6"/>
    <w:rsid w:val="000A7453"/>
    <w:rsid w:val="000A7D08"/>
    <w:rsid w:val="000B0121"/>
    <w:rsid w:val="000B0670"/>
    <w:rsid w:val="000B0E75"/>
    <w:rsid w:val="000B1904"/>
    <w:rsid w:val="000B2CC0"/>
    <w:rsid w:val="000B2DCB"/>
    <w:rsid w:val="000B3162"/>
    <w:rsid w:val="000B454A"/>
    <w:rsid w:val="000B51D9"/>
    <w:rsid w:val="000B590A"/>
    <w:rsid w:val="000B5CE0"/>
    <w:rsid w:val="000B6B6A"/>
    <w:rsid w:val="000B6CAC"/>
    <w:rsid w:val="000B7612"/>
    <w:rsid w:val="000B78AE"/>
    <w:rsid w:val="000B7F8C"/>
    <w:rsid w:val="000C04BF"/>
    <w:rsid w:val="000C1665"/>
    <w:rsid w:val="000C3DF9"/>
    <w:rsid w:val="000C5741"/>
    <w:rsid w:val="000C6713"/>
    <w:rsid w:val="000C71BE"/>
    <w:rsid w:val="000C75FC"/>
    <w:rsid w:val="000D0514"/>
    <w:rsid w:val="000D1BFC"/>
    <w:rsid w:val="000D1D5D"/>
    <w:rsid w:val="000D281A"/>
    <w:rsid w:val="000D2848"/>
    <w:rsid w:val="000D2CB5"/>
    <w:rsid w:val="000D326A"/>
    <w:rsid w:val="000D3F96"/>
    <w:rsid w:val="000D51FB"/>
    <w:rsid w:val="000D60C7"/>
    <w:rsid w:val="000D6D42"/>
    <w:rsid w:val="000E0640"/>
    <w:rsid w:val="000E135D"/>
    <w:rsid w:val="000E2BC7"/>
    <w:rsid w:val="000E5161"/>
    <w:rsid w:val="000E7C9E"/>
    <w:rsid w:val="000F00BA"/>
    <w:rsid w:val="000F24B1"/>
    <w:rsid w:val="000F316A"/>
    <w:rsid w:val="000F3AEF"/>
    <w:rsid w:val="000F3C74"/>
    <w:rsid w:val="000F4AE6"/>
    <w:rsid w:val="000F4BB8"/>
    <w:rsid w:val="000F4FA9"/>
    <w:rsid w:val="000F53FB"/>
    <w:rsid w:val="000F7127"/>
    <w:rsid w:val="000F7B54"/>
    <w:rsid w:val="00100378"/>
    <w:rsid w:val="00100F8A"/>
    <w:rsid w:val="00101B41"/>
    <w:rsid w:val="00101EC3"/>
    <w:rsid w:val="00102174"/>
    <w:rsid w:val="0010452E"/>
    <w:rsid w:val="00105AE2"/>
    <w:rsid w:val="001060C6"/>
    <w:rsid w:val="00106B80"/>
    <w:rsid w:val="00106BFC"/>
    <w:rsid w:val="00107350"/>
    <w:rsid w:val="001076BC"/>
    <w:rsid w:val="001077EA"/>
    <w:rsid w:val="00107E0A"/>
    <w:rsid w:val="0011032E"/>
    <w:rsid w:val="001105D5"/>
    <w:rsid w:val="001109CB"/>
    <w:rsid w:val="00110AF9"/>
    <w:rsid w:val="0011133A"/>
    <w:rsid w:val="00112015"/>
    <w:rsid w:val="001124C5"/>
    <w:rsid w:val="001130BD"/>
    <w:rsid w:val="0011348B"/>
    <w:rsid w:val="001140BC"/>
    <w:rsid w:val="00115242"/>
    <w:rsid w:val="00115982"/>
    <w:rsid w:val="00116C53"/>
    <w:rsid w:val="00121338"/>
    <w:rsid w:val="001215CD"/>
    <w:rsid w:val="00121799"/>
    <w:rsid w:val="001222FC"/>
    <w:rsid w:val="00122DFD"/>
    <w:rsid w:val="00123902"/>
    <w:rsid w:val="00124A51"/>
    <w:rsid w:val="00124AE2"/>
    <w:rsid w:val="00125E2C"/>
    <w:rsid w:val="00126621"/>
    <w:rsid w:val="00126B1D"/>
    <w:rsid w:val="001301E9"/>
    <w:rsid w:val="00131005"/>
    <w:rsid w:val="00131729"/>
    <w:rsid w:val="00131D82"/>
    <w:rsid w:val="00132A57"/>
    <w:rsid w:val="00132B22"/>
    <w:rsid w:val="00133D36"/>
    <w:rsid w:val="00137645"/>
    <w:rsid w:val="00137CEF"/>
    <w:rsid w:val="00137DF5"/>
    <w:rsid w:val="0014015A"/>
    <w:rsid w:val="001402CC"/>
    <w:rsid w:val="00140E99"/>
    <w:rsid w:val="00143F67"/>
    <w:rsid w:val="00144B95"/>
    <w:rsid w:val="00145540"/>
    <w:rsid w:val="001456B0"/>
    <w:rsid w:val="00145822"/>
    <w:rsid w:val="001503C4"/>
    <w:rsid w:val="0015329E"/>
    <w:rsid w:val="001532B7"/>
    <w:rsid w:val="00156F8F"/>
    <w:rsid w:val="00157130"/>
    <w:rsid w:val="001576B1"/>
    <w:rsid w:val="00160076"/>
    <w:rsid w:val="0016047B"/>
    <w:rsid w:val="00160A4C"/>
    <w:rsid w:val="00162913"/>
    <w:rsid w:val="00162DE3"/>
    <w:rsid w:val="00163EFF"/>
    <w:rsid w:val="00163F66"/>
    <w:rsid w:val="00165E1C"/>
    <w:rsid w:val="00165ED4"/>
    <w:rsid w:val="001661FB"/>
    <w:rsid w:val="001662AA"/>
    <w:rsid w:val="001671A0"/>
    <w:rsid w:val="0016767F"/>
    <w:rsid w:val="00170B2B"/>
    <w:rsid w:val="00173565"/>
    <w:rsid w:val="00173B07"/>
    <w:rsid w:val="001751FA"/>
    <w:rsid w:val="00177C48"/>
    <w:rsid w:val="0018117B"/>
    <w:rsid w:val="00181D9C"/>
    <w:rsid w:val="00182332"/>
    <w:rsid w:val="00184B0E"/>
    <w:rsid w:val="00184CC5"/>
    <w:rsid w:val="0018752F"/>
    <w:rsid w:val="00190063"/>
    <w:rsid w:val="001930C1"/>
    <w:rsid w:val="00193838"/>
    <w:rsid w:val="00194AD8"/>
    <w:rsid w:val="00195222"/>
    <w:rsid w:val="00195E04"/>
    <w:rsid w:val="001975D8"/>
    <w:rsid w:val="001A0425"/>
    <w:rsid w:val="001A178E"/>
    <w:rsid w:val="001A2E95"/>
    <w:rsid w:val="001A31F0"/>
    <w:rsid w:val="001A35DD"/>
    <w:rsid w:val="001A389D"/>
    <w:rsid w:val="001A43FA"/>
    <w:rsid w:val="001A47C5"/>
    <w:rsid w:val="001A48EC"/>
    <w:rsid w:val="001A59FB"/>
    <w:rsid w:val="001A5E9E"/>
    <w:rsid w:val="001A6354"/>
    <w:rsid w:val="001A6366"/>
    <w:rsid w:val="001A6B04"/>
    <w:rsid w:val="001A7287"/>
    <w:rsid w:val="001A7AE8"/>
    <w:rsid w:val="001B0B9C"/>
    <w:rsid w:val="001B1F2E"/>
    <w:rsid w:val="001B204E"/>
    <w:rsid w:val="001B22B0"/>
    <w:rsid w:val="001B2372"/>
    <w:rsid w:val="001B30AA"/>
    <w:rsid w:val="001B3443"/>
    <w:rsid w:val="001B3492"/>
    <w:rsid w:val="001B3CF9"/>
    <w:rsid w:val="001B44E0"/>
    <w:rsid w:val="001B4D20"/>
    <w:rsid w:val="001B5575"/>
    <w:rsid w:val="001C06F7"/>
    <w:rsid w:val="001C0B96"/>
    <w:rsid w:val="001C2473"/>
    <w:rsid w:val="001C2A9B"/>
    <w:rsid w:val="001C3F78"/>
    <w:rsid w:val="001C4299"/>
    <w:rsid w:val="001C4355"/>
    <w:rsid w:val="001C4511"/>
    <w:rsid w:val="001C4874"/>
    <w:rsid w:val="001C5F94"/>
    <w:rsid w:val="001C66D1"/>
    <w:rsid w:val="001C6753"/>
    <w:rsid w:val="001C6E66"/>
    <w:rsid w:val="001C7764"/>
    <w:rsid w:val="001D1100"/>
    <w:rsid w:val="001D1391"/>
    <w:rsid w:val="001D25D7"/>
    <w:rsid w:val="001D2A81"/>
    <w:rsid w:val="001D50B2"/>
    <w:rsid w:val="001D59F6"/>
    <w:rsid w:val="001D61EB"/>
    <w:rsid w:val="001D6A8F"/>
    <w:rsid w:val="001D7124"/>
    <w:rsid w:val="001D7645"/>
    <w:rsid w:val="001E12F2"/>
    <w:rsid w:val="001E1E86"/>
    <w:rsid w:val="001E238E"/>
    <w:rsid w:val="001E2483"/>
    <w:rsid w:val="001E2A91"/>
    <w:rsid w:val="001E2B1E"/>
    <w:rsid w:val="001E2CFF"/>
    <w:rsid w:val="001E2F24"/>
    <w:rsid w:val="001E30D4"/>
    <w:rsid w:val="001E34DF"/>
    <w:rsid w:val="001E52EB"/>
    <w:rsid w:val="001E5AFD"/>
    <w:rsid w:val="001E6031"/>
    <w:rsid w:val="001E61D2"/>
    <w:rsid w:val="001E7198"/>
    <w:rsid w:val="001E740C"/>
    <w:rsid w:val="001F0CD9"/>
    <w:rsid w:val="001F0EA7"/>
    <w:rsid w:val="001F10F8"/>
    <w:rsid w:val="001F1235"/>
    <w:rsid w:val="001F1CB3"/>
    <w:rsid w:val="001F38B5"/>
    <w:rsid w:val="001F4081"/>
    <w:rsid w:val="001F615B"/>
    <w:rsid w:val="001F7361"/>
    <w:rsid w:val="00200EF8"/>
    <w:rsid w:val="002011B0"/>
    <w:rsid w:val="00203181"/>
    <w:rsid w:val="00203783"/>
    <w:rsid w:val="0020385F"/>
    <w:rsid w:val="00203EE0"/>
    <w:rsid w:val="002041DA"/>
    <w:rsid w:val="0020508E"/>
    <w:rsid w:val="002059B2"/>
    <w:rsid w:val="002068A0"/>
    <w:rsid w:val="00207021"/>
    <w:rsid w:val="0020732F"/>
    <w:rsid w:val="00207501"/>
    <w:rsid w:val="00207D00"/>
    <w:rsid w:val="002105C1"/>
    <w:rsid w:val="00213EF5"/>
    <w:rsid w:val="00215A51"/>
    <w:rsid w:val="00215DF7"/>
    <w:rsid w:val="00216BF5"/>
    <w:rsid w:val="00220AF7"/>
    <w:rsid w:val="00221F86"/>
    <w:rsid w:val="00223B49"/>
    <w:rsid w:val="00223D5A"/>
    <w:rsid w:val="00224DD4"/>
    <w:rsid w:val="002260AE"/>
    <w:rsid w:val="002278A0"/>
    <w:rsid w:val="00230911"/>
    <w:rsid w:val="002309CC"/>
    <w:rsid w:val="00230DB1"/>
    <w:rsid w:val="0023209F"/>
    <w:rsid w:val="002322F2"/>
    <w:rsid w:val="00233484"/>
    <w:rsid w:val="00233C01"/>
    <w:rsid w:val="0023413C"/>
    <w:rsid w:val="002346F0"/>
    <w:rsid w:val="0023525E"/>
    <w:rsid w:val="0023629D"/>
    <w:rsid w:val="00237255"/>
    <w:rsid w:val="0024179A"/>
    <w:rsid w:val="002424AF"/>
    <w:rsid w:val="002439DC"/>
    <w:rsid w:val="002441D2"/>
    <w:rsid w:val="00244DC8"/>
    <w:rsid w:val="002458BA"/>
    <w:rsid w:val="00245CE9"/>
    <w:rsid w:val="0024636C"/>
    <w:rsid w:val="00247925"/>
    <w:rsid w:val="00251006"/>
    <w:rsid w:val="002517F9"/>
    <w:rsid w:val="002524D5"/>
    <w:rsid w:val="00253B1D"/>
    <w:rsid w:val="00254DCF"/>
    <w:rsid w:val="0025534B"/>
    <w:rsid w:val="00255BB7"/>
    <w:rsid w:val="00257541"/>
    <w:rsid w:val="00257A39"/>
    <w:rsid w:val="00257AC4"/>
    <w:rsid w:val="00261284"/>
    <w:rsid w:val="00261EEF"/>
    <w:rsid w:val="00262A1A"/>
    <w:rsid w:val="00262A87"/>
    <w:rsid w:val="00264D26"/>
    <w:rsid w:val="00267642"/>
    <w:rsid w:val="00267AEA"/>
    <w:rsid w:val="002700E6"/>
    <w:rsid w:val="0027294B"/>
    <w:rsid w:val="00273076"/>
    <w:rsid w:val="00273410"/>
    <w:rsid w:val="00273EB4"/>
    <w:rsid w:val="00274682"/>
    <w:rsid w:val="00275C5A"/>
    <w:rsid w:val="0027717C"/>
    <w:rsid w:val="0028074E"/>
    <w:rsid w:val="00280FD4"/>
    <w:rsid w:val="00281014"/>
    <w:rsid w:val="00285B05"/>
    <w:rsid w:val="0028665D"/>
    <w:rsid w:val="0029033C"/>
    <w:rsid w:val="002927A2"/>
    <w:rsid w:val="0029287A"/>
    <w:rsid w:val="00292AA1"/>
    <w:rsid w:val="00294261"/>
    <w:rsid w:val="00297B1E"/>
    <w:rsid w:val="00297D20"/>
    <w:rsid w:val="002A14AB"/>
    <w:rsid w:val="002A2ADE"/>
    <w:rsid w:val="002A2F50"/>
    <w:rsid w:val="002A4845"/>
    <w:rsid w:val="002A554E"/>
    <w:rsid w:val="002A576E"/>
    <w:rsid w:val="002A76B7"/>
    <w:rsid w:val="002A76CE"/>
    <w:rsid w:val="002B05A1"/>
    <w:rsid w:val="002B09A4"/>
    <w:rsid w:val="002B1C1F"/>
    <w:rsid w:val="002B2CBE"/>
    <w:rsid w:val="002B432F"/>
    <w:rsid w:val="002B5F83"/>
    <w:rsid w:val="002B62B3"/>
    <w:rsid w:val="002B6754"/>
    <w:rsid w:val="002B6CCE"/>
    <w:rsid w:val="002C2497"/>
    <w:rsid w:val="002C2510"/>
    <w:rsid w:val="002C2775"/>
    <w:rsid w:val="002C27C1"/>
    <w:rsid w:val="002C2B0F"/>
    <w:rsid w:val="002C5099"/>
    <w:rsid w:val="002C5889"/>
    <w:rsid w:val="002C71CE"/>
    <w:rsid w:val="002D08F8"/>
    <w:rsid w:val="002D1C34"/>
    <w:rsid w:val="002D22F6"/>
    <w:rsid w:val="002D577C"/>
    <w:rsid w:val="002D655B"/>
    <w:rsid w:val="002D780D"/>
    <w:rsid w:val="002D797C"/>
    <w:rsid w:val="002D7B97"/>
    <w:rsid w:val="002E0011"/>
    <w:rsid w:val="002E1071"/>
    <w:rsid w:val="002E15B9"/>
    <w:rsid w:val="002E2158"/>
    <w:rsid w:val="002E3A14"/>
    <w:rsid w:val="002E3C72"/>
    <w:rsid w:val="002E4F02"/>
    <w:rsid w:val="002E7722"/>
    <w:rsid w:val="002F013C"/>
    <w:rsid w:val="002F07BA"/>
    <w:rsid w:val="002F0DA9"/>
    <w:rsid w:val="002F1014"/>
    <w:rsid w:val="002F643C"/>
    <w:rsid w:val="002F71C0"/>
    <w:rsid w:val="002F74F1"/>
    <w:rsid w:val="00301017"/>
    <w:rsid w:val="0030155F"/>
    <w:rsid w:val="00302CC6"/>
    <w:rsid w:val="003040FF"/>
    <w:rsid w:val="0030587B"/>
    <w:rsid w:val="00306912"/>
    <w:rsid w:val="00306D98"/>
    <w:rsid w:val="0030772F"/>
    <w:rsid w:val="0030786C"/>
    <w:rsid w:val="0031031A"/>
    <w:rsid w:val="00310981"/>
    <w:rsid w:val="003124D9"/>
    <w:rsid w:val="00312594"/>
    <w:rsid w:val="00313AF9"/>
    <w:rsid w:val="00313D02"/>
    <w:rsid w:val="00314CAD"/>
    <w:rsid w:val="00315498"/>
    <w:rsid w:val="00316474"/>
    <w:rsid w:val="00316F0E"/>
    <w:rsid w:val="00317BC3"/>
    <w:rsid w:val="00320923"/>
    <w:rsid w:val="00322107"/>
    <w:rsid w:val="00322355"/>
    <w:rsid w:val="0032243B"/>
    <w:rsid w:val="00322846"/>
    <w:rsid w:val="00322C1E"/>
    <w:rsid w:val="0032494A"/>
    <w:rsid w:val="00326DA7"/>
    <w:rsid w:val="003270A3"/>
    <w:rsid w:val="003270E4"/>
    <w:rsid w:val="0032723F"/>
    <w:rsid w:val="00330DAA"/>
    <w:rsid w:val="00330F5C"/>
    <w:rsid w:val="0033379A"/>
    <w:rsid w:val="00333B57"/>
    <w:rsid w:val="0033454E"/>
    <w:rsid w:val="003366C9"/>
    <w:rsid w:val="003371B0"/>
    <w:rsid w:val="00337AB7"/>
    <w:rsid w:val="00337D37"/>
    <w:rsid w:val="003409CD"/>
    <w:rsid w:val="00340DF1"/>
    <w:rsid w:val="003438AF"/>
    <w:rsid w:val="003507F6"/>
    <w:rsid w:val="003517F9"/>
    <w:rsid w:val="00351BA9"/>
    <w:rsid w:val="00351C14"/>
    <w:rsid w:val="00354F64"/>
    <w:rsid w:val="0035554E"/>
    <w:rsid w:val="0035567F"/>
    <w:rsid w:val="0035620E"/>
    <w:rsid w:val="0035662D"/>
    <w:rsid w:val="003566FE"/>
    <w:rsid w:val="003573D1"/>
    <w:rsid w:val="00360345"/>
    <w:rsid w:val="00361A05"/>
    <w:rsid w:val="00361F1E"/>
    <w:rsid w:val="003624C4"/>
    <w:rsid w:val="00362DB8"/>
    <w:rsid w:val="00362E1B"/>
    <w:rsid w:val="00363B00"/>
    <w:rsid w:val="003654AC"/>
    <w:rsid w:val="003664B7"/>
    <w:rsid w:val="00367F79"/>
    <w:rsid w:val="003710CF"/>
    <w:rsid w:val="0037358A"/>
    <w:rsid w:val="003750F6"/>
    <w:rsid w:val="003760FC"/>
    <w:rsid w:val="003816D3"/>
    <w:rsid w:val="0038365C"/>
    <w:rsid w:val="0038369B"/>
    <w:rsid w:val="00383B78"/>
    <w:rsid w:val="00385A9D"/>
    <w:rsid w:val="00386C8F"/>
    <w:rsid w:val="0038744C"/>
    <w:rsid w:val="003902B1"/>
    <w:rsid w:val="003906AF"/>
    <w:rsid w:val="00391197"/>
    <w:rsid w:val="0039179C"/>
    <w:rsid w:val="00391B8B"/>
    <w:rsid w:val="00393F29"/>
    <w:rsid w:val="00394BEF"/>
    <w:rsid w:val="00395EF5"/>
    <w:rsid w:val="00396896"/>
    <w:rsid w:val="00396FD0"/>
    <w:rsid w:val="003975D0"/>
    <w:rsid w:val="003A1A7A"/>
    <w:rsid w:val="003A2392"/>
    <w:rsid w:val="003A2831"/>
    <w:rsid w:val="003A3CB6"/>
    <w:rsid w:val="003A3ED1"/>
    <w:rsid w:val="003A43B0"/>
    <w:rsid w:val="003A44DB"/>
    <w:rsid w:val="003A5BF1"/>
    <w:rsid w:val="003A692E"/>
    <w:rsid w:val="003B10E5"/>
    <w:rsid w:val="003B1755"/>
    <w:rsid w:val="003B3971"/>
    <w:rsid w:val="003B55D1"/>
    <w:rsid w:val="003B569A"/>
    <w:rsid w:val="003B5B61"/>
    <w:rsid w:val="003B6B4C"/>
    <w:rsid w:val="003C0665"/>
    <w:rsid w:val="003C1035"/>
    <w:rsid w:val="003C13A9"/>
    <w:rsid w:val="003C1654"/>
    <w:rsid w:val="003C1DDC"/>
    <w:rsid w:val="003C23DA"/>
    <w:rsid w:val="003C4C1E"/>
    <w:rsid w:val="003C5542"/>
    <w:rsid w:val="003C727C"/>
    <w:rsid w:val="003C7D19"/>
    <w:rsid w:val="003C7D2F"/>
    <w:rsid w:val="003D1828"/>
    <w:rsid w:val="003D1C66"/>
    <w:rsid w:val="003D1DE4"/>
    <w:rsid w:val="003D1E9A"/>
    <w:rsid w:val="003D217D"/>
    <w:rsid w:val="003D2422"/>
    <w:rsid w:val="003D39A1"/>
    <w:rsid w:val="003D3FBF"/>
    <w:rsid w:val="003D46C9"/>
    <w:rsid w:val="003D4A30"/>
    <w:rsid w:val="003D6B64"/>
    <w:rsid w:val="003D7452"/>
    <w:rsid w:val="003D7587"/>
    <w:rsid w:val="003D7921"/>
    <w:rsid w:val="003D79BB"/>
    <w:rsid w:val="003D7C98"/>
    <w:rsid w:val="003D7D9D"/>
    <w:rsid w:val="003D7DAD"/>
    <w:rsid w:val="003E046C"/>
    <w:rsid w:val="003E0543"/>
    <w:rsid w:val="003E29B2"/>
    <w:rsid w:val="003E3159"/>
    <w:rsid w:val="003E327B"/>
    <w:rsid w:val="003E4B7A"/>
    <w:rsid w:val="003E4E0C"/>
    <w:rsid w:val="003E51B2"/>
    <w:rsid w:val="003E56A8"/>
    <w:rsid w:val="003E5851"/>
    <w:rsid w:val="003E749E"/>
    <w:rsid w:val="003F0DB2"/>
    <w:rsid w:val="003F4156"/>
    <w:rsid w:val="003F5ADF"/>
    <w:rsid w:val="00400B29"/>
    <w:rsid w:val="004021D2"/>
    <w:rsid w:val="0040286F"/>
    <w:rsid w:val="0040504B"/>
    <w:rsid w:val="004059F4"/>
    <w:rsid w:val="00407090"/>
    <w:rsid w:val="00407FE5"/>
    <w:rsid w:val="004101B0"/>
    <w:rsid w:val="00410326"/>
    <w:rsid w:val="00410708"/>
    <w:rsid w:val="00410EC7"/>
    <w:rsid w:val="00411957"/>
    <w:rsid w:val="00411B39"/>
    <w:rsid w:val="004127A7"/>
    <w:rsid w:val="00412D96"/>
    <w:rsid w:val="00413A1E"/>
    <w:rsid w:val="00414476"/>
    <w:rsid w:val="004146A5"/>
    <w:rsid w:val="00414C2E"/>
    <w:rsid w:val="004151CF"/>
    <w:rsid w:val="00416364"/>
    <w:rsid w:val="0042047F"/>
    <w:rsid w:val="00420AA6"/>
    <w:rsid w:val="00420B04"/>
    <w:rsid w:val="00420B9F"/>
    <w:rsid w:val="0042192C"/>
    <w:rsid w:val="00422260"/>
    <w:rsid w:val="0042283B"/>
    <w:rsid w:val="0042413F"/>
    <w:rsid w:val="00424838"/>
    <w:rsid w:val="00424E9B"/>
    <w:rsid w:val="004319F8"/>
    <w:rsid w:val="00431E55"/>
    <w:rsid w:val="004321F6"/>
    <w:rsid w:val="0043274E"/>
    <w:rsid w:val="00433044"/>
    <w:rsid w:val="00434088"/>
    <w:rsid w:val="004357A0"/>
    <w:rsid w:val="004375B9"/>
    <w:rsid w:val="00437B67"/>
    <w:rsid w:val="00442361"/>
    <w:rsid w:val="004428D0"/>
    <w:rsid w:val="00443048"/>
    <w:rsid w:val="00444185"/>
    <w:rsid w:val="004443A7"/>
    <w:rsid w:val="0044442C"/>
    <w:rsid w:val="00445941"/>
    <w:rsid w:val="004464EB"/>
    <w:rsid w:val="00447504"/>
    <w:rsid w:val="00447D26"/>
    <w:rsid w:val="00447DFC"/>
    <w:rsid w:val="00454928"/>
    <w:rsid w:val="00454DEE"/>
    <w:rsid w:val="00455986"/>
    <w:rsid w:val="00455D45"/>
    <w:rsid w:val="004575B3"/>
    <w:rsid w:val="00460623"/>
    <w:rsid w:val="00463501"/>
    <w:rsid w:val="00464443"/>
    <w:rsid w:val="00464595"/>
    <w:rsid w:val="0046514A"/>
    <w:rsid w:val="004658B5"/>
    <w:rsid w:val="0046682B"/>
    <w:rsid w:val="004716FF"/>
    <w:rsid w:val="00471EA5"/>
    <w:rsid w:val="004722FF"/>
    <w:rsid w:val="004724B4"/>
    <w:rsid w:val="00472A79"/>
    <w:rsid w:val="00473F19"/>
    <w:rsid w:val="004746A8"/>
    <w:rsid w:val="004750F7"/>
    <w:rsid w:val="00475E22"/>
    <w:rsid w:val="00477F1A"/>
    <w:rsid w:val="0048088E"/>
    <w:rsid w:val="00480F2B"/>
    <w:rsid w:val="00482720"/>
    <w:rsid w:val="004829D6"/>
    <w:rsid w:val="004835E7"/>
    <w:rsid w:val="004861D3"/>
    <w:rsid w:val="004867E2"/>
    <w:rsid w:val="00486E6C"/>
    <w:rsid w:val="00487E03"/>
    <w:rsid w:val="00490B17"/>
    <w:rsid w:val="00491013"/>
    <w:rsid w:val="00491B3A"/>
    <w:rsid w:val="00492CFD"/>
    <w:rsid w:val="00493574"/>
    <w:rsid w:val="00493E28"/>
    <w:rsid w:val="00494207"/>
    <w:rsid w:val="00494DD5"/>
    <w:rsid w:val="004962D2"/>
    <w:rsid w:val="00497A8E"/>
    <w:rsid w:val="004A06FB"/>
    <w:rsid w:val="004A0894"/>
    <w:rsid w:val="004A0DA1"/>
    <w:rsid w:val="004A13D6"/>
    <w:rsid w:val="004A4224"/>
    <w:rsid w:val="004A44B1"/>
    <w:rsid w:val="004A4617"/>
    <w:rsid w:val="004A52E9"/>
    <w:rsid w:val="004A6040"/>
    <w:rsid w:val="004A60CC"/>
    <w:rsid w:val="004A6597"/>
    <w:rsid w:val="004A7848"/>
    <w:rsid w:val="004A7A77"/>
    <w:rsid w:val="004B04DB"/>
    <w:rsid w:val="004B1CB4"/>
    <w:rsid w:val="004B2F18"/>
    <w:rsid w:val="004B3DDB"/>
    <w:rsid w:val="004B4046"/>
    <w:rsid w:val="004B44FD"/>
    <w:rsid w:val="004B5201"/>
    <w:rsid w:val="004B5CFC"/>
    <w:rsid w:val="004B60D7"/>
    <w:rsid w:val="004B6DAF"/>
    <w:rsid w:val="004B6F79"/>
    <w:rsid w:val="004B774D"/>
    <w:rsid w:val="004C12F4"/>
    <w:rsid w:val="004C3EC8"/>
    <w:rsid w:val="004C4AED"/>
    <w:rsid w:val="004C6391"/>
    <w:rsid w:val="004D0EB5"/>
    <w:rsid w:val="004D1510"/>
    <w:rsid w:val="004D15DF"/>
    <w:rsid w:val="004D21F3"/>
    <w:rsid w:val="004D2C2D"/>
    <w:rsid w:val="004D2CB0"/>
    <w:rsid w:val="004D4813"/>
    <w:rsid w:val="004D69B5"/>
    <w:rsid w:val="004D7227"/>
    <w:rsid w:val="004D7697"/>
    <w:rsid w:val="004E0381"/>
    <w:rsid w:val="004E0E7F"/>
    <w:rsid w:val="004E0EB8"/>
    <w:rsid w:val="004E18E9"/>
    <w:rsid w:val="004E1B01"/>
    <w:rsid w:val="004E2ADC"/>
    <w:rsid w:val="004E408E"/>
    <w:rsid w:val="004E43B2"/>
    <w:rsid w:val="004E45B4"/>
    <w:rsid w:val="004E4D5A"/>
    <w:rsid w:val="004E73E8"/>
    <w:rsid w:val="004F1D02"/>
    <w:rsid w:val="004F23F1"/>
    <w:rsid w:val="004F2679"/>
    <w:rsid w:val="004F2F21"/>
    <w:rsid w:val="004F35EF"/>
    <w:rsid w:val="004F37BD"/>
    <w:rsid w:val="004F3DE5"/>
    <w:rsid w:val="004F5E1A"/>
    <w:rsid w:val="004F6913"/>
    <w:rsid w:val="004F7865"/>
    <w:rsid w:val="004F7A40"/>
    <w:rsid w:val="0050174E"/>
    <w:rsid w:val="00501854"/>
    <w:rsid w:val="0050219B"/>
    <w:rsid w:val="00503F17"/>
    <w:rsid w:val="00505494"/>
    <w:rsid w:val="0050629C"/>
    <w:rsid w:val="00506928"/>
    <w:rsid w:val="00506FA3"/>
    <w:rsid w:val="005077EF"/>
    <w:rsid w:val="00510D6E"/>
    <w:rsid w:val="00511781"/>
    <w:rsid w:val="00511AD5"/>
    <w:rsid w:val="00511C8D"/>
    <w:rsid w:val="00511DC7"/>
    <w:rsid w:val="00513FB7"/>
    <w:rsid w:val="005142C5"/>
    <w:rsid w:val="0051483F"/>
    <w:rsid w:val="0051501B"/>
    <w:rsid w:val="005152B5"/>
    <w:rsid w:val="0052123C"/>
    <w:rsid w:val="00521319"/>
    <w:rsid w:val="00522BC8"/>
    <w:rsid w:val="00523C28"/>
    <w:rsid w:val="00523EEF"/>
    <w:rsid w:val="00527E7A"/>
    <w:rsid w:val="005306C6"/>
    <w:rsid w:val="0053176B"/>
    <w:rsid w:val="005321A5"/>
    <w:rsid w:val="00532947"/>
    <w:rsid w:val="005340F2"/>
    <w:rsid w:val="00536C1E"/>
    <w:rsid w:val="00536F42"/>
    <w:rsid w:val="00536FC9"/>
    <w:rsid w:val="00537182"/>
    <w:rsid w:val="00537914"/>
    <w:rsid w:val="00541EDD"/>
    <w:rsid w:val="005424FE"/>
    <w:rsid w:val="00542743"/>
    <w:rsid w:val="00542C09"/>
    <w:rsid w:val="00542C2D"/>
    <w:rsid w:val="005472C5"/>
    <w:rsid w:val="005478BD"/>
    <w:rsid w:val="005479E3"/>
    <w:rsid w:val="005508CA"/>
    <w:rsid w:val="00551122"/>
    <w:rsid w:val="00551985"/>
    <w:rsid w:val="00552A32"/>
    <w:rsid w:val="00552BD3"/>
    <w:rsid w:val="005532A0"/>
    <w:rsid w:val="00553A12"/>
    <w:rsid w:val="0055407F"/>
    <w:rsid w:val="00555109"/>
    <w:rsid w:val="00556B35"/>
    <w:rsid w:val="00557416"/>
    <w:rsid w:val="0055741A"/>
    <w:rsid w:val="00557956"/>
    <w:rsid w:val="005611B7"/>
    <w:rsid w:val="005618D4"/>
    <w:rsid w:val="00561CEC"/>
    <w:rsid w:val="00563D67"/>
    <w:rsid w:val="00563EC3"/>
    <w:rsid w:val="00565ACC"/>
    <w:rsid w:val="00565DF0"/>
    <w:rsid w:val="0056696F"/>
    <w:rsid w:val="005678A6"/>
    <w:rsid w:val="0057105B"/>
    <w:rsid w:val="00572269"/>
    <w:rsid w:val="0057244A"/>
    <w:rsid w:val="00572790"/>
    <w:rsid w:val="00572F26"/>
    <w:rsid w:val="00572F2C"/>
    <w:rsid w:val="0057505B"/>
    <w:rsid w:val="005750C5"/>
    <w:rsid w:val="005752DE"/>
    <w:rsid w:val="00575A50"/>
    <w:rsid w:val="00575D8D"/>
    <w:rsid w:val="00576758"/>
    <w:rsid w:val="00576972"/>
    <w:rsid w:val="00576CC3"/>
    <w:rsid w:val="00581D3B"/>
    <w:rsid w:val="00581EF1"/>
    <w:rsid w:val="00583699"/>
    <w:rsid w:val="005839DD"/>
    <w:rsid w:val="00585CDD"/>
    <w:rsid w:val="00586D46"/>
    <w:rsid w:val="00587058"/>
    <w:rsid w:val="00587C95"/>
    <w:rsid w:val="00591957"/>
    <w:rsid w:val="005926AF"/>
    <w:rsid w:val="00592BC8"/>
    <w:rsid w:val="0059363E"/>
    <w:rsid w:val="00594552"/>
    <w:rsid w:val="00596445"/>
    <w:rsid w:val="00597BF9"/>
    <w:rsid w:val="00597F28"/>
    <w:rsid w:val="005A0BC5"/>
    <w:rsid w:val="005A0DF7"/>
    <w:rsid w:val="005A309A"/>
    <w:rsid w:val="005A35C1"/>
    <w:rsid w:val="005A373D"/>
    <w:rsid w:val="005A5948"/>
    <w:rsid w:val="005A5BCB"/>
    <w:rsid w:val="005A6151"/>
    <w:rsid w:val="005A77B8"/>
    <w:rsid w:val="005B0B58"/>
    <w:rsid w:val="005B2F13"/>
    <w:rsid w:val="005B38DD"/>
    <w:rsid w:val="005B4690"/>
    <w:rsid w:val="005B4701"/>
    <w:rsid w:val="005B4E53"/>
    <w:rsid w:val="005B5353"/>
    <w:rsid w:val="005B5857"/>
    <w:rsid w:val="005B6B63"/>
    <w:rsid w:val="005B7A79"/>
    <w:rsid w:val="005C0413"/>
    <w:rsid w:val="005C1B83"/>
    <w:rsid w:val="005C25FF"/>
    <w:rsid w:val="005C2D55"/>
    <w:rsid w:val="005C346B"/>
    <w:rsid w:val="005C35D5"/>
    <w:rsid w:val="005C74BF"/>
    <w:rsid w:val="005D044D"/>
    <w:rsid w:val="005D0ABD"/>
    <w:rsid w:val="005D18AD"/>
    <w:rsid w:val="005D26B4"/>
    <w:rsid w:val="005D30C0"/>
    <w:rsid w:val="005D3EBA"/>
    <w:rsid w:val="005D3F81"/>
    <w:rsid w:val="005E5B29"/>
    <w:rsid w:val="005E5F61"/>
    <w:rsid w:val="005E6CBC"/>
    <w:rsid w:val="005E72FF"/>
    <w:rsid w:val="005E73C0"/>
    <w:rsid w:val="005E7902"/>
    <w:rsid w:val="005F09DA"/>
    <w:rsid w:val="005F17F9"/>
    <w:rsid w:val="005F2557"/>
    <w:rsid w:val="005F2706"/>
    <w:rsid w:val="005F6A8F"/>
    <w:rsid w:val="005F6BB7"/>
    <w:rsid w:val="005F7588"/>
    <w:rsid w:val="00603DB9"/>
    <w:rsid w:val="00603E21"/>
    <w:rsid w:val="0060507B"/>
    <w:rsid w:val="00606FBA"/>
    <w:rsid w:val="00607669"/>
    <w:rsid w:val="006076F4"/>
    <w:rsid w:val="00607AFD"/>
    <w:rsid w:val="00607CA5"/>
    <w:rsid w:val="00612B78"/>
    <w:rsid w:val="00612F97"/>
    <w:rsid w:val="0061345D"/>
    <w:rsid w:val="0061549B"/>
    <w:rsid w:val="00615C63"/>
    <w:rsid w:val="00616802"/>
    <w:rsid w:val="0061764D"/>
    <w:rsid w:val="00617E12"/>
    <w:rsid w:val="00617EE2"/>
    <w:rsid w:val="00620726"/>
    <w:rsid w:val="00620C25"/>
    <w:rsid w:val="00621477"/>
    <w:rsid w:val="00621ADA"/>
    <w:rsid w:val="00623E3D"/>
    <w:rsid w:val="00623F7B"/>
    <w:rsid w:val="00626C95"/>
    <w:rsid w:val="006273E3"/>
    <w:rsid w:val="006276E2"/>
    <w:rsid w:val="006314F1"/>
    <w:rsid w:val="00631552"/>
    <w:rsid w:val="0063158F"/>
    <w:rsid w:val="00631D6B"/>
    <w:rsid w:val="00632183"/>
    <w:rsid w:val="00632261"/>
    <w:rsid w:val="006330A1"/>
    <w:rsid w:val="0063479F"/>
    <w:rsid w:val="00634C75"/>
    <w:rsid w:val="006351BD"/>
    <w:rsid w:val="006353F0"/>
    <w:rsid w:val="006357B5"/>
    <w:rsid w:val="006364A1"/>
    <w:rsid w:val="0063678E"/>
    <w:rsid w:val="00637BFD"/>
    <w:rsid w:val="00637C21"/>
    <w:rsid w:val="0064177A"/>
    <w:rsid w:val="00641C4E"/>
    <w:rsid w:val="00641FB3"/>
    <w:rsid w:val="00643395"/>
    <w:rsid w:val="0064434C"/>
    <w:rsid w:val="00644E25"/>
    <w:rsid w:val="00645488"/>
    <w:rsid w:val="00645706"/>
    <w:rsid w:val="006471CC"/>
    <w:rsid w:val="00647A29"/>
    <w:rsid w:val="0065079F"/>
    <w:rsid w:val="0065116C"/>
    <w:rsid w:val="00652A28"/>
    <w:rsid w:val="006532EB"/>
    <w:rsid w:val="0065379F"/>
    <w:rsid w:val="006540FC"/>
    <w:rsid w:val="00656188"/>
    <w:rsid w:val="0065715A"/>
    <w:rsid w:val="00661031"/>
    <w:rsid w:val="006610F1"/>
    <w:rsid w:val="00661599"/>
    <w:rsid w:val="00661C6B"/>
    <w:rsid w:val="00661E1B"/>
    <w:rsid w:val="00663934"/>
    <w:rsid w:val="00666C35"/>
    <w:rsid w:val="00666DBF"/>
    <w:rsid w:val="00667E1B"/>
    <w:rsid w:val="006701CC"/>
    <w:rsid w:val="006701D6"/>
    <w:rsid w:val="00671004"/>
    <w:rsid w:val="00671232"/>
    <w:rsid w:val="00671C6E"/>
    <w:rsid w:val="00672646"/>
    <w:rsid w:val="00674E42"/>
    <w:rsid w:val="00675949"/>
    <w:rsid w:val="00680327"/>
    <w:rsid w:val="0068077C"/>
    <w:rsid w:val="006813F8"/>
    <w:rsid w:val="00681A72"/>
    <w:rsid w:val="00682112"/>
    <w:rsid w:val="00682BA6"/>
    <w:rsid w:val="00683C6F"/>
    <w:rsid w:val="00684A91"/>
    <w:rsid w:val="00686957"/>
    <w:rsid w:val="006872BA"/>
    <w:rsid w:val="00687A4F"/>
    <w:rsid w:val="0069072E"/>
    <w:rsid w:val="00690795"/>
    <w:rsid w:val="00691648"/>
    <w:rsid w:val="006917D7"/>
    <w:rsid w:val="0069237F"/>
    <w:rsid w:val="00693F36"/>
    <w:rsid w:val="00694243"/>
    <w:rsid w:val="0069434C"/>
    <w:rsid w:val="00694F44"/>
    <w:rsid w:val="00695483"/>
    <w:rsid w:val="00696F51"/>
    <w:rsid w:val="006979A5"/>
    <w:rsid w:val="006A004A"/>
    <w:rsid w:val="006A0495"/>
    <w:rsid w:val="006A566B"/>
    <w:rsid w:val="006A6B99"/>
    <w:rsid w:val="006A7488"/>
    <w:rsid w:val="006A7E5F"/>
    <w:rsid w:val="006B261B"/>
    <w:rsid w:val="006B2C90"/>
    <w:rsid w:val="006B35E6"/>
    <w:rsid w:val="006B373F"/>
    <w:rsid w:val="006B3C06"/>
    <w:rsid w:val="006B465A"/>
    <w:rsid w:val="006B4ADA"/>
    <w:rsid w:val="006B6DD0"/>
    <w:rsid w:val="006C0399"/>
    <w:rsid w:val="006C14B5"/>
    <w:rsid w:val="006C2112"/>
    <w:rsid w:val="006C27A4"/>
    <w:rsid w:val="006C2A8E"/>
    <w:rsid w:val="006C3255"/>
    <w:rsid w:val="006C3F26"/>
    <w:rsid w:val="006C537B"/>
    <w:rsid w:val="006D0561"/>
    <w:rsid w:val="006D0D17"/>
    <w:rsid w:val="006D26C4"/>
    <w:rsid w:val="006D3C7D"/>
    <w:rsid w:val="006D4659"/>
    <w:rsid w:val="006D5898"/>
    <w:rsid w:val="006D5D5F"/>
    <w:rsid w:val="006D6498"/>
    <w:rsid w:val="006D68FB"/>
    <w:rsid w:val="006E2344"/>
    <w:rsid w:val="006E2868"/>
    <w:rsid w:val="006E496D"/>
    <w:rsid w:val="006E4A1E"/>
    <w:rsid w:val="006E5546"/>
    <w:rsid w:val="006E5FFD"/>
    <w:rsid w:val="006E6C0B"/>
    <w:rsid w:val="006F01D6"/>
    <w:rsid w:val="006F1C0D"/>
    <w:rsid w:val="006F1F38"/>
    <w:rsid w:val="006F306C"/>
    <w:rsid w:val="006F38F8"/>
    <w:rsid w:val="006F604D"/>
    <w:rsid w:val="006F63A5"/>
    <w:rsid w:val="00700E8B"/>
    <w:rsid w:val="0070142B"/>
    <w:rsid w:val="0070276E"/>
    <w:rsid w:val="00702F8F"/>
    <w:rsid w:val="0070520A"/>
    <w:rsid w:val="00705E2A"/>
    <w:rsid w:val="007079FC"/>
    <w:rsid w:val="00707A38"/>
    <w:rsid w:val="00711A36"/>
    <w:rsid w:val="00713505"/>
    <w:rsid w:val="00714A73"/>
    <w:rsid w:val="00714C26"/>
    <w:rsid w:val="0071529C"/>
    <w:rsid w:val="007170DA"/>
    <w:rsid w:val="007172AD"/>
    <w:rsid w:val="00717B80"/>
    <w:rsid w:val="00720801"/>
    <w:rsid w:val="00722B1B"/>
    <w:rsid w:val="00722C2C"/>
    <w:rsid w:val="00723C84"/>
    <w:rsid w:val="0072416F"/>
    <w:rsid w:val="00724D28"/>
    <w:rsid w:val="00726101"/>
    <w:rsid w:val="007274BB"/>
    <w:rsid w:val="00727C94"/>
    <w:rsid w:val="0073063C"/>
    <w:rsid w:val="00731B0A"/>
    <w:rsid w:val="00731EAE"/>
    <w:rsid w:val="00731FF8"/>
    <w:rsid w:val="00733073"/>
    <w:rsid w:val="00735033"/>
    <w:rsid w:val="00735328"/>
    <w:rsid w:val="007363D7"/>
    <w:rsid w:val="0073685B"/>
    <w:rsid w:val="00740638"/>
    <w:rsid w:val="00742A22"/>
    <w:rsid w:val="00743731"/>
    <w:rsid w:val="00743B5D"/>
    <w:rsid w:val="007449BF"/>
    <w:rsid w:val="00746BC0"/>
    <w:rsid w:val="0074784C"/>
    <w:rsid w:val="00747C51"/>
    <w:rsid w:val="007510B4"/>
    <w:rsid w:val="00752142"/>
    <w:rsid w:val="007523F9"/>
    <w:rsid w:val="0075357E"/>
    <w:rsid w:val="00753674"/>
    <w:rsid w:val="00753893"/>
    <w:rsid w:val="00753EF6"/>
    <w:rsid w:val="0075534E"/>
    <w:rsid w:val="00755540"/>
    <w:rsid w:val="007568F1"/>
    <w:rsid w:val="007573E8"/>
    <w:rsid w:val="007601CC"/>
    <w:rsid w:val="007603E8"/>
    <w:rsid w:val="00760C4E"/>
    <w:rsid w:val="00760F9E"/>
    <w:rsid w:val="007627BE"/>
    <w:rsid w:val="007633F3"/>
    <w:rsid w:val="00764F03"/>
    <w:rsid w:val="0076561D"/>
    <w:rsid w:val="00765B1A"/>
    <w:rsid w:val="007700D4"/>
    <w:rsid w:val="00773089"/>
    <w:rsid w:val="00775564"/>
    <w:rsid w:val="00776F49"/>
    <w:rsid w:val="00777335"/>
    <w:rsid w:val="0077736E"/>
    <w:rsid w:val="007777C9"/>
    <w:rsid w:val="007819B0"/>
    <w:rsid w:val="00781E5D"/>
    <w:rsid w:val="0078407D"/>
    <w:rsid w:val="007843F2"/>
    <w:rsid w:val="00785A9F"/>
    <w:rsid w:val="00787D70"/>
    <w:rsid w:val="007925DF"/>
    <w:rsid w:val="00793236"/>
    <w:rsid w:val="00795F4A"/>
    <w:rsid w:val="007962F0"/>
    <w:rsid w:val="00797EBC"/>
    <w:rsid w:val="007A08AA"/>
    <w:rsid w:val="007A0923"/>
    <w:rsid w:val="007A0A12"/>
    <w:rsid w:val="007A1119"/>
    <w:rsid w:val="007A132D"/>
    <w:rsid w:val="007A1345"/>
    <w:rsid w:val="007A1AA4"/>
    <w:rsid w:val="007A23CD"/>
    <w:rsid w:val="007A2DDB"/>
    <w:rsid w:val="007A3CFD"/>
    <w:rsid w:val="007A4385"/>
    <w:rsid w:val="007A5D2C"/>
    <w:rsid w:val="007A6957"/>
    <w:rsid w:val="007A70BA"/>
    <w:rsid w:val="007B00AD"/>
    <w:rsid w:val="007B0D68"/>
    <w:rsid w:val="007B251D"/>
    <w:rsid w:val="007B29B4"/>
    <w:rsid w:val="007B4F58"/>
    <w:rsid w:val="007B528D"/>
    <w:rsid w:val="007B567D"/>
    <w:rsid w:val="007B62FF"/>
    <w:rsid w:val="007B63CA"/>
    <w:rsid w:val="007B6600"/>
    <w:rsid w:val="007B6687"/>
    <w:rsid w:val="007B6CBC"/>
    <w:rsid w:val="007B77D1"/>
    <w:rsid w:val="007C07C7"/>
    <w:rsid w:val="007C1CD9"/>
    <w:rsid w:val="007C2B88"/>
    <w:rsid w:val="007C32EF"/>
    <w:rsid w:val="007C361D"/>
    <w:rsid w:val="007C3BC4"/>
    <w:rsid w:val="007C4435"/>
    <w:rsid w:val="007C4B84"/>
    <w:rsid w:val="007C70FF"/>
    <w:rsid w:val="007C7C25"/>
    <w:rsid w:val="007D004F"/>
    <w:rsid w:val="007D0B38"/>
    <w:rsid w:val="007D0D4C"/>
    <w:rsid w:val="007D1998"/>
    <w:rsid w:val="007D330B"/>
    <w:rsid w:val="007D5440"/>
    <w:rsid w:val="007D5688"/>
    <w:rsid w:val="007D69EB"/>
    <w:rsid w:val="007D78D3"/>
    <w:rsid w:val="007E128F"/>
    <w:rsid w:val="007E16FE"/>
    <w:rsid w:val="007E1933"/>
    <w:rsid w:val="007E6F5C"/>
    <w:rsid w:val="007E7122"/>
    <w:rsid w:val="007E72B7"/>
    <w:rsid w:val="007F06B5"/>
    <w:rsid w:val="007F1017"/>
    <w:rsid w:val="007F149F"/>
    <w:rsid w:val="007F1C50"/>
    <w:rsid w:val="007F1CFF"/>
    <w:rsid w:val="007F1E7B"/>
    <w:rsid w:val="007F21AB"/>
    <w:rsid w:val="007F4A3F"/>
    <w:rsid w:val="007F4A61"/>
    <w:rsid w:val="007F5255"/>
    <w:rsid w:val="007F56CC"/>
    <w:rsid w:val="007F61C2"/>
    <w:rsid w:val="007F7FFD"/>
    <w:rsid w:val="00801AE7"/>
    <w:rsid w:val="00803F0B"/>
    <w:rsid w:val="008049D7"/>
    <w:rsid w:val="00805142"/>
    <w:rsid w:val="00805FCE"/>
    <w:rsid w:val="00807A8B"/>
    <w:rsid w:val="00810EA6"/>
    <w:rsid w:val="00811383"/>
    <w:rsid w:val="00811AE8"/>
    <w:rsid w:val="00811F2B"/>
    <w:rsid w:val="00811FD5"/>
    <w:rsid w:val="00812149"/>
    <w:rsid w:val="00812CAC"/>
    <w:rsid w:val="008135A7"/>
    <w:rsid w:val="00813B15"/>
    <w:rsid w:val="00813BAF"/>
    <w:rsid w:val="00816114"/>
    <w:rsid w:val="00816361"/>
    <w:rsid w:val="008166EF"/>
    <w:rsid w:val="00816FEF"/>
    <w:rsid w:val="00820A8C"/>
    <w:rsid w:val="008215FB"/>
    <w:rsid w:val="008229CA"/>
    <w:rsid w:val="00823174"/>
    <w:rsid w:val="00823AEA"/>
    <w:rsid w:val="00825751"/>
    <w:rsid w:val="008264EB"/>
    <w:rsid w:val="00827AED"/>
    <w:rsid w:val="008315BD"/>
    <w:rsid w:val="00831643"/>
    <w:rsid w:val="00832C71"/>
    <w:rsid w:val="00833B05"/>
    <w:rsid w:val="0083490F"/>
    <w:rsid w:val="008354AE"/>
    <w:rsid w:val="008362B4"/>
    <w:rsid w:val="00840CA2"/>
    <w:rsid w:val="00842D92"/>
    <w:rsid w:val="0084374F"/>
    <w:rsid w:val="00844A22"/>
    <w:rsid w:val="00847703"/>
    <w:rsid w:val="00847DF5"/>
    <w:rsid w:val="00852785"/>
    <w:rsid w:val="00852B7D"/>
    <w:rsid w:val="0085309D"/>
    <w:rsid w:val="008533D1"/>
    <w:rsid w:val="008547C6"/>
    <w:rsid w:val="00856897"/>
    <w:rsid w:val="00856989"/>
    <w:rsid w:val="00856E9A"/>
    <w:rsid w:val="0086075D"/>
    <w:rsid w:val="0086120C"/>
    <w:rsid w:val="008621F4"/>
    <w:rsid w:val="00862502"/>
    <w:rsid w:val="00862CC1"/>
    <w:rsid w:val="008660D4"/>
    <w:rsid w:val="0087163F"/>
    <w:rsid w:val="00871FA9"/>
    <w:rsid w:val="008728E9"/>
    <w:rsid w:val="00873FCC"/>
    <w:rsid w:val="0087535B"/>
    <w:rsid w:val="00875DBE"/>
    <w:rsid w:val="00877554"/>
    <w:rsid w:val="00877B40"/>
    <w:rsid w:val="008808EC"/>
    <w:rsid w:val="00880BB0"/>
    <w:rsid w:val="00882874"/>
    <w:rsid w:val="00882DB5"/>
    <w:rsid w:val="00882E3C"/>
    <w:rsid w:val="00883787"/>
    <w:rsid w:val="008855E4"/>
    <w:rsid w:val="00886CD2"/>
    <w:rsid w:val="00886D52"/>
    <w:rsid w:val="00887A63"/>
    <w:rsid w:val="00891E6F"/>
    <w:rsid w:val="0089275D"/>
    <w:rsid w:val="00892A36"/>
    <w:rsid w:val="00893239"/>
    <w:rsid w:val="00894489"/>
    <w:rsid w:val="008963A5"/>
    <w:rsid w:val="00896D5D"/>
    <w:rsid w:val="008978CE"/>
    <w:rsid w:val="008A27E8"/>
    <w:rsid w:val="008A3363"/>
    <w:rsid w:val="008A3371"/>
    <w:rsid w:val="008A3586"/>
    <w:rsid w:val="008A3C3E"/>
    <w:rsid w:val="008A6EB2"/>
    <w:rsid w:val="008A79DE"/>
    <w:rsid w:val="008B0A8C"/>
    <w:rsid w:val="008B1757"/>
    <w:rsid w:val="008B1DDF"/>
    <w:rsid w:val="008B3728"/>
    <w:rsid w:val="008B3A0C"/>
    <w:rsid w:val="008B3EF9"/>
    <w:rsid w:val="008B7992"/>
    <w:rsid w:val="008B7D7E"/>
    <w:rsid w:val="008C0596"/>
    <w:rsid w:val="008C4A16"/>
    <w:rsid w:val="008C5610"/>
    <w:rsid w:val="008C5739"/>
    <w:rsid w:val="008C6B24"/>
    <w:rsid w:val="008C7ECB"/>
    <w:rsid w:val="008D03EE"/>
    <w:rsid w:val="008D068F"/>
    <w:rsid w:val="008D3B86"/>
    <w:rsid w:val="008D4755"/>
    <w:rsid w:val="008D4C3D"/>
    <w:rsid w:val="008D631D"/>
    <w:rsid w:val="008D743C"/>
    <w:rsid w:val="008E075B"/>
    <w:rsid w:val="008E0D3C"/>
    <w:rsid w:val="008E0E45"/>
    <w:rsid w:val="008E1B9E"/>
    <w:rsid w:val="008E2ECD"/>
    <w:rsid w:val="008E55AB"/>
    <w:rsid w:val="008E575E"/>
    <w:rsid w:val="008E733C"/>
    <w:rsid w:val="008F049C"/>
    <w:rsid w:val="008F0963"/>
    <w:rsid w:val="008F120A"/>
    <w:rsid w:val="008F244A"/>
    <w:rsid w:val="008F27E0"/>
    <w:rsid w:val="008F48EB"/>
    <w:rsid w:val="008F4F0B"/>
    <w:rsid w:val="008F559C"/>
    <w:rsid w:val="008F788A"/>
    <w:rsid w:val="009001C9"/>
    <w:rsid w:val="009046C4"/>
    <w:rsid w:val="00904FA4"/>
    <w:rsid w:val="009062A5"/>
    <w:rsid w:val="009101EE"/>
    <w:rsid w:val="00910A84"/>
    <w:rsid w:val="00910FA7"/>
    <w:rsid w:val="00911272"/>
    <w:rsid w:val="009135D6"/>
    <w:rsid w:val="0091369E"/>
    <w:rsid w:val="009146DF"/>
    <w:rsid w:val="00914C77"/>
    <w:rsid w:val="009177EC"/>
    <w:rsid w:val="00921ACB"/>
    <w:rsid w:val="00922278"/>
    <w:rsid w:val="0092337F"/>
    <w:rsid w:val="0092369B"/>
    <w:rsid w:val="009245B9"/>
    <w:rsid w:val="00924727"/>
    <w:rsid w:val="00925045"/>
    <w:rsid w:val="009268DA"/>
    <w:rsid w:val="009271D3"/>
    <w:rsid w:val="0092749B"/>
    <w:rsid w:val="0093000A"/>
    <w:rsid w:val="00932413"/>
    <w:rsid w:val="009338DD"/>
    <w:rsid w:val="00934988"/>
    <w:rsid w:val="0093520C"/>
    <w:rsid w:val="00935848"/>
    <w:rsid w:val="00935E69"/>
    <w:rsid w:val="00935F46"/>
    <w:rsid w:val="00937089"/>
    <w:rsid w:val="00937824"/>
    <w:rsid w:val="009404C0"/>
    <w:rsid w:val="00940598"/>
    <w:rsid w:val="00941E27"/>
    <w:rsid w:val="0094326B"/>
    <w:rsid w:val="0094380E"/>
    <w:rsid w:val="00944F8A"/>
    <w:rsid w:val="00945A3C"/>
    <w:rsid w:val="009510A2"/>
    <w:rsid w:val="009522CC"/>
    <w:rsid w:val="0095284E"/>
    <w:rsid w:val="00953257"/>
    <w:rsid w:val="00953607"/>
    <w:rsid w:val="0095474C"/>
    <w:rsid w:val="00956975"/>
    <w:rsid w:val="0095741E"/>
    <w:rsid w:val="00957A41"/>
    <w:rsid w:val="00957E6A"/>
    <w:rsid w:val="00957FF4"/>
    <w:rsid w:val="00961E4F"/>
    <w:rsid w:val="00962CB9"/>
    <w:rsid w:val="00964312"/>
    <w:rsid w:val="00964C63"/>
    <w:rsid w:val="00965B8A"/>
    <w:rsid w:val="00965D4E"/>
    <w:rsid w:val="00967546"/>
    <w:rsid w:val="0097071F"/>
    <w:rsid w:val="009717AC"/>
    <w:rsid w:val="00971FBE"/>
    <w:rsid w:val="009728B6"/>
    <w:rsid w:val="009751C1"/>
    <w:rsid w:val="009763AE"/>
    <w:rsid w:val="0098041B"/>
    <w:rsid w:val="0098102E"/>
    <w:rsid w:val="009811F1"/>
    <w:rsid w:val="00981924"/>
    <w:rsid w:val="00983A8D"/>
    <w:rsid w:val="00983E57"/>
    <w:rsid w:val="00985344"/>
    <w:rsid w:val="00985DE2"/>
    <w:rsid w:val="0098675D"/>
    <w:rsid w:val="00987DF4"/>
    <w:rsid w:val="009926E0"/>
    <w:rsid w:val="00992C75"/>
    <w:rsid w:val="00993900"/>
    <w:rsid w:val="009940FB"/>
    <w:rsid w:val="0099451E"/>
    <w:rsid w:val="00996B1A"/>
    <w:rsid w:val="009978BC"/>
    <w:rsid w:val="009979F4"/>
    <w:rsid w:val="009A07CB"/>
    <w:rsid w:val="009A139A"/>
    <w:rsid w:val="009A2DCC"/>
    <w:rsid w:val="009A42EB"/>
    <w:rsid w:val="009A459C"/>
    <w:rsid w:val="009A5ABC"/>
    <w:rsid w:val="009A6E40"/>
    <w:rsid w:val="009A6F1F"/>
    <w:rsid w:val="009A72B5"/>
    <w:rsid w:val="009A7F10"/>
    <w:rsid w:val="009B3E26"/>
    <w:rsid w:val="009B6AA7"/>
    <w:rsid w:val="009B7D36"/>
    <w:rsid w:val="009C10DC"/>
    <w:rsid w:val="009C11E6"/>
    <w:rsid w:val="009C15D2"/>
    <w:rsid w:val="009C3239"/>
    <w:rsid w:val="009C3706"/>
    <w:rsid w:val="009C3A3A"/>
    <w:rsid w:val="009C4403"/>
    <w:rsid w:val="009C6765"/>
    <w:rsid w:val="009C6CEA"/>
    <w:rsid w:val="009C7B85"/>
    <w:rsid w:val="009D0254"/>
    <w:rsid w:val="009D1A64"/>
    <w:rsid w:val="009D5B91"/>
    <w:rsid w:val="009D792E"/>
    <w:rsid w:val="009E0DFE"/>
    <w:rsid w:val="009E3122"/>
    <w:rsid w:val="009E31F6"/>
    <w:rsid w:val="009E4B46"/>
    <w:rsid w:val="009E4C07"/>
    <w:rsid w:val="009E4F83"/>
    <w:rsid w:val="009E5698"/>
    <w:rsid w:val="009E6B97"/>
    <w:rsid w:val="009E6F10"/>
    <w:rsid w:val="009E722C"/>
    <w:rsid w:val="009F391B"/>
    <w:rsid w:val="009F654D"/>
    <w:rsid w:val="009F6C1A"/>
    <w:rsid w:val="009F6DF4"/>
    <w:rsid w:val="00A01184"/>
    <w:rsid w:val="00A027F8"/>
    <w:rsid w:val="00A037C2"/>
    <w:rsid w:val="00A03D43"/>
    <w:rsid w:val="00A04380"/>
    <w:rsid w:val="00A04971"/>
    <w:rsid w:val="00A05472"/>
    <w:rsid w:val="00A05C32"/>
    <w:rsid w:val="00A0653F"/>
    <w:rsid w:val="00A069BF"/>
    <w:rsid w:val="00A11969"/>
    <w:rsid w:val="00A11CD0"/>
    <w:rsid w:val="00A13948"/>
    <w:rsid w:val="00A14732"/>
    <w:rsid w:val="00A1555B"/>
    <w:rsid w:val="00A155C5"/>
    <w:rsid w:val="00A16AD8"/>
    <w:rsid w:val="00A176F4"/>
    <w:rsid w:val="00A17B57"/>
    <w:rsid w:val="00A21C95"/>
    <w:rsid w:val="00A21CF3"/>
    <w:rsid w:val="00A23D36"/>
    <w:rsid w:val="00A24813"/>
    <w:rsid w:val="00A25D57"/>
    <w:rsid w:val="00A27AEC"/>
    <w:rsid w:val="00A320DB"/>
    <w:rsid w:val="00A33FC2"/>
    <w:rsid w:val="00A3544F"/>
    <w:rsid w:val="00A35D16"/>
    <w:rsid w:val="00A37AD7"/>
    <w:rsid w:val="00A37BB1"/>
    <w:rsid w:val="00A37BCD"/>
    <w:rsid w:val="00A41689"/>
    <w:rsid w:val="00A42106"/>
    <w:rsid w:val="00A42435"/>
    <w:rsid w:val="00A42592"/>
    <w:rsid w:val="00A43C59"/>
    <w:rsid w:val="00A45AF5"/>
    <w:rsid w:val="00A45C76"/>
    <w:rsid w:val="00A4612D"/>
    <w:rsid w:val="00A46C08"/>
    <w:rsid w:val="00A50ECD"/>
    <w:rsid w:val="00A518F3"/>
    <w:rsid w:val="00A52070"/>
    <w:rsid w:val="00A52729"/>
    <w:rsid w:val="00A530B7"/>
    <w:rsid w:val="00A53675"/>
    <w:rsid w:val="00A54FE8"/>
    <w:rsid w:val="00A55748"/>
    <w:rsid w:val="00A564D7"/>
    <w:rsid w:val="00A56B6A"/>
    <w:rsid w:val="00A578DC"/>
    <w:rsid w:val="00A60CB5"/>
    <w:rsid w:val="00A63699"/>
    <w:rsid w:val="00A640E2"/>
    <w:rsid w:val="00A64645"/>
    <w:rsid w:val="00A64AFB"/>
    <w:rsid w:val="00A64D65"/>
    <w:rsid w:val="00A6725B"/>
    <w:rsid w:val="00A6760F"/>
    <w:rsid w:val="00A70605"/>
    <w:rsid w:val="00A724F7"/>
    <w:rsid w:val="00A73134"/>
    <w:rsid w:val="00A75C66"/>
    <w:rsid w:val="00A75CB2"/>
    <w:rsid w:val="00A76001"/>
    <w:rsid w:val="00A777B2"/>
    <w:rsid w:val="00A80836"/>
    <w:rsid w:val="00A82521"/>
    <w:rsid w:val="00A825D4"/>
    <w:rsid w:val="00A828F6"/>
    <w:rsid w:val="00A829E5"/>
    <w:rsid w:val="00A82B73"/>
    <w:rsid w:val="00A86924"/>
    <w:rsid w:val="00A86E8B"/>
    <w:rsid w:val="00A87164"/>
    <w:rsid w:val="00A87C2D"/>
    <w:rsid w:val="00A93072"/>
    <w:rsid w:val="00A938BD"/>
    <w:rsid w:val="00A93953"/>
    <w:rsid w:val="00A959D8"/>
    <w:rsid w:val="00AA113D"/>
    <w:rsid w:val="00AA21B4"/>
    <w:rsid w:val="00AA2D0B"/>
    <w:rsid w:val="00AA31D6"/>
    <w:rsid w:val="00AA6BD5"/>
    <w:rsid w:val="00AA6BD8"/>
    <w:rsid w:val="00AA6C7D"/>
    <w:rsid w:val="00AA7536"/>
    <w:rsid w:val="00AA756C"/>
    <w:rsid w:val="00AA7FD6"/>
    <w:rsid w:val="00AB042A"/>
    <w:rsid w:val="00AB19EF"/>
    <w:rsid w:val="00AB25D2"/>
    <w:rsid w:val="00AB2D34"/>
    <w:rsid w:val="00AB3161"/>
    <w:rsid w:val="00AB3430"/>
    <w:rsid w:val="00AB34CA"/>
    <w:rsid w:val="00AB37B9"/>
    <w:rsid w:val="00AB4AD1"/>
    <w:rsid w:val="00AB53B2"/>
    <w:rsid w:val="00AB5E07"/>
    <w:rsid w:val="00AB6240"/>
    <w:rsid w:val="00AB7CFA"/>
    <w:rsid w:val="00AC5A05"/>
    <w:rsid w:val="00AC5B48"/>
    <w:rsid w:val="00AD1450"/>
    <w:rsid w:val="00AD16CB"/>
    <w:rsid w:val="00AD371D"/>
    <w:rsid w:val="00AD45C2"/>
    <w:rsid w:val="00AD54CD"/>
    <w:rsid w:val="00AD6502"/>
    <w:rsid w:val="00AD77EE"/>
    <w:rsid w:val="00AE0695"/>
    <w:rsid w:val="00AE263F"/>
    <w:rsid w:val="00AE3550"/>
    <w:rsid w:val="00AE3E7E"/>
    <w:rsid w:val="00AE573F"/>
    <w:rsid w:val="00AE6B84"/>
    <w:rsid w:val="00AE7F2D"/>
    <w:rsid w:val="00AF1315"/>
    <w:rsid w:val="00AF19BF"/>
    <w:rsid w:val="00AF1AC2"/>
    <w:rsid w:val="00AF2DC3"/>
    <w:rsid w:val="00B005BC"/>
    <w:rsid w:val="00B00D37"/>
    <w:rsid w:val="00B033E5"/>
    <w:rsid w:val="00B03A63"/>
    <w:rsid w:val="00B04469"/>
    <w:rsid w:val="00B05B77"/>
    <w:rsid w:val="00B05F4A"/>
    <w:rsid w:val="00B062F2"/>
    <w:rsid w:val="00B147FA"/>
    <w:rsid w:val="00B15222"/>
    <w:rsid w:val="00B201A4"/>
    <w:rsid w:val="00B201D1"/>
    <w:rsid w:val="00B213A6"/>
    <w:rsid w:val="00B220B5"/>
    <w:rsid w:val="00B22A5A"/>
    <w:rsid w:val="00B235B0"/>
    <w:rsid w:val="00B23CF9"/>
    <w:rsid w:val="00B24DF6"/>
    <w:rsid w:val="00B256AB"/>
    <w:rsid w:val="00B26F82"/>
    <w:rsid w:val="00B27F3D"/>
    <w:rsid w:val="00B30ADF"/>
    <w:rsid w:val="00B31EDA"/>
    <w:rsid w:val="00B32629"/>
    <w:rsid w:val="00B34A6F"/>
    <w:rsid w:val="00B34FE2"/>
    <w:rsid w:val="00B35166"/>
    <w:rsid w:val="00B357D8"/>
    <w:rsid w:val="00B360F4"/>
    <w:rsid w:val="00B36A00"/>
    <w:rsid w:val="00B36E4D"/>
    <w:rsid w:val="00B37BFC"/>
    <w:rsid w:val="00B37ED1"/>
    <w:rsid w:val="00B40358"/>
    <w:rsid w:val="00B41614"/>
    <w:rsid w:val="00B41631"/>
    <w:rsid w:val="00B424F7"/>
    <w:rsid w:val="00B42851"/>
    <w:rsid w:val="00B42D3D"/>
    <w:rsid w:val="00B42F80"/>
    <w:rsid w:val="00B435CB"/>
    <w:rsid w:val="00B436B3"/>
    <w:rsid w:val="00B43C2C"/>
    <w:rsid w:val="00B45C4F"/>
    <w:rsid w:val="00B505C8"/>
    <w:rsid w:val="00B50DB8"/>
    <w:rsid w:val="00B53654"/>
    <w:rsid w:val="00B53830"/>
    <w:rsid w:val="00B53905"/>
    <w:rsid w:val="00B54B5B"/>
    <w:rsid w:val="00B5562E"/>
    <w:rsid w:val="00B55D65"/>
    <w:rsid w:val="00B57000"/>
    <w:rsid w:val="00B57CFB"/>
    <w:rsid w:val="00B60939"/>
    <w:rsid w:val="00B60AFD"/>
    <w:rsid w:val="00B62715"/>
    <w:rsid w:val="00B64EFA"/>
    <w:rsid w:val="00B65611"/>
    <w:rsid w:val="00B701A3"/>
    <w:rsid w:val="00B702DB"/>
    <w:rsid w:val="00B70E8E"/>
    <w:rsid w:val="00B748AF"/>
    <w:rsid w:val="00B74AE1"/>
    <w:rsid w:val="00B74C64"/>
    <w:rsid w:val="00B76C92"/>
    <w:rsid w:val="00B81835"/>
    <w:rsid w:val="00B818A4"/>
    <w:rsid w:val="00B81FDF"/>
    <w:rsid w:val="00B82F9A"/>
    <w:rsid w:val="00B84117"/>
    <w:rsid w:val="00B858F0"/>
    <w:rsid w:val="00B85AA2"/>
    <w:rsid w:val="00B8649C"/>
    <w:rsid w:val="00B8695D"/>
    <w:rsid w:val="00B87F0A"/>
    <w:rsid w:val="00B91586"/>
    <w:rsid w:val="00B92D0B"/>
    <w:rsid w:val="00B93083"/>
    <w:rsid w:val="00B9408B"/>
    <w:rsid w:val="00B94945"/>
    <w:rsid w:val="00B94DD6"/>
    <w:rsid w:val="00B95A6A"/>
    <w:rsid w:val="00B96D05"/>
    <w:rsid w:val="00BA1907"/>
    <w:rsid w:val="00BA322D"/>
    <w:rsid w:val="00BA4837"/>
    <w:rsid w:val="00BA5046"/>
    <w:rsid w:val="00BA63FA"/>
    <w:rsid w:val="00BB00B3"/>
    <w:rsid w:val="00BB0BDD"/>
    <w:rsid w:val="00BB176C"/>
    <w:rsid w:val="00BB267D"/>
    <w:rsid w:val="00BB2A73"/>
    <w:rsid w:val="00BB347F"/>
    <w:rsid w:val="00BB366F"/>
    <w:rsid w:val="00BB3A45"/>
    <w:rsid w:val="00BB4ACC"/>
    <w:rsid w:val="00BB703E"/>
    <w:rsid w:val="00BB731E"/>
    <w:rsid w:val="00BB732D"/>
    <w:rsid w:val="00BB7405"/>
    <w:rsid w:val="00BC3631"/>
    <w:rsid w:val="00BC5001"/>
    <w:rsid w:val="00BC591F"/>
    <w:rsid w:val="00BC7D6D"/>
    <w:rsid w:val="00BD02E8"/>
    <w:rsid w:val="00BD07E0"/>
    <w:rsid w:val="00BD107D"/>
    <w:rsid w:val="00BD1BEC"/>
    <w:rsid w:val="00BD1E45"/>
    <w:rsid w:val="00BD2108"/>
    <w:rsid w:val="00BD4C7D"/>
    <w:rsid w:val="00BD5A21"/>
    <w:rsid w:val="00BD68A3"/>
    <w:rsid w:val="00BD6938"/>
    <w:rsid w:val="00BD6CF3"/>
    <w:rsid w:val="00BD7D40"/>
    <w:rsid w:val="00BE0ECA"/>
    <w:rsid w:val="00BE2180"/>
    <w:rsid w:val="00BE21F2"/>
    <w:rsid w:val="00BE4275"/>
    <w:rsid w:val="00BE46FD"/>
    <w:rsid w:val="00BE6F93"/>
    <w:rsid w:val="00BE7B33"/>
    <w:rsid w:val="00BF06AE"/>
    <w:rsid w:val="00BF0F95"/>
    <w:rsid w:val="00BF2433"/>
    <w:rsid w:val="00BF61C9"/>
    <w:rsid w:val="00BF6C94"/>
    <w:rsid w:val="00BF7B8E"/>
    <w:rsid w:val="00C00424"/>
    <w:rsid w:val="00C01A84"/>
    <w:rsid w:val="00C0246E"/>
    <w:rsid w:val="00C038A4"/>
    <w:rsid w:val="00C03BD5"/>
    <w:rsid w:val="00C0587F"/>
    <w:rsid w:val="00C07CF0"/>
    <w:rsid w:val="00C10563"/>
    <w:rsid w:val="00C10570"/>
    <w:rsid w:val="00C1179F"/>
    <w:rsid w:val="00C11F95"/>
    <w:rsid w:val="00C12C14"/>
    <w:rsid w:val="00C12CCC"/>
    <w:rsid w:val="00C12D17"/>
    <w:rsid w:val="00C140C0"/>
    <w:rsid w:val="00C14105"/>
    <w:rsid w:val="00C141C8"/>
    <w:rsid w:val="00C15980"/>
    <w:rsid w:val="00C15A77"/>
    <w:rsid w:val="00C15F04"/>
    <w:rsid w:val="00C179B3"/>
    <w:rsid w:val="00C17E3F"/>
    <w:rsid w:val="00C200AA"/>
    <w:rsid w:val="00C20B66"/>
    <w:rsid w:val="00C22426"/>
    <w:rsid w:val="00C237ED"/>
    <w:rsid w:val="00C24632"/>
    <w:rsid w:val="00C24804"/>
    <w:rsid w:val="00C25418"/>
    <w:rsid w:val="00C25CE4"/>
    <w:rsid w:val="00C25D9C"/>
    <w:rsid w:val="00C265D6"/>
    <w:rsid w:val="00C267FC"/>
    <w:rsid w:val="00C2778B"/>
    <w:rsid w:val="00C31649"/>
    <w:rsid w:val="00C31FDB"/>
    <w:rsid w:val="00C33243"/>
    <w:rsid w:val="00C33C3C"/>
    <w:rsid w:val="00C3434C"/>
    <w:rsid w:val="00C34DB2"/>
    <w:rsid w:val="00C3540D"/>
    <w:rsid w:val="00C3676A"/>
    <w:rsid w:val="00C40385"/>
    <w:rsid w:val="00C41768"/>
    <w:rsid w:val="00C43D39"/>
    <w:rsid w:val="00C45BAD"/>
    <w:rsid w:val="00C46AC8"/>
    <w:rsid w:val="00C475AA"/>
    <w:rsid w:val="00C5028A"/>
    <w:rsid w:val="00C52BA6"/>
    <w:rsid w:val="00C53C98"/>
    <w:rsid w:val="00C53F0C"/>
    <w:rsid w:val="00C550F3"/>
    <w:rsid w:val="00C559FD"/>
    <w:rsid w:val="00C55BFC"/>
    <w:rsid w:val="00C56358"/>
    <w:rsid w:val="00C56FCF"/>
    <w:rsid w:val="00C57B6C"/>
    <w:rsid w:val="00C628A6"/>
    <w:rsid w:val="00C62B1C"/>
    <w:rsid w:val="00C62B70"/>
    <w:rsid w:val="00C64344"/>
    <w:rsid w:val="00C65108"/>
    <w:rsid w:val="00C651CA"/>
    <w:rsid w:val="00C65576"/>
    <w:rsid w:val="00C65C58"/>
    <w:rsid w:val="00C66165"/>
    <w:rsid w:val="00C66AD4"/>
    <w:rsid w:val="00C7060A"/>
    <w:rsid w:val="00C7114A"/>
    <w:rsid w:val="00C7151A"/>
    <w:rsid w:val="00C717E3"/>
    <w:rsid w:val="00C71F60"/>
    <w:rsid w:val="00C71F87"/>
    <w:rsid w:val="00C7216B"/>
    <w:rsid w:val="00C72241"/>
    <w:rsid w:val="00C72A7E"/>
    <w:rsid w:val="00C7324E"/>
    <w:rsid w:val="00C7360F"/>
    <w:rsid w:val="00C74684"/>
    <w:rsid w:val="00C74A12"/>
    <w:rsid w:val="00C750C8"/>
    <w:rsid w:val="00C7560F"/>
    <w:rsid w:val="00C7596D"/>
    <w:rsid w:val="00C75C54"/>
    <w:rsid w:val="00C802F4"/>
    <w:rsid w:val="00C807CC"/>
    <w:rsid w:val="00C80A0E"/>
    <w:rsid w:val="00C8213F"/>
    <w:rsid w:val="00C84BF0"/>
    <w:rsid w:val="00C84C86"/>
    <w:rsid w:val="00C8512D"/>
    <w:rsid w:val="00C85154"/>
    <w:rsid w:val="00C86E47"/>
    <w:rsid w:val="00C8797A"/>
    <w:rsid w:val="00C900B8"/>
    <w:rsid w:val="00C90C71"/>
    <w:rsid w:val="00C91246"/>
    <w:rsid w:val="00C91FD1"/>
    <w:rsid w:val="00C931CF"/>
    <w:rsid w:val="00C938CF"/>
    <w:rsid w:val="00C93DB4"/>
    <w:rsid w:val="00C93F06"/>
    <w:rsid w:val="00C94053"/>
    <w:rsid w:val="00C94885"/>
    <w:rsid w:val="00C9624D"/>
    <w:rsid w:val="00C969DA"/>
    <w:rsid w:val="00CA2C77"/>
    <w:rsid w:val="00CA444F"/>
    <w:rsid w:val="00CA4C66"/>
    <w:rsid w:val="00CA5245"/>
    <w:rsid w:val="00CA5501"/>
    <w:rsid w:val="00CA5FDC"/>
    <w:rsid w:val="00CA641E"/>
    <w:rsid w:val="00CA71F4"/>
    <w:rsid w:val="00CA7B09"/>
    <w:rsid w:val="00CB12A5"/>
    <w:rsid w:val="00CB1CAC"/>
    <w:rsid w:val="00CB2F2A"/>
    <w:rsid w:val="00CB4858"/>
    <w:rsid w:val="00CB5109"/>
    <w:rsid w:val="00CB5B1A"/>
    <w:rsid w:val="00CB6B22"/>
    <w:rsid w:val="00CB7F5F"/>
    <w:rsid w:val="00CC03EF"/>
    <w:rsid w:val="00CC0731"/>
    <w:rsid w:val="00CC1B39"/>
    <w:rsid w:val="00CC2A1B"/>
    <w:rsid w:val="00CC35EA"/>
    <w:rsid w:val="00CC3848"/>
    <w:rsid w:val="00CD0F71"/>
    <w:rsid w:val="00CD1350"/>
    <w:rsid w:val="00CD20F2"/>
    <w:rsid w:val="00CD3F77"/>
    <w:rsid w:val="00CD6ADC"/>
    <w:rsid w:val="00CD7193"/>
    <w:rsid w:val="00CD7DFE"/>
    <w:rsid w:val="00CE12C2"/>
    <w:rsid w:val="00CE1AF0"/>
    <w:rsid w:val="00CE38C8"/>
    <w:rsid w:val="00CE40BA"/>
    <w:rsid w:val="00CE6274"/>
    <w:rsid w:val="00CE65C1"/>
    <w:rsid w:val="00CE76C2"/>
    <w:rsid w:val="00CE77B6"/>
    <w:rsid w:val="00CE7C74"/>
    <w:rsid w:val="00CF1B44"/>
    <w:rsid w:val="00CF1E7E"/>
    <w:rsid w:val="00CF2B8D"/>
    <w:rsid w:val="00CF456B"/>
    <w:rsid w:val="00CF4848"/>
    <w:rsid w:val="00CF5A22"/>
    <w:rsid w:val="00CF6CDB"/>
    <w:rsid w:val="00CF7B49"/>
    <w:rsid w:val="00D0262E"/>
    <w:rsid w:val="00D03591"/>
    <w:rsid w:val="00D03698"/>
    <w:rsid w:val="00D05E3D"/>
    <w:rsid w:val="00D06139"/>
    <w:rsid w:val="00D07200"/>
    <w:rsid w:val="00D07C00"/>
    <w:rsid w:val="00D110BD"/>
    <w:rsid w:val="00D127D4"/>
    <w:rsid w:val="00D130E6"/>
    <w:rsid w:val="00D13675"/>
    <w:rsid w:val="00D141E1"/>
    <w:rsid w:val="00D14413"/>
    <w:rsid w:val="00D14A4E"/>
    <w:rsid w:val="00D14A82"/>
    <w:rsid w:val="00D15314"/>
    <w:rsid w:val="00D15DA6"/>
    <w:rsid w:val="00D17D6C"/>
    <w:rsid w:val="00D21377"/>
    <w:rsid w:val="00D2155B"/>
    <w:rsid w:val="00D23D11"/>
    <w:rsid w:val="00D244B6"/>
    <w:rsid w:val="00D261E7"/>
    <w:rsid w:val="00D27216"/>
    <w:rsid w:val="00D272F3"/>
    <w:rsid w:val="00D2754D"/>
    <w:rsid w:val="00D27B27"/>
    <w:rsid w:val="00D32BF3"/>
    <w:rsid w:val="00D33BE9"/>
    <w:rsid w:val="00D33F93"/>
    <w:rsid w:val="00D357FF"/>
    <w:rsid w:val="00D424C7"/>
    <w:rsid w:val="00D43AAA"/>
    <w:rsid w:val="00D43B2A"/>
    <w:rsid w:val="00D43D83"/>
    <w:rsid w:val="00D44284"/>
    <w:rsid w:val="00D47575"/>
    <w:rsid w:val="00D47D06"/>
    <w:rsid w:val="00D5243B"/>
    <w:rsid w:val="00D53323"/>
    <w:rsid w:val="00D533EC"/>
    <w:rsid w:val="00D53DD6"/>
    <w:rsid w:val="00D54342"/>
    <w:rsid w:val="00D544BD"/>
    <w:rsid w:val="00D55738"/>
    <w:rsid w:val="00D56A95"/>
    <w:rsid w:val="00D60773"/>
    <w:rsid w:val="00D6086D"/>
    <w:rsid w:val="00D608DC"/>
    <w:rsid w:val="00D60EA6"/>
    <w:rsid w:val="00D615CF"/>
    <w:rsid w:val="00D6183B"/>
    <w:rsid w:val="00D65750"/>
    <w:rsid w:val="00D66770"/>
    <w:rsid w:val="00D67AB1"/>
    <w:rsid w:val="00D70D89"/>
    <w:rsid w:val="00D70D96"/>
    <w:rsid w:val="00D70F16"/>
    <w:rsid w:val="00D716B3"/>
    <w:rsid w:val="00D72F57"/>
    <w:rsid w:val="00D72F99"/>
    <w:rsid w:val="00D75296"/>
    <w:rsid w:val="00D76A44"/>
    <w:rsid w:val="00D815EF"/>
    <w:rsid w:val="00D81F26"/>
    <w:rsid w:val="00D83001"/>
    <w:rsid w:val="00D84140"/>
    <w:rsid w:val="00D84418"/>
    <w:rsid w:val="00D849E6"/>
    <w:rsid w:val="00D86231"/>
    <w:rsid w:val="00D91923"/>
    <w:rsid w:val="00D92757"/>
    <w:rsid w:val="00D93753"/>
    <w:rsid w:val="00DA0BB9"/>
    <w:rsid w:val="00DA2265"/>
    <w:rsid w:val="00DA2857"/>
    <w:rsid w:val="00DA2BBB"/>
    <w:rsid w:val="00DA3071"/>
    <w:rsid w:val="00DA3167"/>
    <w:rsid w:val="00DA4DC3"/>
    <w:rsid w:val="00DA56CC"/>
    <w:rsid w:val="00DA7442"/>
    <w:rsid w:val="00DA77A5"/>
    <w:rsid w:val="00DA7D67"/>
    <w:rsid w:val="00DB0DA6"/>
    <w:rsid w:val="00DB2E74"/>
    <w:rsid w:val="00DB31EA"/>
    <w:rsid w:val="00DB3DBF"/>
    <w:rsid w:val="00DB484F"/>
    <w:rsid w:val="00DB48D4"/>
    <w:rsid w:val="00DB4EFC"/>
    <w:rsid w:val="00DB5A5D"/>
    <w:rsid w:val="00DB5CF7"/>
    <w:rsid w:val="00DB7004"/>
    <w:rsid w:val="00DC04F6"/>
    <w:rsid w:val="00DC0690"/>
    <w:rsid w:val="00DC12F7"/>
    <w:rsid w:val="00DC189C"/>
    <w:rsid w:val="00DC1A1C"/>
    <w:rsid w:val="00DC1D65"/>
    <w:rsid w:val="00DC30CE"/>
    <w:rsid w:val="00DC3355"/>
    <w:rsid w:val="00DC3C57"/>
    <w:rsid w:val="00DC5501"/>
    <w:rsid w:val="00DC7154"/>
    <w:rsid w:val="00DC77A6"/>
    <w:rsid w:val="00DC7A14"/>
    <w:rsid w:val="00DC7E8A"/>
    <w:rsid w:val="00DD0F78"/>
    <w:rsid w:val="00DD1ACF"/>
    <w:rsid w:val="00DD273C"/>
    <w:rsid w:val="00DD2787"/>
    <w:rsid w:val="00DD2B8B"/>
    <w:rsid w:val="00DD3F28"/>
    <w:rsid w:val="00DD4537"/>
    <w:rsid w:val="00DD4E15"/>
    <w:rsid w:val="00DD7E64"/>
    <w:rsid w:val="00DE0D48"/>
    <w:rsid w:val="00DE2304"/>
    <w:rsid w:val="00DE3138"/>
    <w:rsid w:val="00DE32C9"/>
    <w:rsid w:val="00DE37F8"/>
    <w:rsid w:val="00DE4FCB"/>
    <w:rsid w:val="00DE560B"/>
    <w:rsid w:val="00DE5D07"/>
    <w:rsid w:val="00DE5FAA"/>
    <w:rsid w:val="00DE72A7"/>
    <w:rsid w:val="00DE7832"/>
    <w:rsid w:val="00DF1485"/>
    <w:rsid w:val="00DF18C5"/>
    <w:rsid w:val="00DF18FC"/>
    <w:rsid w:val="00DF3025"/>
    <w:rsid w:val="00DF38EA"/>
    <w:rsid w:val="00DF577C"/>
    <w:rsid w:val="00DF5D2B"/>
    <w:rsid w:val="00E001DB"/>
    <w:rsid w:val="00E00E8E"/>
    <w:rsid w:val="00E02446"/>
    <w:rsid w:val="00E04EEE"/>
    <w:rsid w:val="00E05595"/>
    <w:rsid w:val="00E05630"/>
    <w:rsid w:val="00E06DBB"/>
    <w:rsid w:val="00E07AC8"/>
    <w:rsid w:val="00E10149"/>
    <w:rsid w:val="00E11340"/>
    <w:rsid w:val="00E122A1"/>
    <w:rsid w:val="00E13438"/>
    <w:rsid w:val="00E1587C"/>
    <w:rsid w:val="00E16372"/>
    <w:rsid w:val="00E20143"/>
    <w:rsid w:val="00E20E4D"/>
    <w:rsid w:val="00E20ED6"/>
    <w:rsid w:val="00E21358"/>
    <w:rsid w:val="00E21CFC"/>
    <w:rsid w:val="00E2249B"/>
    <w:rsid w:val="00E22A0D"/>
    <w:rsid w:val="00E24499"/>
    <w:rsid w:val="00E244F6"/>
    <w:rsid w:val="00E26356"/>
    <w:rsid w:val="00E26E90"/>
    <w:rsid w:val="00E27186"/>
    <w:rsid w:val="00E2744B"/>
    <w:rsid w:val="00E2746F"/>
    <w:rsid w:val="00E2771E"/>
    <w:rsid w:val="00E311EF"/>
    <w:rsid w:val="00E312F9"/>
    <w:rsid w:val="00E32180"/>
    <w:rsid w:val="00E3296C"/>
    <w:rsid w:val="00E332E3"/>
    <w:rsid w:val="00E34714"/>
    <w:rsid w:val="00E34948"/>
    <w:rsid w:val="00E3559D"/>
    <w:rsid w:val="00E35A43"/>
    <w:rsid w:val="00E36B52"/>
    <w:rsid w:val="00E37569"/>
    <w:rsid w:val="00E37712"/>
    <w:rsid w:val="00E37DF9"/>
    <w:rsid w:val="00E401B2"/>
    <w:rsid w:val="00E40B21"/>
    <w:rsid w:val="00E40C96"/>
    <w:rsid w:val="00E41E30"/>
    <w:rsid w:val="00E42F73"/>
    <w:rsid w:val="00E43285"/>
    <w:rsid w:val="00E43D70"/>
    <w:rsid w:val="00E45BDF"/>
    <w:rsid w:val="00E466F3"/>
    <w:rsid w:val="00E47B2C"/>
    <w:rsid w:val="00E51560"/>
    <w:rsid w:val="00E53FC8"/>
    <w:rsid w:val="00E54347"/>
    <w:rsid w:val="00E546B3"/>
    <w:rsid w:val="00E55424"/>
    <w:rsid w:val="00E55915"/>
    <w:rsid w:val="00E55BB5"/>
    <w:rsid w:val="00E55CB7"/>
    <w:rsid w:val="00E56C53"/>
    <w:rsid w:val="00E57A03"/>
    <w:rsid w:val="00E6201E"/>
    <w:rsid w:val="00E63B0C"/>
    <w:rsid w:val="00E656BF"/>
    <w:rsid w:val="00E65E79"/>
    <w:rsid w:val="00E6653C"/>
    <w:rsid w:val="00E66BA2"/>
    <w:rsid w:val="00E66E70"/>
    <w:rsid w:val="00E66E7C"/>
    <w:rsid w:val="00E67416"/>
    <w:rsid w:val="00E67E40"/>
    <w:rsid w:val="00E718B6"/>
    <w:rsid w:val="00E723BA"/>
    <w:rsid w:val="00E73581"/>
    <w:rsid w:val="00E80536"/>
    <w:rsid w:val="00E80578"/>
    <w:rsid w:val="00E82660"/>
    <w:rsid w:val="00E828D4"/>
    <w:rsid w:val="00E82B36"/>
    <w:rsid w:val="00E833F7"/>
    <w:rsid w:val="00E83BDF"/>
    <w:rsid w:val="00E844B6"/>
    <w:rsid w:val="00E87A1D"/>
    <w:rsid w:val="00E9094A"/>
    <w:rsid w:val="00E91D35"/>
    <w:rsid w:val="00E926A5"/>
    <w:rsid w:val="00E92C98"/>
    <w:rsid w:val="00E934D2"/>
    <w:rsid w:val="00E9669D"/>
    <w:rsid w:val="00EA17C3"/>
    <w:rsid w:val="00EA2CAA"/>
    <w:rsid w:val="00EA3864"/>
    <w:rsid w:val="00EA7945"/>
    <w:rsid w:val="00EA7F1C"/>
    <w:rsid w:val="00EA7FE7"/>
    <w:rsid w:val="00EB0DD3"/>
    <w:rsid w:val="00EB15B6"/>
    <w:rsid w:val="00EB1C9A"/>
    <w:rsid w:val="00EB3D06"/>
    <w:rsid w:val="00EB4916"/>
    <w:rsid w:val="00EB70A0"/>
    <w:rsid w:val="00EC00C9"/>
    <w:rsid w:val="00EC0A98"/>
    <w:rsid w:val="00EC0DD9"/>
    <w:rsid w:val="00EC1589"/>
    <w:rsid w:val="00EC2649"/>
    <w:rsid w:val="00EC28B2"/>
    <w:rsid w:val="00EC31ED"/>
    <w:rsid w:val="00EC5836"/>
    <w:rsid w:val="00EC688C"/>
    <w:rsid w:val="00EC6951"/>
    <w:rsid w:val="00EC7351"/>
    <w:rsid w:val="00EC73EE"/>
    <w:rsid w:val="00EC7AD5"/>
    <w:rsid w:val="00ED10E0"/>
    <w:rsid w:val="00ED1492"/>
    <w:rsid w:val="00ED155B"/>
    <w:rsid w:val="00ED57EA"/>
    <w:rsid w:val="00ED5BD4"/>
    <w:rsid w:val="00ED5E15"/>
    <w:rsid w:val="00ED69F5"/>
    <w:rsid w:val="00ED6F96"/>
    <w:rsid w:val="00ED7CE4"/>
    <w:rsid w:val="00EE00CD"/>
    <w:rsid w:val="00EE07D3"/>
    <w:rsid w:val="00EE1996"/>
    <w:rsid w:val="00EE1C01"/>
    <w:rsid w:val="00EE22AF"/>
    <w:rsid w:val="00EF0171"/>
    <w:rsid w:val="00EF1093"/>
    <w:rsid w:val="00EF1B25"/>
    <w:rsid w:val="00EF1DA0"/>
    <w:rsid w:val="00EF2E54"/>
    <w:rsid w:val="00EF2EBB"/>
    <w:rsid w:val="00EF3C47"/>
    <w:rsid w:val="00EF4747"/>
    <w:rsid w:val="00EF4BF8"/>
    <w:rsid w:val="00EF5DEA"/>
    <w:rsid w:val="00EF6A4F"/>
    <w:rsid w:val="00EF721A"/>
    <w:rsid w:val="00EF7FF4"/>
    <w:rsid w:val="00F006ED"/>
    <w:rsid w:val="00F02253"/>
    <w:rsid w:val="00F02848"/>
    <w:rsid w:val="00F038E9"/>
    <w:rsid w:val="00F03C2E"/>
    <w:rsid w:val="00F0408B"/>
    <w:rsid w:val="00F04144"/>
    <w:rsid w:val="00F04A66"/>
    <w:rsid w:val="00F04B4B"/>
    <w:rsid w:val="00F0516C"/>
    <w:rsid w:val="00F067A2"/>
    <w:rsid w:val="00F06E37"/>
    <w:rsid w:val="00F07B9E"/>
    <w:rsid w:val="00F110C1"/>
    <w:rsid w:val="00F1116F"/>
    <w:rsid w:val="00F11641"/>
    <w:rsid w:val="00F12358"/>
    <w:rsid w:val="00F1263A"/>
    <w:rsid w:val="00F15B77"/>
    <w:rsid w:val="00F16FF1"/>
    <w:rsid w:val="00F225DB"/>
    <w:rsid w:val="00F236E0"/>
    <w:rsid w:val="00F24837"/>
    <w:rsid w:val="00F24B52"/>
    <w:rsid w:val="00F2560A"/>
    <w:rsid w:val="00F2575F"/>
    <w:rsid w:val="00F27565"/>
    <w:rsid w:val="00F27FAD"/>
    <w:rsid w:val="00F30398"/>
    <w:rsid w:val="00F304D3"/>
    <w:rsid w:val="00F310D4"/>
    <w:rsid w:val="00F312E2"/>
    <w:rsid w:val="00F31D5A"/>
    <w:rsid w:val="00F32066"/>
    <w:rsid w:val="00F32D4D"/>
    <w:rsid w:val="00F33975"/>
    <w:rsid w:val="00F33C7E"/>
    <w:rsid w:val="00F33DE9"/>
    <w:rsid w:val="00F347A5"/>
    <w:rsid w:val="00F34833"/>
    <w:rsid w:val="00F3538C"/>
    <w:rsid w:val="00F35E6D"/>
    <w:rsid w:val="00F3619A"/>
    <w:rsid w:val="00F36B06"/>
    <w:rsid w:val="00F4032F"/>
    <w:rsid w:val="00F40AAA"/>
    <w:rsid w:val="00F40BA7"/>
    <w:rsid w:val="00F40C8B"/>
    <w:rsid w:val="00F40F9D"/>
    <w:rsid w:val="00F41175"/>
    <w:rsid w:val="00F41ACD"/>
    <w:rsid w:val="00F445BE"/>
    <w:rsid w:val="00F45331"/>
    <w:rsid w:val="00F46CB6"/>
    <w:rsid w:val="00F4756D"/>
    <w:rsid w:val="00F47BD0"/>
    <w:rsid w:val="00F47DE8"/>
    <w:rsid w:val="00F5183E"/>
    <w:rsid w:val="00F53576"/>
    <w:rsid w:val="00F542C1"/>
    <w:rsid w:val="00F55E73"/>
    <w:rsid w:val="00F55EDA"/>
    <w:rsid w:val="00F56C80"/>
    <w:rsid w:val="00F5728A"/>
    <w:rsid w:val="00F60092"/>
    <w:rsid w:val="00F602BF"/>
    <w:rsid w:val="00F60D04"/>
    <w:rsid w:val="00F61C18"/>
    <w:rsid w:val="00F6474D"/>
    <w:rsid w:val="00F65773"/>
    <w:rsid w:val="00F65F4B"/>
    <w:rsid w:val="00F67A69"/>
    <w:rsid w:val="00F703DD"/>
    <w:rsid w:val="00F70BFF"/>
    <w:rsid w:val="00F70C9D"/>
    <w:rsid w:val="00F72DC3"/>
    <w:rsid w:val="00F74CD9"/>
    <w:rsid w:val="00F775CA"/>
    <w:rsid w:val="00F80A7B"/>
    <w:rsid w:val="00F80E5D"/>
    <w:rsid w:val="00F81E78"/>
    <w:rsid w:val="00F824E0"/>
    <w:rsid w:val="00F82943"/>
    <w:rsid w:val="00F84AD1"/>
    <w:rsid w:val="00F851CE"/>
    <w:rsid w:val="00F8682C"/>
    <w:rsid w:val="00F87519"/>
    <w:rsid w:val="00F9003A"/>
    <w:rsid w:val="00F91219"/>
    <w:rsid w:val="00F92444"/>
    <w:rsid w:val="00F92E52"/>
    <w:rsid w:val="00F93883"/>
    <w:rsid w:val="00F9393E"/>
    <w:rsid w:val="00F9419B"/>
    <w:rsid w:val="00F95126"/>
    <w:rsid w:val="00F95305"/>
    <w:rsid w:val="00F95D55"/>
    <w:rsid w:val="00F96FD0"/>
    <w:rsid w:val="00F97A78"/>
    <w:rsid w:val="00FA0866"/>
    <w:rsid w:val="00FA0B20"/>
    <w:rsid w:val="00FA1E84"/>
    <w:rsid w:val="00FA24E7"/>
    <w:rsid w:val="00FA2EAE"/>
    <w:rsid w:val="00FA382C"/>
    <w:rsid w:val="00FA3D0D"/>
    <w:rsid w:val="00FA4529"/>
    <w:rsid w:val="00FA5C16"/>
    <w:rsid w:val="00FA5EE6"/>
    <w:rsid w:val="00FA763C"/>
    <w:rsid w:val="00FA7956"/>
    <w:rsid w:val="00FB0DD5"/>
    <w:rsid w:val="00FB0DF9"/>
    <w:rsid w:val="00FB1BC9"/>
    <w:rsid w:val="00FB2FCB"/>
    <w:rsid w:val="00FB2FF6"/>
    <w:rsid w:val="00FB3078"/>
    <w:rsid w:val="00FB318A"/>
    <w:rsid w:val="00FB3DAE"/>
    <w:rsid w:val="00FB4613"/>
    <w:rsid w:val="00FB4869"/>
    <w:rsid w:val="00FB7808"/>
    <w:rsid w:val="00FB7C55"/>
    <w:rsid w:val="00FC1074"/>
    <w:rsid w:val="00FC1884"/>
    <w:rsid w:val="00FC29AA"/>
    <w:rsid w:val="00FC371D"/>
    <w:rsid w:val="00FC3ABF"/>
    <w:rsid w:val="00FC4426"/>
    <w:rsid w:val="00FC4672"/>
    <w:rsid w:val="00FC537F"/>
    <w:rsid w:val="00FC59C8"/>
    <w:rsid w:val="00FC5E28"/>
    <w:rsid w:val="00FC5F0B"/>
    <w:rsid w:val="00FC6A36"/>
    <w:rsid w:val="00FD1063"/>
    <w:rsid w:val="00FD2100"/>
    <w:rsid w:val="00FD27FA"/>
    <w:rsid w:val="00FD436C"/>
    <w:rsid w:val="00FD446D"/>
    <w:rsid w:val="00FD4D85"/>
    <w:rsid w:val="00FD4E23"/>
    <w:rsid w:val="00FD4F2C"/>
    <w:rsid w:val="00FD5058"/>
    <w:rsid w:val="00FD61CD"/>
    <w:rsid w:val="00FD6394"/>
    <w:rsid w:val="00FE0E6C"/>
    <w:rsid w:val="00FE1CDC"/>
    <w:rsid w:val="00FE29C6"/>
    <w:rsid w:val="00FE2C64"/>
    <w:rsid w:val="00FE3304"/>
    <w:rsid w:val="00FE3FBB"/>
    <w:rsid w:val="00FE6016"/>
    <w:rsid w:val="00FE70C3"/>
    <w:rsid w:val="00FE7C1B"/>
    <w:rsid w:val="00FF2AD9"/>
    <w:rsid w:val="00FF359F"/>
    <w:rsid w:val="00FF3DCF"/>
    <w:rsid w:val="00FF492C"/>
    <w:rsid w:val="00FF4A21"/>
    <w:rsid w:val="00FF5AA3"/>
    <w:rsid w:val="00FF5AD8"/>
    <w:rsid w:val="00FF67D5"/>
    <w:rsid w:val="00FF6A01"/>
    <w:rsid w:val="00FF748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nhideWhenUsed="1"/>
    <w:lsdException w:name="toc 9" w:semiHidden="1" w:uiPriority="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Body Text First Indent 2" w:semiHidden="1" w:unhideWhenUsed="1"/>
    <w:lsdException w:name="Note Heading" w:semiHidden="1" w:unhideWhenUsed="1"/>
    <w:lsdException w:name="Body Text 2" w:semiHidden="1" w:uiPriority="9" w:unhideWhenUsed="1"/>
    <w:lsdException w:name="Body Text 3" w:semiHidden="1" w:uiPriority="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62D"/>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aliases w:val="Heading 1 - Body"/>
    <w:basedOn w:val="Normal"/>
    <w:next w:val="Normal"/>
    <w:link w:val="Heading4Char"/>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Section heading - Body"/>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aliases w:val="Section heading - Body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qFormat/>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unhideWhenUsed/>
    <w:rsid w:val="00B34FE2"/>
    <w:rPr>
      <w:rFonts w:ascii="Tahoma" w:hAnsi="Tahoma" w:cs="Tahoma"/>
      <w:sz w:val="16"/>
      <w:szCs w:val="16"/>
    </w:rPr>
  </w:style>
  <w:style w:type="character" w:customStyle="1" w:styleId="BalloonTextChar">
    <w:name w:val="Balloon Text Char"/>
    <w:basedOn w:val="DefaultParagraphFont"/>
    <w:link w:val="BalloonText"/>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character" w:styleId="CommentReference">
    <w:name w:val="annotation reference"/>
    <w:aliases w:val="Table Title"/>
    <w:uiPriority w:val="99"/>
    <w:qFormat/>
    <w:rsid w:val="00F2560A"/>
    <w:rPr>
      <w:rFonts w:ascii="Arial Narrow" w:hAnsi="Arial Narrow"/>
      <w:b/>
      <w:sz w:val="20"/>
      <w:szCs w:val="16"/>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nhideWhenUsed/>
    <w:qFormat/>
    <w:rsid w:val="003816D3"/>
    <w:pPr>
      <w:spacing w:after="200"/>
    </w:pPr>
    <w:rPr>
      <w:i/>
      <w:iCs/>
      <w:color w:val="1F497D" w:themeColor="text2"/>
      <w:sz w:val="18"/>
      <w:szCs w:val="18"/>
    </w:rPr>
  </w:style>
  <w:style w:type="paragraph" w:styleId="ListParagraph">
    <w:name w:val="List Paragraph"/>
    <w:aliases w:val="Numbered para,BulletPoints,Bullet point,List Paragraph1,List Paragraph11,Recommendation,Styl moj,Akapit z listą11,Footnote,ES Paragraph,PBAC ES Paragraph,PBAC normal points,Bullet List,L1 Bulleted List,Summary Bullets,Footer Setting,列出段落"/>
    <w:basedOn w:val="Normal"/>
    <w:link w:val="ListParagraphChar"/>
    <w:uiPriority w:val="34"/>
    <w:qFormat/>
    <w:rsid w:val="003816D3"/>
    <w:pPr>
      <w:ind w:left="720"/>
      <w:contextualSpacing/>
    </w:pPr>
  </w:style>
  <w:style w:type="paragraph" w:styleId="CommentText">
    <w:name w:val="annotation text"/>
    <w:basedOn w:val="Normal"/>
    <w:link w:val="CommentTextChar"/>
    <w:uiPriority w:val="99"/>
    <w:unhideWhenUsed/>
    <w:rsid w:val="005B6B63"/>
    <w:rPr>
      <w:sz w:val="20"/>
      <w:szCs w:val="20"/>
    </w:rPr>
  </w:style>
  <w:style w:type="character" w:customStyle="1" w:styleId="CommentTextChar">
    <w:name w:val="Comment Text Char"/>
    <w:basedOn w:val="DefaultParagraphFont"/>
    <w:link w:val="CommentText"/>
    <w:uiPriority w:val="99"/>
    <w:rsid w:val="005B6B63"/>
    <w:rPr>
      <w:rFonts w:ascii="Calibri" w:hAnsi="Calibri" w:cs="Arial"/>
    </w:rPr>
  </w:style>
  <w:style w:type="paragraph" w:styleId="CommentSubject">
    <w:name w:val="annotation subject"/>
    <w:basedOn w:val="CommentText"/>
    <w:next w:val="CommentText"/>
    <w:link w:val="CommentSubjectChar"/>
    <w:unhideWhenUsed/>
    <w:rsid w:val="005B6B63"/>
    <w:rPr>
      <w:b/>
      <w:bCs/>
    </w:rPr>
  </w:style>
  <w:style w:type="character" w:customStyle="1" w:styleId="CommentSubjectChar">
    <w:name w:val="Comment Subject Char"/>
    <w:basedOn w:val="CommentTextChar"/>
    <w:link w:val="CommentSubject"/>
    <w:rsid w:val="005B6B63"/>
    <w:rPr>
      <w:rFonts w:ascii="Calibri" w:hAnsi="Calibri" w:cs="Arial"/>
      <w:b/>
      <w:bCs/>
    </w:rPr>
  </w:style>
  <w:style w:type="paragraph" w:customStyle="1" w:styleId="TableFooter">
    <w:name w:val="Table Footer"/>
    <w:basedOn w:val="Normal"/>
    <w:link w:val="TableFooterChar"/>
    <w:qFormat/>
    <w:rsid w:val="00E57A03"/>
    <w:pPr>
      <w:widowControl w:val="0"/>
    </w:pPr>
    <w:rPr>
      <w:rFonts w:ascii="Arial Narrow" w:hAnsi="Arial Narrow"/>
      <w:snapToGrid w:val="0"/>
      <w:sz w:val="18"/>
      <w:szCs w:val="22"/>
      <w:lang w:eastAsia="en-US"/>
    </w:rPr>
  </w:style>
  <w:style w:type="character" w:customStyle="1" w:styleId="TableFooterChar">
    <w:name w:val="Table Footer Char"/>
    <w:link w:val="TableFooter"/>
    <w:rsid w:val="00E57A03"/>
    <w:rPr>
      <w:rFonts w:ascii="Arial Narrow" w:hAnsi="Arial Narrow" w:cs="Arial"/>
      <w:snapToGrid w:val="0"/>
      <w:sz w:val="18"/>
      <w:szCs w:val="22"/>
      <w:lang w:eastAsia="en-US"/>
    </w:rPr>
  </w:style>
  <w:style w:type="paragraph" w:customStyle="1" w:styleId="Tabletext0">
    <w:name w:val="Table text"/>
    <w:basedOn w:val="Normal"/>
    <w:link w:val="TabletextChar0"/>
    <w:qFormat/>
    <w:rsid w:val="00E57A03"/>
    <w:pPr>
      <w:jc w:val="left"/>
    </w:pPr>
    <w:rPr>
      <w:rFonts w:ascii="Arial Narrow" w:hAnsi="Arial Narrow" w:cs="Times New Roman"/>
      <w:sz w:val="20"/>
      <w:szCs w:val="22"/>
      <w:lang w:eastAsia="en-US"/>
    </w:rPr>
  </w:style>
  <w:style w:type="character" w:customStyle="1" w:styleId="TabletextChar0">
    <w:name w:val="Table text Char"/>
    <w:link w:val="Tabletext0"/>
    <w:rsid w:val="00E57A03"/>
    <w:rPr>
      <w:rFonts w:ascii="Arial Narrow" w:hAnsi="Arial Narrow"/>
      <w:szCs w:val="22"/>
      <w:lang w:eastAsia="en-US"/>
    </w:rPr>
  </w:style>
  <w:style w:type="paragraph" w:customStyle="1" w:styleId="TableHeading">
    <w:name w:val="Table Heading"/>
    <w:basedOn w:val="Normal"/>
    <w:link w:val="TableHeadingChar"/>
    <w:qFormat/>
    <w:rsid w:val="00E57A03"/>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E57A03"/>
    <w:rPr>
      <w:rFonts w:ascii="Arial Narrow" w:eastAsiaTheme="minorHAnsi" w:hAnsi="Arial Narrow" w:cstheme="minorBidi"/>
      <w:b/>
      <w:szCs w:val="22"/>
      <w:lang w:eastAsia="en-US"/>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basedOn w:val="DefaultParagraphFont"/>
    <w:link w:val="Caption"/>
    <w:rsid w:val="00957A41"/>
    <w:rPr>
      <w:rFonts w:ascii="Calibri" w:hAnsi="Calibri" w:cs="Arial"/>
      <w:i/>
      <w:iCs/>
      <w:color w:val="1F497D" w:themeColor="text2"/>
      <w:sz w:val="18"/>
      <w:szCs w:val="18"/>
    </w:rPr>
  </w:style>
  <w:style w:type="paragraph" w:customStyle="1" w:styleId="Tablecentre">
    <w:name w:val="Table centre"/>
    <w:basedOn w:val="Normal"/>
    <w:qFormat/>
    <w:rsid w:val="00957A41"/>
    <w:pPr>
      <w:keepNext/>
      <w:jc w:val="center"/>
    </w:pPr>
    <w:rPr>
      <w:rFonts w:eastAsia="Calibri" w:cs="Calibri"/>
      <w:sz w:val="20"/>
      <w:szCs w:val="20"/>
      <w:lang w:eastAsia="en-US"/>
    </w:rPr>
  </w:style>
  <w:style w:type="paragraph" w:customStyle="1" w:styleId="EndNoteBibliographyTitle">
    <w:name w:val="EndNote Bibliography Title"/>
    <w:basedOn w:val="Normal"/>
    <w:link w:val="EndNoteBibliographyTitleChar"/>
    <w:rsid w:val="000B51D9"/>
    <w:pPr>
      <w:spacing w:line="360" w:lineRule="auto"/>
      <w:jc w:val="center"/>
    </w:pPr>
    <w:rPr>
      <w:rFonts w:ascii="Arial" w:eastAsiaTheme="minorHAnsi" w:hAnsi="Arial"/>
      <w:noProof/>
      <w:sz w:val="22"/>
      <w:szCs w:val="22"/>
      <w:lang w:val="en-US" w:eastAsia="en-US"/>
    </w:rPr>
  </w:style>
  <w:style w:type="character" w:customStyle="1" w:styleId="EndNoteBibliographyTitleChar">
    <w:name w:val="EndNote Bibliography Title Char"/>
    <w:basedOn w:val="DefaultParagraphFont"/>
    <w:link w:val="EndNoteBibliographyTitle"/>
    <w:rsid w:val="000B51D9"/>
    <w:rPr>
      <w:rFonts w:ascii="Arial" w:eastAsiaTheme="minorHAnsi" w:hAnsi="Arial" w:cs="Arial"/>
      <w:noProof/>
      <w:sz w:val="22"/>
      <w:szCs w:val="22"/>
      <w:lang w:val="en-US" w:eastAsia="en-US"/>
    </w:rPr>
  </w:style>
  <w:style w:type="paragraph" w:customStyle="1" w:styleId="TableHeader">
    <w:name w:val="Table Header"/>
    <w:basedOn w:val="Normal"/>
    <w:uiPriority w:val="3"/>
    <w:qFormat/>
    <w:rsid w:val="006C27A4"/>
    <w:pPr>
      <w:widowControl w:val="0"/>
    </w:pPr>
    <w:rPr>
      <w:b/>
      <w:snapToGrid w:val="0"/>
      <w:sz w:val="20"/>
      <w:szCs w:val="22"/>
      <w:lang w:eastAsia="en-US"/>
    </w:rPr>
  </w:style>
  <w:style w:type="paragraph" w:styleId="Title">
    <w:name w:val="Title"/>
    <w:basedOn w:val="Normal"/>
    <w:next w:val="Normal"/>
    <w:link w:val="TitleChar"/>
    <w:uiPriority w:val="7"/>
    <w:rsid w:val="006C27A4"/>
    <w:pPr>
      <w:widowControl w:val="0"/>
      <w:spacing w:before="240" w:after="60"/>
      <w:jc w:val="center"/>
      <w:outlineLvl w:val="0"/>
    </w:pPr>
    <w:rPr>
      <w:rFonts w:ascii="Cambria" w:hAnsi="Cambria"/>
      <w:b/>
      <w:bCs/>
      <w:snapToGrid w:val="0"/>
      <w:kern w:val="28"/>
      <w:sz w:val="32"/>
      <w:szCs w:val="32"/>
      <w:lang w:eastAsia="en-US"/>
    </w:rPr>
  </w:style>
  <w:style w:type="character" w:customStyle="1" w:styleId="TitleChar">
    <w:name w:val="Title Char"/>
    <w:basedOn w:val="DefaultParagraphFont"/>
    <w:link w:val="Title"/>
    <w:uiPriority w:val="7"/>
    <w:rsid w:val="006C27A4"/>
    <w:rPr>
      <w:rFonts w:ascii="Cambria" w:hAnsi="Cambria" w:cs="Arial"/>
      <w:b/>
      <w:bCs/>
      <w:snapToGrid w:val="0"/>
      <w:kern w:val="28"/>
      <w:sz w:val="32"/>
      <w:szCs w:val="32"/>
      <w:lang w:eastAsia="en-US"/>
    </w:rPr>
  </w:style>
  <w:style w:type="paragraph" w:styleId="BodyText">
    <w:name w:val="Body Text"/>
    <w:basedOn w:val="Normal"/>
    <w:link w:val="BodyTextChar"/>
    <w:qFormat/>
    <w:rsid w:val="006C27A4"/>
    <w:pPr>
      <w:widowControl w:val="0"/>
      <w:jc w:val="left"/>
    </w:pPr>
    <w:rPr>
      <w:snapToGrid w:val="0"/>
      <w:szCs w:val="22"/>
      <w:lang w:eastAsia="en-US"/>
    </w:rPr>
  </w:style>
  <w:style w:type="character" w:customStyle="1" w:styleId="BodyTextChar">
    <w:name w:val="Body Text Char"/>
    <w:basedOn w:val="DefaultParagraphFont"/>
    <w:link w:val="BodyText"/>
    <w:rsid w:val="006C27A4"/>
    <w:rPr>
      <w:rFonts w:ascii="Calibri" w:hAnsi="Calibri" w:cs="Arial"/>
      <w:snapToGrid w:val="0"/>
      <w:sz w:val="24"/>
      <w:szCs w:val="22"/>
      <w:lang w:eastAsia="en-US"/>
    </w:rPr>
  </w:style>
  <w:style w:type="character" w:customStyle="1" w:styleId="ListParagraphChar">
    <w:name w:val="List Paragraph Char"/>
    <w:aliases w:val="Numbered para Char,BulletPoints Char,Bullet point Char,List Paragraph1 Char,List Paragraph11 Char,Recommendation Char,Styl moj Char,Akapit z listą11 Char,Footnote Char,ES Paragraph Char,PBAC ES Paragraph Char,PBAC normal points Char"/>
    <w:basedOn w:val="DefaultParagraphFont"/>
    <w:link w:val="ListParagraph"/>
    <w:uiPriority w:val="34"/>
    <w:qFormat/>
    <w:locked/>
    <w:rsid w:val="006C27A4"/>
    <w:rPr>
      <w:rFonts w:ascii="Calibri" w:hAnsi="Calibri" w:cs="Arial"/>
      <w:sz w:val="24"/>
      <w:szCs w:val="24"/>
    </w:rPr>
  </w:style>
  <w:style w:type="paragraph" w:customStyle="1" w:styleId="RegularText">
    <w:name w:val="Regular Text"/>
    <w:basedOn w:val="BodyText"/>
    <w:link w:val="RegularTextChar"/>
    <w:uiPriority w:val="9"/>
    <w:rsid w:val="006C27A4"/>
    <w:rPr>
      <w:b/>
    </w:rPr>
  </w:style>
  <w:style w:type="character" w:customStyle="1" w:styleId="RegularTextChar">
    <w:name w:val="Regular Text Char"/>
    <w:basedOn w:val="BodyTextChar"/>
    <w:link w:val="RegularText"/>
    <w:uiPriority w:val="9"/>
    <w:rsid w:val="006C27A4"/>
    <w:rPr>
      <w:rFonts w:ascii="Calibri" w:hAnsi="Calibri" w:cs="Arial"/>
      <w:b/>
      <w:snapToGrid w:val="0"/>
      <w:sz w:val="24"/>
      <w:szCs w:val="22"/>
      <w:lang w:eastAsia="en-US"/>
    </w:rPr>
  </w:style>
  <w:style w:type="paragraph" w:styleId="NoSpacing">
    <w:name w:val="No Spacing"/>
    <w:uiPriority w:val="1"/>
    <w:qFormat/>
    <w:rsid w:val="006C27A4"/>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6C27A4"/>
    <w:pPr>
      <w:widowControl w:val="0"/>
      <w:tabs>
        <w:tab w:val="center" w:pos="4513"/>
        <w:tab w:val="right" w:pos="9026"/>
      </w:tabs>
    </w:pPr>
    <w:rPr>
      <w:snapToGrid w:val="0"/>
      <w:szCs w:val="22"/>
      <w:lang w:eastAsia="en-US"/>
    </w:rPr>
  </w:style>
  <w:style w:type="character" w:customStyle="1" w:styleId="HeaderChar">
    <w:name w:val="Header Char"/>
    <w:aliases w:val="Page Header Char,Header title Char,he=header Char,cntr/bld Char"/>
    <w:basedOn w:val="DefaultParagraphFont"/>
    <w:link w:val="Header"/>
    <w:rsid w:val="006C27A4"/>
    <w:rPr>
      <w:rFonts w:ascii="Calibri" w:hAnsi="Calibri" w:cs="Arial"/>
      <w:snapToGrid w:val="0"/>
      <w:sz w:val="24"/>
      <w:szCs w:val="22"/>
      <w:lang w:eastAsia="en-US"/>
    </w:rPr>
  </w:style>
  <w:style w:type="paragraph" w:styleId="Footer">
    <w:name w:val="footer"/>
    <w:basedOn w:val="Normal"/>
    <w:link w:val="FooterChar"/>
    <w:uiPriority w:val="99"/>
    <w:rsid w:val="006C27A4"/>
    <w:pPr>
      <w:widowControl w:val="0"/>
      <w:tabs>
        <w:tab w:val="center" w:pos="4513"/>
        <w:tab w:val="right" w:pos="9026"/>
      </w:tabs>
    </w:pPr>
    <w:rPr>
      <w:snapToGrid w:val="0"/>
      <w:szCs w:val="22"/>
      <w:lang w:eastAsia="en-US"/>
    </w:rPr>
  </w:style>
  <w:style w:type="character" w:customStyle="1" w:styleId="FooterChar">
    <w:name w:val="Footer Char"/>
    <w:basedOn w:val="DefaultParagraphFont"/>
    <w:link w:val="Footer"/>
    <w:uiPriority w:val="99"/>
    <w:rsid w:val="006C27A4"/>
    <w:rPr>
      <w:rFonts w:ascii="Calibri" w:hAnsi="Calibri" w:cs="Arial"/>
      <w:snapToGrid w:val="0"/>
      <w:sz w:val="24"/>
      <w:szCs w:val="22"/>
      <w:lang w:eastAsia="en-US"/>
    </w:rPr>
  </w:style>
  <w:style w:type="paragraph" w:customStyle="1" w:styleId="TableHeading0">
    <w:name w:val="TableHeading"/>
    <w:basedOn w:val="Normal"/>
    <w:qFormat/>
    <w:rsid w:val="006C27A4"/>
    <w:pPr>
      <w:keepNext/>
      <w:spacing w:before="40" w:after="40"/>
      <w:jc w:val="left"/>
    </w:pPr>
    <w:rPr>
      <w:rFonts w:ascii="Arial Narrow" w:hAnsi="Arial Narrow" w:cs="Arial Narrow"/>
      <w:b/>
      <w:bCs/>
      <w:sz w:val="20"/>
      <w:szCs w:val="22"/>
      <w:lang w:eastAsia="en-US"/>
    </w:rPr>
  </w:style>
  <w:style w:type="paragraph" w:customStyle="1" w:styleId="Corpsdetextemarge">
    <w:name w:val="Corps de texte marge"/>
    <w:basedOn w:val="BodyText"/>
    <w:uiPriority w:val="99"/>
    <w:rsid w:val="006C27A4"/>
    <w:pPr>
      <w:widowControl/>
      <w:jc w:val="both"/>
    </w:pPr>
    <w:rPr>
      <w:rFonts w:ascii="Times" w:hAnsi="Times" w:cs="Times New Roman"/>
      <w:snapToGrid/>
      <w:lang w:val="en-US"/>
    </w:rPr>
  </w:style>
  <w:style w:type="paragraph" w:styleId="NormalWeb">
    <w:name w:val="Normal (Web)"/>
    <w:basedOn w:val="Normal"/>
    <w:uiPriority w:val="99"/>
    <w:rsid w:val="006C27A4"/>
    <w:pPr>
      <w:spacing w:before="100" w:after="100"/>
      <w:jc w:val="left"/>
    </w:pPr>
    <w:rPr>
      <w:rFonts w:ascii="Times New Roman" w:hAnsi="Times New Roman" w:cs="Times New Roman"/>
      <w:szCs w:val="22"/>
      <w:lang w:val="en-GB" w:eastAsia="en-US"/>
    </w:rPr>
  </w:style>
  <w:style w:type="paragraph" w:styleId="TOCHeading">
    <w:name w:val="TOC Heading"/>
    <w:basedOn w:val="Heading1"/>
    <w:next w:val="Normal"/>
    <w:uiPriority w:val="39"/>
    <w:unhideWhenUsed/>
    <w:rsid w:val="006C27A4"/>
    <w:pPr>
      <w:keepNext/>
      <w:keepLines/>
      <w:spacing w:before="480" w:line="276" w:lineRule="auto"/>
      <w:ind w:left="0" w:firstLine="0"/>
      <w:jc w:val="left"/>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4">
    <w:name w:val="toc 4"/>
    <w:basedOn w:val="Normal"/>
    <w:next w:val="Normal"/>
    <w:autoRedefine/>
    <w:uiPriority w:val="9"/>
    <w:rsid w:val="006C27A4"/>
    <w:pPr>
      <w:widowControl w:val="0"/>
      <w:ind w:left="660"/>
      <w:jc w:val="left"/>
    </w:pPr>
    <w:rPr>
      <w:rFonts w:asciiTheme="minorHAnsi" w:hAnsiTheme="minorHAnsi"/>
      <w:snapToGrid w:val="0"/>
      <w:sz w:val="20"/>
      <w:szCs w:val="22"/>
      <w:lang w:eastAsia="en-US"/>
    </w:rPr>
  </w:style>
  <w:style w:type="paragraph" w:styleId="TOC5">
    <w:name w:val="toc 5"/>
    <w:basedOn w:val="Normal"/>
    <w:next w:val="Normal"/>
    <w:autoRedefine/>
    <w:uiPriority w:val="9"/>
    <w:rsid w:val="006C27A4"/>
    <w:pPr>
      <w:widowControl w:val="0"/>
      <w:ind w:left="880"/>
      <w:jc w:val="left"/>
    </w:pPr>
    <w:rPr>
      <w:rFonts w:asciiTheme="minorHAnsi" w:hAnsiTheme="minorHAnsi"/>
      <w:snapToGrid w:val="0"/>
      <w:sz w:val="20"/>
      <w:szCs w:val="22"/>
      <w:lang w:eastAsia="en-US"/>
    </w:rPr>
  </w:style>
  <w:style w:type="paragraph" w:styleId="TOC6">
    <w:name w:val="toc 6"/>
    <w:basedOn w:val="Normal"/>
    <w:next w:val="Normal"/>
    <w:autoRedefine/>
    <w:uiPriority w:val="9"/>
    <w:rsid w:val="006C27A4"/>
    <w:pPr>
      <w:widowControl w:val="0"/>
      <w:ind w:left="1100"/>
      <w:jc w:val="left"/>
    </w:pPr>
    <w:rPr>
      <w:rFonts w:asciiTheme="minorHAnsi" w:hAnsiTheme="minorHAnsi"/>
      <w:snapToGrid w:val="0"/>
      <w:sz w:val="20"/>
      <w:szCs w:val="22"/>
      <w:lang w:eastAsia="en-US"/>
    </w:rPr>
  </w:style>
  <w:style w:type="paragraph" w:styleId="TOC7">
    <w:name w:val="toc 7"/>
    <w:basedOn w:val="Normal"/>
    <w:next w:val="Normal"/>
    <w:autoRedefine/>
    <w:uiPriority w:val="9"/>
    <w:rsid w:val="006C27A4"/>
    <w:pPr>
      <w:widowControl w:val="0"/>
      <w:ind w:left="1320"/>
      <w:jc w:val="left"/>
    </w:pPr>
    <w:rPr>
      <w:rFonts w:asciiTheme="minorHAnsi" w:hAnsiTheme="minorHAnsi"/>
      <w:snapToGrid w:val="0"/>
      <w:sz w:val="20"/>
      <w:szCs w:val="22"/>
      <w:lang w:eastAsia="en-US"/>
    </w:rPr>
  </w:style>
  <w:style w:type="paragraph" w:styleId="TOC8">
    <w:name w:val="toc 8"/>
    <w:basedOn w:val="Normal"/>
    <w:next w:val="Normal"/>
    <w:autoRedefine/>
    <w:rsid w:val="006C27A4"/>
    <w:pPr>
      <w:widowControl w:val="0"/>
      <w:ind w:left="1540"/>
      <w:jc w:val="left"/>
    </w:pPr>
    <w:rPr>
      <w:rFonts w:asciiTheme="minorHAnsi" w:hAnsiTheme="minorHAnsi"/>
      <w:snapToGrid w:val="0"/>
      <w:sz w:val="20"/>
      <w:szCs w:val="22"/>
      <w:lang w:eastAsia="en-US"/>
    </w:rPr>
  </w:style>
  <w:style w:type="paragraph" w:styleId="TOC9">
    <w:name w:val="toc 9"/>
    <w:basedOn w:val="Normal"/>
    <w:next w:val="Normal"/>
    <w:autoRedefine/>
    <w:uiPriority w:val="9"/>
    <w:rsid w:val="006C27A4"/>
    <w:pPr>
      <w:widowControl w:val="0"/>
      <w:ind w:left="1760"/>
      <w:jc w:val="left"/>
    </w:pPr>
    <w:rPr>
      <w:rFonts w:asciiTheme="minorHAnsi" w:hAnsiTheme="minorHAnsi"/>
      <w:snapToGrid w:val="0"/>
      <w:sz w:val="20"/>
      <w:szCs w:val="22"/>
      <w:lang w:eastAsia="en-US"/>
    </w:rPr>
  </w:style>
  <w:style w:type="paragraph" w:customStyle="1" w:styleId="TableName">
    <w:name w:val="TableName"/>
    <w:basedOn w:val="Normal"/>
    <w:qFormat/>
    <w:rsid w:val="006C27A4"/>
    <w:pPr>
      <w:keepNext/>
      <w:spacing w:before="120" w:after="120"/>
      <w:ind w:left="1800" w:hanging="1080"/>
      <w:jc w:val="left"/>
    </w:pPr>
    <w:rPr>
      <w:rFonts w:ascii="Arial Narrow" w:hAnsi="Arial Narrow" w:cs="Arial Narrow"/>
      <w:b/>
      <w:bCs/>
      <w:szCs w:val="22"/>
      <w:lang w:eastAsia="en-US"/>
    </w:rPr>
  </w:style>
  <w:style w:type="paragraph" w:customStyle="1" w:styleId="TableNotes18">
    <w:name w:val="TableNotes+18"/>
    <w:basedOn w:val="Normal"/>
    <w:uiPriority w:val="9"/>
    <w:rsid w:val="006C27A4"/>
    <w:pPr>
      <w:keepLines/>
      <w:spacing w:after="360"/>
      <w:ind w:left="720"/>
      <w:jc w:val="left"/>
    </w:pPr>
    <w:rPr>
      <w:rFonts w:ascii="Arial Narrow" w:hAnsi="Arial Narrow" w:cs="Arial Narrow"/>
      <w:sz w:val="18"/>
      <w:szCs w:val="18"/>
      <w:lang w:eastAsia="en-US"/>
    </w:rPr>
  </w:style>
  <w:style w:type="paragraph" w:customStyle="1" w:styleId="TableNotes0">
    <w:name w:val="TableNotes+0"/>
    <w:basedOn w:val="TableNotes18"/>
    <w:uiPriority w:val="9"/>
    <w:rsid w:val="006C27A4"/>
    <w:pPr>
      <w:keepNext/>
      <w:spacing w:after="0"/>
    </w:pPr>
  </w:style>
  <w:style w:type="paragraph" w:styleId="BodyTextIndent">
    <w:name w:val="Body Text Indent"/>
    <w:basedOn w:val="Normal"/>
    <w:link w:val="BodyTextIndentChar"/>
    <w:uiPriority w:val="9"/>
    <w:rsid w:val="006C27A4"/>
    <w:pPr>
      <w:widowControl w:val="0"/>
      <w:spacing w:after="120"/>
      <w:ind w:left="283"/>
    </w:pPr>
    <w:rPr>
      <w:snapToGrid w:val="0"/>
      <w:szCs w:val="22"/>
      <w:lang w:eastAsia="en-US"/>
    </w:rPr>
  </w:style>
  <w:style w:type="character" w:customStyle="1" w:styleId="BodyTextIndentChar">
    <w:name w:val="Body Text Indent Char"/>
    <w:basedOn w:val="DefaultParagraphFont"/>
    <w:link w:val="BodyTextIndent"/>
    <w:uiPriority w:val="9"/>
    <w:rsid w:val="006C27A4"/>
    <w:rPr>
      <w:rFonts w:ascii="Calibri" w:hAnsi="Calibri" w:cs="Arial"/>
      <w:snapToGrid w:val="0"/>
      <w:sz w:val="24"/>
      <w:szCs w:val="22"/>
      <w:lang w:eastAsia="en-US"/>
    </w:rPr>
  </w:style>
  <w:style w:type="paragraph" w:customStyle="1" w:styleId="Char1CharCharChar">
    <w:name w:val="Char1 Char Char Char"/>
    <w:basedOn w:val="Normal"/>
    <w:uiPriority w:val="9"/>
    <w:rsid w:val="006C27A4"/>
    <w:pPr>
      <w:spacing w:after="160" w:line="240" w:lineRule="exact"/>
      <w:jc w:val="left"/>
    </w:pPr>
    <w:rPr>
      <w:rFonts w:ascii="Verdana" w:eastAsia="MS Mincho" w:hAnsi="Verdana" w:cs="Verdana"/>
      <w:sz w:val="20"/>
      <w:szCs w:val="22"/>
      <w:lang w:val="en-US" w:eastAsia="en-US"/>
    </w:rPr>
  </w:style>
  <w:style w:type="character" w:customStyle="1" w:styleId="SubtitleChar">
    <w:name w:val="Subtitle Char"/>
    <w:link w:val="Subtitle"/>
    <w:uiPriority w:val="9"/>
    <w:rsid w:val="006C27A4"/>
    <w:rPr>
      <w:lang w:eastAsia="en-US"/>
    </w:rPr>
  </w:style>
  <w:style w:type="paragraph" w:styleId="Subtitle">
    <w:name w:val="Subtitle"/>
    <w:basedOn w:val="Normal"/>
    <w:link w:val="SubtitleChar"/>
    <w:uiPriority w:val="9"/>
    <w:qFormat/>
    <w:rsid w:val="006C27A4"/>
    <w:rPr>
      <w:rFonts w:ascii="Times New Roman" w:hAnsi="Times New Roman" w:cs="Times New Roman"/>
      <w:sz w:val="20"/>
      <w:szCs w:val="20"/>
      <w:lang w:eastAsia="en-US"/>
    </w:rPr>
  </w:style>
  <w:style w:type="character" w:customStyle="1" w:styleId="SubtitleChar1">
    <w:name w:val="Subtitle Char1"/>
    <w:basedOn w:val="DefaultParagraphFont"/>
    <w:uiPriority w:val="9"/>
    <w:rsid w:val="006C27A4"/>
    <w:rPr>
      <w:rFonts w:asciiTheme="minorHAnsi" w:eastAsiaTheme="minorEastAsia" w:hAnsiTheme="minorHAnsi" w:cstheme="minorBidi"/>
      <w:color w:val="5A5A5A" w:themeColor="text1" w:themeTint="A5"/>
      <w:spacing w:val="15"/>
      <w:sz w:val="22"/>
      <w:szCs w:val="22"/>
    </w:rPr>
  </w:style>
  <w:style w:type="paragraph" w:customStyle="1" w:styleId="PBACHeading1">
    <w:name w:val="PBAC Heading 1"/>
    <w:qFormat/>
    <w:rsid w:val="006C27A4"/>
    <w:pPr>
      <w:ind w:left="720" w:hanging="720"/>
    </w:pPr>
    <w:rPr>
      <w:rFonts w:ascii="Calibri" w:hAnsi="Calibri" w:cs="Arial"/>
      <w:b/>
      <w:snapToGrid w:val="0"/>
      <w:sz w:val="32"/>
      <w:szCs w:val="22"/>
      <w:lang w:eastAsia="en-US"/>
    </w:rPr>
  </w:style>
  <w:style w:type="paragraph" w:customStyle="1" w:styleId="V50Instructions">
    <w:name w:val="V5.0 Instructions"/>
    <w:basedOn w:val="Normal"/>
    <w:link w:val="V50InstructionsChar"/>
    <w:qFormat/>
    <w:rsid w:val="006C27A4"/>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6C27A4"/>
    <w:rPr>
      <w:rFonts w:asciiTheme="minorHAnsi" w:eastAsiaTheme="minorHAnsi" w:hAnsiTheme="minorHAnsi" w:cstheme="minorBidi"/>
      <w:color w:val="4BACC6" w:themeColor="accent5"/>
      <w:sz w:val="24"/>
      <w:szCs w:val="22"/>
      <w:lang w:eastAsia="en-US"/>
    </w:rPr>
  </w:style>
  <w:style w:type="paragraph" w:customStyle="1" w:styleId="COMtbl-HEADLeftAligned">
    <w:name w:val="COMtbl-HEAD Left Aligned"/>
    <w:basedOn w:val="Normal"/>
    <w:qFormat/>
    <w:rsid w:val="006C27A4"/>
    <w:pPr>
      <w:widowControl w:val="0"/>
      <w:tabs>
        <w:tab w:val="left" w:pos="720"/>
      </w:tabs>
      <w:jc w:val="left"/>
    </w:pPr>
    <w:rPr>
      <w:rFonts w:ascii="Arial Narrow" w:hAnsi="Arial Narrow"/>
      <w:b/>
      <w:snapToGrid w:val="0"/>
      <w:sz w:val="20"/>
      <w:szCs w:val="20"/>
      <w:lang w:eastAsia="en-US"/>
    </w:rPr>
  </w:style>
  <w:style w:type="paragraph" w:customStyle="1" w:styleId="COMtbl-HEADCentred">
    <w:name w:val="COMtbl-HEAD Centred"/>
    <w:basedOn w:val="COMtbl-HEADLeftAligned"/>
    <w:qFormat/>
    <w:rsid w:val="006C27A4"/>
    <w:pPr>
      <w:jc w:val="center"/>
    </w:pPr>
  </w:style>
  <w:style w:type="paragraph" w:customStyle="1" w:styleId="COMtbl-textLeftAligned">
    <w:name w:val="COMtbl-text Left Aligned"/>
    <w:basedOn w:val="COMtbl-HEADLeftAligned"/>
    <w:qFormat/>
    <w:rsid w:val="006C27A4"/>
    <w:rPr>
      <w:b w:val="0"/>
    </w:rPr>
  </w:style>
  <w:style w:type="paragraph" w:customStyle="1" w:styleId="COMtbl-textCentred">
    <w:name w:val="COMtbl-text Centred"/>
    <w:basedOn w:val="COMtbl-HEADCentred"/>
    <w:qFormat/>
    <w:rsid w:val="006C27A4"/>
    <w:rPr>
      <w:b w:val="0"/>
    </w:rPr>
  </w:style>
  <w:style w:type="paragraph" w:customStyle="1" w:styleId="TableFootnotetext">
    <w:name w:val="Table Footnote text"/>
    <w:basedOn w:val="Normal"/>
    <w:autoRedefine/>
    <w:unhideWhenUsed/>
    <w:qFormat/>
    <w:rsid w:val="00CD7DFE"/>
    <w:pPr>
      <w:spacing w:after="240"/>
      <w:contextualSpacing/>
      <w:jc w:val="left"/>
    </w:pPr>
    <w:rPr>
      <w:rFonts w:ascii="Arial Narrow" w:hAnsi="Arial Narrow" w:cstheme="minorHAnsi"/>
      <w:sz w:val="18"/>
      <w:szCs w:val="18"/>
      <w:lang w:eastAsia="en-US"/>
    </w:rPr>
  </w:style>
  <w:style w:type="paragraph" w:customStyle="1" w:styleId="V50Tablenote">
    <w:name w:val="V5.0 Tablenote"/>
    <w:basedOn w:val="Normal"/>
    <w:link w:val="V50TablenoteChar"/>
    <w:qFormat/>
    <w:rsid w:val="006C27A4"/>
    <w:pPr>
      <w:spacing w:after="120"/>
      <w:contextualSpacing/>
    </w:pPr>
    <w:rPr>
      <w:rFonts w:asciiTheme="minorHAnsi" w:eastAsiaTheme="minorHAnsi" w:hAnsiTheme="minorHAnsi" w:cstheme="minorBidi"/>
      <w:sz w:val="18"/>
      <w:szCs w:val="18"/>
      <w:lang w:val="en-US" w:eastAsia="en-US"/>
    </w:rPr>
  </w:style>
  <w:style w:type="character" w:customStyle="1" w:styleId="V50TablenoteChar">
    <w:name w:val="V5.0 Tablenote Char"/>
    <w:basedOn w:val="DefaultParagraphFont"/>
    <w:link w:val="V50Tablenote"/>
    <w:rsid w:val="006C27A4"/>
    <w:rPr>
      <w:rFonts w:asciiTheme="minorHAnsi" w:eastAsiaTheme="minorHAnsi" w:hAnsiTheme="minorHAnsi" w:cstheme="minorBidi"/>
      <w:sz w:val="18"/>
      <w:szCs w:val="18"/>
      <w:lang w:val="en-US" w:eastAsia="en-US"/>
    </w:rPr>
  </w:style>
  <w:style w:type="numbering" w:customStyle="1" w:styleId="Headings">
    <w:name w:val="Headings"/>
    <w:uiPriority w:val="99"/>
    <w:rsid w:val="006C27A4"/>
    <w:pPr>
      <w:numPr>
        <w:numId w:val="12"/>
      </w:numPr>
    </w:pPr>
  </w:style>
  <w:style w:type="character" w:customStyle="1" w:styleId="Heading1Char">
    <w:name w:val="Heading 1 Char"/>
    <w:basedOn w:val="DefaultParagraphFont"/>
    <w:link w:val="Heading1"/>
    <w:uiPriority w:val="1"/>
    <w:rsid w:val="006C27A4"/>
    <w:rPr>
      <w:rFonts w:ascii="Calibri" w:hAnsi="Calibri" w:cs="Arial"/>
      <w:b/>
      <w:caps/>
      <w:sz w:val="32"/>
      <w:szCs w:val="24"/>
    </w:rPr>
  </w:style>
  <w:style w:type="character" w:customStyle="1" w:styleId="Heading3Char">
    <w:name w:val="Heading 3 Char"/>
    <w:basedOn w:val="DefaultParagraphFont"/>
    <w:link w:val="Heading3"/>
    <w:uiPriority w:val="1"/>
    <w:rsid w:val="006C27A4"/>
    <w:rPr>
      <w:rFonts w:ascii="Calibri" w:hAnsi="Calibri" w:cs="Arial"/>
      <w:sz w:val="24"/>
      <w:szCs w:val="24"/>
      <w:u w:val="single"/>
    </w:rPr>
  </w:style>
  <w:style w:type="paragraph" w:customStyle="1" w:styleId="V50Heading2nonumbers">
    <w:name w:val="V5.0 Heading 2 no numbers"/>
    <w:basedOn w:val="Heading2"/>
    <w:qFormat/>
    <w:rsid w:val="006C27A4"/>
    <w:pPr>
      <w:keepNext/>
      <w:keepLines/>
      <w:ind w:left="578" w:hanging="578"/>
    </w:pPr>
    <w:rPr>
      <w:rFonts w:asciiTheme="minorHAnsi" w:eastAsiaTheme="majorEastAsia" w:hAnsiTheme="minorHAnsi" w:cstheme="majorBidi"/>
      <w:szCs w:val="28"/>
      <w:lang w:eastAsia="en-US"/>
    </w:rPr>
  </w:style>
  <w:style w:type="character" w:customStyle="1" w:styleId="Heading4Char">
    <w:name w:val="Heading 4 Char"/>
    <w:aliases w:val="Heading 1 - Body Char"/>
    <w:basedOn w:val="DefaultParagraphFont"/>
    <w:link w:val="Heading4"/>
    <w:uiPriority w:val="5"/>
    <w:rsid w:val="006C27A4"/>
    <w:rPr>
      <w:rFonts w:ascii="Calibri" w:hAnsi="Calibri" w:cs="Arial"/>
      <w:b/>
      <w:bCs/>
      <w:i/>
      <w:sz w:val="26"/>
      <w:szCs w:val="28"/>
    </w:rPr>
  </w:style>
  <w:style w:type="character" w:customStyle="1" w:styleId="Heading5Char">
    <w:name w:val="Heading 5 Char"/>
    <w:aliases w:val="Heading 2 - Body Char"/>
    <w:basedOn w:val="DefaultParagraphFont"/>
    <w:link w:val="Heading5"/>
    <w:uiPriority w:val="7"/>
    <w:rsid w:val="006C27A4"/>
    <w:rPr>
      <w:rFonts w:ascii="Calibri" w:hAnsi="Calibri" w:cs="Arial"/>
      <w:b/>
      <w:bCs/>
      <w:iCs/>
      <w:sz w:val="26"/>
      <w:szCs w:val="26"/>
    </w:rPr>
  </w:style>
  <w:style w:type="character" w:customStyle="1" w:styleId="Heading6Char">
    <w:name w:val="Heading 6 Char"/>
    <w:aliases w:val="Heading 3 - Body Char"/>
    <w:basedOn w:val="DefaultParagraphFont"/>
    <w:link w:val="Heading6"/>
    <w:uiPriority w:val="7"/>
    <w:rsid w:val="006C27A4"/>
    <w:rPr>
      <w:rFonts w:ascii="Calibri" w:hAnsi="Calibri" w:cs="Arial"/>
      <w:b/>
      <w:bCs/>
      <w:i/>
      <w:sz w:val="24"/>
      <w:szCs w:val="24"/>
    </w:rPr>
  </w:style>
  <w:style w:type="paragraph" w:customStyle="1" w:styleId="V50Heading1nonumbers">
    <w:name w:val="V5.0 Heading 1 no numbers"/>
    <w:basedOn w:val="Heading1"/>
    <w:qFormat/>
    <w:rsid w:val="006C27A4"/>
    <w:pPr>
      <w:keepNext/>
      <w:keepLines/>
      <w:ind w:left="0" w:firstLine="0"/>
    </w:pPr>
    <w:rPr>
      <w:rFonts w:asciiTheme="minorHAnsi" w:eastAsiaTheme="majorEastAsia" w:hAnsiTheme="minorHAnsi" w:cstheme="majorBidi"/>
      <w:caps w:val="0"/>
      <w:szCs w:val="28"/>
      <w:lang w:eastAsia="en-US"/>
    </w:rPr>
  </w:style>
  <w:style w:type="paragraph" w:customStyle="1" w:styleId="V50TableText">
    <w:name w:val="V5.0 TableText"/>
    <w:link w:val="V50TableTextChar"/>
    <w:qFormat/>
    <w:rsid w:val="006C27A4"/>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6C27A4"/>
    <w:rPr>
      <w:b/>
      <w:color w:val="4BACC6" w:themeColor="accent5"/>
    </w:rPr>
  </w:style>
  <w:style w:type="paragraph" w:customStyle="1" w:styleId="V50InstructionsBullets">
    <w:name w:val="V5.0 Instructions Bullets"/>
    <w:basedOn w:val="V50Instructions"/>
    <w:qFormat/>
    <w:rsid w:val="006C27A4"/>
    <w:pPr>
      <w:numPr>
        <w:numId w:val="13"/>
      </w:numPr>
      <w:spacing w:before="0" w:after="0"/>
      <w:ind w:left="714" w:hanging="357"/>
      <w:jc w:val="both"/>
    </w:pPr>
  </w:style>
  <w:style w:type="table" w:customStyle="1" w:styleId="TableGridLight1">
    <w:name w:val="Table Grid Light1"/>
    <w:basedOn w:val="TableNormal"/>
    <w:uiPriority w:val="40"/>
    <w:rsid w:val="006C27A4"/>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6C27A4"/>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uiPriority w:val="99"/>
    <w:rsid w:val="006C27A4"/>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6C27A4"/>
    <w:rPr>
      <w:vertAlign w:val="superscript"/>
    </w:rPr>
  </w:style>
  <w:style w:type="paragraph" w:customStyle="1" w:styleId="TableFigNoteLast">
    <w:name w:val="TableFigNote Last"/>
    <w:basedOn w:val="Normal"/>
    <w:qFormat/>
    <w:rsid w:val="006C27A4"/>
    <w:pPr>
      <w:spacing w:after="360"/>
    </w:pPr>
    <w:rPr>
      <w:rFonts w:asciiTheme="minorHAnsi" w:eastAsiaTheme="minorHAnsi" w:hAnsiTheme="minorHAnsi" w:cstheme="minorBidi"/>
      <w:sz w:val="18"/>
      <w:szCs w:val="22"/>
      <w:lang w:eastAsia="en-US"/>
    </w:rPr>
  </w:style>
  <w:style w:type="character" w:styleId="Emphasis">
    <w:name w:val="Emphasis"/>
    <w:basedOn w:val="DefaultParagraphFont"/>
    <w:uiPriority w:val="20"/>
    <w:qFormat/>
    <w:rsid w:val="006C27A4"/>
    <w:rPr>
      <w:b w:val="0"/>
      <w:i/>
      <w:iCs/>
    </w:rPr>
  </w:style>
  <w:style w:type="character" w:customStyle="1" w:styleId="V50TableTextChar">
    <w:name w:val="V5.0 TableText Char"/>
    <w:basedOn w:val="DefaultParagraphFont"/>
    <w:link w:val="V50TableText"/>
    <w:rsid w:val="006C27A4"/>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6C27A4"/>
    <w:pPr>
      <w:keepNext/>
    </w:pPr>
    <w:rPr>
      <w:b/>
    </w:rPr>
  </w:style>
  <w:style w:type="character" w:customStyle="1" w:styleId="V50TablenameChar">
    <w:name w:val="V5.0 Table name Char"/>
    <w:basedOn w:val="DefaultParagraphFont"/>
    <w:link w:val="V50Tablename"/>
    <w:rsid w:val="006C27A4"/>
    <w:rPr>
      <w:rFonts w:asciiTheme="minorHAnsi" w:eastAsiaTheme="minorHAnsi" w:hAnsiTheme="minorHAnsi" w:cstheme="minorBidi"/>
      <w:b/>
      <w:szCs w:val="24"/>
      <w:lang w:val="en-US" w:eastAsia="en-US"/>
    </w:rPr>
  </w:style>
  <w:style w:type="paragraph" w:customStyle="1" w:styleId="TableNotes">
    <w:name w:val="TableNotes"/>
    <w:basedOn w:val="Normal"/>
    <w:qFormat/>
    <w:rsid w:val="006C27A4"/>
    <w:pPr>
      <w:spacing w:after="60"/>
    </w:pPr>
    <w:rPr>
      <w:rFonts w:asciiTheme="minorHAnsi" w:eastAsiaTheme="minorHAnsi" w:hAnsiTheme="minorHAnsi" w:cstheme="minorBidi"/>
      <w:sz w:val="20"/>
      <w:szCs w:val="22"/>
      <w:lang w:eastAsia="en-US"/>
    </w:rPr>
  </w:style>
  <w:style w:type="paragraph" w:customStyle="1" w:styleId="oldTablefooter">
    <w:name w:val="old Table footer"/>
    <w:basedOn w:val="Normal"/>
    <w:link w:val="oldTablefooterChar"/>
    <w:qFormat/>
    <w:rsid w:val="006C27A4"/>
    <w:rPr>
      <w:rFonts w:asciiTheme="minorHAnsi" w:eastAsiaTheme="minorHAnsi" w:hAnsiTheme="minorHAnsi"/>
      <w:sz w:val="18"/>
      <w:szCs w:val="18"/>
      <w:lang w:val="en-US" w:eastAsia="en-US"/>
    </w:rPr>
  </w:style>
  <w:style w:type="character" w:customStyle="1" w:styleId="oldTablefooterChar">
    <w:name w:val="old Table footer Char"/>
    <w:basedOn w:val="V50TableTextChar"/>
    <w:link w:val="oldTablefooter"/>
    <w:rsid w:val="006C27A4"/>
    <w:rPr>
      <w:rFonts w:asciiTheme="minorHAnsi" w:eastAsiaTheme="minorHAnsi" w:hAnsiTheme="minorHAnsi" w:cs="Arial"/>
      <w:sz w:val="18"/>
      <w:szCs w:val="18"/>
      <w:lang w:val="en-US" w:eastAsia="en-US"/>
    </w:rPr>
  </w:style>
  <w:style w:type="paragraph" w:styleId="BodyText3">
    <w:name w:val="Body Text 3"/>
    <w:basedOn w:val="Normal"/>
    <w:link w:val="BodyText3Char"/>
    <w:uiPriority w:val="9"/>
    <w:rsid w:val="006C27A4"/>
    <w:pPr>
      <w:widowControl w:val="0"/>
      <w:spacing w:after="120"/>
    </w:pPr>
    <w:rPr>
      <w:rFonts w:ascii="Arial" w:hAnsi="Arial"/>
      <w:snapToGrid w:val="0"/>
      <w:sz w:val="16"/>
      <w:szCs w:val="16"/>
      <w:lang w:eastAsia="en-US"/>
    </w:rPr>
  </w:style>
  <w:style w:type="character" w:customStyle="1" w:styleId="BodyText3Char">
    <w:name w:val="Body Text 3 Char"/>
    <w:basedOn w:val="DefaultParagraphFont"/>
    <w:link w:val="BodyText3"/>
    <w:uiPriority w:val="9"/>
    <w:rsid w:val="006C27A4"/>
    <w:rPr>
      <w:rFonts w:ascii="Arial" w:hAnsi="Arial" w:cs="Arial"/>
      <w:snapToGrid w:val="0"/>
      <w:sz w:val="16"/>
      <w:szCs w:val="16"/>
      <w:lang w:eastAsia="en-US"/>
    </w:rPr>
  </w:style>
  <w:style w:type="paragraph" w:styleId="BodyText2">
    <w:name w:val="Body Text 2"/>
    <w:basedOn w:val="Normal"/>
    <w:link w:val="BodyText2Char"/>
    <w:uiPriority w:val="9"/>
    <w:rsid w:val="006C27A4"/>
    <w:pPr>
      <w:widowControl w:val="0"/>
      <w:spacing w:after="120" w:line="480" w:lineRule="auto"/>
    </w:pPr>
    <w:rPr>
      <w:rFonts w:ascii="Arial" w:hAnsi="Arial"/>
      <w:snapToGrid w:val="0"/>
      <w:sz w:val="22"/>
      <w:szCs w:val="20"/>
      <w:lang w:eastAsia="en-US"/>
    </w:rPr>
  </w:style>
  <w:style w:type="character" w:customStyle="1" w:styleId="BodyText2Char">
    <w:name w:val="Body Text 2 Char"/>
    <w:basedOn w:val="DefaultParagraphFont"/>
    <w:link w:val="BodyText2"/>
    <w:uiPriority w:val="9"/>
    <w:rsid w:val="006C27A4"/>
    <w:rPr>
      <w:rFonts w:ascii="Arial" w:hAnsi="Arial" w:cs="Arial"/>
      <w:snapToGrid w:val="0"/>
      <w:sz w:val="22"/>
      <w:lang w:eastAsia="en-US"/>
    </w:rPr>
  </w:style>
  <w:style w:type="paragraph" w:customStyle="1" w:styleId="TableText1">
    <w:name w:val="TableText"/>
    <w:basedOn w:val="Normal"/>
    <w:uiPriority w:val="9"/>
    <w:rsid w:val="006C27A4"/>
    <w:pPr>
      <w:keepNext/>
      <w:spacing w:before="40" w:after="40"/>
    </w:pPr>
    <w:rPr>
      <w:rFonts w:ascii="Arial Narrow" w:hAnsi="Arial Narrow" w:cs="Arial Narrow"/>
      <w:sz w:val="20"/>
      <w:szCs w:val="20"/>
      <w:lang w:eastAsia="en-US"/>
    </w:rPr>
  </w:style>
  <w:style w:type="paragraph" w:customStyle="1" w:styleId="Style1">
    <w:name w:val="Style1"/>
    <w:basedOn w:val="Normal"/>
    <w:rsid w:val="006C27A4"/>
    <w:pPr>
      <w:widowControl w:val="0"/>
    </w:pPr>
    <w:rPr>
      <w:rFonts w:ascii="Arial" w:hAnsi="Arial"/>
      <w:snapToGrid w:val="0"/>
      <w:sz w:val="22"/>
      <w:szCs w:val="20"/>
      <w:lang w:eastAsia="en-US"/>
    </w:rPr>
  </w:style>
  <w:style w:type="paragraph" w:customStyle="1" w:styleId="PBACheading10">
    <w:name w:val="PBAC heading 1"/>
    <w:qFormat/>
    <w:rsid w:val="006C27A4"/>
    <w:pPr>
      <w:ind w:left="720" w:hanging="720"/>
    </w:pPr>
    <w:rPr>
      <w:rFonts w:ascii="Arial" w:hAnsi="Arial" w:cs="Arial"/>
      <w:snapToGrid w:val="0"/>
      <w:sz w:val="22"/>
      <w:szCs w:val="22"/>
      <w:lang w:eastAsia="en-US"/>
    </w:rPr>
  </w:style>
  <w:style w:type="paragraph" w:customStyle="1" w:styleId="BulletLast">
    <w:name w:val="Bullet Last"/>
    <w:basedOn w:val="Normal"/>
    <w:qFormat/>
    <w:rsid w:val="006C27A4"/>
    <w:pPr>
      <w:numPr>
        <w:numId w:val="14"/>
      </w:numPr>
      <w:spacing w:after="240"/>
      <w:ind w:left="357" w:hanging="357"/>
    </w:pPr>
    <w:rPr>
      <w:rFonts w:asciiTheme="minorHAnsi" w:eastAsiaTheme="minorHAnsi" w:hAnsiTheme="minorHAnsi" w:cstheme="minorBidi"/>
      <w:sz w:val="22"/>
      <w:szCs w:val="22"/>
      <w:lang w:eastAsia="en-US"/>
    </w:rPr>
  </w:style>
  <w:style w:type="paragraph" w:customStyle="1" w:styleId="TableFigNote">
    <w:name w:val="TableFigNote"/>
    <w:basedOn w:val="Normal"/>
    <w:qFormat/>
    <w:rsid w:val="006C27A4"/>
    <w:rPr>
      <w:rFonts w:asciiTheme="minorHAnsi" w:eastAsiaTheme="minorHAnsi" w:hAnsiTheme="minorHAnsi" w:cstheme="minorBidi"/>
      <w:sz w:val="18"/>
      <w:szCs w:val="22"/>
      <w:lang w:eastAsia="en-US"/>
    </w:rPr>
  </w:style>
  <w:style w:type="character" w:customStyle="1" w:styleId="StyleArial11pt">
    <w:name w:val="Style Arial 11 pt"/>
    <w:basedOn w:val="DefaultParagraphFont"/>
    <w:rsid w:val="006C27A4"/>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C27A4"/>
    <w:pPr>
      <w:spacing w:line="240" w:lineRule="exact"/>
    </w:pPr>
    <w:rPr>
      <w:rFonts w:ascii="Verdana" w:eastAsia="MS Mincho" w:hAnsi="Verdana" w:cs="Verdana"/>
      <w:sz w:val="20"/>
      <w:szCs w:val="20"/>
      <w:lang w:val="en-US" w:eastAsia="en-US"/>
    </w:rPr>
  </w:style>
  <w:style w:type="paragraph" w:customStyle="1" w:styleId="tabletext00">
    <w:name w:val="tabletext0"/>
    <w:basedOn w:val="Normal"/>
    <w:rsid w:val="006C27A4"/>
    <w:pPr>
      <w:spacing w:before="100" w:beforeAutospacing="1" w:after="100" w:afterAutospacing="1"/>
    </w:pPr>
    <w:rPr>
      <w:rFonts w:ascii="Times New Roman" w:hAnsi="Times New Roman" w:cs="Times New Roman"/>
    </w:rPr>
  </w:style>
  <w:style w:type="paragraph" w:customStyle="1" w:styleId="ESnumberedpara">
    <w:name w:val="ES numbered para"/>
    <w:basedOn w:val="Normal"/>
    <w:qFormat/>
    <w:rsid w:val="006C27A4"/>
    <w:pPr>
      <w:spacing w:after="120"/>
      <w:ind w:left="720" w:hanging="720"/>
    </w:pPr>
    <w:rPr>
      <w:rFonts w:eastAsiaTheme="minorHAnsi" w:cstheme="minorBidi"/>
      <w:szCs w:val="22"/>
      <w:lang w:eastAsia="en-US"/>
    </w:rPr>
  </w:style>
  <w:style w:type="table" w:customStyle="1" w:styleId="Summarybox1">
    <w:name w:val="Summary box1"/>
    <w:basedOn w:val="TableNormal"/>
    <w:next w:val="TableGrid"/>
    <w:uiPriority w:val="59"/>
    <w:rsid w:val="006C2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lack">
    <w:name w:val="body text black"/>
    <w:basedOn w:val="Normal"/>
    <w:unhideWhenUsed/>
    <w:qFormat/>
    <w:rsid w:val="006C27A4"/>
    <w:pPr>
      <w:spacing w:after="240"/>
    </w:pPr>
    <w:rPr>
      <w:rFonts w:cs="Times New Roman"/>
      <w:sz w:val="22"/>
      <w:szCs w:val="22"/>
      <w:lang w:eastAsia="en-US"/>
    </w:rPr>
  </w:style>
  <w:style w:type="table" w:customStyle="1" w:styleId="HTAtableplain1">
    <w:name w:val="HTAtableplain1"/>
    <w:basedOn w:val="TableNormal"/>
    <w:next w:val="TableGrid"/>
    <w:uiPriority w:val="59"/>
    <w:rsid w:val="006C27A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grey">
    <w:name w:val="body text grey"/>
    <w:basedOn w:val="Normal"/>
    <w:unhideWhenUsed/>
    <w:qFormat/>
    <w:rsid w:val="006C27A4"/>
    <w:pPr>
      <w:spacing w:after="240"/>
    </w:pPr>
    <w:rPr>
      <w:rFonts w:cs="Times New Roman"/>
      <w:color w:val="A6A6A6" w:themeColor="background1" w:themeShade="A6"/>
      <w:sz w:val="22"/>
      <w:szCs w:val="22"/>
      <w:lang w:eastAsia="en-US"/>
    </w:rPr>
  </w:style>
  <w:style w:type="table" w:customStyle="1" w:styleId="TableGridbeth2">
    <w:name w:val="Table Gridbeth2"/>
    <w:basedOn w:val="TableNormal"/>
    <w:next w:val="TableGrid"/>
    <w:uiPriority w:val="59"/>
    <w:rsid w:val="006C27A4"/>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11">
    <w:name w:val="Table Grid11"/>
    <w:basedOn w:val="TableNormal"/>
    <w:next w:val="TableGrid"/>
    <w:uiPriority w:val="39"/>
    <w:rsid w:val="006C27A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1">
    <w:name w:val="Table Gridbeth11"/>
    <w:basedOn w:val="TableNormal"/>
    <w:next w:val="TableGrid"/>
    <w:uiPriority w:val="39"/>
    <w:rsid w:val="006C27A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59"/>
    <w:rsid w:val="006C27A4"/>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5">
    <w:name w:val="Table Gridbeth5"/>
    <w:basedOn w:val="TableNormal"/>
    <w:next w:val="TableGrid"/>
    <w:uiPriority w:val="59"/>
    <w:rsid w:val="006C27A4"/>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Tableheading1">
    <w:name w:val="Table heading"/>
    <w:basedOn w:val="Normal"/>
    <w:qFormat/>
    <w:rsid w:val="00D615CF"/>
    <w:pPr>
      <w:jc w:val="center"/>
    </w:pPr>
    <w:rPr>
      <w:rFonts w:eastAsiaTheme="minorHAnsi" w:cstheme="minorBidi"/>
      <w:b/>
      <w:sz w:val="20"/>
      <w:szCs w:val="22"/>
      <w:lang w:eastAsia="en-US"/>
    </w:rPr>
  </w:style>
  <w:style w:type="table" w:customStyle="1" w:styleId="MSDTableGrid1">
    <w:name w:val="MSD Table Grid1"/>
    <w:basedOn w:val="TableNormal"/>
    <w:next w:val="TableGrid"/>
    <w:uiPriority w:val="59"/>
    <w:rsid w:val="002771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2">
    <w:name w:val="MSD Table Grid2"/>
    <w:basedOn w:val="TableNormal"/>
    <w:next w:val="TableGrid"/>
    <w:uiPriority w:val="59"/>
    <w:rsid w:val="00CD0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ctionBi">
    <w:name w:val="Section Bi"/>
    <w:uiPriority w:val="99"/>
    <w:rsid w:val="00681A72"/>
    <w:pPr>
      <w:numPr>
        <w:numId w:val="16"/>
      </w:numPr>
    </w:pPr>
  </w:style>
  <w:style w:type="paragraph" w:customStyle="1" w:styleId="3-BodyText">
    <w:name w:val="3-Body Text"/>
    <w:basedOn w:val="ListParagraph"/>
    <w:link w:val="3-BodyTextChar"/>
    <w:qFormat/>
    <w:rsid w:val="003E3159"/>
    <w:pPr>
      <w:spacing w:after="120"/>
      <w:ind w:hanging="720"/>
      <w:contextualSpacing w:val="0"/>
    </w:pPr>
    <w:rPr>
      <w:rFonts w:asciiTheme="minorHAnsi" w:hAnsiTheme="minorHAnsi"/>
      <w:snapToGrid w:val="0"/>
    </w:rPr>
  </w:style>
  <w:style w:type="character" w:customStyle="1" w:styleId="3-BodyTextChar">
    <w:name w:val="3-Body Text Char"/>
    <w:basedOn w:val="DefaultParagraphFont"/>
    <w:link w:val="3-BodyText"/>
    <w:rsid w:val="003E3159"/>
    <w:rPr>
      <w:rFonts w:asciiTheme="minorHAnsi" w:hAnsiTheme="minorHAnsi" w:cs="Arial"/>
      <w:snapToGrid w:val="0"/>
      <w:sz w:val="24"/>
      <w:szCs w:val="24"/>
    </w:rPr>
  </w:style>
  <w:style w:type="paragraph" w:customStyle="1" w:styleId="2Sections">
    <w:name w:val="2. Sections"/>
    <w:qFormat/>
    <w:rsid w:val="00886D52"/>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Normal"/>
    <w:link w:val="3BodytextChar"/>
    <w:qFormat/>
    <w:rsid w:val="00886D52"/>
    <w:pPr>
      <w:widowControl w:val="0"/>
      <w:spacing w:after="120"/>
      <w:ind w:left="720" w:hanging="720"/>
    </w:pPr>
    <w:rPr>
      <w:rFonts w:asciiTheme="minorHAnsi" w:hAnsiTheme="minorHAnsi" w:cstheme="minorHAnsi"/>
      <w:bCs/>
      <w:snapToGrid w:val="0"/>
      <w:lang w:val="en-GB"/>
    </w:rPr>
  </w:style>
  <w:style w:type="character" w:customStyle="1" w:styleId="3BodytextChar">
    <w:name w:val="3. Body text Char"/>
    <w:basedOn w:val="DefaultParagraphFont"/>
    <w:link w:val="3Bodytext"/>
    <w:rsid w:val="00886D52"/>
    <w:rPr>
      <w:rFonts w:asciiTheme="minorHAnsi" w:hAnsiTheme="minorHAnsi" w:cstheme="minorHAnsi"/>
      <w:bCs/>
      <w:snapToGrid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286147">
      <w:bodyDiv w:val="1"/>
      <w:marLeft w:val="0"/>
      <w:marRight w:val="0"/>
      <w:marTop w:val="0"/>
      <w:marBottom w:val="0"/>
      <w:divBdr>
        <w:top w:val="none" w:sz="0" w:space="0" w:color="auto"/>
        <w:left w:val="none" w:sz="0" w:space="0" w:color="auto"/>
        <w:bottom w:val="none" w:sz="0" w:space="0" w:color="auto"/>
        <w:right w:val="none" w:sz="0" w:space="0" w:color="auto"/>
      </w:divBdr>
    </w:div>
    <w:div w:id="119300389">
      <w:bodyDiv w:val="1"/>
      <w:marLeft w:val="0"/>
      <w:marRight w:val="0"/>
      <w:marTop w:val="0"/>
      <w:marBottom w:val="0"/>
      <w:divBdr>
        <w:top w:val="none" w:sz="0" w:space="0" w:color="auto"/>
        <w:left w:val="none" w:sz="0" w:space="0" w:color="auto"/>
        <w:bottom w:val="none" w:sz="0" w:space="0" w:color="auto"/>
        <w:right w:val="none" w:sz="0" w:space="0" w:color="auto"/>
      </w:divBdr>
      <w:divsChild>
        <w:div w:id="687944383">
          <w:marLeft w:val="547"/>
          <w:marRight w:val="0"/>
          <w:marTop w:val="96"/>
          <w:marBottom w:val="0"/>
          <w:divBdr>
            <w:top w:val="none" w:sz="0" w:space="0" w:color="auto"/>
            <w:left w:val="none" w:sz="0" w:space="0" w:color="auto"/>
            <w:bottom w:val="none" w:sz="0" w:space="0" w:color="auto"/>
            <w:right w:val="none" w:sz="0" w:space="0" w:color="auto"/>
          </w:divBdr>
        </w:div>
        <w:div w:id="996808893">
          <w:marLeft w:val="1166"/>
          <w:marRight w:val="0"/>
          <w:marTop w:val="77"/>
          <w:marBottom w:val="0"/>
          <w:divBdr>
            <w:top w:val="none" w:sz="0" w:space="0" w:color="auto"/>
            <w:left w:val="none" w:sz="0" w:space="0" w:color="auto"/>
            <w:bottom w:val="none" w:sz="0" w:space="0" w:color="auto"/>
            <w:right w:val="none" w:sz="0" w:space="0" w:color="auto"/>
          </w:divBdr>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84952894">
      <w:bodyDiv w:val="1"/>
      <w:marLeft w:val="0"/>
      <w:marRight w:val="0"/>
      <w:marTop w:val="0"/>
      <w:marBottom w:val="0"/>
      <w:divBdr>
        <w:top w:val="none" w:sz="0" w:space="0" w:color="auto"/>
        <w:left w:val="none" w:sz="0" w:space="0" w:color="auto"/>
        <w:bottom w:val="none" w:sz="0" w:space="0" w:color="auto"/>
        <w:right w:val="none" w:sz="0" w:space="0" w:color="auto"/>
      </w:divBdr>
    </w:div>
    <w:div w:id="231812861">
      <w:bodyDiv w:val="1"/>
      <w:marLeft w:val="0"/>
      <w:marRight w:val="0"/>
      <w:marTop w:val="0"/>
      <w:marBottom w:val="0"/>
      <w:divBdr>
        <w:top w:val="none" w:sz="0" w:space="0" w:color="auto"/>
        <w:left w:val="none" w:sz="0" w:space="0" w:color="auto"/>
        <w:bottom w:val="none" w:sz="0" w:space="0" w:color="auto"/>
        <w:right w:val="none" w:sz="0" w:space="0" w:color="auto"/>
      </w:divBdr>
    </w:div>
    <w:div w:id="30496693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7909291">
      <w:bodyDiv w:val="1"/>
      <w:marLeft w:val="0"/>
      <w:marRight w:val="0"/>
      <w:marTop w:val="0"/>
      <w:marBottom w:val="0"/>
      <w:divBdr>
        <w:top w:val="none" w:sz="0" w:space="0" w:color="auto"/>
        <w:left w:val="none" w:sz="0" w:space="0" w:color="auto"/>
        <w:bottom w:val="none" w:sz="0" w:space="0" w:color="auto"/>
        <w:right w:val="none" w:sz="0" w:space="0" w:color="auto"/>
      </w:divBdr>
      <w:divsChild>
        <w:div w:id="1920140052">
          <w:marLeft w:val="547"/>
          <w:marRight w:val="0"/>
          <w:marTop w:val="77"/>
          <w:marBottom w:val="0"/>
          <w:divBdr>
            <w:top w:val="none" w:sz="0" w:space="0" w:color="auto"/>
            <w:left w:val="none" w:sz="0" w:space="0" w:color="auto"/>
            <w:bottom w:val="none" w:sz="0" w:space="0" w:color="auto"/>
            <w:right w:val="none" w:sz="0" w:space="0" w:color="auto"/>
          </w:divBdr>
        </w:div>
      </w:divsChild>
    </w:div>
    <w:div w:id="481586208">
      <w:bodyDiv w:val="1"/>
      <w:marLeft w:val="0"/>
      <w:marRight w:val="0"/>
      <w:marTop w:val="0"/>
      <w:marBottom w:val="0"/>
      <w:divBdr>
        <w:top w:val="none" w:sz="0" w:space="0" w:color="auto"/>
        <w:left w:val="none" w:sz="0" w:space="0" w:color="auto"/>
        <w:bottom w:val="none" w:sz="0" w:space="0" w:color="auto"/>
        <w:right w:val="none" w:sz="0" w:space="0" w:color="auto"/>
      </w:divBdr>
      <w:divsChild>
        <w:div w:id="398552919">
          <w:marLeft w:val="547"/>
          <w:marRight w:val="0"/>
          <w:marTop w:val="77"/>
          <w:marBottom w:val="0"/>
          <w:divBdr>
            <w:top w:val="none" w:sz="0" w:space="0" w:color="auto"/>
            <w:left w:val="none" w:sz="0" w:space="0" w:color="auto"/>
            <w:bottom w:val="none" w:sz="0" w:space="0" w:color="auto"/>
            <w:right w:val="none" w:sz="0" w:space="0" w:color="auto"/>
          </w:divBdr>
        </w:div>
        <w:div w:id="688455693">
          <w:marLeft w:val="1166"/>
          <w:marRight w:val="0"/>
          <w:marTop w:val="67"/>
          <w:marBottom w:val="0"/>
          <w:divBdr>
            <w:top w:val="none" w:sz="0" w:space="0" w:color="auto"/>
            <w:left w:val="none" w:sz="0" w:space="0" w:color="auto"/>
            <w:bottom w:val="none" w:sz="0" w:space="0" w:color="auto"/>
            <w:right w:val="none" w:sz="0" w:space="0" w:color="auto"/>
          </w:divBdr>
        </w:div>
        <w:div w:id="1322925414">
          <w:marLeft w:val="547"/>
          <w:marRight w:val="0"/>
          <w:marTop w:val="86"/>
          <w:marBottom w:val="0"/>
          <w:divBdr>
            <w:top w:val="none" w:sz="0" w:space="0" w:color="auto"/>
            <w:left w:val="none" w:sz="0" w:space="0" w:color="auto"/>
            <w:bottom w:val="none" w:sz="0" w:space="0" w:color="auto"/>
            <w:right w:val="none" w:sz="0" w:space="0" w:color="auto"/>
          </w:divBdr>
        </w:div>
      </w:divsChild>
    </w:div>
    <w:div w:id="664362911">
      <w:bodyDiv w:val="1"/>
      <w:marLeft w:val="0"/>
      <w:marRight w:val="0"/>
      <w:marTop w:val="0"/>
      <w:marBottom w:val="0"/>
      <w:divBdr>
        <w:top w:val="none" w:sz="0" w:space="0" w:color="auto"/>
        <w:left w:val="none" w:sz="0" w:space="0" w:color="auto"/>
        <w:bottom w:val="none" w:sz="0" w:space="0" w:color="auto"/>
        <w:right w:val="none" w:sz="0" w:space="0" w:color="auto"/>
      </w:divBdr>
      <w:divsChild>
        <w:div w:id="673532235">
          <w:marLeft w:val="1080"/>
          <w:marRight w:val="0"/>
          <w:marTop w:val="100"/>
          <w:marBottom w:val="0"/>
          <w:divBdr>
            <w:top w:val="none" w:sz="0" w:space="0" w:color="auto"/>
            <w:left w:val="none" w:sz="0" w:space="0" w:color="auto"/>
            <w:bottom w:val="none" w:sz="0" w:space="0" w:color="auto"/>
            <w:right w:val="none" w:sz="0" w:space="0" w:color="auto"/>
          </w:divBdr>
        </w:div>
        <w:div w:id="2048872511">
          <w:marLeft w:val="1080"/>
          <w:marRight w:val="0"/>
          <w:marTop w:val="100"/>
          <w:marBottom w:val="0"/>
          <w:divBdr>
            <w:top w:val="none" w:sz="0" w:space="0" w:color="auto"/>
            <w:left w:val="none" w:sz="0" w:space="0" w:color="auto"/>
            <w:bottom w:val="none" w:sz="0" w:space="0" w:color="auto"/>
            <w:right w:val="none" w:sz="0" w:space="0" w:color="auto"/>
          </w:divBdr>
        </w:div>
        <w:div w:id="1373533006">
          <w:marLeft w:val="1080"/>
          <w:marRight w:val="0"/>
          <w:marTop w:val="100"/>
          <w:marBottom w:val="0"/>
          <w:divBdr>
            <w:top w:val="none" w:sz="0" w:space="0" w:color="auto"/>
            <w:left w:val="none" w:sz="0" w:space="0" w:color="auto"/>
            <w:bottom w:val="none" w:sz="0" w:space="0" w:color="auto"/>
            <w:right w:val="none" w:sz="0" w:space="0" w:color="auto"/>
          </w:divBdr>
        </w:div>
      </w:divsChild>
    </w:div>
    <w:div w:id="731197516">
      <w:bodyDiv w:val="1"/>
      <w:marLeft w:val="0"/>
      <w:marRight w:val="0"/>
      <w:marTop w:val="0"/>
      <w:marBottom w:val="0"/>
      <w:divBdr>
        <w:top w:val="none" w:sz="0" w:space="0" w:color="auto"/>
        <w:left w:val="none" w:sz="0" w:space="0" w:color="auto"/>
        <w:bottom w:val="none" w:sz="0" w:space="0" w:color="auto"/>
        <w:right w:val="none" w:sz="0" w:space="0" w:color="auto"/>
      </w:divBdr>
      <w:divsChild>
        <w:div w:id="200939550">
          <w:marLeft w:val="360"/>
          <w:marRight w:val="0"/>
          <w:marTop w:val="200"/>
          <w:marBottom w:val="0"/>
          <w:divBdr>
            <w:top w:val="none" w:sz="0" w:space="0" w:color="auto"/>
            <w:left w:val="none" w:sz="0" w:space="0" w:color="auto"/>
            <w:bottom w:val="none" w:sz="0" w:space="0" w:color="auto"/>
            <w:right w:val="none" w:sz="0" w:space="0" w:color="auto"/>
          </w:divBdr>
        </w:div>
        <w:div w:id="729772695">
          <w:marLeft w:val="1080"/>
          <w:marRight w:val="0"/>
          <w:marTop w:val="100"/>
          <w:marBottom w:val="0"/>
          <w:divBdr>
            <w:top w:val="none" w:sz="0" w:space="0" w:color="auto"/>
            <w:left w:val="none" w:sz="0" w:space="0" w:color="auto"/>
            <w:bottom w:val="none" w:sz="0" w:space="0" w:color="auto"/>
            <w:right w:val="none" w:sz="0" w:space="0" w:color="auto"/>
          </w:divBdr>
        </w:div>
        <w:div w:id="950936782">
          <w:marLeft w:val="1080"/>
          <w:marRight w:val="0"/>
          <w:marTop w:val="100"/>
          <w:marBottom w:val="0"/>
          <w:divBdr>
            <w:top w:val="none" w:sz="0" w:space="0" w:color="auto"/>
            <w:left w:val="none" w:sz="0" w:space="0" w:color="auto"/>
            <w:bottom w:val="none" w:sz="0" w:space="0" w:color="auto"/>
            <w:right w:val="none" w:sz="0" w:space="0" w:color="auto"/>
          </w:divBdr>
        </w:div>
      </w:divsChild>
    </w:div>
    <w:div w:id="850801791">
      <w:bodyDiv w:val="1"/>
      <w:marLeft w:val="0"/>
      <w:marRight w:val="0"/>
      <w:marTop w:val="0"/>
      <w:marBottom w:val="0"/>
      <w:divBdr>
        <w:top w:val="none" w:sz="0" w:space="0" w:color="auto"/>
        <w:left w:val="none" w:sz="0" w:space="0" w:color="auto"/>
        <w:bottom w:val="none" w:sz="0" w:space="0" w:color="auto"/>
        <w:right w:val="none" w:sz="0" w:space="0" w:color="auto"/>
      </w:divBdr>
      <w:divsChild>
        <w:div w:id="12459587">
          <w:marLeft w:val="1166"/>
          <w:marRight w:val="0"/>
          <w:marTop w:val="67"/>
          <w:marBottom w:val="0"/>
          <w:divBdr>
            <w:top w:val="none" w:sz="0" w:space="0" w:color="auto"/>
            <w:left w:val="none" w:sz="0" w:space="0" w:color="auto"/>
            <w:bottom w:val="none" w:sz="0" w:space="0" w:color="auto"/>
            <w:right w:val="none" w:sz="0" w:space="0" w:color="auto"/>
          </w:divBdr>
        </w:div>
        <w:div w:id="217136744">
          <w:marLeft w:val="547"/>
          <w:marRight w:val="0"/>
          <w:marTop w:val="77"/>
          <w:marBottom w:val="0"/>
          <w:divBdr>
            <w:top w:val="none" w:sz="0" w:space="0" w:color="auto"/>
            <w:left w:val="none" w:sz="0" w:space="0" w:color="auto"/>
            <w:bottom w:val="none" w:sz="0" w:space="0" w:color="auto"/>
            <w:right w:val="none" w:sz="0" w:space="0" w:color="auto"/>
          </w:divBdr>
        </w:div>
        <w:div w:id="574510049">
          <w:marLeft w:val="1166"/>
          <w:marRight w:val="0"/>
          <w:marTop w:val="67"/>
          <w:marBottom w:val="0"/>
          <w:divBdr>
            <w:top w:val="none" w:sz="0" w:space="0" w:color="auto"/>
            <w:left w:val="none" w:sz="0" w:space="0" w:color="auto"/>
            <w:bottom w:val="none" w:sz="0" w:space="0" w:color="auto"/>
            <w:right w:val="none" w:sz="0" w:space="0" w:color="auto"/>
          </w:divBdr>
        </w:div>
        <w:div w:id="840269564">
          <w:marLeft w:val="547"/>
          <w:marRight w:val="0"/>
          <w:marTop w:val="77"/>
          <w:marBottom w:val="0"/>
          <w:divBdr>
            <w:top w:val="none" w:sz="0" w:space="0" w:color="auto"/>
            <w:left w:val="none" w:sz="0" w:space="0" w:color="auto"/>
            <w:bottom w:val="none" w:sz="0" w:space="0" w:color="auto"/>
            <w:right w:val="none" w:sz="0" w:space="0" w:color="auto"/>
          </w:divBdr>
        </w:div>
        <w:div w:id="979189044">
          <w:marLeft w:val="1166"/>
          <w:marRight w:val="0"/>
          <w:marTop w:val="67"/>
          <w:marBottom w:val="0"/>
          <w:divBdr>
            <w:top w:val="none" w:sz="0" w:space="0" w:color="auto"/>
            <w:left w:val="none" w:sz="0" w:space="0" w:color="auto"/>
            <w:bottom w:val="none" w:sz="0" w:space="0" w:color="auto"/>
            <w:right w:val="none" w:sz="0" w:space="0" w:color="auto"/>
          </w:divBdr>
        </w:div>
        <w:div w:id="1583492284">
          <w:marLeft w:val="547"/>
          <w:marRight w:val="0"/>
          <w:marTop w:val="86"/>
          <w:marBottom w:val="0"/>
          <w:divBdr>
            <w:top w:val="none" w:sz="0" w:space="0" w:color="auto"/>
            <w:left w:val="none" w:sz="0" w:space="0" w:color="auto"/>
            <w:bottom w:val="none" w:sz="0" w:space="0" w:color="auto"/>
            <w:right w:val="none" w:sz="0" w:space="0" w:color="auto"/>
          </w:divBdr>
        </w:div>
      </w:divsChild>
    </w:div>
    <w:div w:id="865024939">
      <w:bodyDiv w:val="1"/>
      <w:marLeft w:val="0"/>
      <w:marRight w:val="0"/>
      <w:marTop w:val="0"/>
      <w:marBottom w:val="0"/>
      <w:divBdr>
        <w:top w:val="none" w:sz="0" w:space="0" w:color="auto"/>
        <w:left w:val="none" w:sz="0" w:space="0" w:color="auto"/>
        <w:bottom w:val="none" w:sz="0" w:space="0" w:color="auto"/>
        <w:right w:val="none" w:sz="0" w:space="0" w:color="auto"/>
      </w:divBdr>
    </w:div>
    <w:div w:id="1003511412">
      <w:bodyDiv w:val="1"/>
      <w:marLeft w:val="0"/>
      <w:marRight w:val="0"/>
      <w:marTop w:val="0"/>
      <w:marBottom w:val="0"/>
      <w:divBdr>
        <w:top w:val="none" w:sz="0" w:space="0" w:color="auto"/>
        <w:left w:val="none" w:sz="0" w:space="0" w:color="auto"/>
        <w:bottom w:val="none" w:sz="0" w:space="0" w:color="auto"/>
        <w:right w:val="none" w:sz="0" w:space="0" w:color="auto"/>
      </w:divBdr>
      <w:divsChild>
        <w:div w:id="703947107">
          <w:marLeft w:val="360"/>
          <w:marRight w:val="0"/>
          <w:marTop w:val="200"/>
          <w:marBottom w:val="0"/>
          <w:divBdr>
            <w:top w:val="none" w:sz="0" w:space="0" w:color="auto"/>
            <w:left w:val="none" w:sz="0" w:space="0" w:color="auto"/>
            <w:bottom w:val="none" w:sz="0" w:space="0" w:color="auto"/>
            <w:right w:val="none" w:sz="0" w:space="0" w:color="auto"/>
          </w:divBdr>
        </w:div>
        <w:div w:id="765350049">
          <w:marLeft w:val="1080"/>
          <w:marRight w:val="0"/>
          <w:marTop w:val="100"/>
          <w:marBottom w:val="0"/>
          <w:divBdr>
            <w:top w:val="none" w:sz="0" w:space="0" w:color="auto"/>
            <w:left w:val="none" w:sz="0" w:space="0" w:color="auto"/>
            <w:bottom w:val="none" w:sz="0" w:space="0" w:color="auto"/>
            <w:right w:val="none" w:sz="0" w:space="0" w:color="auto"/>
          </w:divBdr>
        </w:div>
        <w:div w:id="1290552892">
          <w:marLeft w:val="1080"/>
          <w:marRight w:val="0"/>
          <w:marTop w:val="100"/>
          <w:marBottom w:val="0"/>
          <w:divBdr>
            <w:top w:val="none" w:sz="0" w:space="0" w:color="auto"/>
            <w:left w:val="none" w:sz="0" w:space="0" w:color="auto"/>
            <w:bottom w:val="none" w:sz="0" w:space="0" w:color="auto"/>
            <w:right w:val="none" w:sz="0" w:space="0" w:color="auto"/>
          </w:divBdr>
        </w:div>
        <w:div w:id="1343361989">
          <w:marLeft w:val="1080"/>
          <w:marRight w:val="0"/>
          <w:marTop w:val="100"/>
          <w:marBottom w:val="0"/>
          <w:divBdr>
            <w:top w:val="none" w:sz="0" w:space="0" w:color="auto"/>
            <w:left w:val="none" w:sz="0" w:space="0" w:color="auto"/>
            <w:bottom w:val="none" w:sz="0" w:space="0" w:color="auto"/>
            <w:right w:val="none" w:sz="0" w:space="0" w:color="auto"/>
          </w:divBdr>
        </w:div>
        <w:div w:id="1604191631">
          <w:marLeft w:val="1080"/>
          <w:marRight w:val="0"/>
          <w:marTop w:val="100"/>
          <w:marBottom w:val="0"/>
          <w:divBdr>
            <w:top w:val="none" w:sz="0" w:space="0" w:color="auto"/>
            <w:left w:val="none" w:sz="0" w:space="0" w:color="auto"/>
            <w:bottom w:val="none" w:sz="0" w:space="0" w:color="auto"/>
            <w:right w:val="none" w:sz="0" w:space="0" w:color="auto"/>
          </w:divBdr>
        </w:div>
      </w:divsChild>
    </w:div>
    <w:div w:id="1010060202">
      <w:bodyDiv w:val="1"/>
      <w:marLeft w:val="0"/>
      <w:marRight w:val="0"/>
      <w:marTop w:val="0"/>
      <w:marBottom w:val="0"/>
      <w:divBdr>
        <w:top w:val="none" w:sz="0" w:space="0" w:color="auto"/>
        <w:left w:val="none" w:sz="0" w:space="0" w:color="auto"/>
        <w:bottom w:val="none" w:sz="0" w:space="0" w:color="auto"/>
        <w:right w:val="none" w:sz="0" w:space="0" w:color="auto"/>
      </w:divBdr>
      <w:divsChild>
        <w:div w:id="160432">
          <w:marLeft w:val="547"/>
          <w:marRight w:val="0"/>
          <w:marTop w:val="77"/>
          <w:marBottom w:val="0"/>
          <w:divBdr>
            <w:top w:val="none" w:sz="0" w:space="0" w:color="auto"/>
            <w:left w:val="none" w:sz="0" w:space="0" w:color="auto"/>
            <w:bottom w:val="none" w:sz="0" w:space="0" w:color="auto"/>
            <w:right w:val="none" w:sz="0" w:space="0" w:color="auto"/>
          </w:divBdr>
        </w:div>
        <w:div w:id="494537639">
          <w:marLeft w:val="1166"/>
          <w:marRight w:val="0"/>
          <w:marTop w:val="67"/>
          <w:marBottom w:val="0"/>
          <w:divBdr>
            <w:top w:val="none" w:sz="0" w:space="0" w:color="auto"/>
            <w:left w:val="none" w:sz="0" w:space="0" w:color="auto"/>
            <w:bottom w:val="none" w:sz="0" w:space="0" w:color="auto"/>
            <w:right w:val="none" w:sz="0" w:space="0" w:color="auto"/>
          </w:divBdr>
        </w:div>
        <w:div w:id="874579479">
          <w:marLeft w:val="547"/>
          <w:marRight w:val="0"/>
          <w:marTop w:val="77"/>
          <w:marBottom w:val="0"/>
          <w:divBdr>
            <w:top w:val="none" w:sz="0" w:space="0" w:color="auto"/>
            <w:left w:val="none" w:sz="0" w:space="0" w:color="auto"/>
            <w:bottom w:val="none" w:sz="0" w:space="0" w:color="auto"/>
            <w:right w:val="none" w:sz="0" w:space="0" w:color="auto"/>
          </w:divBdr>
        </w:div>
        <w:div w:id="1648897415">
          <w:marLeft w:val="547"/>
          <w:marRight w:val="0"/>
          <w:marTop w:val="86"/>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95247">
      <w:bodyDiv w:val="1"/>
      <w:marLeft w:val="0"/>
      <w:marRight w:val="0"/>
      <w:marTop w:val="0"/>
      <w:marBottom w:val="0"/>
      <w:divBdr>
        <w:top w:val="none" w:sz="0" w:space="0" w:color="auto"/>
        <w:left w:val="none" w:sz="0" w:space="0" w:color="auto"/>
        <w:bottom w:val="none" w:sz="0" w:space="0" w:color="auto"/>
        <w:right w:val="none" w:sz="0" w:space="0" w:color="auto"/>
      </w:divBdr>
    </w:div>
    <w:div w:id="1300695406">
      <w:bodyDiv w:val="1"/>
      <w:marLeft w:val="0"/>
      <w:marRight w:val="0"/>
      <w:marTop w:val="0"/>
      <w:marBottom w:val="0"/>
      <w:divBdr>
        <w:top w:val="none" w:sz="0" w:space="0" w:color="auto"/>
        <w:left w:val="none" w:sz="0" w:space="0" w:color="auto"/>
        <w:bottom w:val="none" w:sz="0" w:space="0" w:color="auto"/>
        <w:right w:val="none" w:sz="0" w:space="0" w:color="auto"/>
      </w:divBdr>
    </w:div>
    <w:div w:id="1320158093">
      <w:bodyDiv w:val="1"/>
      <w:marLeft w:val="0"/>
      <w:marRight w:val="0"/>
      <w:marTop w:val="0"/>
      <w:marBottom w:val="0"/>
      <w:divBdr>
        <w:top w:val="none" w:sz="0" w:space="0" w:color="auto"/>
        <w:left w:val="none" w:sz="0" w:space="0" w:color="auto"/>
        <w:bottom w:val="none" w:sz="0" w:space="0" w:color="auto"/>
        <w:right w:val="none" w:sz="0" w:space="0" w:color="auto"/>
      </w:divBdr>
    </w:div>
    <w:div w:id="1411778163">
      <w:bodyDiv w:val="1"/>
      <w:marLeft w:val="0"/>
      <w:marRight w:val="0"/>
      <w:marTop w:val="0"/>
      <w:marBottom w:val="0"/>
      <w:divBdr>
        <w:top w:val="none" w:sz="0" w:space="0" w:color="auto"/>
        <w:left w:val="none" w:sz="0" w:space="0" w:color="auto"/>
        <w:bottom w:val="none" w:sz="0" w:space="0" w:color="auto"/>
        <w:right w:val="none" w:sz="0" w:space="0" w:color="auto"/>
      </w:divBdr>
      <w:divsChild>
        <w:div w:id="1211923103">
          <w:marLeft w:val="547"/>
          <w:marRight w:val="0"/>
          <w:marTop w:val="77"/>
          <w:marBottom w:val="0"/>
          <w:divBdr>
            <w:top w:val="none" w:sz="0" w:space="0" w:color="auto"/>
            <w:left w:val="none" w:sz="0" w:space="0" w:color="auto"/>
            <w:bottom w:val="none" w:sz="0" w:space="0" w:color="auto"/>
            <w:right w:val="none" w:sz="0" w:space="0" w:color="auto"/>
          </w:divBdr>
        </w:div>
        <w:div w:id="1759982937">
          <w:marLeft w:val="547"/>
          <w:marRight w:val="0"/>
          <w:marTop w:val="77"/>
          <w:marBottom w:val="0"/>
          <w:divBdr>
            <w:top w:val="none" w:sz="0" w:space="0" w:color="auto"/>
            <w:left w:val="none" w:sz="0" w:space="0" w:color="auto"/>
            <w:bottom w:val="none" w:sz="0" w:space="0" w:color="auto"/>
            <w:right w:val="none" w:sz="0" w:space="0" w:color="auto"/>
          </w:divBdr>
        </w:div>
      </w:divsChild>
    </w:div>
    <w:div w:id="170821339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4628C-85F5-4B9B-B3C5-ACC5AD1B8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16056</Words>
  <Characters>98611</Characters>
  <Application>Microsoft Office Word</Application>
  <DocSecurity>0</DocSecurity>
  <Lines>821</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2020-06-19T10:41:00Z</dcterms:created>
  <dcterms:modified xsi:type="dcterms:W3CDTF">2020-06-22T00:19:00Z</dcterms:modified>
</cp:coreProperties>
</file>