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385" w:rsidRPr="00D65745" w:rsidRDefault="00D7057B" w:rsidP="00D65745">
      <w:pPr>
        <w:pStyle w:val="Heading1"/>
        <w:numPr>
          <w:ilvl w:val="0"/>
          <w:numId w:val="0"/>
        </w:numPr>
        <w:ind w:left="720" w:hanging="720"/>
        <w:rPr>
          <w:sz w:val="36"/>
          <w:szCs w:val="36"/>
        </w:rPr>
      </w:pPr>
      <w:r w:rsidRPr="00D65745">
        <w:rPr>
          <w:sz w:val="36"/>
          <w:szCs w:val="36"/>
        </w:rPr>
        <w:t>7.03</w:t>
      </w:r>
      <w:r w:rsidR="00B60939" w:rsidRPr="00D65745">
        <w:rPr>
          <w:sz w:val="36"/>
          <w:szCs w:val="36"/>
        </w:rPr>
        <w:tab/>
      </w:r>
      <w:r w:rsidR="00F24385" w:rsidRPr="00D65745">
        <w:rPr>
          <w:sz w:val="36"/>
          <w:szCs w:val="36"/>
        </w:rPr>
        <w:t xml:space="preserve">REGORAFENIB, </w:t>
      </w:r>
      <w:r w:rsidR="00747ECE" w:rsidRPr="00D65745">
        <w:rPr>
          <w:sz w:val="36"/>
          <w:szCs w:val="36"/>
        </w:rPr>
        <w:br/>
      </w:r>
      <w:r w:rsidR="00F24385" w:rsidRPr="00D65745">
        <w:rPr>
          <w:sz w:val="36"/>
          <w:szCs w:val="36"/>
        </w:rPr>
        <w:t xml:space="preserve">Tablet 40 mg (as monohydrate), </w:t>
      </w:r>
      <w:r w:rsidR="00747ECE" w:rsidRPr="00D65745">
        <w:rPr>
          <w:sz w:val="36"/>
          <w:szCs w:val="36"/>
        </w:rPr>
        <w:br/>
      </w:r>
      <w:r w:rsidR="00F24385" w:rsidRPr="00D65745">
        <w:rPr>
          <w:sz w:val="36"/>
          <w:szCs w:val="36"/>
        </w:rPr>
        <w:t>Stivarga</w:t>
      </w:r>
      <w:r w:rsidR="00F24385" w:rsidRPr="00146BFC">
        <w:rPr>
          <w:sz w:val="36"/>
          <w:szCs w:val="36"/>
        </w:rPr>
        <w:t>®</w:t>
      </w:r>
      <w:r w:rsidR="00F24385" w:rsidRPr="00D65745">
        <w:rPr>
          <w:sz w:val="36"/>
          <w:szCs w:val="36"/>
        </w:rPr>
        <w:t>, Bayer Australia Limited.</w:t>
      </w:r>
    </w:p>
    <w:p w:rsidR="00B60939" w:rsidRPr="0043678E" w:rsidRDefault="00B50DB8" w:rsidP="00067969">
      <w:pPr>
        <w:pStyle w:val="Heading1"/>
      </w:pPr>
      <w:bookmarkStart w:id="0" w:name="_Toc523405667"/>
      <w:r w:rsidRPr="0043678E">
        <w:t>Purpose of Application</w:t>
      </w:r>
      <w:bookmarkEnd w:id="0"/>
    </w:p>
    <w:p w:rsidR="002C2775" w:rsidRPr="008B1757" w:rsidRDefault="007A582C" w:rsidP="00687778">
      <w:pPr>
        <w:pStyle w:val="ListParagraph"/>
        <w:widowControl/>
        <w:numPr>
          <w:ilvl w:val="1"/>
          <w:numId w:val="3"/>
        </w:numPr>
      </w:pPr>
      <w:r w:rsidRPr="009A2395">
        <w:t xml:space="preserve">The </w:t>
      </w:r>
      <w:r>
        <w:t>re</w:t>
      </w:r>
      <w:r w:rsidRPr="009A2395">
        <w:t xml:space="preserve">submission requested a Section </w:t>
      </w:r>
      <w:r w:rsidR="000D14FB">
        <w:t>85</w:t>
      </w:r>
      <w:r w:rsidRPr="009A2395">
        <w:t xml:space="preserve">, </w:t>
      </w:r>
      <w:r>
        <w:t>A</w:t>
      </w:r>
      <w:r w:rsidRPr="009A2395">
        <w:t xml:space="preserve">uthority </w:t>
      </w:r>
      <w:r>
        <w:t>R</w:t>
      </w:r>
      <w:r w:rsidRPr="009A2395">
        <w:t xml:space="preserve">equired </w:t>
      </w:r>
      <w:r w:rsidR="000D14FB">
        <w:t xml:space="preserve">(STREAMLINED) </w:t>
      </w:r>
      <w:r w:rsidRPr="009A2395">
        <w:t xml:space="preserve">listing for regorafenib for treatment of </w:t>
      </w:r>
      <w:r>
        <w:t xml:space="preserve">patients with </w:t>
      </w:r>
      <w:r w:rsidRPr="009A2395">
        <w:t xml:space="preserve">unresectable </w:t>
      </w:r>
      <w:r>
        <w:t>hepatocellular carcinoma (</w:t>
      </w:r>
      <w:r w:rsidRPr="009A2395">
        <w:t>HCC</w:t>
      </w:r>
      <w:r>
        <w:t>)</w:t>
      </w:r>
      <w:r w:rsidRPr="009A2395">
        <w:t xml:space="preserve"> who progressed following treatment with sorafenib. </w:t>
      </w:r>
      <w:r w:rsidR="0040504B" w:rsidRPr="0040504B">
        <w:t xml:space="preserve">The first submission was </w:t>
      </w:r>
      <w:r w:rsidR="00AB08FF">
        <w:t xml:space="preserve">rejected by the PBAC at its </w:t>
      </w:r>
      <w:r w:rsidR="00B04BA8">
        <w:t>March</w:t>
      </w:r>
      <w:r w:rsidR="00AB08FF">
        <w:t xml:space="preserve"> 2</w:t>
      </w:r>
      <w:r w:rsidR="00B04BA8">
        <w:t>018</w:t>
      </w:r>
      <w:r w:rsidR="00AB08FF">
        <w:t xml:space="preserve"> meeting</w:t>
      </w:r>
      <w:r w:rsidR="0040504B" w:rsidRPr="0040504B">
        <w:t xml:space="preserve">. </w:t>
      </w:r>
      <w:r w:rsidR="0040504B">
        <w:rPr>
          <w:color w:val="3366FF"/>
        </w:rPr>
        <w:t xml:space="preserve"> </w:t>
      </w:r>
    </w:p>
    <w:p w:rsidR="00FA1D40" w:rsidRDefault="00FA1D40" w:rsidP="00687778">
      <w:pPr>
        <w:pStyle w:val="ListParagraph"/>
        <w:widowControl/>
        <w:numPr>
          <w:ilvl w:val="1"/>
          <w:numId w:val="3"/>
        </w:numPr>
        <w:spacing w:after="120"/>
      </w:pPr>
      <w:r>
        <w:t>The</w:t>
      </w:r>
      <w:r w:rsidR="00950607">
        <w:t xml:space="preserve"> resubmission</w:t>
      </w:r>
      <w:r>
        <w:t xml:space="preserve"> presented one head to head clinical trial (RESORCE) which formed the basis of a cost-effectiveness analysis against best supportive care (BSC).</w:t>
      </w:r>
    </w:p>
    <w:p w:rsidR="00FA1D40" w:rsidRPr="00045FCD" w:rsidRDefault="00FA1D40" w:rsidP="00687778">
      <w:pPr>
        <w:keepNext/>
        <w:keepLines/>
        <w:widowControl/>
        <w:rPr>
          <w:rStyle w:val="CommentReference"/>
          <w:rFonts w:ascii="Calibri" w:hAnsi="Calibri"/>
          <w:b w:val="0"/>
          <w:sz w:val="24"/>
          <w:szCs w:val="22"/>
        </w:rPr>
      </w:pPr>
      <w:r w:rsidRPr="00A518F3">
        <w:rPr>
          <w:rStyle w:val="CommentReference"/>
        </w:rPr>
        <w:t>Table 1:  Key components of the clinical issue addressed by the</w:t>
      </w:r>
      <w:r w:rsidR="00950607">
        <w:rPr>
          <w:rStyle w:val="CommentReference"/>
        </w:rPr>
        <w:t xml:space="preserve"> resubmission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FA1D40" w:rsidRPr="00A518F3" w:rsidTr="005D0578">
        <w:tc>
          <w:tcPr>
            <w:tcW w:w="1668" w:type="dxa"/>
            <w:vAlign w:val="center"/>
          </w:tcPr>
          <w:p w:rsidR="00FA1D40" w:rsidRPr="00A518F3" w:rsidRDefault="00FA1D40" w:rsidP="00687778">
            <w:pPr>
              <w:pStyle w:val="Tabletext"/>
              <w:keepNext/>
              <w:keepLines/>
              <w:rPr>
                <w:b/>
              </w:rPr>
            </w:pPr>
            <w:r w:rsidRPr="00A518F3">
              <w:rPr>
                <w:b/>
              </w:rPr>
              <w:t>Component</w:t>
            </w:r>
          </w:p>
        </w:tc>
        <w:tc>
          <w:tcPr>
            <w:tcW w:w="7488" w:type="dxa"/>
            <w:vAlign w:val="center"/>
          </w:tcPr>
          <w:p w:rsidR="00FA1D40" w:rsidRPr="00A518F3" w:rsidRDefault="00FA1D40" w:rsidP="00687778">
            <w:pPr>
              <w:pStyle w:val="Tabletext"/>
              <w:keepNext/>
              <w:keepLines/>
              <w:jc w:val="center"/>
              <w:rPr>
                <w:b/>
              </w:rPr>
            </w:pPr>
            <w:r w:rsidRPr="00A518F3">
              <w:rPr>
                <w:b/>
              </w:rPr>
              <w:t>Description</w:t>
            </w:r>
          </w:p>
        </w:tc>
      </w:tr>
      <w:tr w:rsidR="00FA1D40" w:rsidTr="005D0578">
        <w:tc>
          <w:tcPr>
            <w:tcW w:w="1668" w:type="dxa"/>
            <w:vAlign w:val="center"/>
          </w:tcPr>
          <w:p w:rsidR="00FA1D40" w:rsidRDefault="00FA1D40" w:rsidP="00687778">
            <w:pPr>
              <w:pStyle w:val="Tabletext"/>
              <w:keepNext/>
              <w:keepLines/>
            </w:pPr>
            <w:r>
              <w:t>Population</w:t>
            </w:r>
          </w:p>
        </w:tc>
        <w:tc>
          <w:tcPr>
            <w:tcW w:w="7488" w:type="dxa"/>
            <w:vAlign w:val="center"/>
          </w:tcPr>
          <w:p w:rsidR="00FA1D40" w:rsidRDefault="00FA1D40" w:rsidP="00687778">
            <w:pPr>
              <w:pStyle w:val="Tabletext"/>
              <w:keepNext/>
              <w:keepLines/>
            </w:pPr>
            <w:r w:rsidRPr="00124751">
              <w:t>Patients with advanced HCC who have progressed after treatment with sorafenib</w:t>
            </w:r>
            <w:r>
              <w:t xml:space="preserve">. </w:t>
            </w:r>
          </w:p>
        </w:tc>
      </w:tr>
      <w:tr w:rsidR="00FA1D40" w:rsidTr="005D0578">
        <w:tc>
          <w:tcPr>
            <w:tcW w:w="1668" w:type="dxa"/>
            <w:vAlign w:val="center"/>
          </w:tcPr>
          <w:p w:rsidR="00FA1D40" w:rsidRDefault="00FA1D40" w:rsidP="00687778">
            <w:pPr>
              <w:pStyle w:val="Tabletext"/>
              <w:keepNext/>
              <w:keepLines/>
            </w:pPr>
            <w:r>
              <w:t>Intervention</w:t>
            </w:r>
          </w:p>
        </w:tc>
        <w:tc>
          <w:tcPr>
            <w:tcW w:w="7488" w:type="dxa"/>
            <w:vAlign w:val="center"/>
          </w:tcPr>
          <w:p w:rsidR="00FA1D40" w:rsidRDefault="00FA1D40" w:rsidP="00687778">
            <w:pPr>
              <w:pStyle w:val="Tabletext"/>
              <w:keepNext/>
              <w:keepLines/>
            </w:pPr>
            <w:r w:rsidRPr="00286C00">
              <w:rPr>
                <w:szCs w:val="20"/>
              </w:rPr>
              <w:t xml:space="preserve">Regorafenib 40 mg oral tablet administered four times daily </w:t>
            </w:r>
            <w:r>
              <w:rPr>
                <w:szCs w:val="20"/>
              </w:rPr>
              <w:t xml:space="preserve">(total 160 mg) </w:t>
            </w:r>
            <w:r w:rsidRPr="00286C00">
              <w:rPr>
                <w:szCs w:val="20"/>
              </w:rPr>
              <w:t>at the same time each day for three weeks (21 days) followed by one week off therapy (7 days) to comprise a cycle of four weeks</w:t>
            </w:r>
            <w:r>
              <w:rPr>
                <w:szCs w:val="20"/>
              </w:rPr>
              <w:t>.</w:t>
            </w:r>
          </w:p>
        </w:tc>
      </w:tr>
      <w:tr w:rsidR="00FA1D40" w:rsidTr="005D0578">
        <w:tc>
          <w:tcPr>
            <w:tcW w:w="1668" w:type="dxa"/>
            <w:vAlign w:val="center"/>
          </w:tcPr>
          <w:p w:rsidR="00FA1D40" w:rsidRDefault="00FA1D40" w:rsidP="00687778">
            <w:pPr>
              <w:pStyle w:val="Tabletext"/>
              <w:keepNext/>
              <w:keepLines/>
            </w:pPr>
            <w:r>
              <w:t>Comparator</w:t>
            </w:r>
          </w:p>
        </w:tc>
        <w:tc>
          <w:tcPr>
            <w:tcW w:w="7488" w:type="dxa"/>
            <w:vAlign w:val="center"/>
          </w:tcPr>
          <w:p w:rsidR="00FA1D40" w:rsidRDefault="00FA1D40" w:rsidP="00687778">
            <w:pPr>
              <w:pStyle w:val="Tabletext"/>
              <w:keepNext/>
              <w:keepLines/>
            </w:pPr>
            <w:r w:rsidRPr="00124751">
              <w:t>Best supportive care (BSC)</w:t>
            </w:r>
            <w:r>
              <w:t>.</w:t>
            </w:r>
          </w:p>
        </w:tc>
      </w:tr>
      <w:tr w:rsidR="00FA1D40" w:rsidTr="005D0578">
        <w:tc>
          <w:tcPr>
            <w:tcW w:w="1668" w:type="dxa"/>
            <w:vAlign w:val="center"/>
          </w:tcPr>
          <w:p w:rsidR="00FA1D40" w:rsidRDefault="00FA1D40" w:rsidP="00687778">
            <w:pPr>
              <w:pStyle w:val="Tabletext"/>
              <w:keepNext/>
              <w:keepLines/>
            </w:pPr>
            <w:r>
              <w:t>Outcomes</w:t>
            </w:r>
          </w:p>
        </w:tc>
        <w:tc>
          <w:tcPr>
            <w:tcW w:w="7488" w:type="dxa"/>
            <w:vAlign w:val="center"/>
          </w:tcPr>
          <w:p w:rsidR="00FA1D40" w:rsidRDefault="00FA1D40" w:rsidP="00687778">
            <w:pPr>
              <w:pStyle w:val="Tabletext"/>
              <w:keepNext/>
              <w:keepLines/>
            </w:pPr>
            <w:r>
              <w:t>Primary: OS</w:t>
            </w:r>
          </w:p>
          <w:p w:rsidR="00FA1D40" w:rsidRDefault="00FA1D40" w:rsidP="00687778">
            <w:pPr>
              <w:pStyle w:val="Tabletext"/>
              <w:keepNext/>
              <w:keepLines/>
            </w:pPr>
            <w:r>
              <w:t>Secondary: PFS; TTP; ORR; disease control rate (CR + PR + SD); duration of response; duration of stable disease.</w:t>
            </w:r>
          </w:p>
          <w:p w:rsidR="00FA1D40" w:rsidRDefault="00FA1D40" w:rsidP="00687778">
            <w:pPr>
              <w:pStyle w:val="Tabletext"/>
              <w:keepNext/>
              <w:keepLines/>
            </w:pPr>
            <w:r>
              <w:t xml:space="preserve">Tertiary: </w:t>
            </w:r>
            <w:proofErr w:type="spellStart"/>
            <w:r>
              <w:t>HRQoL</w:t>
            </w:r>
            <w:proofErr w:type="spellEnd"/>
            <w:r>
              <w:t xml:space="preserve"> and utility values; pharmacokinetics (PK); biomarker evaluation.</w:t>
            </w:r>
          </w:p>
        </w:tc>
      </w:tr>
      <w:tr w:rsidR="00FA1D40" w:rsidTr="005D0578">
        <w:tc>
          <w:tcPr>
            <w:tcW w:w="1668" w:type="dxa"/>
            <w:vAlign w:val="center"/>
          </w:tcPr>
          <w:p w:rsidR="00FA1D40" w:rsidRDefault="00FA1D40" w:rsidP="00687778">
            <w:pPr>
              <w:pStyle w:val="Tabletext"/>
              <w:keepNext/>
              <w:keepLines/>
            </w:pPr>
            <w:r>
              <w:t>Clinical claim</w:t>
            </w:r>
          </w:p>
        </w:tc>
        <w:tc>
          <w:tcPr>
            <w:tcW w:w="7488" w:type="dxa"/>
            <w:vAlign w:val="center"/>
          </w:tcPr>
          <w:p w:rsidR="00FA1D40" w:rsidRPr="00744707" w:rsidRDefault="001E516A" w:rsidP="00687778">
            <w:pPr>
              <w:pStyle w:val="Tabletext"/>
              <w:keepNext/>
              <w:keepLines/>
            </w:pPr>
            <w:r w:rsidRPr="00744707">
              <w:t>Regorafenib is superior to BSC for the treatment of advanced (unresectable) HCC, providing a statistically significant and clinically significant increase in OS but is associated with a higher incidence of drug related adverse events which were well tolerated and with no clinically significant impact on QoL.</w:t>
            </w:r>
            <w:r w:rsidR="00AB08FF" w:rsidRPr="00744707">
              <w:t xml:space="preserve"> </w:t>
            </w:r>
            <w:r w:rsidRPr="00744707">
              <w:t>The clinical claim was supported by the data presented with respect to OS but may not be supported with respect to the impact of adverse events on QoL.</w:t>
            </w:r>
          </w:p>
        </w:tc>
      </w:tr>
    </w:tbl>
    <w:p w:rsidR="00FA1D40" w:rsidRDefault="00FA1D40" w:rsidP="00687778">
      <w:pPr>
        <w:pStyle w:val="TableFooter"/>
        <w:keepNext/>
        <w:keepLines/>
        <w:widowControl/>
      </w:pPr>
      <w:r>
        <w:t xml:space="preserve">Abbreviations: BSC= Best supportive care; CR= complete response; HCC= Hepatocellular carcinoma; </w:t>
      </w:r>
      <w:proofErr w:type="spellStart"/>
      <w:r w:rsidRPr="001729B9">
        <w:t>HRQoL</w:t>
      </w:r>
      <w:proofErr w:type="spellEnd"/>
      <w:r>
        <w:t>= health related quality of life;</w:t>
      </w:r>
      <w:r w:rsidRPr="001729B9">
        <w:t xml:space="preserve"> </w:t>
      </w:r>
      <w:r>
        <w:t xml:space="preserve">ORR= objective tumour response rate; OS= overall survival; PFS= progression free survival; PR= partial response; QoL= quality of life; </w:t>
      </w:r>
      <w:r w:rsidRPr="001729B9">
        <w:t>SD</w:t>
      </w:r>
      <w:r>
        <w:t xml:space="preserve">= </w:t>
      </w:r>
      <w:r w:rsidRPr="001729B9">
        <w:t>stable disease</w:t>
      </w:r>
      <w:r>
        <w:t>; TTP= time to progression</w:t>
      </w:r>
    </w:p>
    <w:p w:rsidR="00AA35DC" w:rsidRPr="00AA35DC" w:rsidRDefault="001B3B23" w:rsidP="00F65239">
      <w:pPr>
        <w:pStyle w:val="TableFooter"/>
        <w:keepNext/>
        <w:keepLines/>
        <w:widowControl/>
      </w:pPr>
      <w:r w:rsidRPr="00CA74FA">
        <w:t xml:space="preserve">Source: Table 1-1 p. 16 of the </w:t>
      </w:r>
      <w:r>
        <w:t>re</w:t>
      </w:r>
      <w:r w:rsidRPr="00CA74FA">
        <w:t xml:space="preserve">submission, Executive summary p. </w:t>
      </w:r>
      <w:proofErr w:type="gramStart"/>
      <w:r w:rsidRPr="00CA74FA">
        <w:t>vi</w:t>
      </w:r>
      <w:proofErr w:type="gramEnd"/>
      <w:r w:rsidRPr="00CA74FA">
        <w:t xml:space="preserve"> of the </w:t>
      </w:r>
      <w:r>
        <w:t>re</w:t>
      </w:r>
      <w:r w:rsidR="00AA35DC">
        <w:t>submission.</w:t>
      </w:r>
    </w:p>
    <w:p w:rsidR="00B60939" w:rsidRDefault="00B50DB8" w:rsidP="00067969">
      <w:pPr>
        <w:pStyle w:val="Heading1"/>
      </w:pPr>
      <w:bookmarkStart w:id="1" w:name="_Toc523405668"/>
      <w:r w:rsidRPr="00AA35DC">
        <w:t>Requested listing</w:t>
      </w:r>
      <w:bookmarkEnd w:id="1"/>
    </w:p>
    <w:p w:rsidR="00740841" w:rsidRPr="007C609A" w:rsidRDefault="00740841" w:rsidP="00687778">
      <w:pPr>
        <w:pStyle w:val="ListParagraph"/>
        <w:widowControl/>
        <w:numPr>
          <w:ilvl w:val="1"/>
          <w:numId w:val="3"/>
        </w:numPr>
      </w:pPr>
      <w:r>
        <w:t>The requested restriction is summarised below and is largely consistent with</w:t>
      </w:r>
      <w:r w:rsidRPr="006D26C7">
        <w:t xml:space="preserve"> the RESORCE trial</w:t>
      </w:r>
      <w:r>
        <w:t>.</w:t>
      </w:r>
    </w:p>
    <w:tbl>
      <w:tblPr>
        <w:tblW w:w="4977" w:type="pct"/>
        <w:tblInd w:w="28" w:type="dxa"/>
        <w:tblCellMar>
          <w:left w:w="28" w:type="dxa"/>
          <w:right w:w="28" w:type="dxa"/>
        </w:tblCellMar>
        <w:tblLook w:val="0000" w:firstRow="0" w:lastRow="0" w:firstColumn="0" w:lastColumn="0" w:noHBand="0" w:noVBand="0"/>
      </w:tblPr>
      <w:tblGrid>
        <w:gridCol w:w="2805"/>
        <w:gridCol w:w="1274"/>
        <w:gridCol w:w="989"/>
        <w:gridCol w:w="1758"/>
        <w:gridCol w:w="658"/>
        <w:gridCol w:w="1492"/>
      </w:tblGrid>
      <w:tr w:rsidR="00740841" w:rsidRPr="00744707" w:rsidTr="00AB08FF">
        <w:trPr>
          <w:cantSplit/>
          <w:trHeight w:val="463"/>
        </w:trPr>
        <w:tc>
          <w:tcPr>
            <w:tcW w:w="1563" w:type="pct"/>
            <w:tcBorders>
              <w:top w:val="single" w:sz="4" w:space="0" w:color="auto"/>
              <w:left w:val="single" w:sz="4" w:space="0" w:color="auto"/>
              <w:bottom w:val="single" w:sz="4" w:space="0" w:color="auto"/>
              <w:right w:val="single" w:sz="4" w:space="0" w:color="auto"/>
            </w:tcBorders>
            <w:vAlign w:val="center"/>
          </w:tcPr>
          <w:p w:rsidR="00740841" w:rsidRPr="00744707" w:rsidRDefault="00740841" w:rsidP="00687778">
            <w:pPr>
              <w:keepNext/>
              <w:widowControl/>
              <w:jc w:val="left"/>
              <w:rPr>
                <w:rFonts w:ascii="Arial Narrow" w:hAnsi="Arial Narrow"/>
                <w:b/>
                <w:sz w:val="20"/>
              </w:rPr>
            </w:pPr>
            <w:r w:rsidRPr="00744707">
              <w:rPr>
                <w:rFonts w:ascii="Arial Narrow" w:hAnsi="Arial Narrow"/>
                <w:b/>
                <w:sz w:val="20"/>
              </w:rPr>
              <w:lastRenderedPageBreak/>
              <w:t>Name, Restriction,</w:t>
            </w:r>
          </w:p>
          <w:p w:rsidR="00740841" w:rsidRPr="00744707" w:rsidRDefault="00740841" w:rsidP="00687778">
            <w:pPr>
              <w:keepNext/>
              <w:widowControl/>
              <w:jc w:val="left"/>
              <w:rPr>
                <w:rFonts w:ascii="Arial Narrow" w:hAnsi="Arial Narrow"/>
                <w:b/>
                <w:sz w:val="20"/>
              </w:rPr>
            </w:pPr>
            <w:r w:rsidRPr="00744707">
              <w:rPr>
                <w:rFonts w:ascii="Arial Narrow" w:hAnsi="Arial Narrow"/>
                <w:b/>
                <w:sz w:val="20"/>
              </w:rPr>
              <w:t>Manner of administration and form</w:t>
            </w:r>
          </w:p>
        </w:tc>
        <w:tc>
          <w:tcPr>
            <w:tcW w:w="710" w:type="pct"/>
            <w:tcBorders>
              <w:top w:val="single" w:sz="4" w:space="0" w:color="auto"/>
              <w:left w:val="single" w:sz="4" w:space="0" w:color="auto"/>
              <w:bottom w:val="single" w:sz="4" w:space="0" w:color="auto"/>
              <w:right w:val="single" w:sz="4" w:space="0" w:color="auto"/>
            </w:tcBorders>
            <w:vAlign w:val="center"/>
          </w:tcPr>
          <w:p w:rsidR="00740841" w:rsidRPr="00744707" w:rsidRDefault="00740841" w:rsidP="00687778">
            <w:pPr>
              <w:keepNext/>
              <w:widowControl/>
              <w:jc w:val="center"/>
              <w:rPr>
                <w:rFonts w:ascii="Arial Narrow" w:hAnsi="Arial Narrow"/>
                <w:b/>
                <w:sz w:val="20"/>
              </w:rPr>
            </w:pPr>
            <w:r w:rsidRPr="00744707">
              <w:rPr>
                <w:rFonts w:ascii="Arial Narrow" w:hAnsi="Arial Narrow"/>
                <w:b/>
                <w:sz w:val="20"/>
              </w:rPr>
              <w:t>Max.</w:t>
            </w:r>
          </w:p>
          <w:p w:rsidR="00740841" w:rsidRPr="00744707" w:rsidRDefault="00740841" w:rsidP="00687778">
            <w:pPr>
              <w:keepNext/>
              <w:widowControl/>
              <w:jc w:val="center"/>
              <w:rPr>
                <w:rFonts w:ascii="Arial Narrow" w:hAnsi="Arial Narrow"/>
                <w:b/>
                <w:sz w:val="20"/>
              </w:rPr>
            </w:pPr>
            <w:r w:rsidRPr="00744707">
              <w:rPr>
                <w:rFonts w:ascii="Arial Narrow" w:hAnsi="Arial Narrow"/>
                <w:b/>
                <w:sz w:val="20"/>
              </w:rPr>
              <w:t>Qty (packs)</w:t>
            </w:r>
          </w:p>
        </w:tc>
        <w:tc>
          <w:tcPr>
            <w:tcW w:w="551" w:type="pct"/>
            <w:tcBorders>
              <w:top w:val="single" w:sz="4" w:space="0" w:color="auto"/>
              <w:left w:val="single" w:sz="4" w:space="0" w:color="auto"/>
              <w:bottom w:val="single" w:sz="4" w:space="0" w:color="auto"/>
              <w:right w:val="single" w:sz="4" w:space="0" w:color="auto"/>
            </w:tcBorders>
            <w:vAlign w:val="center"/>
          </w:tcPr>
          <w:p w:rsidR="00740841" w:rsidRPr="00744707" w:rsidRDefault="00740841" w:rsidP="00687778">
            <w:pPr>
              <w:keepNext/>
              <w:widowControl/>
              <w:jc w:val="center"/>
              <w:rPr>
                <w:rFonts w:ascii="Arial Narrow" w:hAnsi="Arial Narrow"/>
                <w:b/>
                <w:sz w:val="20"/>
              </w:rPr>
            </w:pPr>
            <w:r w:rsidRPr="00744707">
              <w:rPr>
                <w:rFonts w:ascii="Arial Narrow" w:hAnsi="Arial Narrow" w:cs="Times New Roman"/>
                <w:b/>
                <w:sz w:val="20"/>
              </w:rPr>
              <w:t>№</w:t>
            </w:r>
            <w:r w:rsidRPr="00744707">
              <w:rPr>
                <w:rFonts w:ascii="Arial Narrow" w:hAnsi="Arial Narrow"/>
                <w:b/>
                <w:sz w:val="20"/>
              </w:rPr>
              <w:t>. of</w:t>
            </w:r>
          </w:p>
          <w:p w:rsidR="00740841" w:rsidRPr="00744707" w:rsidRDefault="00740841" w:rsidP="00687778">
            <w:pPr>
              <w:keepNext/>
              <w:widowControl/>
              <w:jc w:val="center"/>
              <w:rPr>
                <w:rFonts w:ascii="Arial Narrow" w:hAnsi="Arial Narrow"/>
                <w:b/>
                <w:sz w:val="20"/>
              </w:rPr>
            </w:pPr>
            <w:r w:rsidRPr="00744707">
              <w:rPr>
                <w:rFonts w:ascii="Arial Narrow" w:hAnsi="Arial Narrow"/>
                <w:b/>
                <w:sz w:val="20"/>
              </w:rPr>
              <w:t>Rpts</w:t>
            </w:r>
          </w:p>
        </w:tc>
        <w:tc>
          <w:tcPr>
            <w:tcW w:w="979" w:type="pct"/>
            <w:tcBorders>
              <w:top w:val="single" w:sz="4" w:space="0" w:color="auto"/>
              <w:left w:val="single" w:sz="4" w:space="0" w:color="auto"/>
              <w:bottom w:val="single" w:sz="4" w:space="0" w:color="auto"/>
              <w:right w:val="single" w:sz="4" w:space="0" w:color="auto"/>
            </w:tcBorders>
            <w:vAlign w:val="center"/>
          </w:tcPr>
          <w:p w:rsidR="00740841" w:rsidRPr="00744707" w:rsidRDefault="00740841" w:rsidP="00687778">
            <w:pPr>
              <w:keepNext/>
              <w:widowControl/>
              <w:jc w:val="center"/>
              <w:rPr>
                <w:rFonts w:ascii="Arial Narrow" w:hAnsi="Arial Narrow"/>
                <w:b/>
                <w:sz w:val="20"/>
              </w:rPr>
            </w:pPr>
            <w:r w:rsidRPr="00744707">
              <w:rPr>
                <w:rFonts w:ascii="Arial Narrow" w:hAnsi="Arial Narrow"/>
                <w:b/>
                <w:sz w:val="20"/>
              </w:rPr>
              <w:t>Dispensed Price for Max. Qty</w:t>
            </w:r>
          </w:p>
        </w:tc>
        <w:tc>
          <w:tcPr>
            <w:tcW w:w="1197" w:type="pct"/>
            <w:gridSpan w:val="2"/>
            <w:tcBorders>
              <w:top w:val="single" w:sz="4" w:space="0" w:color="auto"/>
              <w:left w:val="single" w:sz="4" w:space="0" w:color="auto"/>
              <w:bottom w:val="single" w:sz="4" w:space="0" w:color="auto"/>
              <w:right w:val="single" w:sz="4" w:space="0" w:color="auto"/>
            </w:tcBorders>
            <w:vAlign w:val="center"/>
          </w:tcPr>
          <w:p w:rsidR="00740841" w:rsidRPr="00744707" w:rsidRDefault="00740841" w:rsidP="00687778">
            <w:pPr>
              <w:keepNext/>
              <w:widowControl/>
              <w:jc w:val="center"/>
              <w:rPr>
                <w:rFonts w:ascii="Arial Narrow" w:hAnsi="Arial Narrow"/>
                <w:b/>
                <w:sz w:val="20"/>
                <w:lang w:val="fr-FR"/>
              </w:rPr>
            </w:pPr>
            <w:r w:rsidRPr="00744707">
              <w:rPr>
                <w:rFonts w:ascii="Arial Narrow" w:hAnsi="Arial Narrow"/>
                <w:b/>
                <w:sz w:val="20"/>
              </w:rPr>
              <w:t>Proprietary Name and Manufacturer</w:t>
            </w:r>
          </w:p>
        </w:tc>
      </w:tr>
      <w:tr w:rsidR="00740841" w:rsidRPr="00744707" w:rsidTr="00AB08FF">
        <w:trPr>
          <w:cantSplit/>
          <w:trHeight w:val="567"/>
        </w:trPr>
        <w:tc>
          <w:tcPr>
            <w:tcW w:w="1563" w:type="pct"/>
            <w:tcBorders>
              <w:top w:val="single" w:sz="4" w:space="0" w:color="auto"/>
              <w:left w:val="single" w:sz="4" w:space="0" w:color="auto"/>
              <w:bottom w:val="single" w:sz="4" w:space="0" w:color="auto"/>
              <w:right w:val="single" w:sz="4" w:space="0" w:color="auto"/>
            </w:tcBorders>
            <w:vAlign w:val="center"/>
          </w:tcPr>
          <w:p w:rsidR="00740841" w:rsidRPr="00744707" w:rsidRDefault="00740841" w:rsidP="00687778">
            <w:pPr>
              <w:keepNext/>
              <w:widowControl/>
              <w:jc w:val="left"/>
              <w:rPr>
                <w:rFonts w:ascii="Arial Narrow" w:hAnsi="Arial Narrow"/>
                <w:sz w:val="20"/>
              </w:rPr>
            </w:pPr>
            <w:r w:rsidRPr="00744707">
              <w:rPr>
                <w:rFonts w:ascii="Arial Narrow" w:hAnsi="Arial Narrow"/>
                <w:smallCaps/>
                <w:sz w:val="20"/>
              </w:rPr>
              <w:t>Regorafenib (Stivarga®) 40 mg oral tablet, 28</w:t>
            </w:r>
          </w:p>
        </w:tc>
        <w:tc>
          <w:tcPr>
            <w:tcW w:w="710" w:type="pct"/>
            <w:tcBorders>
              <w:top w:val="single" w:sz="4" w:space="0" w:color="auto"/>
              <w:left w:val="single" w:sz="4" w:space="0" w:color="auto"/>
              <w:bottom w:val="single" w:sz="4" w:space="0" w:color="auto"/>
              <w:right w:val="single" w:sz="4" w:space="0" w:color="auto"/>
            </w:tcBorders>
            <w:vAlign w:val="center"/>
          </w:tcPr>
          <w:p w:rsidR="00740841" w:rsidRPr="00744707" w:rsidRDefault="00740841" w:rsidP="00687778">
            <w:pPr>
              <w:keepNext/>
              <w:widowControl/>
              <w:jc w:val="center"/>
              <w:rPr>
                <w:rFonts w:ascii="Arial Narrow" w:hAnsi="Arial Narrow"/>
                <w:sz w:val="20"/>
              </w:rPr>
            </w:pPr>
            <w:r w:rsidRPr="00744707">
              <w:rPr>
                <w:rFonts w:ascii="Arial Narrow" w:hAnsi="Arial Narrow"/>
                <w:sz w:val="20"/>
              </w:rPr>
              <w:t>3</w:t>
            </w:r>
          </w:p>
        </w:tc>
        <w:tc>
          <w:tcPr>
            <w:tcW w:w="551" w:type="pct"/>
            <w:tcBorders>
              <w:top w:val="single" w:sz="4" w:space="0" w:color="auto"/>
              <w:left w:val="single" w:sz="4" w:space="0" w:color="auto"/>
              <w:bottom w:val="single" w:sz="4" w:space="0" w:color="auto"/>
              <w:right w:val="single" w:sz="4" w:space="0" w:color="auto"/>
            </w:tcBorders>
            <w:vAlign w:val="center"/>
          </w:tcPr>
          <w:p w:rsidR="00740841" w:rsidRPr="00744707" w:rsidRDefault="00740841" w:rsidP="00687778">
            <w:pPr>
              <w:keepNext/>
              <w:widowControl/>
              <w:jc w:val="center"/>
              <w:rPr>
                <w:rFonts w:ascii="Arial Narrow" w:hAnsi="Arial Narrow"/>
                <w:sz w:val="20"/>
              </w:rPr>
            </w:pPr>
            <w:r w:rsidRPr="00744707">
              <w:rPr>
                <w:rFonts w:ascii="Arial Narrow" w:hAnsi="Arial Narrow"/>
                <w:sz w:val="20"/>
              </w:rPr>
              <w:t>2</w:t>
            </w:r>
          </w:p>
        </w:tc>
        <w:tc>
          <w:tcPr>
            <w:tcW w:w="979" w:type="pct"/>
            <w:tcBorders>
              <w:top w:val="single" w:sz="4" w:space="0" w:color="auto"/>
              <w:left w:val="single" w:sz="4" w:space="0" w:color="auto"/>
              <w:bottom w:val="single" w:sz="4" w:space="0" w:color="auto"/>
              <w:right w:val="single" w:sz="4" w:space="0" w:color="auto"/>
            </w:tcBorders>
            <w:vAlign w:val="center"/>
          </w:tcPr>
          <w:p w:rsidR="00740841" w:rsidRPr="00744707" w:rsidRDefault="00740841" w:rsidP="00687778">
            <w:pPr>
              <w:keepNext/>
              <w:widowControl/>
              <w:jc w:val="center"/>
              <w:rPr>
                <w:rFonts w:ascii="Arial Narrow" w:hAnsi="Arial Narrow"/>
                <w:sz w:val="20"/>
              </w:rPr>
            </w:pPr>
            <w:r w:rsidRPr="00744707">
              <w:rPr>
                <w:rFonts w:ascii="Arial Narrow" w:hAnsi="Arial Narrow"/>
                <w:sz w:val="20"/>
              </w:rPr>
              <w:t>$</w:t>
            </w:r>
            <w:r w:rsidR="00D25498">
              <w:rPr>
                <w:rFonts w:ascii="Arial Narrow" w:hAnsi="Arial Narrow"/>
                <w:noProof/>
                <w:color w:val="000000"/>
                <w:sz w:val="20"/>
                <w:highlight w:val="black"/>
              </w:rPr>
              <w:t>'''''''''''''''''''''''</w:t>
            </w:r>
            <w:r w:rsidRPr="00744707">
              <w:rPr>
                <w:rFonts w:ascii="Arial Narrow" w:hAnsi="Arial Narrow"/>
                <w:sz w:val="20"/>
              </w:rPr>
              <w:t xml:space="preserve"> published</w:t>
            </w:r>
          </w:p>
          <w:p w:rsidR="00740841" w:rsidRPr="00744707" w:rsidRDefault="00740841" w:rsidP="00687778">
            <w:pPr>
              <w:keepNext/>
              <w:widowControl/>
              <w:jc w:val="center"/>
              <w:rPr>
                <w:rFonts w:ascii="Arial Narrow" w:hAnsi="Arial Narrow"/>
                <w:sz w:val="20"/>
              </w:rPr>
            </w:pPr>
            <w:r w:rsidRPr="00744707">
              <w:rPr>
                <w:rFonts w:ascii="Arial Narrow" w:hAnsi="Arial Narrow"/>
                <w:sz w:val="20"/>
              </w:rPr>
              <w:t>$</w:t>
            </w:r>
            <w:r w:rsidR="00D25498">
              <w:rPr>
                <w:rFonts w:ascii="Arial Narrow" w:hAnsi="Arial Narrow"/>
                <w:noProof/>
                <w:color w:val="000000"/>
                <w:sz w:val="20"/>
                <w:highlight w:val="black"/>
              </w:rPr>
              <w:t>'''''''''''''''''''''</w:t>
            </w:r>
            <w:r w:rsidR="00E23661" w:rsidRPr="00744707">
              <w:rPr>
                <w:rFonts w:ascii="Arial Narrow" w:hAnsi="Arial Narrow"/>
                <w:sz w:val="20"/>
              </w:rPr>
              <w:t xml:space="preserve"> </w:t>
            </w:r>
            <w:r w:rsidRPr="00744707">
              <w:rPr>
                <w:rFonts w:ascii="Arial Narrow" w:hAnsi="Arial Narrow"/>
                <w:sz w:val="20"/>
              </w:rPr>
              <w:t>effective</w:t>
            </w:r>
          </w:p>
        </w:tc>
        <w:tc>
          <w:tcPr>
            <w:tcW w:w="366" w:type="pct"/>
            <w:tcBorders>
              <w:top w:val="single" w:sz="4" w:space="0" w:color="auto"/>
              <w:left w:val="single" w:sz="4" w:space="0" w:color="auto"/>
              <w:bottom w:val="single" w:sz="4" w:space="0" w:color="auto"/>
              <w:right w:val="single" w:sz="4" w:space="0" w:color="auto"/>
            </w:tcBorders>
            <w:vAlign w:val="center"/>
          </w:tcPr>
          <w:p w:rsidR="00740841" w:rsidRPr="00744707" w:rsidRDefault="00740841" w:rsidP="00687778">
            <w:pPr>
              <w:keepNext/>
              <w:widowControl/>
              <w:jc w:val="center"/>
              <w:rPr>
                <w:rFonts w:ascii="Arial Narrow" w:hAnsi="Arial Narrow"/>
                <w:sz w:val="20"/>
              </w:rPr>
            </w:pPr>
            <w:r w:rsidRPr="00744707">
              <w:rPr>
                <w:rFonts w:ascii="Arial Narrow" w:hAnsi="Arial Narrow"/>
                <w:sz w:val="20"/>
              </w:rPr>
              <w:t>Stivarga</w:t>
            </w:r>
          </w:p>
        </w:tc>
        <w:tc>
          <w:tcPr>
            <w:tcW w:w="831" w:type="pct"/>
            <w:tcBorders>
              <w:top w:val="single" w:sz="4" w:space="0" w:color="auto"/>
              <w:left w:val="single" w:sz="4" w:space="0" w:color="auto"/>
              <w:bottom w:val="single" w:sz="4" w:space="0" w:color="auto"/>
              <w:right w:val="single" w:sz="4" w:space="0" w:color="auto"/>
            </w:tcBorders>
            <w:vAlign w:val="center"/>
          </w:tcPr>
          <w:p w:rsidR="00740841" w:rsidRPr="00744707" w:rsidRDefault="00740841" w:rsidP="00687778">
            <w:pPr>
              <w:keepNext/>
              <w:widowControl/>
              <w:jc w:val="center"/>
              <w:rPr>
                <w:rFonts w:ascii="Arial Narrow" w:hAnsi="Arial Narrow"/>
                <w:sz w:val="20"/>
              </w:rPr>
            </w:pPr>
            <w:r w:rsidRPr="00744707">
              <w:rPr>
                <w:rFonts w:ascii="Arial Narrow" w:hAnsi="Arial Narrow"/>
                <w:sz w:val="20"/>
              </w:rPr>
              <w:t>Bayer</w:t>
            </w:r>
          </w:p>
        </w:tc>
      </w:tr>
      <w:tr w:rsidR="00740841" w:rsidRPr="00744707" w:rsidTr="00AA35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3" w:type="pct"/>
            <w:tcBorders>
              <w:top w:val="single" w:sz="4" w:space="0" w:color="auto"/>
              <w:left w:val="single" w:sz="4" w:space="0" w:color="auto"/>
              <w:bottom w:val="single" w:sz="4" w:space="0" w:color="auto"/>
              <w:right w:val="single" w:sz="4" w:space="0" w:color="auto"/>
            </w:tcBorders>
            <w:hideMark/>
          </w:tcPr>
          <w:p w:rsidR="00740841" w:rsidRPr="00744707" w:rsidRDefault="00740841" w:rsidP="00687778">
            <w:pPr>
              <w:pStyle w:val="Tabletext"/>
              <w:keepNext/>
              <w:rPr>
                <w:lang w:eastAsia="en-AU"/>
              </w:rPr>
            </w:pPr>
            <w:r w:rsidRPr="00744707">
              <w:rPr>
                <w:lang w:eastAsia="en-AU"/>
              </w:rPr>
              <w:t>Category/Program:</w:t>
            </w:r>
          </w:p>
        </w:tc>
        <w:tc>
          <w:tcPr>
            <w:tcW w:w="3437" w:type="pct"/>
            <w:gridSpan w:val="5"/>
            <w:tcBorders>
              <w:top w:val="single" w:sz="4" w:space="0" w:color="auto"/>
              <w:left w:val="single" w:sz="4" w:space="0" w:color="auto"/>
              <w:bottom w:val="single" w:sz="4" w:space="0" w:color="auto"/>
              <w:right w:val="single" w:sz="4" w:space="0" w:color="auto"/>
            </w:tcBorders>
          </w:tcPr>
          <w:p w:rsidR="00740841" w:rsidRPr="00744707" w:rsidRDefault="00676716" w:rsidP="00687778">
            <w:pPr>
              <w:pStyle w:val="Tabletext"/>
              <w:keepNext/>
              <w:rPr>
                <w:lang w:eastAsia="en-AU"/>
              </w:rPr>
            </w:pPr>
            <w:r w:rsidRPr="00744707">
              <w:rPr>
                <w:lang w:eastAsia="en-AU"/>
              </w:rPr>
              <w:t>GENERAL</w:t>
            </w:r>
            <w:r w:rsidR="000D14FB" w:rsidRPr="00744707">
              <w:rPr>
                <w:lang w:eastAsia="en-AU"/>
              </w:rPr>
              <w:t xml:space="preserve"> </w:t>
            </w:r>
          </w:p>
        </w:tc>
      </w:tr>
      <w:tr w:rsidR="00740841" w:rsidRPr="00744707" w:rsidTr="00AA35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3" w:type="pct"/>
            <w:tcBorders>
              <w:top w:val="single" w:sz="4" w:space="0" w:color="auto"/>
              <w:left w:val="single" w:sz="4" w:space="0" w:color="auto"/>
              <w:bottom w:val="single" w:sz="4" w:space="0" w:color="auto"/>
              <w:right w:val="single" w:sz="4" w:space="0" w:color="auto"/>
            </w:tcBorders>
            <w:hideMark/>
          </w:tcPr>
          <w:p w:rsidR="00740841" w:rsidRPr="00744707" w:rsidRDefault="00740841" w:rsidP="00687778">
            <w:pPr>
              <w:pStyle w:val="Tabletext"/>
              <w:keepNext/>
              <w:rPr>
                <w:lang w:eastAsia="en-AU"/>
              </w:rPr>
            </w:pPr>
            <w:r w:rsidRPr="00744707">
              <w:rPr>
                <w:lang w:eastAsia="en-AU"/>
              </w:rPr>
              <w:t>PBS indication:</w:t>
            </w:r>
          </w:p>
        </w:tc>
        <w:tc>
          <w:tcPr>
            <w:tcW w:w="3437" w:type="pct"/>
            <w:gridSpan w:val="5"/>
            <w:tcBorders>
              <w:top w:val="single" w:sz="4" w:space="0" w:color="auto"/>
              <w:left w:val="single" w:sz="4" w:space="0" w:color="auto"/>
              <w:bottom w:val="single" w:sz="4" w:space="0" w:color="auto"/>
              <w:right w:val="single" w:sz="4" w:space="0" w:color="auto"/>
            </w:tcBorders>
          </w:tcPr>
          <w:p w:rsidR="00740841" w:rsidRPr="00744707" w:rsidRDefault="00676716" w:rsidP="00687778">
            <w:pPr>
              <w:pStyle w:val="Tabletext"/>
              <w:keepNext/>
              <w:rPr>
                <w:lang w:eastAsia="en-AU"/>
              </w:rPr>
            </w:pPr>
            <w:r w:rsidRPr="00744707">
              <w:rPr>
                <w:lang w:eastAsia="en-AU"/>
              </w:rPr>
              <w:t>For the treatment of patients with hepatocellular carcinoma (HCC) who have progressed on sorafenib treatment</w:t>
            </w:r>
          </w:p>
        </w:tc>
      </w:tr>
      <w:tr w:rsidR="00740841" w:rsidRPr="00744707" w:rsidTr="00AA35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3" w:type="pct"/>
            <w:tcBorders>
              <w:top w:val="single" w:sz="4" w:space="0" w:color="auto"/>
              <w:left w:val="single" w:sz="4" w:space="0" w:color="auto"/>
              <w:bottom w:val="single" w:sz="4" w:space="0" w:color="auto"/>
              <w:right w:val="single" w:sz="4" w:space="0" w:color="auto"/>
            </w:tcBorders>
            <w:hideMark/>
          </w:tcPr>
          <w:p w:rsidR="00740841" w:rsidRPr="00744707" w:rsidRDefault="00740841" w:rsidP="00687778">
            <w:pPr>
              <w:pStyle w:val="Tabletext"/>
              <w:keepNext/>
              <w:rPr>
                <w:lang w:eastAsia="en-AU"/>
              </w:rPr>
            </w:pPr>
            <w:r w:rsidRPr="00744707">
              <w:rPr>
                <w:lang w:eastAsia="en-AU"/>
              </w:rPr>
              <w:t>Treatment phase:</w:t>
            </w:r>
          </w:p>
        </w:tc>
        <w:tc>
          <w:tcPr>
            <w:tcW w:w="3437" w:type="pct"/>
            <w:gridSpan w:val="5"/>
            <w:tcBorders>
              <w:top w:val="single" w:sz="4" w:space="0" w:color="auto"/>
              <w:left w:val="single" w:sz="4" w:space="0" w:color="auto"/>
              <w:bottom w:val="single" w:sz="4" w:space="0" w:color="auto"/>
              <w:right w:val="single" w:sz="4" w:space="0" w:color="auto"/>
            </w:tcBorders>
          </w:tcPr>
          <w:p w:rsidR="00740841" w:rsidRPr="00744707" w:rsidRDefault="00740841" w:rsidP="00687778">
            <w:pPr>
              <w:pStyle w:val="Tabletext"/>
              <w:keepNext/>
              <w:rPr>
                <w:lang w:eastAsia="en-AU"/>
              </w:rPr>
            </w:pPr>
            <w:r w:rsidRPr="00744707">
              <w:rPr>
                <w:lang w:eastAsia="en-AU"/>
              </w:rPr>
              <w:t>Initial and continuing</w:t>
            </w:r>
          </w:p>
        </w:tc>
      </w:tr>
      <w:tr w:rsidR="00740841" w:rsidRPr="00744707" w:rsidTr="00AA35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3" w:type="pct"/>
            <w:tcBorders>
              <w:top w:val="single" w:sz="4" w:space="0" w:color="auto"/>
              <w:left w:val="single" w:sz="4" w:space="0" w:color="auto"/>
              <w:bottom w:val="single" w:sz="4" w:space="0" w:color="auto"/>
              <w:right w:val="single" w:sz="4" w:space="0" w:color="auto"/>
            </w:tcBorders>
            <w:hideMark/>
          </w:tcPr>
          <w:p w:rsidR="00740841" w:rsidRPr="00744707" w:rsidRDefault="00740841" w:rsidP="00687778">
            <w:pPr>
              <w:pStyle w:val="Tabletext"/>
              <w:keepNext/>
              <w:rPr>
                <w:lang w:eastAsia="en-AU"/>
              </w:rPr>
            </w:pPr>
            <w:r w:rsidRPr="00744707">
              <w:rPr>
                <w:lang w:eastAsia="en-AU"/>
              </w:rPr>
              <w:t>Restriction:</w:t>
            </w:r>
          </w:p>
        </w:tc>
        <w:tc>
          <w:tcPr>
            <w:tcW w:w="3437" w:type="pct"/>
            <w:gridSpan w:val="5"/>
            <w:tcBorders>
              <w:top w:val="single" w:sz="4" w:space="0" w:color="auto"/>
              <w:left w:val="single" w:sz="4" w:space="0" w:color="auto"/>
              <w:bottom w:val="single" w:sz="4" w:space="0" w:color="auto"/>
              <w:right w:val="single" w:sz="4" w:space="0" w:color="auto"/>
            </w:tcBorders>
          </w:tcPr>
          <w:p w:rsidR="00740841" w:rsidRPr="00744707" w:rsidRDefault="00676716" w:rsidP="00687778">
            <w:pPr>
              <w:pStyle w:val="Tabletext"/>
              <w:keepNext/>
              <w:rPr>
                <w:lang w:eastAsia="en-AU"/>
              </w:rPr>
            </w:pPr>
            <w:r w:rsidRPr="00744707">
              <w:t>Authority Required (STREAMLINED)</w:t>
            </w:r>
          </w:p>
        </w:tc>
      </w:tr>
      <w:tr w:rsidR="00740841" w:rsidRPr="00744707" w:rsidTr="00AA35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3" w:type="pct"/>
            <w:tcBorders>
              <w:top w:val="single" w:sz="4" w:space="0" w:color="auto"/>
              <w:left w:val="single" w:sz="4" w:space="0" w:color="auto"/>
              <w:bottom w:val="single" w:sz="4" w:space="0" w:color="auto"/>
              <w:right w:val="single" w:sz="4" w:space="0" w:color="auto"/>
            </w:tcBorders>
            <w:hideMark/>
          </w:tcPr>
          <w:p w:rsidR="00740841" w:rsidRPr="00744707" w:rsidRDefault="00740841" w:rsidP="00687778">
            <w:pPr>
              <w:pStyle w:val="Tabletext"/>
              <w:keepNext/>
              <w:rPr>
                <w:lang w:eastAsia="en-AU"/>
              </w:rPr>
            </w:pPr>
            <w:r w:rsidRPr="00744707">
              <w:rPr>
                <w:lang w:eastAsia="en-AU"/>
              </w:rPr>
              <w:t>Treatment criteria:</w:t>
            </w:r>
          </w:p>
        </w:tc>
        <w:tc>
          <w:tcPr>
            <w:tcW w:w="3437" w:type="pct"/>
            <w:gridSpan w:val="5"/>
            <w:tcBorders>
              <w:top w:val="single" w:sz="4" w:space="0" w:color="auto"/>
              <w:left w:val="single" w:sz="4" w:space="0" w:color="auto"/>
              <w:bottom w:val="single" w:sz="4" w:space="0" w:color="auto"/>
              <w:right w:val="single" w:sz="4" w:space="0" w:color="auto"/>
            </w:tcBorders>
          </w:tcPr>
          <w:p w:rsidR="00740841" w:rsidRPr="00744707" w:rsidRDefault="00676716" w:rsidP="00687778">
            <w:pPr>
              <w:pStyle w:val="Tabletext"/>
              <w:keepNext/>
              <w:rPr>
                <w:lang w:eastAsia="en-AU"/>
              </w:rPr>
            </w:pPr>
            <w:r w:rsidRPr="00744707">
              <w:rPr>
                <w:rFonts w:cs="Arial"/>
              </w:rPr>
              <w:t>The treatment must be the sole PBS-subsidised therapy for this condition</w:t>
            </w:r>
          </w:p>
        </w:tc>
      </w:tr>
      <w:tr w:rsidR="00740841" w:rsidRPr="00A30A33" w:rsidTr="00AA35D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563" w:type="pct"/>
            <w:tcBorders>
              <w:top w:val="single" w:sz="4" w:space="0" w:color="auto"/>
              <w:left w:val="single" w:sz="4" w:space="0" w:color="auto"/>
              <w:bottom w:val="single" w:sz="4" w:space="0" w:color="auto"/>
              <w:right w:val="single" w:sz="4" w:space="0" w:color="auto"/>
            </w:tcBorders>
            <w:hideMark/>
          </w:tcPr>
          <w:p w:rsidR="00740841" w:rsidRPr="00744707" w:rsidRDefault="00740841" w:rsidP="00687778">
            <w:pPr>
              <w:pStyle w:val="Tabletext"/>
              <w:keepNext/>
              <w:rPr>
                <w:lang w:eastAsia="en-AU"/>
              </w:rPr>
            </w:pPr>
            <w:r w:rsidRPr="00744707">
              <w:rPr>
                <w:lang w:eastAsia="en-AU"/>
              </w:rPr>
              <w:t>Clinical criteria:</w:t>
            </w:r>
          </w:p>
        </w:tc>
        <w:tc>
          <w:tcPr>
            <w:tcW w:w="3437" w:type="pct"/>
            <w:gridSpan w:val="5"/>
            <w:tcBorders>
              <w:top w:val="single" w:sz="4" w:space="0" w:color="auto"/>
              <w:left w:val="single" w:sz="4" w:space="0" w:color="auto"/>
              <w:bottom w:val="single" w:sz="4" w:space="0" w:color="auto"/>
              <w:right w:val="single" w:sz="4" w:space="0" w:color="auto"/>
            </w:tcBorders>
          </w:tcPr>
          <w:p w:rsidR="00740841" w:rsidRPr="00744707" w:rsidRDefault="001C6A53" w:rsidP="00687778">
            <w:pPr>
              <w:pStyle w:val="Tabletext"/>
              <w:keepNext/>
              <w:rPr>
                <w:rFonts w:cs="Arial"/>
              </w:rPr>
            </w:pPr>
            <w:r w:rsidRPr="00744707">
              <w:rPr>
                <w:rFonts w:cs="Arial"/>
                <w:u w:val="single"/>
              </w:rPr>
              <w:t>Initial:</w:t>
            </w:r>
            <w:r w:rsidRPr="00744707">
              <w:rPr>
                <w:rFonts w:cs="Arial"/>
              </w:rPr>
              <w:t xml:space="preserve"> </w:t>
            </w:r>
            <w:r w:rsidR="00740841" w:rsidRPr="00744707">
              <w:rPr>
                <w:rFonts w:cs="Arial"/>
              </w:rPr>
              <w:t>Patient must have a WHO PS of 1 or less, must have Child Pugh class A, must have received prior treatment with sorafenib for a minimum of 20 days at a minimum dose of 400 mg QD and patient must have progressed on sorafenib treatment</w:t>
            </w:r>
          </w:p>
          <w:p w:rsidR="001C6A53" w:rsidRPr="00744707" w:rsidRDefault="001C6A53" w:rsidP="00687778">
            <w:pPr>
              <w:pStyle w:val="Tabletext"/>
              <w:keepNext/>
              <w:rPr>
                <w:rFonts w:eastAsia="Calibri" w:cs="Arial"/>
              </w:rPr>
            </w:pPr>
            <w:r w:rsidRPr="00744707">
              <w:rPr>
                <w:rFonts w:eastAsia="Calibri" w:cs="Arial"/>
                <w:u w:val="single"/>
              </w:rPr>
              <w:t xml:space="preserve">Continuation: </w:t>
            </w:r>
            <w:r w:rsidRPr="00744707">
              <w:rPr>
                <w:rFonts w:eastAsia="Calibri" w:cs="Arial"/>
              </w:rPr>
              <w:t>The patient must have previously been treated with PBS-subsided regorafenib AND The patient must only be treated until disease progression OR until no further clinical benefit is observed.</w:t>
            </w:r>
          </w:p>
          <w:p w:rsidR="001C6A53" w:rsidRPr="00744707" w:rsidRDefault="001C6A53" w:rsidP="00687778">
            <w:pPr>
              <w:pStyle w:val="Tabletext"/>
              <w:keepNext/>
              <w:rPr>
                <w:rFonts w:eastAsia="Calibri" w:cs="Arial"/>
              </w:rPr>
            </w:pPr>
            <w:r w:rsidRPr="00744707">
              <w:rPr>
                <w:rFonts w:eastAsia="Calibri" w:cs="Arial"/>
              </w:rPr>
              <w:t>Clinical benefit defined as:</w:t>
            </w:r>
          </w:p>
          <w:p w:rsidR="001C6A53" w:rsidRPr="00744707" w:rsidRDefault="001C6A53" w:rsidP="00687778">
            <w:pPr>
              <w:pStyle w:val="Tabletext"/>
              <w:keepNext/>
              <w:rPr>
                <w:rFonts w:eastAsia="Calibri" w:cs="Arial"/>
              </w:rPr>
            </w:pPr>
            <w:r w:rsidRPr="00744707">
              <w:rPr>
                <w:rFonts w:eastAsia="Calibri" w:cs="Arial"/>
              </w:rPr>
              <w:t>-</w:t>
            </w:r>
            <w:r w:rsidRPr="00744707">
              <w:rPr>
                <w:rFonts w:eastAsia="Calibri" w:cs="Arial"/>
              </w:rPr>
              <w:tab/>
              <w:t xml:space="preserve">the absence of deterioration of ECOG status (e.g. ECOG should not deteriorate from baseline status: 0 to 2 or higher, from 1 to 3 or higher) </w:t>
            </w:r>
          </w:p>
          <w:p w:rsidR="001C6A53" w:rsidRPr="00A30A33" w:rsidRDefault="001C6A53" w:rsidP="00687778">
            <w:pPr>
              <w:pStyle w:val="Tabletext"/>
              <w:keepNext/>
              <w:rPr>
                <w:lang w:eastAsia="en-AU"/>
              </w:rPr>
            </w:pPr>
            <w:r w:rsidRPr="00744707">
              <w:rPr>
                <w:rFonts w:eastAsia="Calibri" w:cs="Arial"/>
              </w:rPr>
              <w:t>-</w:t>
            </w:r>
            <w:r w:rsidRPr="00744707">
              <w:rPr>
                <w:rFonts w:eastAsia="Calibri" w:cs="Arial"/>
              </w:rPr>
              <w:tab/>
            </w:r>
            <w:proofErr w:type="gramStart"/>
            <w:r w:rsidRPr="00744707">
              <w:rPr>
                <w:rFonts w:eastAsia="Calibri" w:cs="Arial"/>
              </w:rPr>
              <w:t>and/or</w:t>
            </w:r>
            <w:proofErr w:type="gramEnd"/>
            <w:r w:rsidRPr="00744707">
              <w:rPr>
                <w:rFonts w:eastAsia="Calibri" w:cs="Arial"/>
              </w:rPr>
              <w:t xml:space="preserve"> absence of deterioration of liver function (jaundice, uncontrolled ascites, encephalopathy).</w:t>
            </w:r>
          </w:p>
        </w:tc>
      </w:tr>
    </w:tbl>
    <w:p w:rsidR="00740841" w:rsidRDefault="00740841" w:rsidP="00687778">
      <w:pPr>
        <w:pStyle w:val="TableFooter"/>
        <w:widowControl/>
      </w:pPr>
      <w:r w:rsidRPr="006D26C7">
        <w:t>Abbreviations</w:t>
      </w:r>
      <w:r>
        <w:t xml:space="preserve">: HCC= hepatocellular carcinoma; Max= maximum; PS= performance status; QD= once daily; Qty= quantity; </w:t>
      </w:r>
      <w:r w:rsidR="003C02E3">
        <w:t xml:space="preserve">Rpts= repeats; </w:t>
      </w:r>
      <w:r>
        <w:t>WHO= World Health Organization</w:t>
      </w:r>
    </w:p>
    <w:p w:rsidR="00591957" w:rsidRPr="00AA35DC" w:rsidRDefault="00591957" w:rsidP="00687778">
      <w:pPr>
        <w:widowControl/>
        <w:rPr>
          <w:sz w:val="18"/>
          <w:szCs w:val="18"/>
        </w:rPr>
      </w:pPr>
    </w:p>
    <w:p w:rsidR="001C6A53" w:rsidRPr="00744707" w:rsidRDefault="001C6A53" w:rsidP="00687778">
      <w:pPr>
        <w:pStyle w:val="ListParagraph"/>
        <w:widowControl/>
        <w:numPr>
          <w:ilvl w:val="1"/>
          <w:numId w:val="3"/>
        </w:numPr>
      </w:pPr>
      <w:r w:rsidRPr="00744707">
        <w:t>The</w:t>
      </w:r>
      <w:r w:rsidR="00950607" w:rsidRPr="00744707">
        <w:t xml:space="preserve"> resubmission</w:t>
      </w:r>
      <w:r w:rsidRPr="00744707">
        <w:t xml:space="preserve"> proposed a special pricing arrangement (SPA)</w:t>
      </w:r>
      <w:r w:rsidR="00314F79" w:rsidRPr="00744707">
        <w:t xml:space="preserve">, with price </w:t>
      </w:r>
      <w:r w:rsidR="00D25498">
        <w:rPr>
          <w:noProof/>
          <w:color w:val="000000"/>
          <w:highlight w:val="black"/>
        </w:rPr>
        <w:t>''''''</w:t>
      </w:r>
      <w:r w:rsidR="001A33AC">
        <w:t xml:space="preserve">% lower </w:t>
      </w:r>
      <w:r w:rsidR="00314F79" w:rsidRPr="00744707">
        <w:t>than had been proposed in the March 2018 submission</w:t>
      </w:r>
      <w:r w:rsidR="00E83391">
        <w:t xml:space="preserve"> </w:t>
      </w:r>
      <w:r w:rsidR="00E83391" w:rsidRPr="002C3B8A">
        <w:t>(</w:t>
      </w:r>
      <w:r w:rsidR="00E83391">
        <w:t xml:space="preserve">DPMQ </w:t>
      </w:r>
      <w:r w:rsidR="00E83391" w:rsidRPr="002C3B8A">
        <w:t>$</w:t>
      </w:r>
      <w:r w:rsidR="00D25498">
        <w:rPr>
          <w:noProof/>
          <w:color w:val="000000"/>
          <w:highlight w:val="black"/>
        </w:rPr>
        <w:t>''''''''''''''''</w:t>
      </w:r>
      <w:r w:rsidR="00E83391" w:rsidRPr="002C3B8A">
        <w:t>)</w:t>
      </w:r>
      <w:r w:rsidRPr="00744707">
        <w:t xml:space="preserve">. </w:t>
      </w:r>
    </w:p>
    <w:p w:rsidR="00B339A9" w:rsidRPr="00744707" w:rsidRDefault="00B339A9" w:rsidP="00687778">
      <w:pPr>
        <w:pStyle w:val="ListParagraph"/>
        <w:widowControl/>
        <w:numPr>
          <w:ilvl w:val="1"/>
          <w:numId w:val="3"/>
        </w:numPr>
      </w:pPr>
      <w:r w:rsidRPr="00744707">
        <w:t>The restriction proposed in the</w:t>
      </w:r>
      <w:r w:rsidR="00950607" w:rsidRPr="00744707">
        <w:t xml:space="preserve"> resubmission</w:t>
      </w:r>
      <w:r w:rsidRPr="00744707">
        <w:t xml:space="preserve"> may not reflect the eligible population in Australia and may represent differences in the circumstances of use due to: </w:t>
      </w:r>
    </w:p>
    <w:p w:rsidR="00D43B14" w:rsidRPr="00744707" w:rsidRDefault="00E57466" w:rsidP="00687778">
      <w:pPr>
        <w:pStyle w:val="ListParagraph"/>
        <w:widowControl/>
        <w:numPr>
          <w:ilvl w:val="0"/>
          <w:numId w:val="35"/>
        </w:numPr>
      </w:pPr>
      <w:r w:rsidRPr="00744707">
        <w:t xml:space="preserve">Differences in the severity of Barcelona Clinic Liver Cancer between </w:t>
      </w:r>
      <w:r w:rsidR="00AE22DC" w:rsidRPr="00744707">
        <w:t xml:space="preserve">the </w:t>
      </w:r>
      <w:r w:rsidRPr="00744707">
        <w:t>proposed restriction (stage C only) and the RESORCE trial study entry (stage A, B and C)</w:t>
      </w:r>
      <w:r w:rsidR="00BF0F8B" w:rsidRPr="00744707">
        <w:t>;</w:t>
      </w:r>
    </w:p>
    <w:p w:rsidR="00B339A9" w:rsidRPr="00D31E2F" w:rsidRDefault="00B339A9" w:rsidP="00687778">
      <w:pPr>
        <w:pStyle w:val="ListParagraph"/>
        <w:widowControl/>
        <w:numPr>
          <w:ilvl w:val="0"/>
          <w:numId w:val="35"/>
        </w:numPr>
      </w:pPr>
      <w:r w:rsidRPr="00744707">
        <w:t>Differences in the proposed performance status (PS) criterion. The RESORCE trial enrolled patients with an ECOG ≤ 1</w:t>
      </w:r>
      <w:r w:rsidR="00BF0F8B" w:rsidRPr="00744707">
        <w:t>, the proposed restriction is WHO PS ≤ 1</w:t>
      </w:r>
      <w:r w:rsidRPr="00744707">
        <w:t xml:space="preserve"> while the current PBS listing for sorafenib is a WHO PS ≤ 2</w:t>
      </w:r>
      <w:r w:rsidR="00BF0F8B" w:rsidRPr="00744707">
        <w:t xml:space="preserve"> (ECOG has the same scoring levels as WHO PS). Therefore</w:t>
      </w:r>
      <w:r w:rsidR="00611C5D" w:rsidRPr="00744707">
        <w:t>,</w:t>
      </w:r>
      <w:r w:rsidR="00BF0F8B" w:rsidRPr="00744707">
        <w:t xml:space="preserve"> the proposed </w:t>
      </w:r>
      <w:r w:rsidR="00AE22DC" w:rsidRPr="00744707">
        <w:t xml:space="preserve">PBS </w:t>
      </w:r>
      <w:r w:rsidR="00503A7E" w:rsidRPr="00744707">
        <w:t xml:space="preserve">patient </w:t>
      </w:r>
      <w:r w:rsidR="00BF0F8B" w:rsidRPr="00744707">
        <w:t xml:space="preserve">population is limited to patients </w:t>
      </w:r>
      <w:r w:rsidR="00AE22DC" w:rsidRPr="00744707">
        <w:t>healthier than those eligible for sorafenib</w:t>
      </w:r>
      <w:r w:rsidR="00503A7E" w:rsidRPr="00D31E2F">
        <w:t xml:space="preserve">. The ESC noted that patients progressing on sorafenib with a WHO PS of 2 would not be eligible for treatment with regorafenib, thus limiting treatment to </w:t>
      </w:r>
      <w:r w:rsidR="005F693F" w:rsidRPr="00D31E2F">
        <w:t>a</w:t>
      </w:r>
      <w:r w:rsidR="00503A7E" w:rsidRPr="00D31E2F">
        <w:t xml:space="preserve"> healthier subset of the sorafenib population.</w:t>
      </w:r>
    </w:p>
    <w:p w:rsidR="00D636E9" w:rsidRPr="00D31E2F" w:rsidRDefault="00B339A9" w:rsidP="00687778">
      <w:pPr>
        <w:pStyle w:val="ListParagraph"/>
        <w:widowControl/>
        <w:numPr>
          <w:ilvl w:val="0"/>
          <w:numId w:val="35"/>
        </w:numPr>
      </w:pPr>
      <w:r w:rsidRPr="00744707">
        <w:t xml:space="preserve">The </w:t>
      </w:r>
      <w:r w:rsidR="003B0D71" w:rsidRPr="00744707">
        <w:t xml:space="preserve">proposed </w:t>
      </w:r>
      <w:r w:rsidRPr="00744707">
        <w:t xml:space="preserve">restriction stated patients should be treated only until </w:t>
      </w:r>
      <w:r w:rsidR="00676716" w:rsidRPr="00744707">
        <w:t xml:space="preserve">disease </w:t>
      </w:r>
      <w:r w:rsidRPr="00744707">
        <w:t>progression</w:t>
      </w:r>
      <w:r w:rsidR="00D636E9" w:rsidRPr="00744707">
        <w:t xml:space="preserve"> OR </w:t>
      </w:r>
      <w:r w:rsidR="00676716" w:rsidRPr="00744707">
        <w:t>until no further clinical benefit is observed</w:t>
      </w:r>
      <w:r w:rsidR="003B0D71" w:rsidRPr="00744707">
        <w:t>.</w:t>
      </w:r>
      <w:r w:rsidR="00D636E9" w:rsidRPr="00744707">
        <w:t xml:space="preserve"> </w:t>
      </w:r>
      <w:r w:rsidR="003B0D71" w:rsidRPr="00744707">
        <w:t>T</w:t>
      </w:r>
      <w:r w:rsidR="00D636E9" w:rsidRPr="00744707">
        <w:t>he PBAC had requested that the proposed PBS listing should not permit use in patient</w:t>
      </w:r>
      <w:r w:rsidR="00F65239">
        <w:t>s beyond disease progression (paragraph</w:t>
      </w:r>
      <w:r w:rsidR="00D636E9" w:rsidRPr="00744707">
        <w:t xml:space="preserve"> 7.3</w:t>
      </w:r>
      <w:r w:rsidR="00F65239">
        <w:t xml:space="preserve"> regorafenib</w:t>
      </w:r>
      <w:r w:rsidR="00D636E9" w:rsidRPr="00744707">
        <w:t xml:space="preserve"> PSD</w:t>
      </w:r>
      <w:r w:rsidR="00F65239">
        <w:t>, March 2018 PBAC meeting</w:t>
      </w:r>
      <w:r w:rsidR="00D636E9" w:rsidRPr="00744707">
        <w:t xml:space="preserve">). Including a criterion based on ‘no further clinical benefit’ may be difficult to administer in clinical practice. Although the resubmission did define ‘clinical benefit’, testing for changes in these performance factors (on an ongoing basis or </w:t>
      </w:r>
      <w:r w:rsidR="00D636E9" w:rsidRPr="00744707">
        <w:lastRenderedPageBreak/>
        <w:t>when deterioration is suspected) may not be practical for clinicians and patients to follow</w:t>
      </w:r>
      <w:r w:rsidR="00D636E9" w:rsidRPr="00D31E2F">
        <w:t>.</w:t>
      </w:r>
      <w:r w:rsidR="00937C35" w:rsidRPr="00D31E2F">
        <w:t xml:space="preserve"> The ESC considered that </w:t>
      </w:r>
      <w:r w:rsidR="00153686" w:rsidRPr="00D31E2F">
        <w:t>‘</w:t>
      </w:r>
      <w:r w:rsidR="00937C35" w:rsidRPr="00D31E2F">
        <w:t>clinical benefit</w:t>
      </w:r>
      <w:r w:rsidR="00153686" w:rsidRPr="00D31E2F">
        <w:t>’</w:t>
      </w:r>
      <w:r w:rsidR="00937C35" w:rsidRPr="00D31E2F">
        <w:t xml:space="preserve"> was not sufficiently defined in the revised restriction</w:t>
      </w:r>
      <w:r w:rsidR="00C0463C" w:rsidRPr="00D31E2F">
        <w:t xml:space="preserve"> and noted that it </w:t>
      </w:r>
      <w:r w:rsidR="00333E74" w:rsidRPr="00D31E2F">
        <w:t>was</w:t>
      </w:r>
      <w:r w:rsidR="00C0463C" w:rsidRPr="00D31E2F">
        <w:t xml:space="preserve"> unclear whether the WHO PS and liver function status that form the basis of this criteria would be impacted by treatment rather than specifically reflecting the underlying disease</w:t>
      </w:r>
      <w:r w:rsidR="00937C35" w:rsidRPr="00D31E2F">
        <w:t>.</w:t>
      </w:r>
      <w:r w:rsidR="008A0760" w:rsidRPr="00D31E2F">
        <w:t xml:space="preserve"> The ESC considered that the listing should not allow treatment beyond progression. </w:t>
      </w:r>
      <w:r w:rsidR="00937C35" w:rsidRPr="00D31E2F">
        <w:t xml:space="preserve">The ESC considered that treatment beyond progression is unlikely to benefit patients </w:t>
      </w:r>
      <w:r w:rsidR="00333E74" w:rsidRPr="00D31E2F">
        <w:t xml:space="preserve">overall </w:t>
      </w:r>
      <w:r w:rsidR="00937C35" w:rsidRPr="00D31E2F">
        <w:t xml:space="preserve">and is unlikely to be cost-effective. </w:t>
      </w:r>
      <w:r w:rsidR="008A0760" w:rsidRPr="00D31E2F">
        <w:t>The ESC noted that clinical progression is not always equivalent to radiological progression. A criterion of “patient must only be treated until disease progression” would allow clinicians to determine when disease progression has occurred</w:t>
      </w:r>
      <w:r w:rsidR="00937C35" w:rsidRPr="00D31E2F">
        <w:t xml:space="preserve"> and treatment should be discontinued</w:t>
      </w:r>
      <w:r w:rsidR="008A0760" w:rsidRPr="00D31E2F">
        <w:t xml:space="preserve">. </w:t>
      </w:r>
      <w:r w:rsidR="00C47D29">
        <w:t>The pre-PBAC response indicated that the sponsor accepted the simpler continuation criteria recommended by ESC if the PBAC considers it is more appropriate.</w:t>
      </w:r>
    </w:p>
    <w:p w:rsidR="007B534B" w:rsidRPr="00D31E2F" w:rsidRDefault="007B534B" w:rsidP="00687778">
      <w:pPr>
        <w:pStyle w:val="ListParagraph"/>
        <w:widowControl/>
        <w:numPr>
          <w:ilvl w:val="0"/>
          <w:numId w:val="35"/>
        </w:numPr>
      </w:pPr>
      <w:r w:rsidRPr="00D31E2F">
        <w:t xml:space="preserve">The ESC noted that the </w:t>
      </w:r>
      <w:r w:rsidRPr="00D31E2F">
        <w:rPr>
          <w:rFonts w:eastAsia="Calibri" w:cstheme="minorHAnsi"/>
          <w:szCs w:val="20"/>
        </w:rPr>
        <w:t xml:space="preserve">resubmission </w:t>
      </w:r>
      <w:r w:rsidR="00333E74" w:rsidRPr="00D31E2F">
        <w:rPr>
          <w:rFonts w:eastAsia="Calibri" w:cstheme="minorHAnsi"/>
          <w:szCs w:val="20"/>
        </w:rPr>
        <w:t>stated</w:t>
      </w:r>
      <w:r w:rsidRPr="00D31E2F">
        <w:rPr>
          <w:rFonts w:eastAsia="Calibri" w:cstheme="minorHAnsi"/>
          <w:szCs w:val="20"/>
        </w:rPr>
        <w:t xml:space="preserve"> the sponsor was amenable to including a criterion related to patients’ HIV status: “Patients must not be HIV immunocompromised”. The ESC considered this </w:t>
      </w:r>
      <w:r w:rsidR="001B428A" w:rsidRPr="00D31E2F">
        <w:rPr>
          <w:rFonts w:eastAsia="Calibri" w:cstheme="minorHAnsi"/>
          <w:szCs w:val="20"/>
        </w:rPr>
        <w:t>may</w:t>
      </w:r>
      <w:r w:rsidRPr="00D31E2F">
        <w:rPr>
          <w:rFonts w:eastAsia="Calibri" w:cstheme="minorHAnsi"/>
          <w:szCs w:val="20"/>
        </w:rPr>
        <w:t xml:space="preserve"> be appropriate </w:t>
      </w:r>
      <w:r w:rsidR="00333E74" w:rsidRPr="00D31E2F">
        <w:rPr>
          <w:rFonts w:eastAsia="Calibri" w:cstheme="minorHAnsi"/>
          <w:szCs w:val="20"/>
        </w:rPr>
        <w:t xml:space="preserve">in order </w:t>
      </w:r>
      <w:r w:rsidRPr="00D31E2F">
        <w:rPr>
          <w:rFonts w:eastAsia="Calibri" w:cstheme="minorHAnsi"/>
          <w:szCs w:val="20"/>
        </w:rPr>
        <w:t>to align the patient population with the trial population.</w:t>
      </w:r>
    </w:p>
    <w:p w:rsidR="00D31E2F" w:rsidRPr="00761302" w:rsidRDefault="0019668A" w:rsidP="00761302">
      <w:pPr>
        <w:pStyle w:val="ListParagraph"/>
        <w:widowControl/>
        <w:numPr>
          <w:ilvl w:val="1"/>
          <w:numId w:val="3"/>
        </w:numPr>
      </w:pPr>
      <w:r w:rsidRPr="00D31E2F">
        <w:t xml:space="preserve">The PSCR confirmed that the sponsor intends to grandfather patients on existing therapy and </w:t>
      </w:r>
      <w:r w:rsidR="00BE1DDC" w:rsidRPr="00D31E2F">
        <w:t>these patients were</w:t>
      </w:r>
      <w:r w:rsidRPr="00D31E2F">
        <w:t xml:space="preserve"> accounted for in the</w:t>
      </w:r>
      <w:r w:rsidR="00BE1DDC" w:rsidRPr="00D31E2F">
        <w:t xml:space="preserve"> estimated</w:t>
      </w:r>
      <w:r w:rsidRPr="00D31E2F">
        <w:t xml:space="preserve"> financial impact. The sponsor requested that a grandfathering clause be included in the listing notes.</w:t>
      </w:r>
      <w:r w:rsidR="007B00A6" w:rsidRPr="00D31E2F">
        <w:t xml:space="preserve"> </w:t>
      </w:r>
      <w:r w:rsidR="007B00A6" w:rsidRPr="00761302">
        <w:t>Patients treated with regorafenib in an access program prior to PBS listing still need to qualify for PBS treatment under initial restriction criteria. It is unclear if patients who have previously been treated with lenvatinib in an access program would qualify under the initial restriction criteria or if a separate initial restriction is required.</w:t>
      </w:r>
      <w:r w:rsidR="00D31E2F" w:rsidRPr="00761302">
        <w:t xml:space="preserve"> </w:t>
      </w:r>
    </w:p>
    <w:p w:rsidR="00D31E2F" w:rsidRPr="00F90A91" w:rsidRDefault="00D31E2F" w:rsidP="00D31E2F">
      <w:pPr>
        <w:pStyle w:val="ListParagraph"/>
        <w:ind w:left="709"/>
        <w:rPr>
          <w:rFonts w:asciiTheme="minorHAnsi" w:hAnsiTheme="minorHAnsi"/>
          <w:i/>
        </w:rPr>
      </w:pPr>
      <w:r w:rsidRPr="00525B39">
        <w:rPr>
          <w:rFonts w:asciiTheme="minorHAnsi" w:hAnsiTheme="minorHAnsi"/>
          <w:i/>
        </w:rPr>
        <w:t xml:space="preserve">For more detail on </w:t>
      </w:r>
      <w:r>
        <w:rPr>
          <w:rFonts w:asciiTheme="minorHAnsi" w:hAnsiTheme="minorHAnsi"/>
          <w:i/>
        </w:rPr>
        <w:t xml:space="preserve">the </w:t>
      </w:r>
      <w:r w:rsidRPr="00525B39">
        <w:rPr>
          <w:rFonts w:asciiTheme="minorHAnsi" w:hAnsiTheme="minorHAnsi"/>
          <w:i/>
        </w:rPr>
        <w:t>PBAC’s view, see section 7 PBAC outcome.</w:t>
      </w:r>
    </w:p>
    <w:p w:rsidR="00B50DB8" w:rsidRPr="00407F2D" w:rsidRDefault="00B50DB8" w:rsidP="00067969">
      <w:pPr>
        <w:pStyle w:val="Heading1"/>
      </w:pPr>
      <w:bookmarkStart w:id="2" w:name="_Toc523405669"/>
      <w:r w:rsidRPr="00407F2D">
        <w:t>Background</w:t>
      </w:r>
      <w:bookmarkEnd w:id="2"/>
    </w:p>
    <w:p w:rsidR="00591957" w:rsidRPr="00882085" w:rsidRDefault="00591957" w:rsidP="00067969">
      <w:pPr>
        <w:pStyle w:val="Heading2"/>
      </w:pPr>
      <w:r w:rsidRPr="00687778">
        <w:t>Registration status</w:t>
      </w:r>
    </w:p>
    <w:p w:rsidR="00B60939" w:rsidRPr="00744707" w:rsidRDefault="00FB12E5" w:rsidP="00687778">
      <w:pPr>
        <w:pStyle w:val="ListParagraph"/>
        <w:keepNext/>
        <w:keepLines/>
        <w:widowControl/>
        <w:numPr>
          <w:ilvl w:val="1"/>
          <w:numId w:val="3"/>
        </w:numPr>
      </w:pPr>
      <w:r w:rsidRPr="00744707">
        <w:t>Regorafenib was TGA approved for advanced HCC on 21 December 2017.</w:t>
      </w:r>
      <w:r w:rsidR="00B60939" w:rsidRPr="00744707">
        <w:t xml:space="preserve"> </w:t>
      </w:r>
    </w:p>
    <w:p w:rsidR="00B033E5" w:rsidRPr="00744707" w:rsidRDefault="00B033E5" w:rsidP="00067969">
      <w:pPr>
        <w:pStyle w:val="Heading2"/>
      </w:pPr>
      <w:r w:rsidRPr="00687778">
        <w:t>Previous PBAC consideration</w:t>
      </w:r>
    </w:p>
    <w:p w:rsidR="002C2775" w:rsidRPr="00744707" w:rsidRDefault="003B0D71" w:rsidP="00687778">
      <w:pPr>
        <w:pStyle w:val="ListParagraph"/>
        <w:widowControl/>
        <w:numPr>
          <w:ilvl w:val="1"/>
          <w:numId w:val="3"/>
        </w:numPr>
      </w:pPr>
      <w:r w:rsidRPr="00744707">
        <w:t>A summary of the matters of concern raised with respect to the March 2018 submission, and how they have been addressed in the November 2018 resubmission is provided in Table 2.</w:t>
      </w:r>
    </w:p>
    <w:p w:rsidR="00B60939" w:rsidRPr="00744707" w:rsidRDefault="003517F9" w:rsidP="00687778">
      <w:pPr>
        <w:keepNext/>
        <w:widowControl/>
        <w:rPr>
          <w:rStyle w:val="CommentReference"/>
        </w:rPr>
      </w:pPr>
      <w:r w:rsidRPr="00744707">
        <w:rPr>
          <w:rStyle w:val="CommentReference"/>
        </w:rPr>
        <w:t xml:space="preserve">Table </w:t>
      </w:r>
      <w:r w:rsidR="00304DC0" w:rsidRPr="00744707">
        <w:rPr>
          <w:rStyle w:val="CommentReference"/>
        </w:rPr>
        <w:t>2</w:t>
      </w:r>
      <w:r w:rsidR="00203181" w:rsidRPr="00744707">
        <w:rPr>
          <w:rStyle w:val="CommentReference"/>
        </w:rPr>
        <w:t>: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8"/>
        <w:gridCol w:w="4009"/>
        <w:gridCol w:w="3380"/>
      </w:tblGrid>
      <w:tr w:rsidR="004E6FA4" w:rsidRPr="00744707" w:rsidTr="00251777">
        <w:trPr>
          <w:tblHeader/>
        </w:trPr>
        <w:tc>
          <w:tcPr>
            <w:tcW w:w="902" w:type="pct"/>
            <w:shd w:val="clear" w:color="auto" w:fill="auto"/>
            <w:vAlign w:val="center"/>
          </w:tcPr>
          <w:p w:rsidR="00203181" w:rsidRPr="00744707" w:rsidRDefault="00203181" w:rsidP="00687778">
            <w:pPr>
              <w:pStyle w:val="Tabletext"/>
              <w:keepNext/>
              <w:rPr>
                <w:b/>
              </w:rPr>
            </w:pPr>
            <w:r w:rsidRPr="00744707">
              <w:rPr>
                <w:b/>
              </w:rPr>
              <w:t>Component</w:t>
            </w:r>
          </w:p>
        </w:tc>
        <w:tc>
          <w:tcPr>
            <w:tcW w:w="2223" w:type="pct"/>
            <w:shd w:val="clear" w:color="auto" w:fill="auto"/>
          </w:tcPr>
          <w:p w:rsidR="00203181" w:rsidRPr="00744707" w:rsidRDefault="00203181" w:rsidP="00687778">
            <w:pPr>
              <w:pStyle w:val="Tabletext"/>
              <w:keepNext/>
              <w:rPr>
                <w:b/>
              </w:rPr>
            </w:pPr>
            <w:r w:rsidRPr="00744707">
              <w:rPr>
                <w:b/>
              </w:rPr>
              <w:t>Matter of concern</w:t>
            </w:r>
          </w:p>
        </w:tc>
        <w:tc>
          <w:tcPr>
            <w:tcW w:w="1874" w:type="pct"/>
            <w:shd w:val="clear" w:color="auto" w:fill="auto"/>
          </w:tcPr>
          <w:p w:rsidR="00203181" w:rsidRPr="00744707" w:rsidRDefault="00203181" w:rsidP="00687778">
            <w:pPr>
              <w:pStyle w:val="Tabletext"/>
              <w:keepNext/>
              <w:jc w:val="center"/>
              <w:rPr>
                <w:b/>
              </w:rPr>
            </w:pPr>
            <w:r w:rsidRPr="00744707">
              <w:rPr>
                <w:b/>
              </w:rPr>
              <w:t>How the resubmission addresses it</w:t>
            </w:r>
          </w:p>
        </w:tc>
      </w:tr>
      <w:tr w:rsidR="004E6FA4" w:rsidRPr="00744707" w:rsidTr="00251777">
        <w:tc>
          <w:tcPr>
            <w:tcW w:w="902" w:type="pct"/>
            <w:shd w:val="clear" w:color="auto" w:fill="auto"/>
            <w:vAlign w:val="center"/>
          </w:tcPr>
          <w:p w:rsidR="00304DC0" w:rsidRPr="00744707" w:rsidRDefault="00304DC0" w:rsidP="00687778">
            <w:pPr>
              <w:pStyle w:val="Tabletext"/>
            </w:pPr>
            <w:r w:rsidRPr="00744707">
              <w:rPr>
                <w:rFonts w:cstheme="minorHAnsi"/>
                <w:szCs w:val="20"/>
              </w:rPr>
              <w:t>Applicability issues</w:t>
            </w:r>
          </w:p>
        </w:tc>
        <w:tc>
          <w:tcPr>
            <w:tcW w:w="2223" w:type="pct"/>
            <w:shd w:val="clear" w:color="auto" w:fill="auto"/>
          </w:tcPr>
          <w:p w:rsidR="00304DC0" w:rsidRPr="00744707" w:rsidRDefault="00304DC0" w:rsidP="00687778">
            <w:pPr>
              <w:pStyle w:val="TableText0"/>
              <w:spacing w:before="0" w:after="0"/>
              <w:rPr>
                <w:bCs/>
                <w:szCs w:val="20"/>
                <w:lang w:val="en-GB"/>
              </w:rPr>
            </w:pPr>
            <w:r w:rsidRPr="00744707">
              <w:rPr>
                <w:bCs/>
                <w:szCs w:val="20"/>
                <w:lang w:val="en-GB"/>
              </w:rPr>
              <w:t xml:space="preserve">The PBAC noted that the RESORCE trial enrolled patients with an ECOG ≤1 while the current PBS listing for sorafenib is for patients with WHO PS ≤2. </w:t>
            </w:r>
            <w:r w:rsidRPr="00744707">
              <w:rPr>
                <w:bCs/>
                <w:szCs w:val="20"/>
                <w:lang w:val="en-GB"/>
              </w:rPr>
              <w:lastRenderedPageBreak/>
              <w:t xml:space="preserve">The PBAC considered that the listing should be for patients with WHO PS ≤1.  </w:t>
            </w:r>
          </w:p>
          <w:p w:rsidR="00304DC0" w:rsidRPr="00744707" w:rsidRDefault="00304DC0" w:rsidP="00687778">
            <w:pPr>
              <w:pStyle w:val="Tabletext"/>
            </w:pPr>
            <w:r w:rsidRPr="00744707">
              <w:rPr>
                <w:rFonts w:cstheme="minorHAnsi"/>
                <w:szCs w:val="20"/>
              </w:rPr>
              <w:t>(p. 2.3 Mar-18 PSD)</w:t>
            </w:r>
          </w:p>
        </w:tc>
        <w:tc>
          <w:tcPr>
            <w:tcW w:w="1874" w:type="pct"/>
            <w:shd w:val="clear" w:color="auto" w:fill="auto"/>
          </w:tcPr>
          <w:p w:rsidR="00304DC0" w:rsidRPr="00744707" w:rsidRDefault="00304DC0" w:rsidP="00687778">
            <w:pPr>
              <w:pStyle w:val="TableText0"/>
              <w:spacing w:before="0" w:after="0"/>
              <w:rPr>
                <w:rFonts w:cstheme="minorHAnsi"/>
                <w:szCs w:val="20"/>
              </w:rPr>
            </w:pPr>
            <w:r w:rsidRPr="00744707">
              <w:rPr>
                <w:rFonts w:cstheme="minorHAnsi"/>
                <w:szCs w:val="20"/>
              </w:rPr>
              <w:lastRenderedPageBreak/>
              <w:t xml:space="preserve">Addressed by </w:t>
            </w:r>
            <w:r w:rsidR="008A0BCC" w:rsidRPr="00744707">
              <w:rPr>
                <w:rFonts w:cstheme="minorHAnsi"/>
                <w:szCs w:val="20"/>
              </w:rPr>
              <w:t xml:space="preserve">clarifying that the </w:t>
            </w:r>
            <w:r w:rsidR="008A0BCC" w:rsidRPr="00744707">
              <w:rPr>
                <w:rFonts w:eastAsia="Calibri" w:cstheme="minorHAnsi"/>
                <w:szCs w:val="20"/>
              </w:rPr>
              <w:t>performance status is WHO 1 or less</w:t>
            </w:r>
            <w:r w:rsidR="0085137D">
              <w:rPr>
                <w:rFonts w:cstheme="minorHAnsi"/>
                <w:szCs w:val="20"/>
              </w:rPr>
              <w:t>.</w:t>
            </w:r>
          </w:p>
          <w:p w:rsidR="004E6FA4" w:rsidRPr="00744707" w:rsidRDefault="008A0BCC" w:rsidP="00687778">
            <w:pPr>
              <w:pStyle w:val="Tabletext"/>
            </w:pPr>
            <w:r w:rsidRPr="00744707">
              <w:t>A</w:t>
            </w:r>
            <w:r w:rsidR="004E6FA4" w:rsidRPr="00744707">
              <w:t xml:space="preserve"> discrepancy </w:t>
            </w:r>
            <w:r w:rsidRPr="00744707">
              <w:t xml:space="preserve">remains </w:t>
            </w:r>
            <w:r w:rsidR="004E6FA4" w:rsidRPr="00744707">
              <w:t xml:space="preserve">between the WHO PS </w:t>
            </w:r>
            <w:r w:rsidRPr="00744707">
              <w:t xml:space="preserve">for </w:t>
            </w:r>
            <w:r w:rsidR="004E6FA4" w:rsidRPr="00744707">
              <w:t>sorafenib and that proposed for regorafenib.</w:t>
            </w:r>
          </w:p>
        </w:tc>
      </w:tr>
      <w:tr w:rsidR="004E6FA4" w:rsidRPr="00744707" w:rsidTr="00251777">
        <w:tc>
          <w:tcPr>
            <w:tcW w:w="902" w:type="pct"/>
            <w:shd w:val="clear" w:color="auto" w:fill="auto"/>
            <w:vAlign w:val="center"/>
          </w:tcPr>
          <w:p w:rsidR="00304DC0" w:rsidRPr="00744707" w:rsidRDefault="00304DC0" w:rsidP="00687778">
            <w:pPr>
              <w:pStyle w:val="Tabletext"/>
            </w:pPr>
            <w:r w:rsidRPr="00744707">
              <w:rPr>
                <w:rFonts w:cstheme="minorHAnsi"/>
                <w:szCs w:val="20"/>
              </w:rPr>
              <w:t>Applicability issues: proposed restriction vs. eligible population</w:t>
            </w:r>
          </w:p>
        </w:tc>
        <w:tc>
          <w:tcPr>
            <w:tcW w:w="2223" w:type="pct"/>
            <w:shd w:val="clear" w:color="auto" w:fill="auto"/>
          </w:tcPr>
          <w:p w:rsidR="00304DC0" w:rsidRPr="00744707" w:rsidRDefault="008A0BCC" w:rsidP="00687778">
            <w:pPr>
              <w:widowControl/>
              <w:jc w:val="left"/>
            </w:pPr>
            <w:r w:rsidRPr="00744707">
              <w:rPr>
                <w:rFonts w:ascii="Arial Narrow" w:hAnsi="Arial Narrow"/>
                <w:sz w:val="20"/>
                <w:szCs w:val="20"/>
              </w:rPr>
              <w:t>T</w:t>
            </w:r>
            <w:r w:rsidR="00304DC0" w:rsidRPr="00744707">
              <w:rPr>
                <w:rFonts w:ascii="Arial Narrow" w:hAnsi="Arial Narrow"/>
                <w:sz w:val="20"/>
                <w:szCs w:val="20"/>
              </w:rPr>
              <w:t>he RESORCE trial excluded patients with a known history of HIV</w:t>
            </w:r>
            <w:r w:rsidRPr="00744707">
              <w:rPr>
                <w:rFonts w:ascii="Arial Narrow" w:hAnsi="Arial Narrow"/>
                <w:sz w:val="20"/>
                <w:szCs w:val="20"/>
              </w:rPr>
              <w:t xml:space="preserve">. The </w:t>
            </w:r>
            <w:r w:rsidR="00304DC0" w:rsidRPr="00744707">
              <w:rPr>
                <w:rFonts w:ascii="Arial Narrow" w:hAnsi="Arial Narrow"/>
                <w:sz w:val="20"/>
                <w:szCs w:val="20"/>
              </w:rPr>
              <w:t xml:space="preserve">pre-PBAC response </w:t>
            </w:r>
            <w:r w:rsidRPr="00744707">
              <w:rPr>
                <w:rFonts w:ascii="Arial Narrow" w:hAnsi="Arial Narrow"/>
                <w:sz w:val="20"/>
                <w:szCs w:val="20"/>
              </w:rPr>
              <w:t>noted the s</w:t>
            </w:r>
            <w:r w:rsidR="00304DC0" w:rsidRPr="00744707">
              <w:rPr>
                <w:rFonts w:ascii="Arial Narrow" w:hAnsi="Arial Narrow"/>
                <w:sz w:val="20"/>
                <w:szCs w:val="20"/>
              </w:rPr>
              <w:t xml:space="preserve">ponsor </w:t>
            </w:r>
            <w:r w:rsidRPr="00744707">
              <w:rPr>
                <w:rFonts w:ascii="Arial Narrow" w:hAnsi="Arial Narrow"/>
                <w:sz w:val="20"/>
                <w:szCs w:val="20"/>
              </w:rPr>
              <w:t>was</w:t>
            </w:r>
            <w:r w:rsidR="00304DC0" w:rsidRPr="00744707">
              <w:rPr>
                <w:rFonts w:ascii="Arial Narrow" w:hAnsi="Arial Narrow"/>
                <w:sz w:val="20"/>
                <w:szCs w:val="20"/>
              </w:rPr>
              <w:t xml:space="preserve"> amenable to includ</w:t>
            </w:r>
            <w:r w:rsidRPr="00744707">
              <w:rPr>
                <w:rFonts w:ascii="Arial Narrow" w:hAnsi="Arial Narrow"/>
                <w:sz w:val="20"/>
                <w:szCs w:val="20"/>
              </w:rPr>
              <w:t>ing a</w:t>
            </w:r>
            <w:r w:rsidR="00304DC0" w:rsidRPr="00744707">
              <w:rPr>
                <w:rFonts w:ascii="Arial Narrow" w:hAnsi="Arial Narrow"/>
                <w:sz w:val="20"/>
                <w:szCs w:val="20"/>
              </w:rPr>
              <w:t xml:space="preserve"> criterion related to patients</w:t>
            </w:r>
            <w:r w:rsidRPr="00744707">
              <w:rPr>
                <w:rFonts w:ascii="Arial Narrow" w:hAnsi="Arial Narrow"/>
                <w:sz w:val="20"/>
                <w:szCs w:val="20"/>
              </w:rPr>
              <w:t>’</w:t>
            </w:r>
            <w:r w:rsidR="00304DC0" w:rsidRPr="00744707">
              <w:rPr>
                <w:rFonts w:ascii="Arial Narrow" w:hAnsi="Arial Narrow"/>
                <w:sz w:val="20"/>
                <w:szCs w:val="20"/>
              </w:rPr>
              <w:t xml:space="preserve"> HIV status, for example, “Patients must not be HIV immunocompromised”</w:t>
            </w:r>
            <w:r w:rsidRPr="00744707">
              <w:rPr>
                <w:rFonts w:ascii="Arial Narrow" w:hAnsi="Arial Narrow"/>
                <w:sz w:val="20"/>
                <w:szCs w:val="20"/>
              </w:rPr>
              <w:t xml:space="preserve"> </w:t>
            </w:r>
            <w:r w:rsidR="00304DC0" w:rsidRPr="00744707">
              <w:rPr>
                <w:rFonts w:ascii="Arial Narrow" w:hAnsi="Arial Narrow"/>
                <w:sz w:val="20"/>
                <w:szCs w:val="20"/>
              </w:rPr>
              <w:t>(p. 2.3 Mar-18 PSD)</w:t>
            </w:r>
            <w:r w:rsidR="00DB1192" w:rsidRPr="00744707">
              <w:rPr>
                <w:rFonts w:ascii="Arial Narrow" w:hAnsi="Arial Narrow"/>
                <w:sz w:val="20"/>
                <w:szCs w:val="20"/>
              </w:rPr>
              <w:t>.</w:t>
            </w:r>
          </w:p>
        </w:tc>
        <w:tc>
          <w:tcPr>
            <w:tcW w:w="1874" w:type="pct"/>
            <w:shd w:val="clear" w:color="auto" w:fill="auto"/>
          </w:tcPr>
          <w:p w:rsidR="00DB1192" w:rsidRPr="00744707" w:rsidRDefault="005C5CD1" w:rsidP="0085137D">
            <w:pPr>
              <w:pStyle w:val="TableText0"/>
              <w:spacing w:before="0" w:after="0"/>
            </w:pPr>
            <w:r w:rsidRPr="00744707">
              <w:rPr>
                <w:rFonts w:eastAsia="Calibri" w:cstheme="minorHAnsi"/>
                <w:szCs w:val="20"/>
              </w:rPr>
              <w:t>The r</w:t>
            </w:r>
            <w:r w:rsidR="008A0BCC" w:rsidRPr="00744707">
              <w:rPr>
                <w:rFonts w:eastAsia="Calibri" w:cstheme="minorHAnsi"/>
                <w:szCs w:val="20"/>
              </w:rPr>
              <w:t xml:space="preserve">esubmission noted </w:t>
            </w:r>
            <w:r w:rsidR="00DB1192" w:rsidRPr="00744707">
              <w:rPr>
                <w:rFonts w:eastAsia="Calibri" w:cstheme="minorHAnsi"/>
                <w:szCs w:val="20"/>
              </w:rPr>
              <w:t>the s</w:t>
            </w:r>
            <w:r w:rsidR="00304DC0" w:rsidRPr="00744707">
              <w:rPr>
                <w:rFonts w:eastAsia="Calibri" w:cstheme="minorHAnsi"/>
                <w:szCs w:val="20"/>
              </w:rPr>
              <w:t xml:space="preserve">ponsor </w:t>
            </w:r>
            <w:r w:rsidR="00DB1192" w:rsidRPr="00744707">
              <w:rPr>
                <w:rFonts w:eastAsia="Calibri" w:cstheme="minorHAnsi"/>
                <w:szCs w:val="20"/>
              </w:rPr>
              <w:t>wa</w:t>
            </w:r>
            <w:r w:rsidR="00304DC0" w:rsidRPr="00744707">
              <w:rPr>
                <w:rFonts w:eastAsia="Calibri" w:cstheme="minorHAnsi"/>
                <w:szCs w:val="20"/>
              </w:rPr>
              <w:t>s amenable to includ</w:t>
            </w:r>
            <w:r w:rsidR="00DB1192" w:rsidRPr="00744707">
              <w:rPr>
                <w:rFonts w:eastAsia="Calibri" w:cstheme="minorHAnsi"/>
                <w:szCs w:val="20"/>
              </w:rPr>
              <w:t>ing</w:t>
            </w:r>
            <w:r w:rsidR="00304DC0" w:rsidRPr="00744707">
              <w:rPr>
                <w:rFonts w:eastAsia="Calibri" w:cstheme="minorHAnsi"/>
                <w:szCs w:val="20"/>
              </w:rPr>
              <w:t xml:space="preserve"> a criterion related to patients</w:t>
            </w:r>
            <w:r w:rsidR="00DB1192" w:rsidRPr="00744707">
              <w:rPr>
                <w:rFonts w:eastAsia="Calibri" w:cstheme="minorHAnsi"/>
                <w:szCs w:val="20"/>
              </w:rPr>
              <w:t>’</w:t>
            </w:r>
            <w:r w:rsidR="00304DC0" w:rsidRPr="00744707">
              <w:rPr>
                <w:rFonts w:eastAsia="Calibri" w:cstheme="minorHAnsi"/>
                <w:szCs w:val="20"/>
              </w:rPr>
              <w:t xml:space="preserve"> HIV status</w:t>
            </w:r>
            <w:r w:rsidR="00DB1192" w:rsidRPr="00744707">
              <w:rPr>
                <w:rFonts w:eastAsia="Calibri" w:cstheme="minorHAnsi"/>
                <w:szCs w:val="20"/>
              </w:rPr>
              <w:t>:</w:t>
            </w:r>
            <w:r w:rsidR="00304DC0" w:rsidRPr="00744707">
              <w:rPr>
                <w:rFonts w:eastAsia="Calibri" w:cstheme="minorHAnsi"/>
                <w:szCs w:val="20"/>
              </w:rPr>
              <w:t xml:space="preserve"> “Patients must not be HIV immunocompromised”</w:t>
            </w:r>
            <w:r w:rsidR="00DB1192" w:rsidRPr="00744707">
              <w:rPr>
                <w:rFonts w:cstheme="minorHAnsi"/>
                <w:szCs w:val="20"/>
              </w:rPr>
              <w:t>.</w:t>
            </w:r>
          </w:p>
        </w:tc>
      </w:tr>
      <w:tr w:rsidR="004E6FA4" w:rsidRPr="00744707" w:rsidTr="00251777">
        <w:tc>
          <w:tcPr>
            <w:tcW w:w="902" w:type="pct"/>
            <w:shd w:val="clear" w:color="auto" w:fill="auto"/>
            <w:vAlign w:val="center"/>
          </w:tcPr>
          <w:p w:rsidR="00304DC0" w:rsidRPr="00744707" w:rsidRDefault="004E6FA4" w:rsidP="00687778">
            <w:pPr>
              <w:pStyle w:val="Tabletext"/>
            </w:pPr>
            <w:r w:rsidRPr="00744707">
              <w:rPr>
                <w:rFonts w:cstheme="minorHAnsi"/>
                <w:szCs w:val="20"/>
              </w:rPr>
              <w:t>Applicability issues: proposed restriction vs. eligible population</w:t>
            </w:r>
          </w:p>
        </w:tc>
        <w:tc>
          <w:tcPr>
            <w:tcW w:w="2223" w:type="pct"/>
            <w:shd w:val="clear" w:color="auto" w:fill="auto"/>
          </w:tcPr>
          <w:p w:rsidR="00304DC0" w:rsidRPr="00744707" w:rsidRDefault="00304DC0" w:rsidP="00687778">
            <w:pPr>
              <w:widowControl/>
              <w:jc w:val="left"/>
              <w:rPr>
                <w:rFonts w:ascii="Arial Narrow" w:hAnsi="Arial Narrow"/>
                <w:bCs/>
                <w:sz w:val="20"/>
                <w:szCs w:val="20"/>
                <w:lang w:val="en-GB"/>
              </w:rPr>
            </w:pPr>
            <w:r w:rsidRPr="00744707">
              <w:rPr>
                <w:rFonts w:ascii="Arial Narrow" w:hAnsi="Arial Narrow"/>
                <w:bCs/>
                <w:sz w:val="20"/>
                <w:szCs w:val="20"/>
                <w:lang w:val="en-GB"/>
              </w:rPr>
              <w:t xml:space="preserve">The PBAC </w:t>
            </w:r>
            <w:r w:rsidR="00DB1192" w:rsidRPr="00744707">
              <w:rPr>
                <w:rFonts w:ascii="Arial Narrow" w:hAnsi="Arial Narrow"/>
                <w:bCs/>
                <w:sz w:val="20"/>
                <w:szCs w:val="20"/>
                <w:lang w:val="en-GB"/>
              </w:rPr>
              <w:t xml:space="preserve">noted that </w:t>
            </w:r>
            <w:r w:rsidRPr="00744707">
              <w:rPr>
                <w:rFonts w:ascii="Arial Narrow" w:hAnsi="Arial Narrow"/>
                <w:bCs/>
                <w:sz w:val="20"/>
                <w:szCs w:val="20"/>
                <w:lang w:val="en-GB"/>
              </w:rPr>
              <w:t>‘Patients must only be treated until disease progression’ as the use of regorafenib beyond progression is unlikely to be cost effective</w:t>
            </w:r>
            <w:r w:rsidR="00DB1192" w:rsidRPr="00744707">
              <w:rPr>
                <w:rFonts w:ascii="Arial Narrow" w:hAnsi="Arial Narrow"/>
                <w:bCs/>
                <w:sz w:val="20"/>
                <w:szCs w:val="20"/>
                <w:lang w:val="en-GB"/>
              </w:rPr>
              <w:t xml:space="preserve"> </w:t>
            </w:r>
            <w:r w:rsidRPr="00744707">
              <w:rPr>
                <w:rFonts w:ascii="Arial Narrow" w:hAnsi="Arial Narrow"/>
                <w:bCs/>
                <w:sz w:val="20"/>
                <w:szCs w:val="20"/>
                <w:lang w:val="en-GB"/>
              </w:rPr>
              <w:t>(p. 7.3 PSD Mar-18)</w:t>
            </w:r>
            <w:r w:rsidR="00DB1192" w:rsidRPr="00744707">
              <w:rPr>
                <w:rFonts w:ascii="Arial Narrow" w:hAnsi="Arial Narrow"/>
                <w:bCs/>
                <w:sz w:val="20"/>
                <w:szCs w:val="20"/>
                <w:lang w:val="en-GB"/>
              </w:rPr>
              <w:t>.</w:t>
            </w:r>
          </w:p>
          <w:p w:rsidR="00304DC0" w:rsidRPr="00744707" w:rsidRDefault="00304DC0" w:rsidP="00687778">
            <w:pPr>
              <w:pStyle w:val="Tabletext"/>
            </w:pPr>
          </w:p>
        </w:tc>
        <w:tc>
          <w:tcPr>
            <w:tcW w:w="1874" w:type="pct"/>
            <w:shd w:val="clear" w:color="auto" w:fill="auto"/>
          </w:tcPr>
          <w:p w:rsidR="00304DC0" w:rsidRPr="00744707" w:rsidRDefault="00DB1192" w:rsidP="00761E46">
            <w:pPr>
              <w:pStyle w:val="TableText0"/>
              <w:spacing w:before="0" w:after="0"/>
            </w:pPr>
            <w:r w:rsidRPr="00744707">
              <w:rPr>
                <w:rFonts w:eastAsia="Calibri" w:cstheme="minorHAnsi"/>
                <w:szCs w:val="20"/>
              </w:rPr>
              <w:t xml:space="preserve">The resubmission included a revised restriction that permitted use in patients with ongoing clinical benefit. </w:t>
            </w:r>
            <w:r w:rsidR="00304DC0" w:rsidRPr="00744707">
              <w:rPr>
                <w:rFonts w:eastAsia="Calibri" w:cstheme="minorHAnsi"/>
                <w:szCs w:val="20"/>
              </w:rPr>
              <w:t xml:space="preserve">This </w:t>
            </w:r>
            <w:r w:rsidRPr="00744707">
              <w:rPr>
                <w:rFonts w:eastAsia="Calibri" w:cstheme="minorHAnsi"/>
                <w:szCs w:val="20"/>
              </w:rPr>
              <w:t xml:space="preserve">does not reflect </w:t>
            </w:r>
            <w:r w:rsidR="00304DC0" w:rsidRPr="00744707">
              <w:rPr>
                <w:rFonts w:eastAsia="Calibri" w:cstheme="minorHAnsi"/>
                <w:szCs w:val="20"/>
              </w:rPr>
              <w:t>the PBAC request</w:t>
            </w:r>
            <w:r w:rsidRPr="00744707">
              <w:rPr>
                <w:rFonts w:eastAsia="Calibri" w:cstheme="minorHAnsi"/>
                <w:szCs w:val="20"/>
              </w:rPr>
              <w:t>.</w:t>
            </w:r>
            <w:r w:rsidR="00304DC0" w:rsidRPr="00744707">
              <w:rPr>
                <w:rFonts w:eastAsia="Calibri" w:cstheme="minorHAnsi"/>
                <w:szCs w:val="20"/>
              </w:rPr>
              <w:t xml:space="preserve">   </w:t>
            </w:r>
          </w:p>
        </w:tc>
      </w:tr>
      <w:tr w:rsidR="0009190B" w:rsidRPr="00744707" w:rsidTr="00251777">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rsidR="0009190B" w:rsidRPr="00744707" w:rsidRDefault="0009190B" w:rsidP="00687778">
            <w:pPr>
              <w:pStyle w:val="Tabletext"/>
              <w:rPr>
                <w:rFonts w:cstheme="minorHAnsi"/>
                <w:szCs w:val="20"/>
              </w:rPr>
            </w:pPr>
            <w:r w:rsidRPr="00744707">
              <w:rPr>
                <w:rFonts w:cstheme="minorHAnsi"/>
                <w:szCs w:val="20"/>
              </w:rPr>
              <w:t>Applicability issues: proposed restriction vs. eligible population</w:t>
            </w:r>
          </w:p>
        </w:tc>
        <w:tc>
          <w:tcPr>
            <w:tcW w:w="2223" w:type="pct"/>
            <w:tcBorders>
              <w:top w:val="single" w:sz="4" w:space="0" w:color="auto"/>
              <w:left w:val="single" w:sz="4" w:space="0" w:color="auto"/>
              <w:bottom w:val="single" w:sz="4" w:space="0" w:color="auto"/>
              <w:right w:val="single" w:sz="4" w:space="0" w:color="auto"/>
            </w:tcBorders>
            <w:shd w:val="clear" w:color="auto" w:fill="auto"/>
          </w:tcPr>
          <w:p w:rsidR="0009190B" w:rsidRPr="00744707" w:rsidRDefault="0009190B" w:rsidP="00687778">
            <w:pPr>
              <w:widowControl/>
              <w:jc w:val="left"/>
              <w:rPr>
                <w:rFonts w:ascii="Arial Narrow" w:hAnsi="Arial Narrow"/>
                <w:bCs/>
                <w:sz w:val="20"/>
                <w:szCs w:val="20"/>
                <w:lang w:val="en-GB"/>
              </w:rPr>
            </w:pPr>
            <w:r w:rsidRPr="00744707">
              <w:rPr>
                <w:rFonts w:ascii="Arial Narrow" w:hAnsi="Arial Narrow"/>
                <w:bCs/>
                <w:sz w:val="20"/>
                <w:szCs w:val="20"/>
                <w:lang w:val="en-GB"/>
              </w:rPr>
              <w:t xml:space="preserve">The PBAC noted that a higher proportion of patients in Doyle et al (2016) compared to patients in the RESORCE trial had worse liver function and worse ECOG performance status. The PBAC also noted that patients in the RESORCE trial had an average treatment duration with sorafenib of 7.8 months compared with 5.3 months in the SHARP trial </w:t>
            </w:r>
            <w:r w:rsidR="0081164C" w:rsidRPr="00744707">
              <w:rPr>
                <w:rFonts w:ascii="Arial Narrow" w:hAnsi="Arial Narrow"/>
                <w:bCs/>
                <w:sz w:val="20"/>
                <w:szCs w:val="20"/>
                <w:lang w:val="en-GB"/>
              </w:rPr>
              <w:t>(</w:t>
            </w:r>
            <w:r w:rsidRPr="00744707">
              <w:rPr>
                <w:rFonts w:ascii="Arial Narrow" w:hAnsi="Arial Narrow"/>
                <w:bCs/>
                <w:sz w:val="20"/>
                <w:szCs w:val="20"/>
                <w:lang w:val="en-GB"/>
              </w:rPr>
              <w:t>the pivotal trial for sorafenib in HCC). The PBAC considered that patients recruited into the RESORCE trial are likely to be younger and fitter, tolerate systemic therapies better, and have longer survival, compared to the Australian population for the requested listing (p 6.8 Mar-18 PSD).</w:t>
            </w:r>
          </w:p>
        </w:tc>
        <w:tc>
          <w:tcPr>
            <w:tcW w:w="1874" w:type="pct"/>
            <w:tcBorders>
              <w:top w:val="single" w:sz="4" w:space="0" w:color="auto"/>
              <w:left w:val="single" w:sz="4" w:space="0" w:color="auto"/>
              <w:bottom w:val="single" w:sz="4" w:space="0" w:color="auto"/>
              <w:right w:val="single" w:sz="4" w:space="0" w:color="auto"/>
            </w:tcBorders>
            <w:shd w:val="clear" w:color="auto" w:fill="auto"/>
          </w:tcPr>
          <w:p w:rsidR="0009190B" w:rsidRPr="00744707" w:rsidRDefault="0009190B" w:rsidP="0085137D">
            <w:pPr>
              <w:pStyle w:val="TableText0"/>
              <w:spacing w:before="0" w:after="0"/>
              <w:rPr>
                <w:rFonts w:eastAsia="Calibri" w:cstheme="minorHAnsi"/>
                <w:szCs w:val="20"/>
              </w:rPr>
            </w:pPr>
            <w:r w:rsidRPr="00744707">
              <w:rPr>
                <w:rFonts w:eastAsia="Calibri" w:cstheme="minorHAnsi"/>
                <w:szCs w:val="20"/>
              </w:rPr>
              <w:t xml:space="preserve">The resubmission </w:t>
            </w:r>
            <w:r w:rsidR="00AE22DC" w:rsidRPr="00744707">
              <w:rPr>
                <w:rFonts w:eastAsia="Calibri" w:cstheme="minorHAnsi"/>
                <w:szCs w:val="20"/>
              </w:rPr>
              <w:t xml:space="preserve">stated that aligning the proposed PBS restriction to the eligibility criteria for the RESORCE trial </w:t>
            </w:r>
            <w:r w:rsidR="005B504E" w:rsidRPr="00744707">
              <w:rPr>
                <w:rFonts w:eastAsia="Calibri" w:cstheme="minorHAnsi"/>
                <w:szCs w:val="20"/>
              </w:rPr>
              <w:t>would ensure that Australian patients accessing regorafenib are comparable to those in the clinical evidence</w:t>
            </w:r>
            <w:r w:rsidRPr="00744707">
              <w:rPr>
                <w:rFonts w:eastAsia="Calibri" w:cstheme="minorHAnsi"/>
                <w:szCs w:val="20"/>
              </w:rPr>
              <w:t>.</w:t>
            </w:r>
            <w:r w:rsidR="005C5CD1" w:rsidRPr="00744707">
              <w:rPr>
                <w:rFonts w:eastAsia="Calibri" w:cstheme="minorHAnsi"/>
                <w:szCs w:val="20"/>
              </w:rPr>
              <w:t xml:space="preserve"> </w:t>
            </w:r>
          </w:p>
        </w:tc>
      </w:tr>
      <w:tr w:rsidR="004E6FA4" w:rsidRPr="00744707" w:rsidTr="00251777">
        <w:tc>
          <w:tcPr>
            <w:tcW w:w="902" w:type="pct"/>
            <w:shd w:val="clear" w:color="auto" w:fill="auto"/>
            <w:vAlign w:val="center"/>
          </w:tcPr>
          <w:p w:rsidR="00304DC0" w:rsidRPr="00744707" w:rsidRDefault="00304DC0" w:rsidP="00687778">
            <w:pPr>
              <w:pStyle w:val="Tabletext"/>
            </w:pPr>
            <w:r w:rsidRPr="00744707">
              <w:rPr>
                <w:rFonts w:cstheme="minorHAnsi"/>
                <w:szCs w:val="20"/>
              </w:rPr>
              <w:t xml:space="preserve">Clinical claim/ Safety issues </w:t>
            </w:r>
          </w:p>
        </w:tc>
        <w:tc>
          <w:tcPr>
            <w:tcW w:w="2223" w:type="pct"/>
            <w:shd w:val="clear" w:color="auto" w:fill="auto"/>
          </w:tcPr>
          <w:p w:rsidR="00304DC0" w:rsidRPr="00744707" w:rsidRDefault="00304DC0" w:rsidP="00687778">
            <w:pPr>
              <w:pStyle w:val="Tabletext"/>
            </w:pPr>
            <w:r w:rsidRPr="00744707">
              <w:rPr>
                <w:szCs w:val="20"/>
              </w:rPr>
              <w:t>The PBAC considered that the evidence presented in the</w:t>
            </w:r>
            <w:r w:rsidR="00950607" w:rsidRPr="00744707">
              <w:rPr>
                <w:szCs w:val="20"/>
              </w:rPr>
              <w:t xml:space="preserve"> submission</w:t>
            </w:r>
            <w:r w:rsidRPr="00744707">
              <w:rPr>
                <w:szCs w:val="20"/>
              </w:rPr>
              <w:t xml:space="preserve"> did not support the</w:t>
            </w:r>
            <w:r w:rsidR="00950607" w:rsidRPr="00744707">
              <w:rPr>
                <w:szCs w:val="20"/>
              </w:rPr>
              <w:t xml:space="preserve"> submission</w:t>
            </w:r>
            <w:r w:rsidRPr="00744707">
              <w:rPr>
                <w:szCs w:val="20"/>
              </w:rPr>
              <w:t xml:space="preserve">’s initial claim of no significant impact of regorafenib toxicity on QoL, and that the claim of inferior safety compared with BSC was appropriate. The PBAC considered that overall, regorafenib was associated with </w:t>
            </w:r>
            <w:r w:rsidRPr="00744707">
              <w:rPr>
                <w:bCs/>
                <w:szCs w:val="20"/>
                <w:lang w:val="en-GB"/>
              </w:rPr>
              <w:t xml:space="preserve">a range of substantial AEs, </w:t>
            </w:r>
            <w:r w:rsidRPr="00744707">
              <w:rPr>
                <w:szCs w:val="20"/>
              </w:rPr>
              <w:t xml:space="preserve">which may </w:t>
            </w:r>
            <w:r w:rsidRPr="00744707">
              <w:rPr>
                <w:bCs/>
                <w:szCs w:val="20"/>
                <w:lang w:val="en-GB"/>
              </w:rPr>
              <w:t>be more frequent and severe in the proposed Australian population compared with the trial population (p 7.8 PSD Mar-18)</w:t>
            </w:r>
            <w:r w:rsidR="0009190B" w:rsidRPr="00744707">
              <w:rPr>
                <w:bCs/>
                <w:szCs w:val="20"/>
                <w:lang w:val="en-GB"/>
              </w:rPr>
              <w:t>.</w:t>
            </w:r>
          </w:p>
        </w:tc>
        <w:tc>
          <w:tcPr>
            <w:tcW w:w="1874" w:type="pct"/>
            <w:shd w:val="clear" w:color="auto" w:fill="auto"/>
          </w:tcPr>
          <w:p w:rsidR="00304DC0" w:rsidRPr="00744707" w:rsidRDefault="009C78AA" w:rsidP="00687778">
            <w:pPr>
              <w:pStyle w:val="TableText0"/>
              <w:spacing w:before="0" w:after="0"/>
              <w:rPr>
                <w:rFonts w:cstheme="minorHAnsi"/>
                <w:szCs w:val="20"/>
              </w:rPr>
            </w:pPr>
            <w:r w:rsidRPr="00744707">
              <w:rPr>
                <w:rFonts w:cstheme="minorHAnsi"/>
                <w:szCs w:val="20"/>
              </w:rPr>
              <w:t>The resubmission included a revised claim of “</w:t>
            </w:r>
            <w:r w:rsidR="00304DC0" w:rsidRPr="00744707">
              <w:rPr>
                <w:rFonts w:cstheme="minorHAnsi"/>
                <w:szCs w:val="20"/>
              </w:rPr>
              <w:t>inferior safety”</w:t>
            </w:r>
            <w:r w:rsidR="0009190B" w:rsidRPr="00744707">
              <w:rPr>
                <w:rFonts w:cstheme="minorHAnsi"/>
                <w:szCs w:val="20"/>
              </w:rPr>
              <w:t>.</w:t>
            </w:r>
            <w:r w:rsidR="00304DC0" w:rsidRPr="00744707">
              <w:rPr>
                <w:rFonts w:cstheme="minorHAnsi"/>
                <w:szCs w:val="20"/>
              </w:rPr>
              <w:t xml:space="preserve"> </w:t>
            </w:r>
          </w:p>
          <w:p w:rsidR="00304DC0" w:rsidRPr="00744707" w:rsidRDefault="00304DC0" w:rsidP="00687778">
            <w:pPr>
              <w:pStyle w:val="Tabletext"/>
            </w:pPr>
          </w:p>
        </w:tc>
      </w:tr>
      <w:tr w:rsidR="003E0DF3" w:rsidRPr="00744707" w:rsidTr="00251777">
        <w:tc>
          <w:tcPr>
            <w:tcW w:w="902" w:type="pct"/>
            <w:shd w:val="clear" w:color="auto" w:fill="auto"/>
            <w:vAlign w:val="center"/>
          </w:tcPr>
          <w:p w:rsidR="003E0DF3" w:rsidRPr="00744707" w:rsidRDefault="003E0DF3" w:rsidP="00687778">
            <w:pPr>
              <w:pStyle w:val="Tabletext"/>
              <w:rPr>
                <w:rFonts w:cstheme="minorHAnsi"/>
                <w:szCs w:val="20"/>
              </w:rPr>
            </w:pPr>
            <w:r w:rsidRPr="00744707">
              <w:t>Trial data</w:t>
            </w:r>
          </w:p>
        </w:tc>
        <w:tc>
          <w:tcPr>
            <w:tcW w:w="2223" w:type="pct"/>
            <w:shd w:val="clear" w:color="auto" w:fill="auto"/>
          </w:tcPr>
          <w:p w:rsidR="003E0DF3" w:rsidRPr="00744707" w:rsidRDefault="003E0DF3" w:rsidP="00687778">
            <w:pPr>
              <w:pStyle w:val="TableText0"/>
              <w:spacing w:before="0" w:after="0"/>
              <w:rPr>
                <w:szCs w:val="20"/>
              </w:rPr>
            </w:pPr>
            <w:r w:rsidRPr="00744707">
              <w:rPr>
                <w:bCs/>
                <w:szCs w:val="20"/>
                <w:lang w:val="en-GB"/>
              </w:rPr>
              <w:t>A resubmission should be based on the latest available data from the RESORCE trial (p. 7.12 Mar-18 PSD)</w:t>
            </w:r>
          </w:p>
        </w:tc>
        <w:tc>
          <w:tcPr>
            <w:tcW w:w="1874" w:type="pct"/>
            <w:shd w:val="clear" w:color="auto" w:fill="auto"/>
          </w:tcPr>
          <w:p w:rsidR="003E0DF3" w:rsidRPr="00744707" w:rsidRDefault="0009190B" w:rsidP="0085137D">
            <w:pPr>
              <w:pStyle w:val="TableText0"/>
              <w:spacing w:before="0" w:after="0"/>
              <w:rPr>
                <w:rFonts w:cstheme="minorHAnsi"/>
                <w:szCs w:val="20"/>
                <w:lang w:val="en-GB"/>
              </w:rPr>
            </w:pPr>
            <w:r w:rsidRPr="00744707">
              <w:rPr>
                <w:rFonts w:cstheme="minorHAnsi"/>
                <w:szCs w:val="20"/>
              </w:rPr>
              <w:t>The r</w:t>
            </w:r>
            <w:r w:rsidR="003E0DF3" w:rsidRPr="00744707">
              <w:rPr>
                <w:rFonts w:cstheme="minorHAnsi"/>
                <w:szCs w:val="20"/>
              </w:rPr>
              <w:t xml:space="preserve">esubmission presented </w:t>
            </w:r>
            <w:r w:rsidRPr="00744707">
              <w:rPr>
                <w:rFonts w:cstheme="minorHAnsi"/>
                <w:szCs w:val="20"/>
              </w:rPr>
              <w:t xml:space="preserve">the </w:t>
            </w:r>
            <w:r w:rsidR="003E0DF3" w:rsidRPr="00744707">
              <w:rPr>
                <w:rFonts w:cstheme="minorHAnsi"/>
                <w:szCs w:val="20"/>
              </w:rPr>
              <w:t>latest available data (Cut-off: 23JAN17)</w:t>
            </w:r>
            <w:r w:rsidRPr="00744707">
              <w:rPr>
                <w:rFonts w:cstheme="minorHAnsi"/>
                <w:szCs w:val="20"/>
              </w:rPr>
              <w:t>.</w:t>
            </w:r>
          </w:p>
        </w:tc>
      </w:tr>
      <w:tr w:rsidR="004E6FA4" w:rsidRPr="00744707" w:rsidTr="00251777">
        <w:tc>
          <w:tcPr>
            <w:tcW w:w="902" w:type="pct"/>
            <w:shd w:val="clear" w:color="auto" w:fill="auto"/>
            <w:vAlign w:val="center"/>
          </w:tcPr>
          <w:p w:rsidR="00304DC0" w:rsidRPr="00744707" w:rsidRDefault="00304DC0" w:rsidP="00687778">
            <w:pPr>
              <w:pStyle w:val="Tabletext"/>
            </w:pPr>
            <w:r w:rsidRPr="00744707">
              <w:rPr>
                <w:rFonts w:cstheme="minorHAnsi"/>
                <w:szCs w:val="20"/>
              </w:rPr>
              <w:t>Economic Issues</w:t>
            </w:r>
          </w:p>
        </w:tc>
        <w:tc>
          <w:tcPr>
            <w:tcW w:w="2223" w:type="pct"/>
            <w:shd w:val="clear" w:color="auto" w:fill="auto"/>
          </w:tcPr>
          <w:p w:rsidR="00304DC0" w:rsidRPr="00744707" w:rsidRDefault="00304DC0" w:rsidP="00687778">
            <w:pPr>
              <w:widowControl/>
              <w:jc w:val="left"/>
              <w:rPr>
                <w:rFonts w:ascii="Arial Narrow" w:hAnsi="Arial Narrow"/>
                <w:sz w:val="20"/>
                <w:szCs w:val="20"/>
              </w:rPr>
            </w:pPr>
            <w:r w:rsidRPr="00744707">
              <w:rPr>
                <w:rFonts w:ascii="Arial Narrow" w:hAnsi="Arial Narrow"/>
                <w:sz w:val="20"/>
                <w:szCs w:val="20"/>
              </w:rPr>
              <w:t>The ESC advised that additional univariate analyses and multivariate analyses testing the following assumptions would be informative:</w:t>
            </w:r>
          </w:p>
          <w:p w:rsidR="00304DC0" w:rsidRPr="00744707" w:rsidRDefault="00304DC0" w:rsidP="00687778">
            <w:pPr>
              <w:widowControl/>
              <w:numPr>
                <w:ilvl w:val="2"/>
                <w:numId w:val="3"/>
              </w:numPr>
              <w:tabs>
                <w:tab w:val="left" w:pos="709"/>
              </w:tabs>
              <w:ind w:left="263" w:hanging="142"/>
              <w:jc w:val="left"/>
              <w:rPr>
                <w:rFonts w:ascii="Arial Narrow" w:hAnsi="Arial Narrow"/>
                <w:sz w:val="20"/>
                <w:szCs w:val="20"/>
              </w:rPr>
            </w:pPr>
            <w:r w:rsidRPr="00744707">
              <w:rPr>
                <w:rFonts w:ascii="Arial Narrow" w:hAnsi="Arial Narrow"/>
                <w:sz w:val="20"/>
                <w:szCs w:val="20"/>
              </w:rPr>
              <w:t xml:space="preserve">extrapolating </w:t>
            </w:r>
            <w:r w:rsidRPr="00744707">
              <w:rPr>
                <w:rFonts w:ascii="Arial Narrow" w:hAnsi="Arial Narrow"/>
                <w:sz w:val="20"/>
                <w:szCs w:val="20"/>
                <w:u w:val="single"/>
              </w:rPr>
              <w:t>both</w:t>
            </w:r>
            <w:r w:rsidRPr="00744707">
              <w:rPr>
                <w:rFonts w:ascii="Arial Narrow" w:hAnsi="Arial Narrow"/>
                <w:sz w:val="20"/>
                <w:szCs w:val="20"/>
              </w:rPr>
              <w:t xml:space="preserve"> regorafenib and BSC arms;</w:t>
            </w:r>
          </w:p>
          <w:p w:rsidR="00304DC0" w:rsidRPr="00744707" w:rsidRDefault="00304DC0" w:rsidP="00687778">
            <w:pPr>
              <w:widowControl/>
              <w:numPr>
                <w:ilvl w:val="2"/>
                <w:numId w:val="3"/>
              </w:numPr>
              <w:tabs>
                <w:tab w:val="left" w:pos="709"/>
              </w:tabs>
              <w:ind w:left="263" w:hanging="142"/>
              <w:jc w:val="left"/>
              <w:rPr>
                <w:rFonts w:ascii="Arial Narrow" w:hAnsi="Arial Narrow"/>
                <w:sz w:val="20"/>
                <w:szCs w:val="20"/>
              </w:rPr>
            </w:pPr>
            <w:r w:rsidRPr="00744707">
              <w:rPr>
                <w:rFonts w:ascii="Arial Narrow" w:hAnsi="Arial Narrow"/>
                <w:sz w:val="20"/>
                <w:szCs w:val="20"/>
              </w:rPr>
              <w:t>applying extrapolations from different time points, including from the point of median follow-up;</w:t>
            </w:r>
          </w:p>
          <w:p w:rsidR="00304DC0" w:rsidRPr="00744707" w:rsidRDefault="00304DC0" w:rsidP="00687778">
            <w:pPr>
              <w:widowControl/>
              <w:numPr>
                <w:ilvl w:val="2"/>
                <w:numId w:val="3"/>
              </w:numPr>
              <w:tabs>
                <w:tab w:val="left" w:pos="709"/>
              </w:tabs>
              <w:ind w:left="263" w:hanging="142"/>
              <w:jc w:val="left"/>
              <w:rPr>
                <w:rFonts w:ascii="Arial Narrow" w:hAnsi="Arial Narrow"/>
                <w:sz w:val="20"/>
                <w:szCs w:val="20"/>
              </w:rPr>
            </w:pPr>
            <w:r w:rsidRPr="00744707">
              <w:rPr>
                <w:rFonts w:ascii="Arial Narrow" w:hAnsi="Arial Narrow"/>
                <w:sz w:val="20"/>
                <w:szCs w:val="20"/>
              </w:rPr>
              <w:t>using all observed survival data (i.e. from day 1) to inform the parametric function used to undertake the extrapolations; and</w:t>
            </w:r>
          </w:p>
          <w:p w:rsidR="00304DC0" w:rsidRPr="00744707" w:rsidRDefault="00304DC0" w:rsidP="00687778">
            <w:pPr>
              <w:widowControl/>
              <w:numPr>
                <w:ilvl w:val="2"/>
                <w:numId w:val="3"/>
              </w:numPr>
              <w:tabs>
                <w:tab w:val="left" w:pos="709"/>
              </w:tabs>
              <w:ind w:left="263" w:hanging="142"/>
              <w:jc w:val="left"/>
              <w:rPr>
                <w:rFonts w:ascii="Arial Narrow" w:hAnsi="Arial Narrow"/>
                <w:sz w:val="20"/>
                <w:szCs w:val="20"/>
              </w:rPr>
            </w:pPr>
            <w:proofErr w:type="gramStart"/>
            <w:r w:rsidRPr="00744707">
              <w:rPr>
                <w:rFonts w:ascii="Arial Narrow" w:hAnsi="Arial Narrow"/>
                <w:sz w:val="20"/>
                <w:szCs w:val="20"/>
              </w:rPr>
              <w:t>applying</w:t>
            </w:r>
            <w:proofErr w:type="gramEnd"/>
            <w:r w:rsidRPr="00744707">
              <w:rPr>
                <w:rFonts w:ascii="Arial Narrow" w:hAnsi="Arial Narrow"/>
                <w:sz w:val="20"/>
                <w:szCs w:val="20"/>
              </w:rPr>
              <w:t xml:space="preserve"> trial-based </w:t>
            </w:r>
            <w:r w:rsidR="0009190B" w:rsidRPr="00744707">
              <w:rPr>
                <w:rFonts w:ascii="Arial Narrow" w:hAnsi="Arial Narrow"/>
                <w:sz w:val="20"/>
                <w:szCs w:val="20"/>
              </w:rPr>
              <w:t xml:space="preserve">within treatment group </w:t>
            </w:r>
            <w:r w:rsidRPr="00744707">
              <w:rPr>
                <w:rFonts w:ascii="Arial Narrow" w:hAnsi="Arial Narrow"/>
                <w:sz w:val="20"/>
                <w:szCs w:val="20"/>
              </w:rPr>
              <w:t>utility values.</w:t>
            </w:r>
          </w:p>
          <w:p w:rsidR="00304DC0" w:rsidRPr="00744707" w:rsidRDefault="00304DC0" w:rsidP="00687778">
            <w:pPr>
              <w:widowControl/>
            </w:pPr>
            <w:r w:rsidRPr="00744707">
              <w:rPr>
                <w:rFonts w:ascii="Arial Narrow" w:hAnsi="Arial Narrow"/>
                <w:sz w:val="20"/>
                <w:szCs w:val="20"/>
              </w:rPr>
              <w:t>(</w:t>
            </w:r>
            <w:proofErr w:type="gramStart"/>
            <w:r w:rsidRPr="00744707">
              <w:rPr>
                <w:rFonts w:ascii="Arial Narrow" w:hAnsi="Arial Narrow"/>
                <w:sz w:val="20"/>
                <w:szCs w:val="20"/>
              </w:rPr>
              <w:t>p</w:t>
            </w:r>
            <w:proofErr w:type="gramEnd"/>
            <w:r w:rsidRPr="00744707">
              <w:rPr>
                <w:rFonts w:ascii="Arial Narrow" w:hAnsi="Arial Narrow"/>
                <w:sz w:val="20"/>
                <w:szCs w:val="20"/>
              </w:rPr>
              <w:t xml:space="preserve"> 6.43 Mar-18 PSD)</w:t>
            </w:r>
            <w:r w:rsidR="0009190B" w:rsidRPr="00744707">
              <w:rPr>
                <w:rFonts w:ascii="Arial Narrow" w:hAnsi="Arial Narrow"/>
                <w:sz w:val="20"/>
                <w:szCs w:val="20"/>
              </w:rPr>
              <w:t>.</w:t>
            </w:r>
            <w:r w:rsidRPr="00744707">
              <w:rPr>
                <w:rFonts w:ascii="Arial Narrow" w:hAnsi="Arial Narrow"/>
                <w:sz w:val="20"/>
                <w:szCs w:val="20"/>
              </w:rPr>
              <w:t xml:space="preserve"> </w:t>
            </w:r>
          </w:p>
        </w:tc>
        <w:tc>
          <w:tcPr>
            <w:tcW w:w="1874" w:type="pct"/>
            <w:shd w:val="clear" w:color="auto" w:fill="auto"/>
          </w:tcPr>
          <w:p w:rsidR="00304DC0" w:rsidRPr="00744707" w:rsidRDefault="00304DC0" w:rsidP="00687778">
            <w:pPr>
              <w:pStyle w:val="TableText0"/>
              <w:spacing w:before="0" w:after="0"/>
              <w:rPr>
                <w:rFonts w:cstheme="minorHAnsi"/>
                <w:szCs w:val="20"/>
              </w:rPr>
            </w:pPr>
            <w:r w:rsidRPr="00744707">
              <w:rPr>
                <w:rFonts w:cstheme="minorHAnsi"/>
                <w:szCs w:val="20"/>
              </w:rPr>
              <w:t xml:space="preserve">The resubmission has </w:t>
            </w:r>
          </w:p>
          <w:p w:rsidR="00304DC0" w:rsidRPr="00744707" w:rsidRDefault="00304DC0" w:rsidP="00687778">
            <w:pPr>
              <w:pStyle w:val="ListParagraph"/>
              <w:widowControl/>
              <w:numPr>
                <w:ilvl w:val="0"/>
                <w:numId w:val="40"/>
              </w:numPr>
              <w:spacing w:after="0"/>
              <w:ind w:left="269" w:hanging="180"/>
              <w:rPr>
                <w:rFonts w:ascii="Arial Narrow" w:hAnsi="Arial Narrow" w:cstheme="minorHAnsi"/>
                <w:sz w:val="20"/>
                <w:szCs w:val="20"/>
              </w:rPr>
            </w:pPr>
            <w:r w:rsidRPr="00744707">
              <w:rPr>
                <w:rFonts w:ascii="Arial Narrow" w:hAnsi="Arial Narrow" w:cstheme="minorHAnsi"/>
                <w:sz w:val="20"/>
                <w:szCs w:val="20"/>
              </w:rPr>
              <w:t xml:space="preserve">Extrapolated both </w:t>
            </w:r>
            <w:r w:rsidR="0009190B" w:rsidRPr="00744707">
              <w:rPr>
                <w:rFonts w:ascii="Arial Narrow" w:hAnsi="Arial Narrow" w:cstheme="minorHAnsi"/>
                <w:sz w:val="20"/>
                <w:szCs w:val="20"/>
              </w:rPr>
              <w:t xml:space="preserve">the </w:t>
            </w:r>
            <w:r w:rsidRPr="00744707">
              <w:rPr>
                <w:rFonts w:ascii="Arial Narrow" w:hAnsi="Arial Narrow" w:cstheme="minorHAnsi"/>
                <w:sz w:val="20"/>
                <w:szCs w:val="20"/>
              </w:rPr>
              <w:t xml:space="preserve">regorafenib and BSC arms; </w:t>
            </w:r>
          </w:p>
          <w:p w:rsidR="00304DC0" w:rsidRPr="00744707" w:rsidRDefault="00304DC0" w:rsidP="00687778">
            <w:pPr>
              <w:pStyle w:val="ListParagraph"/>
              <w:widowControl/>
              <w:numPr>
                <w:ilvl w:val="0"/>
                <w:numId w:val="40"/>
              </w:numPr>
              <w:spacing w:after="0"/>
              <w:ind w:left="269" w:hanging="180"/>
              <w:rPr>
                <w:rFonts w:ascii="Arial Narrow" w:hAnsi="Arial Narrow" w:cstheme="minorHAnsi"/>
                <w:sz w:val="20"/>
                <w:szCs w:val="20"/>
              </w:rPr>
            </w:pPr>
            <w:r w:rsidRPr="00744707">
              <w:rPr>
                <w:rFonts w:ascii="Arial Narrow" w:hAnsi="Arial Narrow" w:cstheme="minorHAnsi"/>
                <w:sz w:val="20"/>
                <w:szCs w:val="20"/>
              </w:rPr>
              <w:t>Used all observed survival data (i.e. from day 1) to inform the parametric function used to undertake the extrapolations; and</w:t>
            </w:r>
            <w:r w:rsidRPr="00744707">
              <w:rPr>
                <w:rFonts w:ascii="Arial Narrow" w:hAnsi="Arial Narrow"/>
                <w:sz w:val="20"/>
                <w:szCs w:val="20"/>
              </w:rPr>
              <w:t xml:space="preserve"> </w:t>
            </w:r>
          </w:p>
          <w:p w:rsidR="00304DC0" w:rsidRPr="00744707" w:rsidRDefault="00304DC0" w:rsidP="00687778">
            <w:pPr>
              <w:pStyle w:val="ListParagraph"/>
              <w:widowControl/>
              <w:numPr>
                <w:ilvl w:val="0"/>
                <w:numId w:val="40"/>
              </w:numPr>
              <w:spacing w:after="0"/>
              <w:ind w:left="269" w:hanging="180"/>
              <w:rPr>
                <w:rFonts w:ascii="Arial Narrow" w:hAnsi="Arial Narrow" w:cstheme="minorHAnsi"/>
                <w:sz w:val="20"/>
                <w:szCs w:val="20"/>
              </w:rPr>
            </w:pPr>
            <w:r w:rsidRPr="00744707">
              <w:rPr>
                <w:rFonts w:ascii="Arial Narrow" w:hAnsi="Arial Narrow"/>
                <w:sz w:val="20"/>
                <w:szCs w:val="20"/>
              </w:rPr>
              <w:t>Applied trial-based utility values.</w:t>
            </w:r>
          </w:p>
          <w:p w:rsidR="00304DC0" w:rsidRPr="00744707" w:rsidRDefault="0009190B" w:rsidP="00687778">
            <w:pPr>
              <w:widowControl/>
            </w:pPr>
            <w:r w:rsidRPr="00744707">
              <w:rPr>
                <w:rFonts w:ascii="Arial Narrow" w:hAnsi="Arial Narrow" w:cstheme="minorHAnsi"/>
                <w:sz w:val="20"/>
                <w:szCs w:val="20"/>
              </w:rPr>
              <w:t>However, extrapolations were applied from the point of median survival, and not median follow-up.</w:t>
            </w:r>
          </w:p>
        </w:tc>
      </w:tr>
      <w:tr w:rsidR="002F0EEA" w:rsidRPr="00744707" w:rsidTr="00251777">
        <w:tc>
          <w:tcPr>
            <w:tcW w:w="902" w:type="pct"/>
            <w:tcBorders>
              <w:top w:val="single" w:sz="4" w:space="0" w:color="auto"/>
              <w:left w:val="single" w:sz="4" w:space="0" w:color="auto"/>
              <w:bottom w:val="single" w:sz="4" w:space="0" w:color="auto"/>
              <w:right w:val="single" w:sz="4" w:space="0" w:color="auto"/>
            </w:tcBorders>
            <w:shd w:val="clear" w:color="auto" w:fill="auto"/>
            <w:vAlign w:val="center"/>
          </w:tcPr>
          <w:p w:rsidR="002F0EEA" w:rsidRPr="00744707" w:rsidRDefault="002F0EEA" w:rsidP="00687778">
            <w:pPr>
              <w:pStyle w:val="Tabletext"/>
              <w:rPr>
                <w:rFonts w:cstheme="minorHAnsi"/>
                <w:szCs w:val="20"/>
              </w:rPr>
            </w:pPr>
            <w:r w:rsidRPr="00744707">
              <w:rPr>
                <w:rFonts w:cstheme="minorHAnsi"/>
                <w:szCs w:val="20"/>
              </w:rPr>
              <w:lastRenderedPageBreak/>
              <w:t>Economic Issues</w:t>
            </w:r>
          </w:p>
        </w:tc>
        <w:tc>
          <w:tcPr>
            <w:tcW w:w="2223" w:type="pct"/>
            <w:tcBorders>
              <w:top w:val="single" w:sz="4" w:space="0" w:color="auto"/>
              <w:left w:val="single" w:sz="4" w:space="0" w:color="auto"/>
              <w:bottom w:val="single" w:sz="4" w:space="0" w:color="auto"/>
              <w:right w:val="single" w:sz="4" w:space="0" w:color="auto"/>
            </w:tcBorders>
            <w:shd w:val="clear" w:color="auto" w:fill="auto"/>
          </w:tcPr>
          <w:p w:rsidR="002F0EEA" w:rsidRPr="00744707" w:rsidRDefault="002F0EEA" w:rsidP="00687778">
            <w:pPr>
              <w:widowControl/>
              <w:rPr>
                <w:rFonts w:ascii="Arial Narrow" w:hAnsi="Arial Narrow"/>
                <w:sz w:val="20"/>
                <w:szCs w:val="20"/>
              </w:rPr>
            </w:pPr>
            <w:r w:rsidRPr="00744707">
              <w:rPr>
                <w:rFonts w:ascii="Arial Narrow" w:hAnsi="Arial Narrow"/>
                <w:sz w:val="20"/>
                <w:szCs w:val="20"/>
              </w:rPr>
              <w:t>The PBAC had requested that the base case ICER should be less than $</w:t>
            </w:r>
            <w:r w:rsidR="00D25498">
              <w:rPr>
                <w:rFonts w:ascii="Arial Narrow" w:hAnsi="Arial Narrow"/>
                <w:noProof/>
                <w:color w:val="000000"/>
                <w:sz w:val="20"/>
                <w:szCs w:val="20"/>
                <w:highlight w:val="black"/>
              </w:rPr>
              <w:t>''''''''''''''''</w:t>
            </w:r>
            <w:r w:rsidRPr="00744707">
              <w:rPr>
                <w:rFonts w:ascii="Arial Narrow" w:hAnsi="Arial Narrow"/>
                <w:sz w:val="20"/>
                <w:szCs w:val="20"/>
              </w:rPr>
              <w:t>/QALY to reflect the substantial toxicity of the drug (Mar</w:t>
            </w:r>
            <w:r w:rsidR="00DC5B94">
              <w:rPr>
                <w:rFonts w:ascii="Arial Narrow" w:hAnsi="Arial Narrow"/>
                <w:sz w:val="20"/>
                <w:szCs w:val="20"/>
              </w:rPr>
              <w:t>-</w:t>
            </w:r>
            <w:r w:rsidRPr="00744707">
              <w:rPr>
                <w:rFonts w:ascii="Arial Narrow" w:hAnsi="Arial Narrow"/>
                <w:sz w:val="20"/>
                <w:szCs w:val="20"/>
              </w:rPr>
              <w:t xml:space="preserve">18 </w:t>
            </w:r>
            <w:r w:rsidR="00DC5B94">
              <w:rPr>
                <w:rFonts w:ascii="Arial Narrow" w:hAnsi="Arial Narrow"/>
                <w:sz w:val="20"/>
                <w:szCs w:val="20"/>
              </w:rPr>
              <w:t>PSD</w:t>
            </w:r>
            <w:r w:rsidRPr="00744707">
              <w:rPr>
                <w:rFonts w:ascii="Arial Narrow" w:hAnsi="Arial Narrow"/>
                <w:sz w:val="20"/>
                <w:szCs w:val="20"/>
              </w:rPr>
              <w:t>, Section 7.12).</w:t>
            </w:r>
          </w:p>
          <w:p w:rsidR="002F0EEA" w:rsidRPr="00744707" w:rsidRDefault="002F0EEA" w:rsidP="00687778">
            <w:pPr>
              <w:widowControl/>
              <w:rPr>
                <w:rFonts w:ascii="Arial Narrow" w:hAnsi="Arial Narrow"/>
                <w:sz w:val="20"/>
                <w:szCs w:val="20"/>
              </w:rPr>
            </w:pPr>
          </w:p>
        </w:tc>
        <w:tc>
          <w:tcPr>
            <w:tcW w:w="1874" w:type="pct"/>
            <w:tcBorders>
              <w:top w:val="single" w:sz="4" w:space="0" w:color="auto"/>
              <w:left w:val="single" w:sz="4" w:space="0" w:color="auto"/>
              <w:bottom w:val="single" w:sz="4" w:space="0" w:color="auto"/>
              <w:right w:val="single" w:sz="4" w:space="0" w:color="auto"/>
            </w:tcBorders>
            <w:shd w:val="clear" w:color="auto" w:fill="auto"/>
          </w:tcPr>
          <w:p w:rsidR="002F0EEA" w:rsidRPr="00744707" w:rsidRDefault="002F0EEA" w:rsidP="0085137D">
            <w:pPr>
              <w:pStyle w:val="TableText0"/>
              <w:spacing w:before="0" w:after="0"/>
              <w:rPr>
                <w:rFonts w:cstheme="minorHAnsi"/>
                <w:szCs w:val="20"/>
              </w:rPr>
            </w:pPr>
            <w:r w:rsidRPr="00744707">
              <w:rPr>
                <w:rFonts w:cstheme="minorHAnsi"/>
                <w:szCs w:val="20"/>
              </w:rPr>
              <w:t>The resubmission presented an ICER that decreased from $</w:t>
            </w:r>
            <w:r w:rsidR="00D25498">
              <w:rPr>
                <w:rFonts w:cstheme="minorHAnsi"/>
                <w:noProof/>
                <w:color w:val="000000"/>
                <w:szCs w:val="20"/>
                <w:highlight w:val="black"/>
              </w:rPr>
              <w:t>''''''''''''''''</w:t>
            </w:r>
            <w:r w:rsidRPr="00744707">
              <w:rPr>
                <w:rFonts w:cstheme="minorHAnsi"/>
                <w:szCs w:val="20"/>
              </w:rPr>
              <w:t>/QALY (in pre-PBAC response in March 2018) to $</w:t>
            </w:r>
            <w:r w:rsidR="00D25498">
              <w:rPr>
                <w:rFonts w:cstheme="minorHAnsi"/>
                <w:noProof/>
                <w:color w:val="000000"/>
                <w:szCs w:val="20"/>
                <w:highlight w:val="black"/>
              </w:rPr>
              <w:t>'''''''''''''''''</w:t>
            </w:r>
            <w:r w:rsidRPr="00744707">
              <w:rPr>
                <w:rFonts w:cstheme="minorHAnsi"/>
                <w:szCs w:val="20"/>
              </w:rPr>
              <w:t>/QALY. A</w:t>
            </w:r>
            <w:r w:rsidR="00C50122">
              <w:rPr>
                <w:rFonts w:cstheme="minorHAnsi"/>
                <w:szCs w:val="20"/>
              </w:rPr>
              <w:t xml:space="preserve"> further</w:t>
            </w:r>
            <w:r w:rsidRPr="00744707">
              <w:rPr>
                <w:rFonts w:cstheme="minorHAnsi"/>
                <w:szCs w:val="20"/>
              </w:rPr>
              <w:t xml:space="preserve"> </w:t>
            </w:r>
            <w:r w:rsidRPr="005C7FD3">
              <w:rPr>
                <w:rFonts w:cstheme="minorHAnsi"/>
                <w:szCs w:val="20"/>
              </w:rPr>
              <w:t>42</w:t>
            </w:r>
            <w:r w:rsidRPr="00744707">
              <w:rPr>
                <w:rFonts w:cstheme="minorHAnsi"/>
                <w:szCs w:val="20"/>
              </w:rPr>
              <w:t xml:space="preserve">% price reduction </w:t>
            </w:r>
            <w:r w:rsidR="00590369" w:rsidRPr="00744707">
              <w:rPr>
                <w:rFonts w:cstheme="minorHAnsi"/>
                <w:szCs w:val="20"/>
              </w:rPr>
              <w:t xml:space="preserve">from the price in the resubmission </w:t>
            </w:r>
            <w:r w:rsidRPr="00744707">
              <w:rPr>
                <w:rFonts w:cstheme="minorHAnsi"/>
                <w:szCs w:val="20"/>
              </w:rPr>
              <w:t>would result in an ICER of $</w:t>
            </w:r>
            <w:r w:rsidR="00D25498">
              <w:rPr>
                <w:rFonts w:cstheme="minorHAnsi"/>
                <w:noProof/>
                <w:color w:val="000000"/>
                <w:szCs w:val="20"/>
                <w:highlight w:val="black"/>
              </w:rPr>
              <w:t>''''''''''''''''</w:t>
            </w:r>
            <w:r w:rsidRPr="00744707">
              <w:rPr>
                <w:rFonts w:cstheme="minorHAnsi"/>
                <w:szCs w:val="20"/>
              </w:rPr>
              <w:t>/QALY (effective DPMQ of $</w:t>
            </w:r>
            <w:r w:rsidR="00D25498">
              <w:rPr>
                <w:rFonts w:cstheme="minorHAnsi"/>
                <w:noProof/>
                <w:color w:val="000000"/>
                <w:szCs w:val="20"/>
                <w:highlight w:val="black"/>
              </w:rPr>
              <w:t>'''''''''''''''''''''</w:t>
            </w:r>
            <w:r w:rsidRPr="00744707">
              <w:rPr>
                <w:rFonts w:cstheme="minorHAnsi"/>
                <w:szCs w:val="20"/>
              </w:rPr>
              <w:t>)</w:t>
            </w:r>
            <w:r w:rsidR="00C562BA" w:rsidRPr="00744707">
              <w:rPr>
                <w:rFonts w:cstheme="minorHAnsi"/>
                <w:szCs w:val="20"/>
              </w:rPr>
              <w:t>.</w:t>
            </w:r>
          </w:p>
        </w:tc>
      </w:tr>
      <w:tr w:rsidR="004E6FA4" w:rsidRPr="00744707" w:rsidTr="00251777">
        <w:tc>
          <w:tcPr>
            <w:tcW w:w="902" w:type="pct"/>
            <w:shd w:val="clear" w:color="auto" w:fill="auto"/>
            <w:vAlign w:val="center"/>
          </w:tcPr>
          <w:p w:rsidR="00304DC0" w:rsidRPr="00744707" w:rsidRDefault="00304DC0" w:rsidP="00687778">
            <w:pPr>
              <w:pStyle w:val="Tabletext"/>
            </w:pPr>
            <w:r w:rsidRPr="00744707">
              <w:rPr>
                <w:rFonts w:cstheme="minorHAnsi"/>
                <w:szCs w:val="20"/>
              </w:rPr>
              <w:t>Financial Impact Issues</w:t>
            </w:r>
          </w:p>
        </w:tc>
        <w:tc>
          <w:tcPr>
            <w:tcW w:w="2223" w:type="pct"/>
            <w:shd w:val="clear" w:color="auto" w:fill="auto"/>
          </w:tcPr>
          <w:p w:rsidR="00304DC0" w:rsidRPr="00744707" w:rsidRDefault="00304DC0" w:rsidP="00687778">
            <w:pPr>
              <w:pStyle w:val="TableText0"/>
              <w:spacing w:before="0" w:after="0"/>
            </w:pPr>
            <w:r w:rsidRPr="00744707">
              <w:rPr>
                <w:bCs/>
                <w:szCs w:val="20"/>
                <w:lang w:val="en-GB"/>
              </w:rPr>
              <w:t xml:space="preserve">Financial estimates were over-estimated due to: </w:t>
            </w:r>
            <w:r w:rsidR="0009190B" w:rsidRPr="00744707">
              <w:rPr>
                <w:bCs/>
                <w:szCs w:val="20"/>
                <w:lang w:val="en-GB"/>
              </w:rPr>
              <w:t xml:space="preserve">an </w:t>
            </w:r>
            <w:r w:rsidRPr="00744707">
              <w:rPr>
                <w:bCs/>
                <w:szCs w:val="20"/>
                <w:lang w:val="en-GB"/>
              </w:rPr>
              <w:t>overestimated eligible patient pool and uptake rates, inclusion of patients with ECOG PS&gt;1, and the assumption of treatment beyond progression</w:t>
            </w:r>
            <w:r w:rsidR="0009190B" w:rsidRPr="00744707">
              <w:rPr>
                <w:bCs/>
                <w:szCs w:val="20"/>
                <w:lang w:val="en-GB"/>
              </w:rPr>
              <w:t xml:space="preserve"> </w:t>
            </w:r>
            <w:r w:rsidRPr="00744707">
              <w:rPr>
                <w:bCs/>
                <w:szCs w:val="20"/>
                <w:lang w:val="en-GB"/>
              </w:rPr>
              <w:t>(p 7.11 Mar-18 PSD)</w:t>
            </w:r>
            <w:r w:rsidR="0009190B" w:rsidRPr="00744707">
              <w:rPr>
                <w:bCs/>
                <w:szCs w:val="20"/>
                <w:lang w:val="en-GB"/>
              </w:rPr>
              <w:t>.</w:t>
            </w:r>
          </w:p>
        </w:tc>
        <w:tc>
          <w:tcPr>
            <w:tcW w:w="1874" w:type="pct"/>
            <w:shd w:val="clear" w:color="auto" w:fill="auto"/>
          </w:tcPr>
          <w:p w:rsidR="00304DC0" w:rsidRPr="00744707" w:rsidRDefault="00304DC0" w:rsidP="00687778">
            <w:pPr>
              <w:pStyle w:val="TableText0"/>
              <w:spacing w:before="0" w:after="0"/>
            </w:pPr>
            <w:r w:rsidRPr="00744707">
              <w:rPr>
                <w:rFonts w:cstheme="minorHAnsi"/>
                <w:szCs w:val="20"/>
                <w:lang w:val="en-GB"/>
              </w:rPr>
              <w:t>The resubmission assumed</w:t>
            </w:r>
            <w:r w:rsidR="004961BA" w:rsidRPr="00744707">
              <w:rPr>
                <w:rFonts w:cstheme="minorHAnsi"/>
                <w:szCs w:val="20"/>
                <w:lang w:val="en-GB"/>
              </w:rPr>
              <w:t xml:space="preserve"> a lower proportion in terms of patient eligibility (</w:t>
            </w:r>
            <w:r w:rsidRPr="00744707">
              <w:rPr>
                <w:rFonts w:cstheme="minorHAnsi"/>
                <w:szCs w:val="20"/>
                <w:lang w:val="en-GB"/>
              </w:rPr>
              <w:t xml:space="preserve">60% </w:t>
            </w:r>
            <w:r w:rsidR="004961BA" w:rsidRPr="00744707">
              <w:rPr>
                <w:rFonts w:cstheme="minorHAnsi"/>
                <w:szCs w:val="20"/>
                <w:lang w:val="en-GB"/>
              </w:rPr>
              <w:t xml:space="preserve">as </w:t>
            </w:r>
            <w:r w:rsidRPr="00744707">
              <w:rPr>
                <w:rFonts w:cstheme="minorHAnsi"/>
                <w:szCs w:val="20"/>
                <w:lang w:val="en-GB"/>
              </w:rPr>
              <w:t>compared to 70% in the March 2018 submission)</w:t>
            </w:r>
            <w:r w:rsidR="00590369" w:rsidRPr="00744707">
              <w:rPr>
                <w:rFonts w:cstheme="minorHAnsi"/>
                <w:szCs w:val="20"/>
                <w:lang w:val="en-GB"/>
              </w:rPr>
              <w:t xml:space="preserve"> to account for the sorafenib clinical criteria (ECOG ≤ 2) being broader than proposed for regorafenib (WHO PS ≤ 1</w:t>
            </w:r>
            <w:r w:rsidR="00611C5D" w:rsidRPr="00744707">
              <w:rPr>
                <w:rFonts w:cstheme="minorHAnsi"/>
                <w:szCs w:val="20"/>
                <w:lang w:val="en-GB"/>
              </w:rPr>
              <w:t xml:space="preserve"> </w:t>
            </w:r>
            <w:r w:rsidR="00611C5D" w:rsidRPr="00744707">
              <w:rPr>
                <w:rFonts w:cstheme="minorHAnsi"/>
                <w:szCs w:val="20"/>
              </w:rPr>
              <w:t>)</w:t>
            </w:r>
            <w:r w:rsidR="004961BA" w:rsidRPr="00744707">
              <w:rPr>
                <w:rFonts w:cstheme="minorHAnsi"/>
                <w:szCs w:val="20"/>
              </w:rPr>
              <w:t>.</w:t>
            </w:r>
            <w:r w:rsidR="005B504E" w:rsidRPr="00744707">
              <w:rPr>
                <w:rFonts w:cstheme="minorHAnsi"/>
                <w:szCs w:val="20"/>
              </w:rPr>
              <w:t xml:space="preserve"> The resubmission did not adjust for the potential impact on the estimated cost to Government of restricting PBS treatment to those without disease progression.</w:t>
            </w:r>
          </w:p>
        </w:tc>
      </w:tr>
      <w:tr w:rsidR="004E6FA4" w:rsidRPr="00744707" w:rsidTr="00251777">
        <w:tc>
          <w:tcPr>
            <w:tcW w:w="902" w:type="pct"/>
            <w:shd w:val="clear" w:color="auto" w:fill="auto"/>
            <w:vAlign w:val="center"/>
          </w:tcPr>
          <w:p w:rsidR="00304DC0" w:rsidRPr="00744707" w:rsidRDefault="00304DC0" w:rsidP="00687778">
            <w:pPr>
              <w:pStyle w:val="Tabletext"/>
              <w:keepNext/>
              <w:keepLines/>
            </w:pPr>
            <w:r w:rsidRPr="00744707">
              <w:rPr>
                <w:rFonts w:cstheme="minorHAnsi"/>
                <w:szCs w:val="20"/>
              </w:rPr>
              <w:t>Financial Impact Issues</w:t>
            </w:r>
          </w:p>
        </w:tc>
        <w:tc>
          <w:tcPr>
            <w:tcW w:w="2223" w:type="pct"/>
            <w:shd w:val="clear" w:color="auto" w:fill="auto"/>
          </w:tcPr>
          <w:p w:rsidR="00304DC0" w:rsidRPr="00744707" w:rsidRDefault="00290958" w:rsidP="00687778">
            <w:pPr>
              <w:pStyle w:val="TableText0"/>
              <w:keepLines/>
              <w:spacing w:before="0" w:after="0"/>
            </w:pPr>
            <w:r w:rsidRPr="00744707">
              <w:rPr>
                <w:bCs/>
                <w:szCs w:val="20"/>
                <w:lang w:val="en-GB"/>
              </w:rPr>
              <w:t>The PBAC noted that treatment related costs for medical visits, pathology, diagnostics and AEs were included in the economic model but no costs to the MBS were included in the financial estimates. The PBAC advised that costs to the MBS should be included in the financial estimates</w:t>
            </w:r>
            <w:r w:rsidRPr="00744707">
              <w:t xml:space="preserve"> </w:t>
            </w:r>
            <w:r w:rsidR="00304DC0" w:rsidRPr="00744707">
              <w:t xml:space="preserve">(p </w:t>
            </w:r>
            <w:r w:rsidRPr="00744707">
              <w:t>6.58</w:t>
            </w:r>
            <w:r w:rsidR="00304DC0" w:rsidRPr="00744707">
              <w:t xml:space="preserve"> Mar-18 PSD)</w:t>
            </w:r>
            <w:r w:rsidR="0009190B" w:rsidRPr="00744707">
              <w:t>.</w:t>
            </w:r>
          </w:p>
        </w:tc>
        <w:tc>
          <w:tcPr>
            <w:tcW w:w="1874" w:type="pct"/>
            <w:shd w:val="clear" w:color="auto" w:fill="auto"/>
          </w:tcPr>
          <w:p w:rsidR="00290958" w:rsidRPr="00744707" w:rsidRDefault="0009190B" w:rsidP="00F65239">
            <w:pPr>
              <w:pStyle w:val="TableText0"/>
              <w:keepLines/>
              <w:rPr>
                <w:rFonts w:cstheme="minorHAnsi"/>
                <w:szCs w:val="20"/>
                <w:lang w:val="en-GB"/>
              </w:rPr>
            </w:pPr>
            <w:r w:rsidRPr="00744707">
              <w:rPr>
                <w:rFonts w:cstheme="minorHAnsi"/>
                <w:szCs w:val="20"/>
              </w:rPr>
              <w:t xml:space="preserve">This was not addressed in the resubmission noting that: </w:t>
            </w:r>
            <w:r w:rsidR="00304DC0" w:rsidRPr="00744707">
              <w:rPr>
                <w:rFonts w:cstheme="minorHAnsi"/>
                <w:szCs w:val="20"/>
                <w:lang w:val="en-GB"/>
              </w:rPr>
              <w:t>“costs to the MBS were not included in the financial estimates because the drug-related TEAEs are assumed to require hospitalisation based on their severity”</w:t>
            </w:r>
            <w:r w:rsidR="002F0EEA" w:rsidRPr="00744707">
              <w:rPr>
                <w:rFonts w:cstheme="minorHAnsi"/>
                <w:szCs w:val="20"/>
                <w:lang w:val="en-GB"/>
              </w:rPr>
              <w:t>. An argument could be made that there will be increased service use due to ongoing survival beyond the impact on AE treatment. This is likely to have a negligible impact on the costs to Government.</w:t>
            </w:r>
          </w:p>
        </w:tc>
      </w:tr>
    </w:tbl>
    <w:p w:rsidR="00203181" w:rsidRDefault="00203181" w:rsidP="00687778">
      <w:pPr>
        <w:pStyle w:val="TableFooter"/>
        <w:keepNext/>
        <w:keepLines/>
        <w:widowControl/>
      </w:pPr>
      <w:r w:rsidRPr="00047CE0">
        <w:t>Source:</w:t>
      </w:r>
      <w:r w:rsidR="00047CE0" w:rsidRPr="00047CE0">
        <w:t xml:space="preserve"> Regorafenib Mar-18 Public Summary Document and resubmission Mar-18 – see right-hand column for exact location details. </w:t>
      </w:r>
    </w:p>
    <w:p w:rsidR="006C2B16" w:rsidRDefault="006C2B16" w:rsidP="00687778">
      <w:pPr>
        <w:keepNext/>
        <w:keepLines/>
        <w:widowControl/>
        <w:rPr>
          <w:rFonts w:ascii="Arial Narrow" w:hAnsi="Arial Narrow"/>
          <w:sz w:val="18"/>
          <w:szCs w:val="18"/>
        </w:rPr>
      </w:pPr>
      <w:r w:rsidRPr="00B06EDD">
        <w:rPr>
          <w:rFonts w:ascii="Arial Narrow" w:hAnsi="Arial Narrow"/>
          <w:sz w:val="18"/>
          <w:szCs w:val="18"/>
        </w:rPr>
        <w:t xml:space="preserve">Abbreviations: BSC= Best supportive care; CR= complete response; DPMQ= dispensed price maximum quantity; ECOG= Eastern Cooperative Oncology Group; HCC= Hepatocellular carcinoma; ESC= Economics Sub Committee; HIV= human immunodeficiency virus; </w:t>
      </w:r>
      <w:proofErr w:type="spellStart"/>
      <w:r w:rsidRPr="00B06EDD">
        <w:rPr>
          <w:rFonts w:ascii="Arial Narrow" w:hAnsi="Arial Narrow"/>
          <w:sz w:val="18"/>
          <w:szCs w:val="18"/>
        </w:rPr>
        <w:t>HRQoL</w:t>
      </w:r>
      <w:proofErr w:type="spellEnd"/>
      <w:r w:rsidRPr="00B06EDD">
        <w:rPr>
          <w:rFonts w:ascii="Arial Narrow" w:hAnsi="Arial Narrow"/>
          <w:sz w:val="18"/>
          <w:szCs w:val="18"/>
        </w:rPr>
        <w:t xml:space="preserve">= health related quality of life; </w:t>
      </w:r>
      <w:r w:rsidR="00B06EDD">
        <w:rPr>
          <w:rFonts w:ascii="Arial Narrow" w:hAnsi="Arial Narrow"/>
          <w:sz w:val="18"/>
          <w:szCs w:val="18"/>
        </w:rPr>
        <w:t>ICER= incremental cost effectiveness ratio</w:t>
      </w:r>
      <w:r w:rsidRPr="00B06EDD">
        <w:rPr>
          <w:rFonts w:ascii="Arial Narrow" w:hAnsi="Arial Narrow"/>
          <w:sz w:val="18"/>
          <w:szCs w:val="18"/>
        </w:rPr>
        <w:t>; OS= overall survival; PBAC= Pharmaceutical Benefits Advisory Committee; PFS= progression free survival; PR= partial response; PS= performance score; PSCR= pre-subcommittee response; PSD= public summary document; QALY= quality adjusted life years; QoL= quality of life; SD= stable disease; TTP= time to progression; vs= versus</w:t>
      </w:r>
      <w:r w:rsidR="00B06EDD" w:rsidRPr="00B06EDD">
        <w:rPr>
          <w:rFonts w:ascii="Arial Narrow" w:hAnsi="Arial Narrow"/>
          <w:sz w:val="18"/>
          <w:szCs w:val="18"/>
        </w:rPr>
        <w:t>; WHO= World Health Organization</w:t>
      </w:r>
    </w:p>
    <w:p w:rsidR="00D31E2F" w:rsidRDefault="00D31E2F" w:rsidP="00687778">
      <w:pPr>
        <w:keepNext/>
        <w:keepLines/>
        <w:widowControl/>
        <w:rPr>
          <w:rFonts w:ascii="Arial Narrow" w:hAnsi="Arial Narrow"/>
          <w:sz w:val="18"/>
          <w:szCs w:val="18"/>
        </w:rPr>
      </w:pPr>
    </w:p>
    <w:p w:rsidR="00D31E2F" w:rsidRPr="0085137D" w:rsidRDefault="00D31E2F" w:rsidP="003552D3">
      <w:pPr>
        <w:ind w:firstLine="720"/>
        <w:rPr>
          <w:rFonts w:asciiTheme="minorHAnsi" w:hAnsiTheme="minorHAnsi"/>
          <w:i/>
        </w:rPr>
      </w:pPr>
      <w:r w:rsidRPr="0085137D">
        <w:rPr>
          <w:rFonts w:asciiTheme="minorHAnsi" w:hAnsiTheme="minorHAnsi"/>
          <w:i/>
        </w:rPr>
        <w:t>For more detail on the PBAC’s view, see section 7 PBAC outcome.</w:t>
      </w:r>
    </w:p>
    <w:p w:rsidR="00B50DB8" w:rsidRPr="00407F2D" w:rsidRDefault="00203181" w:rsidP="00067969">
      <w:pPr>
        <w:pStyle w:val="Heading1"/>
      </w:pPr>
      <w:bookmarkStart w:id="3" w:name="_Toc523405670"/>
      <w:r>
        <w:lastRenderedPageBreak/>
        <w:t xml:space="preserve">Population and </w:t>
      </w:r>
      <w:r w:rsidR="008E0D3C">
        <w:t>d</w:t>
      </w:r>
      <w:r>
        <w:t>isease</w:t>
      </w:r>
      <w:bookmarkEnd w:id="3"/>
    </w:p>
    <w:p w:rsidR="00C475AB" w:rsidRPr="00795CCC" w:rsidRDefault="00C475AB" w:rsidP="00687778">
      <w:pPr>
        <w:pStyle w:val="ListParagraph"/>
        <w:keepNext/>
        <w:keepLines/>
        <w:widowControl/>
        <w:numPr>
          <w:ilvl w:val="1"/>
          <w:numId w:val="3"/>
        </w:numPr>
      </w:pPr>
      <w:r w:rsidRPr="00795CCC">
        <w:t>HCC is the second-commonest cause of cancer-related death worldwide. It is more common in males and approximately 90% of cases are associated with underlying chronic liver disease and liver cirrhosis. The most common aetiologies include chronic hepatitis B and C virus (HBV, HCV), alcohol abuse, and aflatoxin exposure</w:t>
      </w:r>
      <w:r w:rsidRPr="00744707">
        <w:t xml:space="preserve">. A reduction in the number of HCV cases progressing to cirrhosis (and potentially HCC) since new antiviral therapies became available on the PBS could reduce the future incidence of HCC. The prevalence of HCC closely mirrors </w:t>
      </w:r>
      <w:r w:rsidR="00AA5E4B" w:rsidRPr="00744707">
        <w:t>the</w:t>
      </w:r>
      <w:r w:rsidRPr="00744707">
        <w:t xml:space="preserve"> annual incidence, whi</w:t>
      </w:r>
      <w:r w:rsidRPr="00A75FD4">
        <w:t>ch is consistent with the presentation of patients with HCC typically at a late stage with poor survival prognosis</w:t>
      </w:r>
      <w:r>
        <w:t>.</w:t>
      </w:r>
    </w:p>
    <w:p w:rsidR="00100188" w:rsidRPr="00761302" w:rsidRDefault="00C475AB" w:rsidP="00761302">
      <w:pPr>
        <w:pStyle w:val="ListParagraph"/>
        <w:keepNext/>
        <w:keepLines/>
        <w:widowControl/>
        <w:numPr>
          <w:ilvl w:val="1"/>
          <w:numId w:val="3"/>
        </w:numPr>
      </w:pPr>
      <w:r w:rsidRPr="00A649B0">
        <w:t xml:space="preserve">Regorafenib </w:t>
      </w:r>
      <w:r w:rsidR="00BE1DDC" w:rsidRPr="00761302">
        <w:t>is only registered for use following sorafenib therapy</w:t>
      </w:r>
      <w:r w:rsidR="00BE1DDC">
        <w:t xml:space="preserve"> and the </w:t>
      </w:r>
      <w:r w:rsidRPr="00A649B0">
        <w:t xml:space="preserve">proposed </w:t>
      </w:r>
      <w:r w:rsidR="00BE1DDC">
        <w:t xml:space="preserve">PBS listing is </w:t>
      </w:r>
      <w:r w:rsidRPr="00A649B0">
        <w:t>as a second line treatment of patients who progress following treatment with sorafenib.</w:t>
      </w:r>
      <w:r w:rsidR="00BE1DDC">
        <w:t xml:space="preserve"> Lenvatinib is an alternative first line treatment which was deferred </w:t>
      </w:r>
      <w:r w:rsidR="00BE1DDC" w:rsidRPr="00744707">
        <w:t>at the July 2018 PBAC meeting</w:t>
      </w:r>
      <w:r w:rsidR="00F223D5">
        <w:t xml:space="preserve"> and was considered at the November 2018 meeting</w:t>
      </w:r>
      <w:r w:rsidR="00BE1DDC">
        <w:t>. The proposed listing for regorafenib would not allow patients treated with lenvatinib to access second line regorafenib and this may create an incentive for patients to preferentially be treated with sorafenib</w:t>
      </w:r>
      <w:r w:rsidR="00100188">
        <w:t xml:space="preserve"> in the first line setting</w:t>
      </w:r>
      <w:r w:rsidR="00BE1DDC" w:rsidRPr="00D31E2F">
        <w:t xml:space="preserve">. The ESC noted that lenvatinib is likely to be the preferred first line therapy for advanced HCC </w:t>
      </w:r>
      <w:r w:rsidR="00100188">
        <w:t>if</w:t>
      </w:r>
      <w:r w:rsidR="00BE1DDC" w:rsidRPr="00D31E2F">
        <w:t xml:space="preserve"> available on the PBS. The ESC advised that the </w:t>
      </w:r>
      <w:r w:rsidR="00D5219D">
        <w:t>proposed restriction</w:t>
      </w:r>
      <w:r w:rsidR="00D5219D" w:rsidRPr="00D31E2F">
        <w:t xml:space="preserve"> </w:t>
      </w:r>
      <w:r w:rsidR="00D5219D">
        <w:t>for</w:t>
      </w:r>
      <w:r w:rsidR="00BE1DDC" w:rsidRPr="00D31E2F">
        <w:t xml:space="preserve"> regorafenib should be revised to allow use following either lenvatinib or sorafenib, although noted there are no clinical trials assessing the use of regorafenib following lenvatinib</w:t>
      </w:r>
      <w:r w:rsidR="003833B6" w:rsidRPr="00D31E2F">
        <w:t xml:space="preserve">, and </w:t>
      </w:r>
      <w:r w:rsidR="003833B6" w:rsidRPr="00761302">
        <w:t>that lenvatinib and sorafenib are sufficiently different that it may not be appropriate to assume that treatment with regorafenib after lenvatinib failure would be equivalent to treatment after sorafenib failure</w:t>
      </w:r>
      <w:r w:rsidR="00BE1DDC" w:rsidRPr="00D31E2F">
        <w:t>.</w:t>
      </w:r>
      <w:r w:rsidR="00417B8E" w:rsidRPr="00761302">
        <w:t xml:space="preserve"> </w:t>
      </w:r>
      <w:r w:rsidR="004443F0" w:rsidRPr="00761302">
        <w:t>The ESC</w:t>
      </w:r>
      <w:r w:rsidR="003833B6" w:rsidRPr="00761302">
        <w:t xml:space="preserve"> further</w:t>
      </w:r>
      <w:r w:rsidR="004443F0" w:rsidRPr="00761302">
        <w:t xml:space="preserve"> noted that guidelines currently recommend regorafenib as second line treatment in HCC after sorafenib, however it is likely that in the next few years other drugs will become available for second line treatment of HCC, such as caboza</w:t>
      </w:r>
      <w:r w:rsidR="00C659C7" w:rsidRPr="00761302">
        <w:t>n</w:t>
      </w:r>
      <w:r w:rsidR="004443F0" w:rsidRPr="00761302">
        <w:t xml:space="preserve">tinib. </w:t>
      </w:r>
      <w:r w:rsidR="008B392E">
        <w:t xml:space="preserve">The PBAC noted that nivolumab, pembrolizumab and ramucirumab </w:t>
      </w:r>
      <w:r w:rsidR="004549B2">
        <w:t xml:space="preserve">are included as second line treatments in NCCN guidelines (version 4.2018) and </w:t>
      </w:r>
      <w:r w:rsidR="008B392E">
        <w:t>may also become available for second line treatment of HCC.</w:t>
      </w:r>
      <w:r w:rsidR="00C47492">
        <w:t xml:space="preserve"> The pre-PBAC response acknowledged that other drugs will become available in this setting but maintained that it would not be appropriate to allow use of regorafenib following lenvatinib</w:t>
      </w:r>
      <w:r w:rsidR="006117DE">
        <w:t>, claiming that the sequence of sorafenib and regorafenib offers the most cost-effective and evidence-based option for advanced HCC</w:t>
      </w:r>
      <w:r w:rsidR="00C47492">
        <w:t>.</w:t>
      </w:r>
    </w:p>
    <w:p w:rsidR="00D31E2F" w:rsidRPr="00F90A91" w:rsidRDefault="00D31E2F" w:rsidP="00D31E2F">
      <w:pPr>
        <w:pStyle w:val="ListParagraph"/>
        <w:ind w:left="709"/>
        <w:rPr>
          <w:rFonts w:asciiTheme="minorHAnsi" w:hAnsiTheme="minorHAnsi"/>
          <w:i/>
        </w:rPr>
      </w:pPr>
      <w:r w:rsidRPr="00525B39">
        <w:rPr>
          <w:rFonts w:asciiTheme="minorHAnsi" w:hAnsiTheme="minorHAnsi"/>
          <w:i/>
        </w:rPr>
        <w:t xml:space="preserve">For more detail on </w:t>
      </w:r>
      <w:r>
        <w:rPr>
          <w:rFonts w:asciiTheme="minorHAnsi" w:hAnsiTheme="minorHAnsi"/>
          <w:i/>
        </w:rPr>
        <w:t xml:space="preserve">the </w:t>
      </w:r>
      <w:r w:rsidRPr="00525B39">
        <w:rPr>
          <w:rFonts w:asciiTheme="minorHAnsi" w:hAnsiTheme="minorHAnsi"/>
          <w:i/>
        </w:rPr>
        <w:t>PBAC’s view, see section 7 PBAC outcome.</w:t>
      </w:r>
    </w:p>
    <w:p w:rsidR="00E55BB5" w:rsidRPr="00D31E2F" w:rsidRDefault="00E55BB5" w:rsidP="00D31E2F">
      <w:pPr>
        <w:widowControl/>
      </w:pPr>
    </w:p>
    <w:p w:rsidR="00B50DB8" w:rsidRPr="00407F2D" w:rsidRDefault="00B50DB8" w:rsidP="00067969">
      <w:pPr>
        <w:pStyle w:val="Heading1"/>
      </w:pPr>
      <w:bookmarkStart w:id="4" w:name="_Toc523405671"/>
      <w:r w:rsidRPr="00407F2D">
        <w:lastRenderedPageBreak/>
        <w:t>Comparator</w:t>
      </w:r>
      <w:bookmarkEnd w:id="4"/>
    </w:p>
    <w:p w:rsidR="00D31E2F" w:rsidRPr="00761302" w:rsidRDefault="00795E17" w:rsidP="00761302">
      <w:pPr>
        <w:pStyle w:val="ListParagraph"/>
        <w:keepNext/>
        <w:keepLines/>
        <w:widowControl/>
        <w:numPr>
          <w:ilvl w:val="1"/>
          <w:numId w:val="3"/>
        </w:numPr>
      </w:pPr>
      <w:r w:rsidRPr="00761302">
        <w:t>The</w:t>
      </w:r>
      <w:r w:rsidR="00950607" w:rsidRPr="00761302">
        <w:t xml:space="preserve"> resubmission</w:t>
      </w:r>
      <w:r w:rsidRPr="00761302">
        <w:t xml:space="preserve"> nominated BSC as the main comparator. The RESORCE trial defined BSC as any intervention including concomitant medications, medical procedures, psychotherapy, growth factors, palliative surgery or any other symptomatic therapy except for anti-tumour agents or anti neoplastic chemotherapy, or hormonal or immunotherapy. </w:t>
      </w:r>
      <w:r w:rsidR="00764B9E" w:rsidRPr="00761302">
        <w:t>The ESC considered t</w:t>
      </w:r>
      <w:r w:rsidRPr="00761302">
        <w:t xml:space="preserve">his was appropriate. </w:t>
      </w:r>
    </w:p>
    <w:p w:rsidR="00D31E2F" w:rsidRPr="00F90A91" w:rsidRDefault="00D31E2F" w:rsidP="00D31E2F">
      <w:pPr>
        <w:pStyle w:val="ListParagraph"/>
        <w:ind w:left="709"/>
        <w:rPr>
          <w:rFonts w:asciiTheme="minorHAnsi" w:hAnsiTheme="minorHAnsi"/>
          <w:i/>
        </w:rPr>
      </w:pPr>
      <w:r w:rsidRPr="00525B39">
        <w:rPr>
          <w:rFonts w:asciiTheme="minorHAnsi" w:hAnsiTheme="minorHAnsi"/>
          <w:i/>
        </w:rPr>
        <w:t xml:space="preserve">For more detail on </w:t>
      </w:r>
      <w:r>
        <w:rPr>
          <w:rFonts w:asciiTheme="minorHAnsi" w:hAnsiTheme="minorHAnsi"/>
          <w:i/>
        </w:rPr>
        <w:t xml:space="preserve">the </w:t>
      </w:r>
      <w:r w:rsidRPr="00525B39">
        <w:rPr>
          <w:rFonts w:asciiTheme="minorHAnsi" w:hAnsiTheme="minorHAnsi"/>
          <w:i/>
        </w:rPr>
        <w:t>PBAC’s view, see section 7 PBAC outcome.</w:t>
      </w:r>
    </w:p>
    <w:p w:rsidR="00B50DB8" w:rsidRPr="00067969" w:rsidRDefault="00BD6CF3" w:rsidP="00067969">
      <w:pPr>
        <w:pStyle w:val="Heading1"/>
      </w:pPr>
      <w:bookmarkStart w:id="5" w:name="_Toc523405672"/>
      <w:r w:rsidRPr="00067969">
        <w:t>C</w:t>
      </w:r>
      <w:r w:rsidR="00B50DB8" w:rsidRPr="00067969">
        <w:t>onsideration of the evidence</w:t>
      </w:r>
      <w:bookmarkEnd w:id="5"/>
    </w:p>
    <w:p w:rsidR="004B7362" w:rsidRPr="00525B39" w:rsidRDefault="004B7362" w:rsidP="00067969">
      <w:pPr>
        <w:pStyle w:val="Heading2"/>
      </w:pPr>
      <w:bookmarkStart w:id="6" w:name="_Toc523405673"/>
      <w:r w:rsidRPr="00525B39">
        <w:t>Sponsor hearing</w:t>
      </w:r>
    </w:p>
    <w:p w:rsidR="004B7362" w:rsidRPr="00525B39" w:rsidRDefault="004B7362" w:rsidP="004B7362">
      <w:pPr>
        <w:numPr>
          <w:ilvl w:val="1"/>
          <w:numId w:val="3"/>
        </w:numPr>
        <w:spacing w:after="120"/>
        <w:rPr>
          <w:rFonts w:asciiTheme="minorHAnsi" w:hAnsiTheme="minorHAnsi"/>
          <w:bCs/>
        </w:rPr>
      </w:pPr>
      <w:r w:rsidRPr="00525B39">
        <w:rPr>
          <w:rFonts w:asciiTheme="minorHAnsi" w:hAnsiTheme="minorHAnsi"/>
          <w:bCs/>
        </w:rPr>
        <w:t>The</w:t>
      </w:r>
      <w:r w:rsidR="005D110B">
        <w:rPr>
          <w:rFonts w:asciiTheme="minorHAnsi" w:hAnsiTheme="minorHAnsi"/>
          <w:bCs/>
        </w:rPr>
        <w:t>re was no hearing for this item</w:t>
      </w:r>
      <w:r w:rsidRPr="00525B39">
        <w:rPr>
          <w:rFonts w:asciiTheme="minorHAnsi" w:hAnsiTheme="minorHAnsi"/>
          <w:bCs/>
        </w:rPr>
        <w:t>.</w:t>
      </w:r>
    </w:p>
    <w:p w:rsidR="004B7362" w:rsidRPr="00525B39" w:rsidRDefault="004B7362" w:rsidP="00067969">
      <w:pPr>
        <w:pStyle w:val="Heading2"/>
      </w:pPr>
      <w:r w:rsidRPr="00525B39">
        <w:t>Consumer comments</w:t>
      </w:r>
    </w:p>
    <w:p w:rsidR="005D110B" w:rsidRPr="00525B39" w:rsidRDefault="005D110B" w:rsidP="005D110B">
      <w:pPr>
        <w:numPr>
          <w:ilvl w:val="1"/>
          <w:numId w:val="3"/>
        </w:numPr>
        <w:spacing w:after="120"/>
        <w:rPr>
          <w:rFonts w:asciiTheme="minorHAnsi" w:hAnsiTheme="minorHAnsi"/>
          <w:bCs/>
        </w:rPr>
      </w:pPr>
      <w:r w:rsidRPr="00525B39">
        <w:rPr>
          <w:rFonts w:asciiTheme="minorHAnsi" w:hAnsiTheme="minorHAnsi"/>
          <w:bCs/>
        </w:rPr>
        <w:t>The PBAC noted that no consumer comments were received for this item.</w:t>
      </w:r>
    </w:p>
    <w:p w:rsidR="004B7362" w:rsidRPr="005D110B" w:rsidRDefault="004B7362" w:rsidP="004B7362">
      <w:pPr>
        <w:numPr>
          <w:ilvl w:val="1"/>
          <w:numId w:val="3"/>
        </w:numPr>
        <w:spacing w:after="120"/>
        <w:rPr>
          <w:rFonts w:asciiTheme="minorHAnsi" w:hAnsiTheme="minorHAnsi"/>
          <w:bCs/>
        </w:rPr>
      </w:pPr>
      <w:r w:rsidRPr="005D110B">
        <w:rPr>
          <w:rFonts w:asciiTheme="minorHAnsi" w:hAnsiTheme="minorHAnsi"/>
          <w:bCs/>
        </w:rPr>
        <w:t xml:space="preserve">The PBAC noted input from </w:t>
      </w:r>
      <w:r w:rsidR="000B05C6" w:rsidRPr="005D110B">
        <w:rPr>
          <w:rFonts w:asciiTheme="minorHAnsi" w:hAnsiTheme="minorHAnsi"/>
          <w:bCs/>
        </w:rPr>
        <w:t>Eisai (the sponsor for lenvatinib</w:t>
      </w:r>
      <w:r w:rsidR="005D110B" w:rsidRPr="005D110B">
        <w:rPr>
          <w:rFonts w:asciiTheme="minorHAnsi" w:hAnsiTheme="minorHAnsi"/>
          <w:bCs/>
        </w:rPr>
        <w:t xml:space="preserve">) </w:t>
      </w:r>
      <w:r w:rsidR="005E4ED3" w:rsidRPr="005D110B">
        <w:rPr>
          <w:rFonts w:asciiTheme="minorHAnsi" w:hAnsiTheme="minorHAnsi"/>
          <w:bCs/>
        </w:rPr>
        <w:t>request</w:t>
      </w:r>
      <w:r w:rsidR="005D110B" w:rsidRPr="005D110B">
        <w:rPr>
          <w:rFonts w:asciiTheme="minorHAnsi" w:hAnsiTheme="minorHAnsi"/>
          <w:bCs/>
        </w:rPr>
        <w:t>ing</w:t>
      </w:r>
      <w:r w:rsidR="005E4ED3" w:rsidRPr="005D110B">
        <w:rPr>
          <w:rFonts w:asciiTheme="minorHAnsi" w:hAnsiTheme="minorHAnsi"/>
          <w:bCs/>
        </w:rPr>
        <w:t xml:space="preserve"> that regorafenib not be limited to use after initial treatment with sorafenib but rather after progression on or intolerance to</w:t>
      </w:r>
      <w:r w:rsidR="000B05C6" w:rsidRPr="005D110B">
        <w:rPr>
          <w:rFonts w:asciiTheme="minorHAnsi" w:hAnsiTheme="minorHAnsi"/>
          <w:bCs/>
        </w:rPr>
        <w:t xml:space="preserve"> </w:t>
      </w:r>
      <w:r w:rsidR="005E4ED3" w:rsidRPr="005D110B">
        <w:rPr>
          <w:rFonts w:asciiTheme="minorHAnsi" w:hAnsiTheme="minorHAnsi"/>
          <w:bCs/>
        </w:rPr>
        <w:t xml:space="preserve">a first line TKI. The letter also noted that Eisai is currently undertaking a clinical study of initial lenvatinib followed by the treatment of physicians’ choice, including regorafenib, sorafenib or cabozantinib, which would investigate the clinical benefit of sequential use of TKIs. </w:t>
      </w:r>
    </w:p>
    <w:p w:rsidR="005D110B" w:rsidRPr="00CE160F" w:rsidRDefault="005D110B" w:rsidP="005D110B">
      <w:pPr>
        <w:numPr>
          <w:ilvl w:val="1"/>
          <w:numId w:val="3"/>
        </w:numPr>
        <w:spacing w:after="120"/>
        <w:rPr>
          <w:rFonts w:asciiTheme="minorHAnsi" w:hAnsiTheme="minorHAnsi"/>
          <w:bCs/>
        </w:rPr>
      </w:pPr>
      <w:r w:rsidRPr="00CE160F">
        <w:rPr>
          <w:rFonts w:asciiTheme="minorHAnsi" w:hAnsiTheme="minorHAnsi"/>
          <w:bCs/>
        </w:rPr>
        <w:t>The Medical Oncology Group of Australia (MOGA) expressed its strong support for the regorafenib submission</w:t>
      </w:r>
      <w:r w:rsidR="00F223D5">
        <w:rPr>
          <w:rFonts w:asciiTheme="minorHAnsi" w:hAnsiTheme="minorHAnsi"/>
          <w:bCs/>
        </w:rPr>
        <w:t>, categorising it as one of the therapies of “high priority for PBS listing” on the basis of the RESORCE trial</w:t>
      </w:r>
      <w:r w:rsidRPr="00CE160F">
        <w:rPr>
          <w:rFonts w:asciiTheme="minorHAnsi" w:hAnsiTheme="minorHAnsi"/>
          <w:bCs/>
        </w:rPr>
        <w:t>. The PBAC noted that the MOGA presented the European Society for Medical Oncology Magnitude of Clinical Benefit Scale (ESMO-MCBS) for regorafenib, which was limited to 3 (out of a maximum of 5, where 5 and 4 represent the grades with substantial improvement)</w:t>
      </w:r>
      <w:r w:rsidRPr="00CE160F">
        <w:rPr>
          <w:rStyle w:val="FootnoteReference"/>
          <w:rFonts w:asciiTheme="minorHAnsi" w:eastAsiaTheme="minorHAnsi" w:hAnsiTheme="minorHAnsi"/>
          <w:bCs/>
        </w:rPr>
        <w:footnoteReference w:id="1"/>
      </w:r>
      <w:r w:rsidRPr="00CE160F">
        <w:rPr>
          <w:rFonts w:asciiTheme="minorHAnsi" w:hAnsiTheme="minorHAnsi"/>
          <w:bCs/>
        </w:rPr>
        <w:t xml:space="preserve">, based on a comparison with placebo. </w:t>
      </w:r>
    </w:p>
    <w:p w:rsidR="00B60939" w:rsidRPr="00067969" w:rsidRDefault="00B60939" w:rsidP="00067969">
      <w:pPr>
        <w:pStyle w:val="Heading2"/>
      </w:pPr>
      <w:r w:rsidRPr="00067969">
        <w:t>Clinical trials</w:t>
      </w:r>
      <w:bookmarkEnd w:id="6"/>
    </w:p>
    <w:p w:rsidR="006E4D7E" w:rsidRPr="00B50DB8" w:rsidRDefault="006E4D7E" w:rsidP="00687778">
      <w:pPr>
        <w:pStyle w:val="ListParagraph"/>
        <w:widowControl/>
        <w:numPr>
          <w:ilvl w:val="1"/>
          <w:numId w:val="3"/>
        </w:numPr>
      </w:pPr>
      <w:r w:rsidRPr="00A649B0">
        <w:rPr>
          <w:rFonts w:cs="Calibri"/>
          <w:snapToGrid/>
          <w:szCs w:val="24"/>
          <w:lang w:val="en-US" w:eastAsia="en-AU"/>
        </w:rPr>
        <w:t>The</w:t>
      </w:r>
      <w:r w:rsidR="00950607">
        <w:rPr>
          <w:rFonts w:cs="Calibri"/>
          <w:snapToGrid/>
          <w:szCs w:val="24"/>
          <w:lang w:val="en-US" w:eastAsia="en-AU"/>
        </w:rPr>
        <w:t xml:space="preserve"> resubmission</w:t>
      </w:r>
      <w:r w:rsidRPr="00A649B0">
        <w:rPr>
          <w:rFonts w:cs="Calibri"/>
          <w:snapToGrid/>
          <w:szCs w:val="24"/>
          <w:lang w:val="en-US" w:eastAsia="en-AU"/>
        </w:rPr>
        <w:t xml:space="preserve"> </w:t>
      </w:r>
      <w:r>
        <w:rPr>
          <w:rFonts w:cs="Calibri"/>
          <w:snapToGrid/>
          <w:szCs w:val="24"/>
          <w:lang w:val="en-US" w:eastAsia="en-AU"/>
        </w:rPr>
        <w:t>wa</w:t>
      </w:r>
      <w:r w:rsidRPr="00A649B0">
        <w:rPr>
          <w:rFonts w:cs="Calibri"/>
          <w:snapToGrid/>
          <w:szCs w:val="24"/>
          <w:lang w:val="en-US" w:eastAsia="en-AU"/>
        </w:rPr>
        <w:t>s based on one head</w:t>
      </w:r>
      <w:r w:rsidR="002A4BD8">
        <w:rPr>
          <w:rFonts w:cs="Calibri"/>
          <w:snapToGrid/>
          <w:szCs w:val="24"/>
          <w:lang w:val="en-US" w:eastAsia="en-AU"/>
        </w:rPr>
        <w:t xml:space="preserve"> </w:t>
      </w:r>
      <w:r w:rsidRPr="00A649B0">
        <w:rPr>
          <w:rFonts w:cs="Calibri"/>
          <w:snapToGrid/>
          <w:szCs w:val="24"/>
          <w:lang w:val="en-US" w:eastAsia="en-AU"/>
        </w:rPr>
        <w:t>to</w:t>
      </w:r>
      <w:r w:rsidR="002A4BD8">
        <w:rPr>
          <w:rFonts w:cs="Calibri"/>
          <w:snapToGrid/>
          <w:szCs w:val="24"/>
          <w:lang w:val="en-US" w:eastAsia="en-AU"/>
        </w:rPr>
        <w:t xml:space="preserve"> </w:t>
      </w:r>
      <w:r w:rsidRPr="00A649B0">
        <w:rPr>
          <w:rFonts w:cs="Calibri"/>
          <w:snapToGrid/>
          <w:szCs w:val="24"/>
          <w:lang w:val="en-US" w:eastAsia="en-AU"/>
        </w:rPr>
        <w:t xml:space="preserve">head trial comparing </w:t>
      </w:r>
      <w:r>
        <w:rPr>
          <w:rFonts w:cs="Calibri"/>
          <w:snapToGrid/>
          <w:szCs w:val="24"/>
          <w:lang w:val="en-US" w:eastAsia="en-AU"/>
        </w:rPr>
        <w:t>regorafenib</w:t>
      </w:r>
      <w:r w:rsidRPr="00A649B0">
        <w:rPr>
          <w:rFonts w:cs="Calibri"/>
          <w:snapToGrid/>
          <w:szCs w:val="24"/>
          <w:lang w:val="en-US" w:eastAsia="en-AU"/>
        </w:rPr>
        <w:t xml:space="preserve"> </w:t>
      </w:r>
      <w:r>
        <w:rPr>
          <w:rFonts w:cs="Calibri"/>
          <w:snapToGrid/>
          <w:szCs w:val="24"/>
          <w:lang w:val="en-US" w:eastAsia="en-AU"/>
        </w:rPr>
        <w:t xml:space="preserve">with BSC, RESORCE trial </w:t>
      </w:r>
      <w:r w:rsidRPr="00A649B0">
        <w:rPr>
          <w:rFonts w:cs="Calibri"/>
          <w:snapToGrid/>
          <w:szCs w:val="24"/>
          <w:lang w:val="en-US" w:eastAsia="en-AU"/>
        </w:rPr>
        <w:t>(n=</w:t>
      </w:r>
      <w:r>
        <w:rPr>
          <w:rFonts w:cs="Calibri"/>
          <w:snapToGrid/>
          <w:szCs w:val="24"/>
          <w:lang w:val="en-US" w:eastAsia="en-AU"/>
        </w:rPr>
        <w:t>573</w:t>
      </w:r>
      <w:r w:rsidRPr="00A649B0">
        <w:rPr>
          <w:rFonts w:cs="Calibri"/>
          <w:snapToGrid/>
          <w:szCs w:val="24"/>
          <w:lang w:val="en-US" w:eastAsia="en-AU"/>
        </w:rPr>
        <w:t>)</w:t>
      </w:r>
      <w:r>
        <w:rPr>
          <w:rFonts w:cs="Calibri"/>
          <w:snapToGrid/>
          <w:szCs w:val="24"/>
          <w:lang w:val="en-US" w:eastAsia="en-AU"/>
        </w:rPr>
        <w:t xml:space="preserve">. </w:t>
      </w:r>
      <w:r w:rsidRPr="00E120A1">
        <w:rPr>
          <w:rFonts w:cs="Calibri"/>
          <w:snapToGrid/>
          <w:szCs w:val="24"/>
          <w:lang w:val="en-US" w:eastAsia="en-AU"/>
        </w:rPr>
        <w:t>Details of the trial presented in the</w:t>
      </w:r>
      <w:r w:rsidR="00950607">
        <w:rPr>
          <w:rFonts w:cs="Calibri"/>
          <w:snapToGrid/>
          <w:szCs w:val="24"/>
          <w:lang w:val="en-US" w:eastAsia="en-AU"/>
        </w:rPr>
        <w:t xml:space="preserve"> resubmission</w:t>
      </w:r>
      <w:r w:rsidRPr="00E120A1">
        <w:rPr>
          <w:rFonts w:cs="Calibri"/>
          <w:snapToGrid/>
          <w:szCs w:val="24"/>
          <w:lang w:val="en-US" w:eastAsia="en-AU"/>
        </w:rPr>
        <w:t xml:space="preserve"> are provided in </w:t>
      </w:r>
      <w:r w:rsidR="00C068D6">
        <w:rPr>
          <w:rFonts w:cs="Calibri"/>
          <w:snapToGrid/>
          <w:szCs w:val="24"/>
          <w:lang w:val="en-US" w:eastAsia="en-AU"/>
        </w:rPr>
        <w:t>Table 3</w:t>
      </w:r>
      <w:r w:rsidRPr="00E120A1">
        <w:rPr>
          <w:rFonts w:cs="Calibri"/>
          <w:snapToGrid/>
          <w:szCs w:val="24"/>
          <w:lang w:val="en-US" w:eastAsia="en-AU"/>
        </w:rPr>
        <w:t xml:space="preserve">. </w:t>
      </w:r>
      <w:r w:rsidR="00C068D6">
        <w:rPr>
          <w:rFonts w:cs="Calibri"/>
          <w:snapToGrid/>
          <w:szCs w:val="24"/>
          <w:lang w:val="en-US" w:eastAsia="en-AU"/>
        </w:rPr>
        <w:t xml:space="preserve">The resubmission noted that this has been published in 25 publications (see </w:t>
      </w:r>
      <w:r w:rsidR="00C068D6" w:rsidRPr="00C068D6">
        <w:rPr>
          <w:rFonts w:cs="Calibri"/>
          <w:snapToGrid/>
          <w:szCs w:val="24"/>
          <w:lang w:val="en-US" w:eastAsia="en-AU"/>
        </w:rPr>
        <w:t>Table 2-10, p. 50-52 of the resubmission</w:t>
      </w:r>
      <w:r w:rsidR="00C068D6">
        <w:rPr>
          <w:rFonts w:cs="Calibri"/>
          <w:snapToGrid/>
          <w:szCs w:val="24"/>
          <w:lang w:val="en-US" w:eastAsia="en-AU"/>
        </w:rPr>
        <w:t xml:space="preserve"> for details)</w:t>
      </w:r>
      <w:r w:rsidR="00C068D6" w:rsidRPr="00C068D6">
        <w:rPr>
          <w:rFonts w:cs="Calibri"/>
          <w:snapToGrid/>
          <w:szCs w:val="24"/>
          <w:lang w:val="en-US" w:eastAsia="en-AU"/>
        </w:rPr>
        <w:t xml:space="preserve">. </w:t>
      </w:r>
    </w:p>
    <w:p w:rsidR="006E4D7E" w:rsidRDefault="006E4D7E" w:rsidP="00687778">
      <w:pPr>
        <w:keepNext/>
        <w:widowControl/>
        <w:rPr>
          <w:rStyle w:val="CommentReference"/>
        </w:rPr>
      </w:pPr>
      <w:r w:rsidRPr="00A4423C">
        <w:rPr>
          <w:rStyle w:val="CommentReference"/>
        </w:rPr>
        <w:lastRenderedPageBreak/>
        <w:t xml:space="preserve">Table </w:t>
      </w:r>
      <w:r w:rsidR="00304DC0" w:rsidRPr="00A4423C">
        <w:rPr>
          <w:rStyle w:val="CommentReference"/>
        </w:rPr>
        <w:t>3</w:t>
      </w:r>
      <w:r w:rsidRPr="00A4423C">
        <w:rPr>
          <w:rStyle w:val="CommentReference"/>
        </w:rPr>
        <w:t>: Trials</w:t>
      </w:r>
      <w:r w:rsidRPr="00030CF0">
        <w:rPr>
          <w:rStyle w:val="CommentReference"/>
        </w:rPr>
        <w:t xml:space="preserve"> and associated reports presented in the</w:t>
      </w:r>
      <w:r w:rsidR="00950607">
        <w:rPr>
          <w:rStyle w:val="CommentReference"/>
        </w:rPr>
        <w:t xml:space="preserv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091"/>
        <w:gridCol w:w="2797"/>
      </w:tblGrid>
      <w:tr w:rsidR="006E4D7E" w:rsidRPr="00110240" w:rsidTr="00AA35DC">
        <w:trPr>
          <w:tblHeader/>
        </w:trPr>
        <w:tc>
          <w:tcPr>
            <w:tcW w:w="626" w:type="pct"/>
            <w:vAlign w:val="center"/>
          </w:tcPr>
          <w:p w:rsidR="006E4D7E" w:rsidRPr="00110240" w:rsidRDefault="006E4D7E" w:rsidP="00687778">
            <w:pPr>
              <w:keepNext/>
              <w:widowControl/>
              <w:jc w:val="left"/>
              <w:rPr>
                <w:rFonts w:ascii="Arial Narrow" w:hAnsi="Arial Narrow" w:cs="Times New Roman"/>
                <w:b/>
                <w:snapToGrid/>
                <w:sz w:val="20"/>
              </w:rPr>
            </w:pPr>
            <w:r w:rsidRPr="00110240">
              <w:rPr>
                <w:rFonts w:ascii="Arial Narrow" w:hAnsi="Arial Narrow" w:cs="Times New Roman"/>
                <w:b/>
                <w:snapToGrid/>
                <w:sz w:val="20"/>
              </w:rPr>
              <w:t>Trial ID</w:t>
            </w:r>
          </w:p>
        </w:tc>
        <w:tc>
          <w:tcPr>
            <w:tcW w:w="2823" w:type="pct"/>
            <w:vAlign w:val="center"/>
          </w:tcPr>
          <w:p w:rsidR="006E4D7E" w:rsidRPr="00110240" w:rsidRDefault="006E4D7E" w:rsidP="00687778">
            <w:pPr>
              <w:keepNext/>
              <w:widowControl/>
              <w:jc w:val="center"/>
              <w:rPr>
                <w:rFonts w:ascii="Arial Narrow" w:hAnsi="Arial Narrow" w:cs="Times New Roman"/>
                <w:b/>
                <w:snapToGrid/>
                <w:sz w:val="20"/>
              </w:rPr>
            </w:pPr>
            <w:r w:rsidRPr="00110240">
              <w:rPr>
                <w:rFonts w:ascii="Arial Narrow" w:hAnsi="Arial Narrow" w:cs="Times New Roman"/>
                <w:b/>
                <w:snapToGrid/>
                <w:sz w:val="20"/>
              </w:rPr>
              <w:t>Protocol title/ Publication title</w:t>
            </w:r>
          </w:p>
        </w:tc>
        <w:tc>
          <w:tcPr>
            <w:tcW w:w="1551" w:type="pct"/>
            <w:vAlign w:val="center"/>
          </w:tcPr>
          <w:p w:rsidR="006E4D7E" w:rsidRPr="00110240" w:rsidRDefault="006E4D7E" w:rsidP="00687778">
            <w:pPr>
              <w:keepNext/>
              <w:widowControl/>
              <w:jc w:val="center"/>
              <w:rPr>
                <w:rFonts w:ascii="Arial Narrow" w:hAnsi="Arial Narrow" w:cs="Times New Roman"/>
                <w:b/>
                <w:snapToGrid/>
                <w:sz w:val="20"/>
              </w:rPr>
            </w:pPr>
            <w:r w:rsidRPr="00110240">
              <w:rPr>
                <w:rFonts w:ascii="Arial Narrow" w:hAnsi="Arial Narrow" w:cs="Times New Roman"/>
                <w:b/>
                <w:snapToGrid/>
                <w:sz w:val="20"/>
              </w:rPr>
              <w:t>Publication citation</w:t>
            </w:r>
          </w:p>
        </w:tc>
      </w:tr>
      <w:tr w:rsidR="00293410" w:rsidRPr="00110240" w:rsidTr="00AA35DC">
        <w:tc>
          <w:tcPr>
            <w:tcW w:w="626" w:type="pct"/>
            <w:vMerge w:val="restart"/>
            <w:vAlign w:val="center"/>
          </w:tcPr>
          <w:p w:rsidR="00293410" w:rsidRPr="00110240" w:rsidRDefault="00293410" w:rsidP="00687778">
            <w:pPr>
              <w:keepNext/>
              <w:widowControl/>
              <w:jc w:val="center"/>
              <w:rPr>
                <w:rFonts w:ascii="Arial Narrow" w:hAnsi="Arial Narrow" w:cs="Times New Roman"/>
                <w:snapToGrid/>
                <w:sz w:val="20"/>
              </w:rPr>
            </w:pPr>
            <w:r>
              <w:rPr>
                <w:rFonts w:ascii="Arial Narrow" w:hAnsi="Arial Narrow" w:cs="Times New Roman"/>
                <w:snapToGrid/>
                <w:sz w:val="20"/>
              </w:rPr>
              <w:t>RESORCE</w:t>
            </w:r>
          </w:p>
        </w:tc>
        <w:tc>
          <w:tcPr>
            <w:tcW w:w="2823" w:type="pct"/>
            <w:vAlign w:val="center"/>
          </w:tcPr>
          <w:p w:rsidR="00293410" w:rsidRPr="00110240" w:rsidRDefault="00293410" w:rsidP="00687778">
            <w:pPr>
              <w:keepNext/>
              <w:widowControl/>
              <w:jc w:val="left"/>
              <w:rPr>
                <w:rFonts w:ascii="Arial Narrow" w:hAnsi="Arial Narrow" w:cs="Times New Roman"/>
                <w:snapToGrid/>
                <w:sz w:val="20"/>
                <w:szCs w:val="18"/>
              </w:rPr>
            </w:pPr>
            <w:r w:rsidRPr="00110240">
              <w:rPr>
                <w:rFonts w:ascii="Arial Narrow" w:hAnsi="Arial Narrow" w:cs="Times New Roman"/>
                <w:snapToGrid/>
                <w:sz w:val="20"/>
                <w:szCs w:val="18"/>
              </w:rPr>
              <w:t>A randomi</w:t>
            </w:r>
            <w:r>
              <w:rPr>
                <w:rFonts w:ascii="Arial Narrow" w:hAnsi="Arial Narrow" w:cs="Times New Roman"/>
                <w:snapToGrid/>
                <w:sz w:val="20"/>
                <w:szCs w:val="18"/>
              </w:rPr>
              <w:t>s</w:t>
            </w:r>
            <w:r w:rsidRPr="00110240">
              <w:rPr>
                <w:rFonts w:ascii="Arial Narrow" w:hAnsi="Arial Narrow" w:cs="Times New Roman"/>
                <w:snapToGrid/>
                <w:sz w:val="20"/>
                <w:szCs w:val="18"/>
              </w:rPr>
              <w:t xml:space="preserve">ed, double blind, placebo-controlled, multicenter phase III study of regorafenib in patients with hepatocellular carcinoma (HCC) after sorafenib </w:t>
            </w:r>
          </w:p>
        </w:tc>
        <w:tc>
          <w:tcPr>
            <w:tcW w:w="1551" w:type="pct"/>
            <w:vAlign w:val="center"/>
          </w:tcPr>
          <w:p w:rsidR="00293410" w:rsidRPr="00110240" w:rsidRDefault="00293410" w:rsidP="00687778">
            <w:pPr>
              <w:keepNext/>
              <w:widowControl/>
              <w:jc w:val="left"/>
              <w:rPr>
                <w:rFonts w:ascii="Arial Narrow" w:hAnsi="Arial Narrow" w:cs="Times New Roman"/>
                <w:snapToGrid/>
                <w:sz w:val="20"/>
                <w:szCs w:val="18"/>
              </w:rPr>
            </w:pPr>
            <w:r w:rsidRPr="00110240">
              <w:rPr>
                <w:rFonts w:ascii="Arial Narrow" w:hAnsi="Arial Narrow" w:cs="Times New Roman"/>
                <w:snapToGrid/>
                <w:sz w:val="20"/>
                <w:szCs w:val="18"/>
              </w:rPr>
              <w:t>Bayer Healthcare AG: Clinical Study Report:</w:t>
            </w:r>
          </w:p>
          <w:p w:rsidR="00293410" w:rsidRPr="00110240" w:rsidRDefault="00293410" w:rsidP="00687778">
            <w:pPr>
              <w:keepNext/>
              <w:widowControl/>
              <w:jc w:val="left"/>
              <w:rPr>
                <w:rFonts w:ascii="Arial Narrow" w:hAnsi="Arial Narrow" w:cs="Times New Roman"/>
                <w:snapToGrid/>
                <w:sz w:val="20"/>
                <w:szCs w:val="18"/>
              </w:rPr>
            </w:pPr>
            <w:r w:rsidRPr="00110240">
              <w:rPr>
                <w:rFonts w:ascii="Arial Narrow" w:hAnsi="Arial Narrow" w:cs="Times New Roman"/>
                <w:snapToGrid/>
                <w:sz w:val="20"/>
                <w:szCs w:val="18"/>
              </w:rPr>
              <w:t>23 September 2016</w:t>
            </w:r>
          </w:p>
          <w:p w:rsidR="00293410" w:rsidRPr="00110240" w:rsidRDefault="00293410" w:rsidP="00687778">
            <w:pPr>
              <w:keepNext/>
              <w:widowControl/>
              <w:jc w:val="left"/>
              <w:rPr>
                <w:rFonts w:ascii="Arial Narrow" w:hAnsi="Arial Narrow" w:cs="Times New Roman"/>
                <w:snapToGrid/>
                <w:sz w:val="20"/>
                <w:szCs w:val="18"/>
              </w:rPr>
            </w:pPr>
            <w:r w:rsidRPr="00110240">
              <w:rPr>
                <w:rFonts w:ascii="Arial Narrow" w:hAnsi="Arial Narrow" w:cs="Times New Roman"/>
                <w:snapToGrid/>
                <w:sz w:val="20"/>
                <w:szCs w:val="18"/>
              </w:rPr>
              <w:t>ClinicalTrials.gov identifier: NCT01774344</w:t>
            </w:r>
          </w:p>
          <w:p w:rsidR="00293410" w:rsidRPr="00110240" w:rsidRDefault="00293410" w:rsidP="00687778">
            <w:pPr>
              <w:keepNext/>
              <w:widowControl/>
              <w:jc w:val="left"/>
              <w:rPr>
                <w:rFonts w:ascii="Arial Narrow" w:hAnsi="Arial Narrow" w:cs="Times New Roman"/>
                <w:snapToGrid/>
                <w:sz w:val="20"/>
                <w:szCs w:val="18"/>
              </w:rPr>
            </w:pPr>
          </w:p>
          <w:p w:rsidR="00293410" w:rsidRPr="00744707" w:rsidRDefault="00293410" w:rsidP="00687778">
            <w:pPr>
              <w:keepNext/>
              <w:widowControl/>
              <w:jc w:val="left"/>
              <w:rPr>
                <w:rFonts w:ascii="Arial Narrow" w:hAnsi="Arial Narrow" w:cs="Times New Roman"/>
                <w:snapToGrid/>
                <w:sz w:val="20"/>
                <w:szCs w:val="18"/>
              </w:rPr>
            </w:pPr>
            <w:r w:rsidRPr="00744707">
              <w:rPr>
                <w:rFonts w:ascii="Arial Narrow" w:hAnsi="Arial Narrow" w:cs="Times New Roman"/>
                <w:snapToGrid/>
                <w:sz w:val="20"/>
                <w:szCs w:val="18"/>
              </w:rPr>
              <w:t>Clinical study report cut-off 23 January 2017.</w:t>
            </w:r>
          </w:p>
        </w:tc>
      </w:tr>
      <w:tr w:rsidR="00293410" w:rsidRPr="00110240" w:rsidTr="00AA35DC">
        <w:tc>
          <w:tcPr>
            <w:tcW w:w="626" w:type="pct"/>
            <w:vMerge/>
            <w:vAlign w:val="center"/>
          </w:tcPr>
          <w:p w:rsidR="00293410" w:rsidRDefault="00293410" w:rsidP="00687778">
            <w:pPr>
              <w:keepNext/>
              <w:widowControl/>
              <w:jc w:val="center"/>
              <w:rPr>
                <w:rFonts w:ascii="Arial Narrow" w:hAnsi="Arial Narrow" w:cs="Times New Roman"/>
                <w:snapToGrid/>
                <w:sz w:val="20"/>
              </w:rPr>
            </w:pPr>
          </w:p>
        </w:tc>
        <w:tc>
          <w:tcPr>
            <w:tcW w:w="2823" w:type="pct"/>
            <w:vAlign w:val="center"/>
          </w:tcPr>
          <w:p w:rsidR="00293410" w:rsidRDefault="00293410" w:rsidP="00687778">
            <w:pPr>
              <w:keepNext/>
              <w:widowControl/>
              <w:jc w:val="left"/>
              <w:rPr>
                <w:rFonts w:ascii="Arial Narrow" w:hAnsi="Arial Narrow" w:cs="Times New Roman"/>
                <w:snapToGrid/>
                <w:sz w:val="20"/>
                <w:szCs w:val="18"/>
              </w:rPr>
            </w:pPr>
            <w:r>
              <w:rPr>
                <w:rFonts w:ascii="Arial Narrow" w:hAnsi="Arial Narrow" w:cs="Times New Roman"/>
                <w:snapToGrid/>
                <w:sz w:val="20"/>
                <w:szCs w:val="18"/>
              </w:rPr>
              <w:t xml:space="preserve">Key publication: </w:t>
            </w:r>
          </w:p>
          <w:p w:rsidR="00293410" w:rsidRPr="00110240" w:rsidRDefault="00293410" w:rsidP="00687778">
            <w:pPr>
              <w:keepNext/>
              <w:widowControl/>
              <w:jc w:val="left"/>
              <w:rPr>
                <w:rFonts w:ascii="Arial Narrow" w:hAnsi="Arial Narrow" w:cs="Times New Roman"/>
                <w:snapToGrid/>
                <w:sz w:val="20"/>
                <w:szCs w:val="18"/>
              </w:rPr>
            </w:pPr>
            <w:r w:rsidRPr="00293410">
              <w:rPr>
                <w:rFonts w:ascii="Arial Narrow" w:hAnsi="Arial Narrow" w:cs="Times New Roman"/>
                <w:snapToGrid/>
                <w:sz w:val="20"/>
                <w:szCs w:val="18"/>
              </w:rPr>
              <w:t xml:space="preserve">Regorafenib for patients with hepatocellular carcinoma who progressed on sorafenib treatment (RESORCE): a randomised, double-blind, placebo-controlled, phase 3 trial. </w:t>
            </w:r>
          </w:p>
        </w:tc>
        <w:tc>
          <w:tcPr>
            <w:tcW w:w="1551" w:type="pct"/>
            <w:vAlign w:val="center"/>
          </w:tcPr>
          <w:p w:rsidR="00293410" w:rsidRPr="00110240" w:rsidRDefault="00293410" w:rsidP="00687778">
            <w:pPr>
              <w:keepNext/>
              <w:widowControl/>
              <w:jc w:val="left"/>
              <w:rPr>
                <w:rFonts w:ascii="Arial Narrow" w:hAnsi="Arial Narrow" w:cs="Times New Roman"/>
                <w:snapToGrid/>
                <w:sz w:val="20"/>
                <w:szCs w:val="18"/>
              </w:rPr>
            </w:pPr>
            <w:proofErr w:type="spellStart"/>
            <w:r>
              <w:rPr>
                <w:rFonts w:ascii="Arial Narrow" w:hAnsi="Arial Narrow" w:cs="Times New Roman"/>
                <w:snapToGrid/>
                <w:sz w:val="20"/>
                <w:szCs w:val="18"/>
              </w:rPr>
              <w:t>Bruix</w:t>
            </w:r>
            <w:proofErr w:type="spellEnd"/>
            <w:r w:rsidRPr="00293410">
              <w:rPr>
                <w:rFonts w:ascii="Arial Narrow" w:hAnsi="Arial Narrow" w:cs="Times New Roman"/>
                <w:snapToGrid/>
                <w:sz w:val="20"/>
                <w:szCs w:val="18"/>
              </w:rPr>
              <w:t xml:space="preserve"> J</w:t>
            </w:r>
            <w:r>
              <w:rPr>
                <w:rFonts w:ascii="Arial Narrow" w:hAnsi="Arial Narrow" w:cs="Times New Roman"/>
                <w:snapToGrid/>
                <w:sz w:val="20"/>
                <w:szCs w:val="18"/>
              </w:rPr>
              <w:t xml:space="preserve"> et al. </w:t>
            </w:r>
            <w:r w:rsidRPr="00293410">
              <w:rPr>
                <w:rFonts w:ascii="Arial Narrow" w:hAnsi="Arial Narrow" w:cs="Times New Roman"/>
                <w:snapToGrid/>
                <w:sz w:val="20"/>
                <w:szCs w:val="18"/>
              </w:rPr>
              <w:t xml:space="preserve"> 2017. Lancet, 389, 56-66.</w:t>
            </w:r>
          </w:p>
        </w:tc>
      </w:tr>
    </w:tbl>
    <w:p w:rsidR="006E4D7E" w:rsidRDefault="006E4D7E" w:rsidP="00687778">
      <w:pPr>
        <w:widowControl/>
        <w:rPr>
          <w:rFonts w:ascii="Arial Narrow" w:hAnsi="Arial Narrow"/>
          <w:sz w:val="18"/>
        </w:rPr>
      </w:pPr>
      <w:r w:rsidRPr="00110240">
        <w:rPr>
          <w:rFonts w:ascii="Arial Narrow" w:hAnsi="Arial Narrow"/>
          <w:sz w:val="18"/>
        </w:rPr>
        <w:t xml:space="preserve">Source: Table 2-10, p. 50-52 of the resubmission. </w:t>
      </w:r>
    </w:p>
    <w:p w:rsidR="006E4D7E" w:rsidRPr="00AA35DC" w:rsidRDefault="006E4D7E" w:rsidP="00687778">
      <w:pPr>
        <w:widowControl/>
        <w:rPr>
          <w:rFonts w:ascii="Arial Narrow" w:hAnsi="Arial Narrow"/>
          <w:sz w:val="20"/>
          <w:szCs w:val="20"/>
        </w:rPr>
      </w:pPr>
    </w:p>
    <w:p w:rsidR="006E4D7E" w:rsidRDefault="006E4D7E" w:rsidP="00687778">
      <w:pPr>
        <w:pStyle w:val="ListParagraph"/>
        <w:widowControl/>
        <w:numPr>
          <w:ilvl w:val="1"/>
          <w:numId w:val="3"/>
        </w:numPr>
      </w:pPr>
      <w:r w:rsidRPr="00B50DB8">
        <w:t xml:space="preserve">The key features of the direct randomised trial are summarised in </w:t>
      </w:r>
      <w:r w:rsidR="00504303">
        <w:t>Table 4</w:t>
      </w:r>
      <w:r w:rsidRPr="00B50DB8">
        <w:t xml:space="preserve">.  </w:t>
      </w:r>
    </w:p>
    <w:p w:rsidR="006E4D7E" w:rsidRPr="00030CF0" w:rsidRDefault="006E4D7E" w:rsidP="00687778">
      <w:pPr>
        <w:widowControl/>
        <w:rPr>
          <w:rStyle w:val="CommentReference"/>
        </w:rPr>
      </w:pPr>
      <w:r w:rsidRPr="00030CF0">
        <w:rPr>
          <w:rStyle w:val="CommentReference"/>
        </w:rPr>
        <w:t xml:space="preserve">Table </w:t>
      </w:r>
      <w:r w:rsidR="00304DC0">
        <w:rPr>
          <w:rStyle w:val="CommentReference"/>
        </w:rPr>
        <w:t>4</w:t>
      </w:r>
      <w:r w:rsidRPr="00030CF0">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6"/>
        <w:gridCol w:w="710"/>
        <w:gridCol w:w="2123"/>
        <w:gridCol w:w="693"/>
        <w:gridCol w:w="1546"/>
        <w:gridCol w:w="1122"/>
        <w:gridCol w:w="1697"/>
      </w:tblGrid>
      <w:tr w:rsidR="006E4D7E" w:rsidRPr="00B41614" w:rsidTr="00C879A2">
        <w:tc>
          <w:tcPr>
            <w:tcW w:w="625" w:type="pct"/>
            <w:shd w:val="clear" w:color="auto" w:fill="auto"/>
            <w:vAlign w:val="center"/>
          </w:tcPr>
          <w:p w:rsidR="006E4D7E" w:rsidRPr="00B41614" w:rsidRDefault="006E4D7E" w:rsidP="00687778">
            <w:pPr>
              <w:pStyle w:val="Tabletext"/>
              <w:rPr>
                <w:b/>
                <w:lang w:val="en-US"/>
              </w:rPr>
            </w:pPr>
            <w:r w:rsidRPr="00B41614">
              <w:rPr>
                <w:b/>
                <w:lang w:val="en-US"/>
              </w:rPr>
              <w:t>Trial</w:t>
            </w:r>
          </w:p>
        </w:tc>
        <w:tc>
          <w:tcPr>
            <w:tcW w:w="394" w:type="pct"/>
            <w:shd w:val="clear" w:color="auto" w:fill="auto"/>
            <w:vAlign w:val="center"/>
          </w:tcPr>
          <w:p w:rsidR="006E4D7E" w:rsidRPr="00B41614" w:rsidRDefault="006E4D7E" w:rsidP="00687778">
            <w:pPr>
              <w:pStyle w:val="Tabletext"/>
              <w:jc w:val="center"/>
              <w:rPr>
                <w:b/>
                <w:lang w:val="en-US"/>
              </w:rPr>
            </w:pPr>
            <w:r w:rsidRPr="00B41614">
              <w:rPr>
                <w:b/>
                <w:lang w:val="en-US"/>
              </w:rPr>
              <w:t>N</w:t>
            </w:r>
          </w:p>
        </w:tc>
        <w:tc>
          <w:tcPr>
            <w:tcW w:w="1177" w:type="pct"/>
            <w:shd w:val="clear" w:color="auto" w:fill="auto"/>
            <w:vAlign w:val="center"/>
          </w:tcPr>
          <w:p w:rsidR="006E4D7E" w:rsidRPr="00B41614" w:rsidRDefault="006E4D7E" w:rsidP="00687778">
            <w:pPr>
              <w:pStyle w:val="Tabletext"/>
              <w:jc w:val="center"/>
              <w:rPr>
                <w:b/>
                <w:lang w:val="en-US"/>
              </w:rPr>
            </w:pPr>
            <w:r w:rsidRPr="00B41614">
              <w:rPr>
                <w:b/>
                <w:lang w:val="en-US"/>
              </w:rPr>
              <w:t>Design/ duration</w:t>
            </w:r>
          </w:p>
        </w:tc>
        <w:tc>
          <w:tcPr>
            <w:tcW w:w="384" w:type="pct"/>
            <w:shd w:val="clear" w:color="auto" w:fill="auto"/>
            <w:vAlign w:val="center"/>
          </w:tcPr>
          <w:p w:rsidR="006E4D7E" w:rsidRPr="00B41614" w:rsidRDefault="006E4D7E" w:rsidP="00687778">
            <w:pPr>
              <w:pStyle w:val="Tabletext"/>
              <w:jc w:val="center"/>
              <w:rPr>
                <w:b/>
                <w:lang w:val="en-US"/>
              </w:rPr>
            </w:pPr>
            <w:r w:rsidRPr="00B41614">
              <w:rPr>
                <w:b/>
                <w:lang w:val="en-US"/>
              </w:rPr>
              <w:t>Risk of bias</w:t>
            </w:r>
          </w:p>
        </w:tc>
        <w:tc>
          <w:tcPr>
            <w:tcW w:w="857" w:type="pct"/>
            <w:shd w:val="clear" w:color="auto" w:fill="auto"/>
            <w:vAlign w:val="center"/>
          </w:tcPr>
          <w:p w:rsidR="006E4D7E" w:rsidRPr="00B41614" w:rsidRDefault="006E4D7E" w:rsidP="00687778">
            <w:pPr>
              <w:pStyle w:val="Tabletext"/>
              <w:jc w:val="center"/>
              <w:rPr>
                <w:b/>
                <w:lang w:val="en-US"/>
              </w:rPr>
            </w:pPr>
            <w:r w:rsidRPr="00B41614">
              <w:rPr>
                <w:b/>
                <w:lang w:val="en-US"/>
              </w:rPr>
              <w:t>Patient population</w:t>
            </w:r>
          </w:p>
        </w:tc>
        <w:tc>
          <w:tcPr>
            <w:tcW w:w="622" w:type="pct"/>
            <w:shd w:val="clear" w:color="auto" w:fill="auto"/>
            <w:vAlign w:val="center"/>
          </w:tcPr>
          <w:p w:rsidR="006E4D7E" w:rsidRPr="00B41614" w:rsidRDefault="006E4D7E" w:rsidP="00687778">
            <w:pPr>
              <w:pStyle w:val="Tabletext"/>
              <w:jc w:val="center"/>
              <w:rPr>
                <w:b/>
                <w:lang w:val="en-US"/>
              </w:rPr>
            </w:pPr>
            <w:r w:rsidRPr="00B41614">
              <w:rPr>
                <w:b/>
                <w:lang w:val="en-US"/>
              </w:rPr>
              <w:t>Outcome(s)</w:t>
            </w:r>
          </w:p>
        </w:tc>
        <w:tc>
          <w:tcPr>
            <w:tcW w:w="940" w:type="pct"/>
            <w:shd w:val="clear" w:color="auto" w:fill="auto"/>
            <w:vAlign w:val="center"/>
          </w:tcPr>
          <w:p w:rsidR="006E4D7E" w:rsidRPr="00B41614" w:rsidRDefault="006E4D7E" w:rsidP="00687778">
            <w:pPr>
              <w:pStyle w:val="Tabletext"/>
              <w:jc w:val="center"/>
              <w:rPr>
                <w:b/>
                <w:lang w:val="en-US"/>
              </w:rPr>
            </w:pPr>
            <w:r w:rsidRPr="00B41614">
              <w:rPr>
                <w:b/>
                <w:lang w:val="en-US"/>
              </w:rPr>
              <w:t>Use in modelled evaluation</w:t>
            </w:r>
          </w:p>
        </w:tc>
      </w:tr>
      <w:tr w:rsidR="006E4D7E" w:rsidRPr="00E2771E" w:rsidTr="005D0578">
        <w:tc>
          <w:tcPr>
            <w:tcW w:w="5000" w:type="pct"/>
            <w:gridSpan w:val="7"/>
            <w:shd w:val="clear" w:color="auto" w:fill="auto"/>
            <w:vAlign w:val="center"/>
          </w:tcPr>
          <w:p w:rsidR="006E4D7E" w:rsidRPr="00B41614" w:rsidRDefault="006E4D7E" w:rsidP="00687778">
            <w:pPr>
              <w:pStyle w:val="Tabletext"/>
              <w:rPr>
                <w:b/>
                <w:lang w:val="en-US"/>
              </w:rPr>
            </w:pPr>
            <w:r>
              <w:rPr>
                <w:b/>
                <w:lang w:val="en-US"/>
              </w:rPr>
              <w:t>Regorafenib</w:t>
            </w:r>
            <w:r w:rsidRPr="00B41614">
              <w:rPr>
                <w:b/>
                <w:lang w:val="en-US"/>
              </w:rPr>
              <w:t xml:space="preserve"> vs. </w:t>
            </w:r>
            <w:r>
              <w:rPr>
                <w:b/>
                <w:lang w:val="en-US"/>
              </w:rPr>
              <w:t>BSC</w:t>
            </w:r>
          </w:p>
        </w:tc>
      </w:tr>
      <w:tr w:rsidR="006E4D7E" w:rsidRPr="00E2771E" w:rsidTr="00744707">
        <w:tc>
          <w:tcPr>
            <w:tcW w:w="625" w:type="pct"/>
            <w:shd w:val="clear" w:color="auto" w:fill="auto"/>
            <w:vAlign w:val="center"/>
          </w:tcPr>
          <w:p w:rsidR="006E4D7E" w:rsidRPr="00744707" w:rsidRDefault="006E4D7E" w:rsidP="00687778">
            <w:pPr>
              <w:pStyle w:val="Tabletext"/>
              <w:rPr>
                <w:lang w:val="en-US"/>
              </w:rPr>
            </w:pPr>
            <w:proofErr w:type="spellStart"/>
            <w:r w:rsidRPr="00744707">
              <w:rPr>
                <w:lang w:val="en-US"/>
              </w:rPr>
              <w:t>Bruix</w:t>
            </w:r>
            <w:proofErr w:type="spellEnd"/>
            <w:r w:rsidRPr="00744707">
              <w:rPr>
                <w:lang w:val="en-US"/>
              </w:rPr>
              <w:t xml:space="preserve"> 2017</w:t>
            </w:r>
          </w:p>
        </w:tc>
        <w:tc>
          <w:tcPr>
            <w:tcW w:w="394" w:type="pct"/>
            <w:shd w:val="clear" w:color="auto" w:fill="auto"/>
            <w:vAlign w:val="center"/>
          </w:tcPr>
          <w:p w:rsidR="006E4D7E" w:rsidRPr="00744707" w:rsidRDefault="006E4D7E" w:rsidP="00687778">
            <w:pPr>
              <w:pStyle w:val="Tabletext"/>
              <w:jc w:val="center"/>
              <w:rPr>
                <w:lang w:val="en-US"/>
              </w:rPr>
            </w:pPr>
            <w:r w:rsidRPr="00744707">
              <w:rPr>
                <w:lang w:val="en-US"/>
              </w:rPr>
              <w:t>573</w:t>
            </w:r>
          </w:p>
        </w:tc>
        <w:tc>
          <w:tcPr>
            <w:tcW w:w="1177" w:type="pct"/>
            <w:shd w:val="clear" w:color="auto" w:fill="auto"/>
            <w:vAlign w:val="center"/>
          </w:tcPr>
          <w:p w:rsidR="006E4D7E" w:rsidRPr="00744707" w:rsidRDefault="006E4D7E" w:rsidP="00687778">
            <w:pPr>
              <w:pStyle w:val="Tabletext"/>
              <w:jc w:val="center"/>
              <w:rPr>
                <w:lang w:val="en-US"/>
              </w:rPr>
            </w:pPr>
            <w:r w:rsidRPr="00744707">
              <w:rPr>
                <w:lang w:val="en-US"/>
              </w:rPr>
              <w:t>R, DB, MC</w:t>
            </w:r>
          </w:p>
          <w:p w:rsidR="006E4D7E" w:rsidRPr="00744707" w:rsidRDefault="00FF2C8C" w:rsidP="00687778">
            <w:pPr>
              <w:pStyle w:val="Tabletext"/>
              <w:jc w:val="center"/>
              <w:rPr>
                <w:lang w:val="en-US"/>
              </w:rPr>
            </w:pPr>
            <w:r w:rsidRPr="00744707">
              <w:rPr>
                <w:lang w:val="en-US"/>
              </w:rPr>
              <w:t>33 months</w:t>
            </w:r>
            <w:r w:rsidR="00C879A2" w:rsidRPr="00744707">
              <w:rPr>
                <w:lang w:val="en-US"/>
              </w:rPr>
              <w:t xml:space="preserve"> (Feb-16 cut-off)</w:t>
            </w:r>
          </w:p>
          <w:p w:rsidR="00C879A2" w:rsidRPr="00744707" w:rsidRDefault="00C879A2" w:rsidP="00687778">
            <w:pPr>
              <w:pStyle w:val="Tabletext"/>
              <w:jc w:val="center"/>
              <w:rPr>
                <w:lang w:val="en-US"/>
              </w:rPr>
            </w:pPr>
            <w:r w:rsidRPr="00744707">
              <w:rPr>
                <w:lang w:val="en-US"/>
              </w:rPr>
              <w:t>46 months (Jan-17 cut-off)</w:t>
            </w:r>
          </w:p>
        </w:tc>
        <w:tc>
          <w:tcPr>
            <w:tcW w:w="384" w:type="pct"/>
            <w:shd w:val="clear" w:color="auto" w:fill="auto"/>
            <w:vAlign w:val="center"/>
          </w:tcPr>
          <w:p w:rsidR="006E4D7E" w:rsidRPr="00744707" w:rsidRDefault="006E4D7E" w:rsidP="00687778">
            <w:pPr>
              <w:pStyle w:val="Tabletext"/>
              <w:jc w:val="center"/>
              <w:rPr>
                <w:lang w:val="en-US"/>
              </w:rPr>
            </w:pPr>
            <w:r w:rsidRPr="00744707">
              <w:rPr>
                <w:lang w:val="en-US"/>
              </w:rPr>
              <w:t>Low</w:t>
            </w:r>
          </w:p>
        </w:tc>
        <w:tc>
          <w:tcPr>
            <w:tcW w:w="857" w:type="pct"/>
            <w:shd w:val="clear" w:color="auto" w:fill="auto"/>
            <w:vAlign w:val="center"/>
          </w:tcPr>
          <w:p w:rsidR="006E4D7E" w:rsidRPr="00744707" w:rsidRDefault="006E4D7E" w:rsidP="00687778">
            <w:pPr>
              <w:pStyle w:val="Tabletext"/>
              <w:jc w:val="center"/>
              <w:rPr>
                <w:lang w:val="en-US"/>
              </w:rPr>
            </w:pPr>
            <w:r w:rsidRPr="00744707">
              <w:rPr>
                <w:lang w:val="en-US"/>
              </w:rPr>
              <w:t>Progressed following sorafenib.</w:t>
            </w:r>
          </w:p>
        </w:tc>
        <w:tc>
          <w:tcPr>
            <w:tcW w:w="622" w:type="pct"/>
            <w:shd w:val="clear" w:color="auto" w:fill="auto"/>
            <w:vAlign w:val="center"/>
          </w:tcPr>
          <w:p w:rsidR="006E4D7E" w:rsidRPr="00744707" w:rsidRDefault="006E4D7E" w:rsidP="00687778">
            <w:pPr>
              <w:pStyle w:val="Tabletext"/>
              <w:jc w:val="center"/>
              <w:rPr>
                <w:lang w:val="en-US"/>
              </w:rPr>
            </w:pPr>
            <w:r w:rsidRPr="00744707">
              <w:rPr>
                <w:lang w:val="en-US"/>
              </w:rPr>
              <w:t>OS, PFS</w:t>
            </w:r>
          </w:p>
        </w:tc>
        <w:tc>
          <w:tcPr>
            <w:tcW w:w="940" w:type="pct"/>
            <w:shd w:val="clear" w:color="auto" w:fill="auto"/>
            <w:vAlign w:val="center"/>
          </w:tcPr>
          <w:p w:rsidR="006E4D7E" w:rsidRPr="00E2771E" w:rsidRDefault="006E4D7E" w:rsidP="00687778">
            <w:pPr>
              <w:pStyle w:val="Tabletext"/>
              <w:jc w:val="center"/>
              <w:rPr>
                <w:lang w:val="en-US"/>
              </w:rPr>
            </w:pPr>
            <w:r w:rsidRPr="00744707">
              <w:rPr>
                <w:lang w:val="en-US"/>
              </w:rPr>
              <w:t>Survival and progression free gain.</w:t>
            </w:r>
          </w:p>
        </w:tc>
      </w:tr>
    </w:tbl>
    <w:p w:rsidR="006E4D7E" w:rsidRPr="00030CF0" w:rsidRDefault="006E4D7E" w:rsidP="00687778">
      <w:pPr>
        <w:pStyle w:val="TableFooter"/>
        <w:widowControl/>
        <w:rPr>
          <w:rStyle w:val="CommentReference"/>
          <w:sz w:val="18"/>
          <w:szCs w:val="18"/>
        </w:rPr>
      </w:pPr>
      <w:r w:rsidRPr="00030CF0">
        <w:t>Abbreviations: DB=double blind; MC=multi-centre; OL=open label; OS=overall survival; PFS=progression-free survival; R=randomised.</w:t>
      </w:r>
    </w:p>
    <w:p w:rsidR="006E4D7E" w:rsidRPr="006E4D7E" w:rsidRDefault="006E4D7E" w:rsidP="00687778">
      <w:pPr>
        <w:widowControl/>
        <w:rPr>
          <w:rStyle w:val="CommentReference"/>
          <w:b w:val="0"/>
        </w:rPr>
      </w:pPr>
    </w:p>
    <w:p w:rsidR="006E4D7E" w:rsidRPr="00D31E2F" w:rsidRDefault="006E4D7E" w:rsidP="00687778">
      <w:pPr>
        <w:pStyle w:val="ListParagraph"/>
        <w:widowControl/>
        <w:numPr>
          <w:ilvl w:val="1"/>
          <w:numId w:val="3"/>
        </w:numPr>
        <w:rPr>
          <w:b/>
        </w:rPr>
      </w:pPr>
      <w:r w:rsidRPr="00744707">
        <w:t>The trial design had a low risk of selection, performance, detection, attrition and reporting bias. The</w:t>
      </w:r>
      <w:r w:rsidR="00950607" w:rsidRPr="00744707">
        <w:t xml:space="preserve"> resubmission</w:t>
      </w:r>
      <w:r w:rsidRPr="00744707">
        <w:t xml:space="preserve"> acknowledged that hand-foot reaction is a known adverse event for tyrosine kinase inhibitors, so it</w:t>
      </w:r>
      <w:r w:rsidR="00D0674A" w:rsidRPr="00744707">
        <w:t>s occurrence</w:t>
      </w:r>
      <w:r w:rsidRPr="00744707">
        <w:t xml:space="preserve"> was a potential unmasking factor associated with regorafenib treatment. Patients in RESORCE were permitted to continue treatment beyond progression, at the discretion of the clinical investigator</w:t>
      </w:r>
      <w:r w:rsidRPr="00D31E2F">
        <w:t xml:space="preserve">. </w:t>
      </w:r>
      <w:r w:rsidR="008F67EB" w:rsidRPr="00D31E2F">
        <w:t xml:space="preserve">The </w:t>
      </w:r>
      <w:r w:rsidR="00CE69A9" w:rsidRPr="00D31E2F">
        <w:t>ESC noted that</w:t>
      </w:r>
      <w:r w:rsidR="008F67EB" w:rsidRPr="00D31E2F">
        <w:t xml:space="preserve"> </w:t>
      </w:r>
      <w:r w:rsidR="00417B8E" w:rsidRPr="00D31E2F">
        <w:t>48</w:t>
      </w:r>
      <w:r w:rsidR="008F67EB" w:rsidRPr="00D31E2F">
        <w:t>% of patients in RESORCE were treated post progression</w:t>
      </w:r>
      <w:r w:rsidR="00417B8E" w:rsidRPr="00D31E2F">
        <w:t>, and 37% were treated for 7 days or more after radiological progression</w:t>
      </w:r>
      <w:r w:rsidR="008F67EB" w:rsidRPr="00D31E2F">
        <w:t>.</w:t>
      </w:r>
    </w:p>
    <w:p w:rsidR="00B60939" w:rsidRPr="00744707" w:rsidRDefault="00FF2C8C" w:rsidP="00687778">
      <w:pPr>
        <w:pStyle w:val="ListParagraph"/>
        <w:widowControl/>
        <w:numPr>
          <w:ilvl w:val="1"/>
          <w:numId w:val="3"/>
        </w:numPr>
      </w:pPr>
      <w:r w:rsidRPr="00744707">
        <w:rPr>
          <w:rFonts w:cs="Calibri"/>
          <w:snapToGrid/>
          <w:szCs w:val="24"/>
          <w:lang w:val="en-US" w:eastAsia="en-AU"/>
        </w:rPr>
        <w:t xml:space="preserve">The resubmission </w:t>
      </w:r>
      <w:r w:rsidR="00905297" w:rsidRPr="00744707">
        <w:rPr>
          <w:rFonts w:cs="Calibri"/>
          <w:snapToGrid/>
          <w:szCs w:val="24"/>
          <w:lang w:val="en-US" w:eastAsia="en-AU"/>
        </w:rPr>
        <w:t xml:space="preserve">presented </w:t>
      </w:r>
      <w:r w:rsidRPr="00744707">
        <w:rPr>
          <w:rFonts w:cs="Calibri"/>
          <w:snapToGrid/>
          <w:szCs w:val="24"/>
          <w:lang w:val="en-US" w:eastAsia="en-AU"/>
        </w:rPr>
        <w:t>updated OS and PFS results (cut-off date 23</w:t>
      </w:r>
      <w:r w:rsidR="00D0674A" w:rsidRPr="00744707">
        <w:rPr>
          <w:rFonts w:cs="Calibri"/>
          <w:snapToGrid/>
          <w:szCs w:val="24"/>
          <w:vertAlign w:val="superscript"/>
          <w:lang w:val="en-US" w:eastAsia="en-AU"/>
        </w:rPr>
        <w:t>rd</w:t>
      </w:r>
      <w:r w:rsidR="00D0674A" w:rsidRPr="00744707">
        <w:rPr>
          <w:rFonts w:cs="Calibri"/>
          <w:snapToGrid/>
          <w:szCs w:val="24"/>
          <w:lang w:val="en-US" w:eastAsia="en-AU"/>
        </w:rPr>
        <w:t xml:space="preserve"> </w:t>
      </w:r>
      <w:r w:rsidRPr="00744707">
        <w:rPr>
          <w:rFonts w:cs="Calibri"/>
          <w:snapToGrid/>
          <w:szCs w:val="24"/>
          <w:lang w:val="en-US" w:eastAsia="en-AU"/>
        </w:rPr>
        <w:t>January 2017) which provided 11 additional months of data from the primary analysis (cut-off date 29</w:t>
      </w:r>
      <w:r w:rsidR="00D0674A" w:rsidRPr="00744707">
        <w:rPr>
          <w:rFonts w:cs="Calibri"/>
          <w:snapToGrid/>
          <w:szCs w:val="24"/>
          <w:vertAlign w:val="superscript"/>
          <w:lang w:val="en-US" w:eastAsia="en-AU"/>
        </w:rPr>
        <w:t>th</w:t>
      </w:r>
      <w:r w:rsidR="00D0674A" w:rsidRPr="00744707">
        <w:rPr>
          <w:rFonts w:cs="Calibri"/>
          <w:snapToGrid/>
          <w:szCs w:val="24"/>
          <w:lang w:val="en-US" w:eastAsia="en-AU"/>
        </w:rPr>
        <w:t xml:space="preserve"> </w:t>
      </w:r>
      <w:r w:rsidRPr="00744707">
        <w:rPr>
          <w:rFonts w:cs="Calibri"/>
          <w:snapToGrid/>
          <w:szCs w:val="24"/>
          <w:lang w:val="en-US" w:eastAsia="en-AU"/>
        </w:rPr>
        <w:t xml:space="preserve">February 2016). These data were presented in the PSCR and Pre-PBAC Response </w:t>
      </w:r>
      <w:r w:rsidR="00FC5C6D">
        <w:rPr>
          <w:rFonts w:cs="Calibri"/>
          <w:snapToGrid/>
          <w:szCs w:val="24"/>
          <w:lang w:val="en-US" w:eastAsia="en-AU"/>
        </w:rPr>
        <w:t>for the March 2018 submission</w:t>
      </w:r>
      <w:r w:rsidRPr="00744707">
        <w:rPr>
          <w:rFonts w:cs="Calibri"/>
          <w:snapToGrid/>
          <w:szCs w:val="24"/>
          <w:lang w:val="en-US" w:eastAsia="en-AU"/>
        </w:rPr>
        <w:t xml:space="preserve"> but </w:t>
      </w:r>
      <w:r w:rsidR="00FC5C6D">
        <w:rPr>
          <w:rFonts w:cs="Calibri"/>
          <w:snapToGrid/>
          <w:szCs w:val="24"/>
          <w:lang w:val="en-US" w:eastAsia="en-AU"/>
        </w:rPr>
        <w:t>were not</w:t>
      </w:r>
      <w:r w:rsidRPr="00744707">
        <w:rPr>
          <w:rFonts w:cs="Calibri"/>
          <w:snapToGrid/>
          <w:szCs w:val="24"/>
          <w:lang w:val="en-US" w:eastAsia="en-AU"/>
        </w:rPr>
        <w:t xml:space="preserve"> independently evaluated</w:t>
      </w:r>
      <w:r w:rsidR="00FC5C6D">
        <w:rPr>
          <w:rFonts w:cs="Calibri"/>
          <w:snapToGrid/>
          <w:szCs w:val="24"/>
          <w:lang w:val="en-US" w:eastAsia="en-AU"/>
        </w:rPr>
        <w:t xml:space="preserve"> prior to PBAC consideration in March 2018</w:t>
      </w:r>
      <w:r w:rsidR="001965CF" w:rsidRPr="00744707">
        <w:rPr>
          <w:rFonts w:cs="Calibri"/>
          <w:snapToGrid/>
          <w:szCs w:val="24"/>
          <w:lang w:val="en-US" w:eastAsia="en-AU"/>
        </w:rPr>
        <w:t>.</w:t>
      </w:r>
      <w:r w:rsidRPr="00744707">
        <w:rPr>
          <w:rFonts w:cs="Calibri"/>
          <w:snapToGrid/>
          <w:szCs w:val="24"/>
          <w:lang w:val="en-US" w:eastAsia="en-AU"/>
        </w:rPr>
        <w:t xml:space="preserve"> </w:t>
      </w:r>
      <w:r w:rsidR="001965CF" w:rsidRPr="00744707">
        <w:rPr>
          <w:rFonts w:cs="Calibri"/>
          <w:snapToGrid/>
          <w:szCs w:val="24"/>
          <w:lang w:val="en-US" w:eastAsia="en-AU"/>
        </w:rPr>
        <w:t>N</w:t>
      </w:r>
      <w:r w:rsidRPr="00744707">
        <w:rPr>
          <w:rFonts w:cs="Calibri"/>
          <w:snapToGrid/>
          <w:szCs w:val="24"/>
          <w:lang w:val="en-US" w:eastAsia="en-AU"/>
        </w:rPr>
        <w:t xml:space="preserve">o updated information was provided for </w:t>
      </w:r>
      <w:r w:rsidR="00D0674A" w:rsidRPr="00744707">
        <w:rPr>
          <w:rFonts w:cs="Calibri"/>
          <w:snapToGrid/>
          <w:szCs w:val="24"/>
          <w:lang w:val="en-US" w:eastAsia="en-AU"/>
        </w:rPr>
        <w:t>time to progression (</w:t>
      </w:r>
      <w:r w:rsidRPr="00744707">
        <w:rPr>
          <w:rFonts w:cs="Calibri"/>
          <w:snapToGrid/>
          <w:szCs w:val="24"/>
          <w:lang w:val="en-US" w:eastAsia="en-AU"/>
        </w:rPr>
        <w:t>TTP</w:t>
      </w:r>
      <w:r w:rsidR="00D0674A" w:rsidRPr="00744707">
        <w:rPr>
          <w:rFonts w:cs="Calibri"/>
          <w:snapToGrid/>
          <w:szCs w:val="24"/>
          <w:lang w:val="en-US" w:eastAsia="en-AU"/>
        </w:rPr>
        <w:t>)</w:t>
      </w:r>
      <w:r w:rsidR="004B614A" w:rsidRPr="00744707">
        <w:rPr>
          <w:rFonts w:cs="Calibri"/>
          <w:snapToGrid/>
          <w:szCs w:val="24"/>
          <w:lang w:val="en-US" w:eastAsia="en-AU"/>
        </w:rPr>
        <w:t xml:space="preserve"> or </w:t>
      </w:r>
      <w:r w:rsidR="00CA10D9">
        <w:rPr>
          <w:rFonts w:cs="Calibri"/>
          <w:snapToGrid/>
          <w:szCs w:val="24"/>
          <w:lang w:val="en-US" w:eastAsia="en-AU"/>
        </w:rPr>
        <w:t>Quality of Life (</w:t>
      </w:r>
      <w:r w:rsidR="004B614A" w:rsidRPr="00744707">
        <w:rPr>
          <w:rFonts w:cs="Calibri"/>
          <w:snapToGrid/>
          <w:szCs w:val="24"/>
          <w:lang w:val="en-US" w:eastAsia="en-AU"/>
        </w:rPr>
        <w:t>QoL</w:t>
      </w:r>
      <w:r w:rsidR="00CA10D9">
        <w:rPr>
          <w:rFonts w:cs="Calibri"/>
          <w:snapToGrid/>
          <w:szCs w:val="24"/>
          <w:lang w:val="en-US" w:eastAsia="en-AU"/>
        </w:rPr>
        <w:t>)</w:t>
      </w:r>
      <w:r w:rsidRPr="00744707">
        <w:rPr>
          <w:rFonts w:cs="Calibri"/>
          <w:snapToGrid/>
          <w:szCs w:val="24"/>
          <w:lang w:val="en-US" w:eastAsia="en-AU"/>
        </w:rPr>
        <w:t xml:space="preserve">. </w:t>
      </w:r>
      <w:r w:rsidR="004B614A" w:rsidRPr="00744707">
        <w:rPr>
          <w:rFonts w:cs="Calibri"/>
          <w:snapToGrid/>
          <w:szCs w:val="24"/>
          <w:lang w:val="en-US" w:eastAsia="en-AU"/>
        </w:rPr>
        <w:t xml:space="preserve">The </w:t>
      </w:r>
      <w:r w:rsidR="005B504E" w:rsidRPr="00744707">
        <w:rPr>
          <w:rFonts w:cs="Calibri"/>
          <w:snapToGrid/>
          <w:szCs w:val="24"/>
          <w:lang w:val="en-US" w:eastAsia="en-AU"/>
        </w:rPr>
        <w:t xml:space="preserve">resubmission presented updated </w:t>
      </w:r>
      <w:r w:rsidR="004B614A" w:rsidRPr="00744707">
        <w:rPr>
          <w:rFonts w:cs="Calibri"/>
          <w:snapToGrid/>
          <w:szCs w:val="24"/>
          <w:lang w:val="en-US" w:eastAsia="en-AU"/>
        </w:rPr>
        <w:t>safety information concerning HFSR adverse events.</w:t>
      </w:r>
    </w:p>
    <w:p w:rsidR="00B60939" w:rsidRPr="00882085" w:rsidRDefault="00B60939" w:rsidP="00067969">
      <w:pPr>
        <w:pStyle w:val="Heading2"/>
      </w:pPr>
      <w:bookmarkStart w:id="7" w:name="_Toc523405674"/>
      <w:r w:rsidRPr="00C9624D">
        <w:t>Comparative effectiveness</w:t>
      </w:r>
      <w:bookmarkEnd w:id="7"/>
    </w:p>
    <w:p w:rsidR="002D057E" w:rsidRPr="00744707" w:rsidRDefault="005D0578" w:rsidP="00687778">
      <w:pPr>
        <w:pStyle w:val="ListParagraph"/>
        <w:widowControl/>
        <w:numPr>
          <w:ilvl w:val="1"/>
          <w:numId w:val="3"/>
        </w:numPr>
      </w:pPr>
      <w:r w:rsidRPr="00744707">
        <w:rPr>
          <w:rFonts w:cs="Calibri"/>
          <w:snapToGrid/>
          <w:szCs w:val="24"/>
          <w:lang w:val="en-US" w:eastAsia="en-AU"/>
        </w:rPr>
        <w:t>A significant increase in terms of OS, PFS and TTP was observed for regorafenib compared to BSC. For OS</w:t>
      </w:r>
      <w:r w:rsidR="001919F3" w:rsidRPr="00744707">
        <w:rPr>
          <w:rFonts w:cs="Calibri"/>
          <w:snapToGrid/>
          <w:szCs w:val="24"/>
          <w:lang w:val="en-US" w:eastAsia="en-AU"/>
        </w:rPr>
        <w:t xml:space="preserve">, </w:t>
      </w:r>
      <w:r w:rsidRPr="00744707">
        <w:rPr>
          <w:rFonts w:cs="Calibri"/>
          <w:snapToGrid/>
          <w:szCs w:val="24"/>
          <w:lang w:val="en-US" w:eastAsia="en-AU"/>
        </w:rPr>
        <w:t xml:space="preserve">the estimated </w:t>
      </w:r>
      <w:r w:rsidR="001A33AC">
        <w:rPr>
          <w:rFonts w:cs="Calibri"/>
          <w:snapToGrid/>
          <w:szCs w:val="24"/>
          <w:lang w:val="en-US" w:eastAsia="en-AU"/>
        </w:rPr>
        <w:t xml:space="preserve">hazard ratio was </w:t>
      </w:r>
      <w:r w:rsidR="00454272" w:rsidRPr="00744707">
        <w:rPr>
          <w:rFonts w:cs="Calibri"/>
          <w:snapToGrid/>
          <w:szCs w:val="24"/>
          <w:lang w:val="en-US" w:eastAsia="en-AU"/>
        </w:rPr>
        <w:t>0.614 (95% CI: 0.501 – 0.753)</w:t>
      </w:r>
      <w:r w:rsidR="005B504E" w:rsidRPr="00744707">
        <w:rPr>
          <w:rFonts w:cs="Calibri"/>
          <w:snapToGrid/>
          <w:szCs w:val="24"/>
          <w:lang w:val="en-US" w:eastAsia="en-AU"/>
        </w:rPr>
        <w:t xml:space="preserve">, which </w:t>
      </w:r>
      <w:r w:rsidRPr="00744707">
        <w:rPr>
          <w:rFonts w:cs="Calibri"/>
          <w:snapToGrid/>
          <w:szCs w:val="24"/>
          <w:lang w:val="en-US" w:eastAsia="en-AU"/>
        </w:rPr>
        <w:t>implie</w:t>
      </w:r>
      <w:r w:rsidR="00454272" w:rsidRPr="00744707">
        <w:rPr>
          <w:rFonts w:cs="Calibri"/>
          <w:snapToGrid/>
          <w:szCs w:val="24"/>
          <w:lang w:val="en-US" w:eastAsia="en-AU"/>
        </w:rPr>
        <w:t>d</w:t>
      </w:r>
      <w:r w:rsidRPr="00744707">
        <w:rPr>
          <w:rFonts w:cs="Calibri"/>
          <w:snapToGrid/>
          <w:szCs w:val="24"/>
          <w:lang w:val="en-US" w:eastAsia="en-AU"/>
        </w:rPr>
        <w:t xml:space="preserve"> a 39% reduced </w:t>
      </w:r>
      <w:r w:rsidR="00454272" w:rsidRPr="00744707">
        <w:rPr>
          <w:rFonts w:cs="Calibri"/>
          <w:snapToGrid/>
          <w:szCs w:val="24"/>
          <w:lang w:val="en-US" w:eastAsia="en-AU"/>
        </w:rPr>
        <w:t>risk of death in the regorafenib group compared with the BSC group</w:t>
      </w:r>
      <w:r w:rsidR="001919F3" w:rsidRPr="00744707">
        <w:rPr>
          <w:rFonts w:cs="Calibri"/>
          <w:snapToGrid/>
          <w:szCs w:val="24"/>
          <w:lang w:val="en-US" w:eastAsia="en-AU"/>
        </w:rPr>
        <w:t xml:space="preserve">. For PFS, the estimated </w:t>
      </w:r>
      <w:r w:rsidR="001A33AC">
        <w:rPr>
          <w:rFonts w:cs="Calibri"/>
          <w:snapToGrid/>
          <w:szCs w:val="24"/>
          <w:lang w:val="en-US" w:eastAsia="en-AU"/>
        </w:rPr>
        <w:t xml:space="preserve">hazard ratio was </w:t>
      </w:r>
      <w:r w:rsidR="001919F3" w:rsidRPr="00744707">
        <w:rPr>
          <w:rFonts w:cs="Calibri"/>
          <w:snapToGrid/>
          <w:szCs w:val="24"/>
          <w:lang w:val="en-US" w:eastAsia="en-AU"/>
        </w:rPr>
        <w:t>0.455 (95% CI: 0.372 – 0.557)</w:t>
      </w:r>
      <w:r w:rsidR="005B504E" w:rsidRPr="00744707">
        <w:rPr>
          <w:rFonts w:cs="Calibri"/>
          <w:snapToGrid/>
          <w:szCs w:val="24"/>
          <w:lang w:val="en-US" w:eastAsia="en-AU"/>
        </w:rPr>
        <w:t>, which</w:t>
      </w:r>
      <w:r w:rsidR="001919F3" w:rsidRPr="00744707">
        <w:rPr>
          <w:rFonts w:cs="Calibri"/>
          <w:snapToGrid/>
          <w:szCs w:val="24"/>
          <w:lang w:val="en-US" w:eastAsia="en-AU"/>
        </w:rPr>
        <w:t xml:space="preserve"> implied a 55% reduced risk of progression</w:t>
      </w:r>
      <w:r w:rsidR="005B504E" w:rsidRPr="00744707">
        <w:rPr>
          <w:rFonts w:cs="Calibri"/>
          <w:snapToGrid/>
          <w:szCs w:val="24"/>
          <w:lang w:val="en-US" w:eastAsia="en-AU"/>
        </w:rPr>
        <w:t xml:space="preserve"> or death</w:t>
      </w:r>
      <w:r w:rsidR="001919F3" w:rsidRPr="00744707">
        <w:rPr>
          <w:rFonts w:cs="Calibri"/>
          <w:snapToGrid/>
          <w:szCs w:val="24"/>
          <w:lang w:val="en-US" w:eastAsia="en-AU"/>
        </w:rPr>
        <w:t xml:space="preserve"> in the regorafenib </w:t>
      </w:r>
      <w:r w:rsidR="001919F3" w:rsidRPr="00744707">
        <w:rPr>
          <w:rFonts w:cs="Calibri"/>
          <w:snapToGrid/>
          <w:szCs w:val="24"/>
          <w:lang w:val="en-US" w:eastAsia="en-AU"/>
        </w:rPr>
        <w:lastRenderedPageBreak/>
        <w:t xml:space="preserve">group compared with the BSC group. </w:t>
      </w:r>
      <w:r w:rsidR="00875B11" w:rsidRPr="00744707">
        <w:rPr>
          <w:rFonts w:cs="Calibri"/>
          <w:snapToGrid/>
          <w:szCs w:val="24"/>
          <w:lang w:val="en-US" w:eastAsia="en-AU"/>
        </w:rPr>
        <w:t>The benefit of regorafenib mainly comes from patients achieving stable disease (54.4% versus 32</w:t>
      </w:r>
      <w:r w:rsidR="00BA2362" w:rsidRPr="00744707">
        <w:rPr>
          <w:rFonts w:cs="Calibri"/>
          <w:snapToGrid/>
          <w:szCs w:val="24"/>
          <w:lang w:val="en-US" w:eastAsia="en-AU"/>
        </w:rPr>
        <w:t>.0</w:t>
      </w:r>
      <w:r w:rsidR="00875B11" w:rsidRPr="00744707">
        <w:rPr>
          <w:rFonts w:cs="Calibri"/>
          <w:snapToGrid/>
          <w:szCs w:val="24"/>
          <w:lang w:val="en-US" w:eastAsia="en-AU"/>
        </w:rPr>
        <w:t>% in the BSC group).</w:t>
      </w:r>
    </w:p>
    <w:p w:rsidR="002D057E" w:rsidRPr="00A205DB" w:rsidRDefault="002D057E" w:rsidP="00687778">
      <w:pPr>
        <w:keepNext/>
        <w:keepLines/>
        <w:widowControl/>
        <w:rPr>
          <w:rStyle w:val="CommentReference"/>
        </w:rPr>
      </w:pPr>
      <w:r w:rsidRPr="00A205DB">
        <w:rPr>
          <w:rStyle w:val="CommentReference"/>
        </w:rPr>
        <w:t xml:space="preserve">Table </w:t>
      </w:r>
      <w:r w:rsidR="00304DC0">
        <w:rPr>
          <w:rStyle w:val="CommentReference"/>
        </w:rPr>
        <w:t>5</w:t>
      </w:r>
      <w:r w:rsidRPr="00A205DB">
        <w:rPr>
          <w:rStyle w:val="CommentReference"/>
        </w:rPr>
        <w:t>: Results of overall survival, progression free survival and time to progression in the RESORCE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81"/>
        <w:gridCol w:w="961"/>
        <w:gridCol w:w="1237"/>
        <w:gridCol w:w="1129"/>
        <w:gridCol w:w="1237"/>
        <w:gridCol w:w="952"/>
        <w:gridCol w:w="1093"/>
        <w:gridCol w:w="1327"/>
      </w:tblGrid>
      <w:tr w:rsidR="003442A9" w:rsidRPr="00A010F6" w:rsidTr="00207B77">
        <w:trPr>
          <w:trHeight w:val="638"/>
          <w:tblHeader/>
        </w:trPr>
        <w:tc>
          <w:tcPr>
            <w:tcW w:w="599" w:type="pct"/>
            <w:vAlign w:val="center"/>
          </w:tcPr>
          <w:p w:rsidR="003442A9" w:rsidRPr="001007BA" w:rsidRDefault="003442A9" w:rsidP="00687778">
            <w:pPr>
              <w:widowControl/>
              <w:jc w:val="left"/>
              <w:rPr>
                <w:rFonts w:ascii="Arial Narrow" w:hAnsi="Arial Narrow" w:cs="Times New Roman"/>
                <w:b/>
                <w:snapToGrid/>
                <w:sz w:val="20"/>
              </w:rPr>
            </w:pPr>
            <w:r w:rsidRPr="001007BA">
              <w:rPr>
                <w:rFonts w:ascii="Arial Narrow" w:hAnsi="Arial Narrow" w:cs="Times New Roman"/>
                <w:b/>
                <w:snapToGrid/>
                <w:sz w:val="20"/>
              </w:rPr>
              <w:t>Trial ID: RESORCE</w:t>
            </w:r>
          </w:p>
        </w:tc>
        <w:tc>
          <w:tcPr>
            <w:tcW w:w="533" w:type="pct"/>
            <w:vAlign w:val="center"/>
          </w:tcPr>
          <w:p w:rsidR="003442A9" w:rsidRPr="001007BA" w:rsidRDefault="003442A9" w:rsidP="00687778">
            <w:pPr>
              <w:widowControl/>
              <w:jc w:val="center"/>
              <w:rPr>
                <w:rFonts w:ascii="Arial Narrow" w:hAnsi="Arial Narrow" w:cs="Times New Roman"/>
                <w:b/>
                <w:iCs/>
                <w:snapToGrid/>
                <w:sz w:val="20"/>
                <w:lang w:val="en-US"/>
              </w:rPr>
            </w:pPr>
            <w:proofErr w:type="spellStart"/>
            <w:r w:rsidRPr="001007BA">
              <w:rPr>
                <w:rFonts w:ascii="Arial Narrow" w:hAnsi="Arial Narrow" w:cs="Times New Roman"/>
                <w:b/>
                <w:iCs/>
                <w:snapToGrid/>
                <w:sz w:val="20"/>
                <w:lang w:val="en-US"/>
              </w:rPr>
              <w:t>Reg</w:t>
            </w:r>
            <w:proofErr w:type="spellEnd"/>
          </w:p>
          <w:p w:rsidR="003442A9" w:rsidRPr="001007BA" w:rsidRDefault="003442A9" w:rsidP="00687778">
            <w:pPr>
              <w:widowControl/>
              <w:jc w:val="center"/>
              <w:rPr>
                <w:rFonts w:ascii="Arial Narrow" w:hAnsi="Arial Narrow" w:cs="Times New Roman"/>
                <w:b/>
                <w:snapToGrid/>
                <w:sz w:val="20"/>
                <w:lang w:val="en-US"/>
              </w:rPr>
            </w:pPr>
            <w:proofErr w:type="gramStart"/>
            <w:r w:rsidRPr="001007BA">
              <w:rPr>
                <w:rFonts w:ascii="Arial Narrow" w:hAnsi="Arial Narrow" w:cs="Times New Roman"/>
                <w:b/>
                <w:iCs/>
                <w:snapToGrid/>
                <w:sz w:val="20"/>
                <w:lang w:val="en-US"/>
              </w:rPr>
              <w:t>n/N</w:t>
            </w:r>
            <w:proofErr w:type="gramEnd"/>
            <w:r w:rsidRPr="001007BA">
              <w:rPr>
                <w:rFonts w:ascii="Arial Narrow" w:hAnsi="Arial Narrow" w:cs="Times New Roman"/>
                <w:b/>
                <w:iCs/>
                <w:snapToGrid/>
                <w:sz w:val="20"/>
                <w:lang w:val="en-US"/>
              </w:rPr>
              <w:t xml:space="preserve"> with event (%)</w:t>
            </w:r>
          </w:p>
        </w:tc>
        <w:tc>
          <w:tcPr>
            <w:tcW w:w="686" w:type="pct"/>
            <w:vAlign w:val="center"/>
          </w:tcPr>
          <w:p w:rsidR="003442A9" w:rsidRPr="001007BA" w:rsidRDefault="003442A9" w:rsidP="00687778">
            <w:pPr>
              <w:widowControl/>
              <w:jc w:val="center"/>
              <w:rPr>
                <w:rFonts w:ascii="Arial Narrow" w:hAnsi="Arial Narrow" w:cs="Times New Roman"/>
                <w:b/>
                <w:snapToGrid/>
                <w:sz w:val="20"/>
                <w:lang w:val="en-US"/>
              </w:rPr>
            </w:pPr>
            <w:proofErr w:type="spellStart"/>
            <w:r w:rsidRPr="001007BA">
              <w:rPr>
                <w:rFonts w:ascii="Arial Narrow" w:hAnsi="Arial Narrow" w:cs="Times New Roman"/>
                <w:b/>
                <w:snapToGrid/>
                <w:sz w:val="20"/>
                <w:lang w:val="en-US"/>
              </w:rPr>
              <w:t>Reg</w:t>
            </w:r>
            <w:proofErr w:type="spellEnd"/>
          </w:p>
          <w:p w:rsidR="003442A9" w:rsidRPr="001007BA" w:rsidRDefault="003442A9" w:rsidP="00687778">
            <w:pPr>
              <w:widowControl/>
              <w:jc w:val="center"/>
              <w:rPr>
                <w:rFonts w:ascii="Arial Narrow" w:hAnsi="Arial Narrow" w:cs="Times New Roman"/>
                <w:b/>
                <w:snapToGrid/>
                <w:sz w:val="20"/>
                <w:lang w:val="en-US"/>
              </w:rPr>
            </w:pPr>
            <w:r w:rsidRPr="001007BA">
              <w:rPr>
                <w:rFonts w:ascii="Arial Narrow" w:hAnsi="Arial Narrow" w:cs="Times New Roman"/>
                <w:b/>
                <w:snapToGrid/>
                <w:sz w:val="20"/>
                <w:lang w:val="en-US"/>
              </w:rPr>
              <w:t>Median time to event (95% CI)</w:t>
            </w:r>
          </w:p>
        </w:tc>
        <w:tc>
          <w:tcPr>
            <w:tcW w:w="626" w:type="pct"/>
            <w:vAlign w:val="center"/>
          </w:tcPr>
          <w:p w:rsidR="003442A9" w:rsidRPr="001007BA" w:rsidRDefault="003442A9" w:rsidP="00687778">
            <w:pPr>
              <w:widowControl/>
              <w:jc w:val="center"/>
              <w:rPr>
                <w:rFonts w:ascii="Arial Narrow" w:hAnsi="Arial Narrow" w:cs="Times New Roman"/>
                <w:b/>
                <w:iCs/>
                <w:snapToGrid/>
                <w:sz w:val="20"/>
                <w:lang w:val="en-US"/>
              </w:rPr>
            </w:pPr>
            <w:r w:rsidRPr="001007BA">
              <w:rPr>
                <w:rFonts w:ascii="Arial Narrow" w:hAnsi="Arial Narrow" w:cs="Times New Roman"/>
                <w:b/>
                <w:iCs/>
                <w:snapToGrid/>
                <w:sz w:val="20"/>
                <w:lang w:val="en-US"/>
              </w:rPr>
              <w:t>BSC</w:t>
            </w:r>
          </w:p>
          <w:p w:rsidR="003442A9" w:rsidRPr="001007BA" w:rsidRDefault="003442A9" w:rsidP="00687778">
            <w:pPr>
              <w:widowControl/>
              <w:jc w:val="center"/>
              <w:rPr>
                <w:rFonts w:ascii="Arial Narrow" w:hAnsi="Arial Narrow" w:cs="Times New Roman"/>
                <w:b/>
                <w:snapToGrid/>
                <w:sz w:val="20"/>
                <w:lang w:val="en-US"/>
              </w:rPr>
            </w:pPr>
            <w:proofErr w:type="gramStart"/>
            <w:r w:rsidRPr="001007BA">
              <w:rPr>
                <w:rFonts w:ascii="Arial Narrow" w:hAnsi="Arial Narrow" w:cs="Times New Roman"/>
                <w:b/>
                <w:iCs/>
                <w:snapToGrid/>
                <w:sz w:val="20"/>
                <w:lang w:val="en-US"/>
              </w:rPr>
              <w:t>n/N</w:t>
            </w:r>
            <w:proofErr w:type="gramEnd"/>
            <w:r w:rsidRPr="001007BA">
              <w:rPr>
                <w:rFonts w:ascii="Arial Narrow" w:hAnsi="Arial Narrow" w:cs="Times New Roman"/>
                <w:b/>
                <w:iCs/>
                <w:snapToGrid/>
                <w:sz w:val="20"/>
                <w:lang w:val="en-US"/>
              </w:rPr>
              <w:t xml:space="preserve"> with event (%)</w:t>
            </w:r>
          </w:p>
        </w:tc>
        <w:tc>
          <w:tcPr>
            <w:tcW w:w="686" w:type="pct"/>
            <w:vAlign w:val="center"/>
          </w:tcPr>
          <w:p w:rsidR="003442A9" w:rsidRPr="001007BA" w:rsidRDefault="003442A9" w:rsidP="00687778">
            <w:pPr>
              <w:widowControl/>
              <w:jc w:val="center"/>
              <w:rPr>
                <w:rFonts w:ascii="Arial Narrow" w:hAnsi="Arial Narrow" w:cs="Times New Roman"/>
                <w:b/>
                <w:snapToGrid/>
                <w:sz w:val="20"/>
                <w:lang w:val="en-US"/>
              </w:rPr>
            </w:pPr>
            <w:r w:rsidRPr="001007BA">
              <w:rPr>
                <w:rFonts w:ascii="Arial Narrow" w:hAnsi="Arial Narrow" w:cs="Times New Roman"/>
                <w:b/>
                <w:snapToGrid/>
                <w:sz w:val="20"/>
                <w:lang w:val="en-US"/>
              </w:rPr>
              <w:t>BSC</w:t>
            </w:r>
          </w:p>
          <w:p w:rsidR="003442A9" w:rsidRPr="001007BA" w:rsidRDefault="003442A9" w:rsidP="00687778">
            <w:pPr>
              <w:widowControl/>
              <w:jc w:val="center"/>
              <w:rPr>
                <w:rFonts w:ascii="Arial Narrow" w:hAnsi="Arial Narrow" w:cs="Times New Roman"/>
                <w:b/>
                <w:snapToGrid/>
                <w:sz w:val="20"/>
                <w:lang w:val="en-US"/>
              </w:rPr>
            </w:pPr>
            <w:r w:rsidRPr="001007BA">
              <w:rPr>
                <w:rFonts w:ascii="Arial Narrow" w:hAnsi="Arial Narrow" w:cs="Times New Roman"/>
                <w:b/>
                <w:snapToGrid/>
                <w:sz w:val="20"/>
                <w:lang w:val="en-US"/>
              </w:rPr>
              <w:t>Median time to event (95% CI)</w:t>
            </w:r>
          </w:p>
        </w:tc>
        <w:tc>
          <w:tcPr>
            <w:tcW w:w="528" w:type="pct"/>
            <w:vAlign w:val="center"/>
          </w:tcPr>
          <w:p w:rsidR="003442A9" w:rsidRPr="001007BA" w:rsidRDefault="003442A9" w:rsidP="00687778">
            <w:pPr>
              <w:widowControl/>
              <w:jc w:val="center"/>
              <w:rPr>
                <w:rFonts w:ascii="Arial Narrow" w:hAnsi="Arial Narrow" w:cs="Times New Roman"/>
                <w:b/>
                <w:snapToGrid/>
                <w:sz w:val="20"/>
                <w:lang w:val="en-US"/>
              </w:rPr>
            </w:pPr>
            <w:r w:rsidRPr="001007BA">
              <w:rPr>
                <w:rFonts w:ascii="Arial Narrow" w:hAnsi="Arial Narrow" w:cs="Times New Roman"/>
                <w:b/>
                <w:iCs/>
                <w:snapToGrid/>
                <w:sz w:val="20"/>
                <w:lang w:val="en-US"/>
              </w:rPr>
              <w:t>Difference months (95% CI)</w:t>
            </w:r>
          </w:p>
        </w:tc>
        <w:tc>
          <w:tcPr>
            <w:tcW w:w="606" w:type="pct"/>
            <w:vAlign w:val="center"/>
          </w:tcPr>
          <w:p w:rsidR="003442A9" w:rsidRPr="001007BA" w:rsidRDefault="003442A9" w:rsidP="00687778">
            <w:pPr>
              <w:widowControl/>
              <w:jc w:val="center"/>
              <w:rPr>
                <w:rFonts w:ascii="Arial Narrow" w:hAnsi="Arial Narrow" w:cs="Times New Roman"/>
                <w:b/>
                <w:snapToGrid/>
                <w:sz w:val="20"/>
                <w:lang w:val="en-US"/>
              </w:rPr>
            </w:pPr>
            <w:r w:rsidRPr="001007BA">
              <w:rPr>
                <w:rFonts w:ascii="Arial Narrow" w:hAnsi="Arial Narrow" w:cs="Times New Roman"/>
                <w:b/>
                <w:snapToGrid/>
                <w:sz w:val="20"/>
                <w:lang w:val="en-US"/>
              </w:rPr>
              <w:t xml:space="preserve">P value </w:t>
            </w:r>
          </w:p>
          <w:p w:rsidR="003442A9" w:rsidRPr="001007BA" w:rsidRDefault="003442A9" w:rsidP="00687778">
            <w:pPr>
              <w:widowControl/>
              <w:jc w:val="center"/>
              <w:rPr>
                <w:rFonts w:ascii="Arial Narrow" w:hAnsi="Arial Narrow" w:cs="Times New Roman"/>
                <w:b/>
                <w:snapToGrid/>
                <w:sz w:val="20"/>
                <w:lang w:val="en-US"/>
              </w:rPr>
            </w:pPr>
            <w:r w:rsidRPr="001007BA">
              <w:rPr>
                <w:rFonts w:ascii="Arial Narrow" w:hAnsi="Arial Narrow" w:cs="Times New Roman"/>
                <w:b/>
                <w:snapToGrid/>
                <w:sz w:val="20"/>
                <w:lang w:val="en-US"/>
              </w:rPr>
              <w:t>(log rank test)</w:t>
            </w:r>
          </w:p>
        </w:tc>
        <w:tc>
          <w:tcPr>
            <w:tcW w:w="735" w:type="pct"/>
            <w:vAlign w:val="center"/>
          </w:tcPr>
          <w:p w:rsidR="003442A9" w:rsidRPr="001007BA" w:rsidRDefault="003442A9" w:rsidP="00687778">
            <w:pPr>
              <w:widowControl/>
              <w:jc w:val="center"/>
              <w:rPr>
                <w:rFonts w:ascii="Arial Narrow" w:hAnsi="Arial Narrow" w:cs="Times New Roman"/>
                <w:b/>
                <w:iCs/>
                <w:snapToGrid/>
                <w:sz w:val="20"/>
                <w:lang w:val="en-US"/>
              </w:rPr>
            </w:pPr>
            <w:r w:rsidRPr="001007BA">
              <w:rPr>
                <w:rFonts w:ascii="Arial Narrow" w:hAnsi="Arial Narrow" w:cs="Times New Roman"/>
                <w:b/>
                <w:iCs/>
                <w:snapToGrid/>
                <w:sz w:val="20"/>
                <w:lang w:val="en-US"/>
              </w:rPr>
              <w:t>HR</w:t>
            </w:r>
          </w:p>
          <w:p w:rsidR="003442A9" w:rsidRPr="001007BA" w:rsidRDefault="003442A9" w:rsidP="00687778">
            <w:pPr>
              <w:widowControl/>
              <w:jc w:val="center"/>
              <w:rPr>
                <w:rFonts w:ascii="Arial Narrow" w:hAnsi="Arial Narrow" w:cs="Times New Roman"/>
                <w:b/>
                <w:snapToGrid/>
                <w:sz w:val="20"/>
                <w:lang w:val="en-US"/>
              </w:rPr>
            </w:pPr>
            <w:r w:rsidRPr="001007BA">
              <w:rPr>
                <w:rFonts w:ascii="Arial Narrow" w:hAnsi="Arial Narrow" w:cs="Times New Roman"/>
                <w:b/>
                <w:iCs/>
                <w:snapToGrid/>
                <w:sz w:val="20"/>
                <w:lang w:val="en-US"/>
              </w:rPr>
              <w:t xml:space="preserve"> (95% CI)</w:t>
            </w:r>
          </w:p>
        </w:tc>
      </w:tr>
      <w:tr w:rsidR="003442A9" w:rsidRPr="00B1011F" w:rsidTr="00207B77">
        <w:trPr>
          <w:trHeight w:val="323"/>
        </w:trPr>
        <w:tc>
          <w:tcPr>
            <w:tcW w:w="5000" w:type="pct"/>
            <w:gridSpan w:val="8"/>
            <w:vAlign w:val="center"/>
          </w:tcPr>
          <w:p w:rsidR="003442A9" w:rsidRPr="00A7507D" w:rsidRDefault="003442A9" w:rsidP="00687778">
            <w:pPr>
              <w:pStyle w:val="Tabletext"/>
              <w:rPr>
                <w:b/>
              </w:rPr>
            </w:pPr>
            <w:r>
              <w:t>Submission Mar-18</w:t>
            </w:r>
          </w:p>
        </w:tc>
      </w:tr>
      <w:tr w:rsidR="003442A9" w:rsidRPr="00B1011F" w:rsidTr="00207B77">
        <w:trPr>
          <w:trHeight w:val="485"/>
        </w:trPr>
        <w:tc>
          <w:tcPr>
            <w:tcW w:w="599" w:type="pct"/>
            <w:vAlign w:val="center"/>
          </w:tcPr>
          <w:p w:rsidR="003442A9" w:rsidRPr="00B1011F" w:rsidRDefault="003442A9" w:rsidP="00687778">
            <w:pPr>
              <w:pStyle w:val="Tabletext"/>
            </w:pPr>
            <w:r>
              <w:t>OS</w:t>
            </w:r>
          </w:p>
        </w:tc>
        <w:tc>
          <w:tcPr>
            <w:tcW w:w="533" w:type="pct"/>
            <w:vAlign w:val="center"/>
          </w:tcPr>
          <w:p w:rsidR="003442A9" w:rsidRPr="00B1011F" w:rsidRDefault="003442A9" w:rsidP="00687778">
            <w:pPr>
              <w:pStyle w:val="Tabletext"/>
              <w:jc w:val="center"/>
            </w:pPr>
            <w:r w:rsidRPr="00230BD0">
              <w:t>233</w:t>
            </w:r>
            <w:r>
              <w:t>/379 (61.5%)</w:t>
            </w:r>
          </w:p>
        </w:tc>
        <w:tc>
          <w:tcPr>
            <w:tcW w:w="686" w:type="pct"/>
            <w:vAlign w:val="center"/>
          </w:tcPr>
          <w:p w:rsidR="003442A9" w:rsidRDefault="003442A9" w:rsidP="00687778">
            <w:pPr>
              <w:pStyle w:val="Tabletext"/>
              <w:jc w:val="center"/>
            </w:pPr>
            <w:r>
              <w:t xml:space="preserve">10.6 </w:t>
            </w:r>
          </w:p>
          <w:p w:rsidR="003442A9" w:rsidRPr="00B1011F" w:rsidRDefault="003442A9" w:rsidP="00687778">
            <w:pPr>
              <w:pStyle w:val="Tabletext"/>
              <w:jc w:val="center"/>
            </w:pPr>
            <w:r>
              <w:t>(9.1–12.1)</w:t>
            </w:r>
          </w:p>
        </w:tc>
        <w:tc>
          <w:tcPr>
            <w:tcW w:w="626" w:type="pct"/>
            <w:vAlign w:val="center"/>
          </w:tcPr>
          <w:p w:rsidR="003442A9" w:rsidRPr="00B1011F" w:rsidRDefault="003442A9" w:rsidP="00687778">
            <w:pPr>
              <w:pStyle w:val="Tabletext"/>
              <w:jc w:val="center"/>
            </w:pPr>
            <w:r>
              <w:t>140/194 (72.2%)</w:t>
            </w:r>
          </w:p>
        </w:tc>
        <w:tc>
          <w:tcPr>
            <w:tcW w:w="686" w:type="pct"/>
            <w:vAlign w:val="center"/>
          </w:tcPr>
          <w:p w:rsidR="003442A9" w:rsidRDefault="003442A9" w:rsidP="00687778">
            <w:pPr>
              <w:pStyle w:val="Tabletext"/>
              <w:jc w:val="center"/>
            </w:pPr>
            <w:r>
              <w:t>7.8</w:t>
            </w:r>
          </w:p>
          <w:p w:rsidR="003442A9" w:rsidRPr="00B1011F" w:rsidRDefault="003442A9" w:rsidP="00687778">
            <w:pPr>
              <w:pStyle w:val="Tabletext"/>
              <w:jc w:val="center"/>
            </w:pPr>
            <w:r>
              <w:t>(6.3–8.8)</w:t>
            </w:r>
          </w:p>
        </w:tc>
        <w:tc>
          <w:tcPr>
            <w:tcW w:w="528" w:type="pct"/>
            <w:vAlign w:val="center"/>
          </w:tcPr>
          <w:p w:rsidR="003442A9" w:rsidRDefault="003442A9" w:rsidP="00687778">
            <w:pPr>
              <w:pStyle w:val="Tabletext"/>
              <w:jc w:val="center"/>
            </w:pPr>
            <w:r>
              <w:t xml:space="preserve">2.8 </w:t>
            </w:r>
          </w:p>
          <w:p w:rsidR="003442A9" w:rsidRPr="00B1011F" w:rsidRDefault="003442A9" w:rsidP="00687778">
            <w:pPr>
              <w:pStyle w:val="Tabletext"/>
              <w:jc w:val="center"/>
            </w:pPr>
            <w:r>
              <w:t>(2.8 – 3.3)</w:t>
            </w:r>
          </w:p>
        </w:tc>
        <w:tc>
          <w:tcPr>
            <w:tcW w:w="606" w:type="pct"/>
            <w:vAlign w:val="center"/>
          </w:tcPr>
          <w:p w:rsidR="003442A9" w:rsidRPr="00B1011F" w:rsidRDefault="003442A9" w:rsidP="00687778">
            <w:pPr>
              <w:pStyle w:val="Tabletext"/>
              <w:jc w:val="center"/>
            </w:pPr>
            <w:r>
              <w:t>&lt; 0.0001</w:t>
            </w:r>
          </w:p>
        </w:tc>
        <w:tc>
          <w:tcPr>
            <w:tcW w:w="735" w:type="pct"/>
            <w:vAlign w:val="center"/>
          </w:tcPr>
          <w:p w:rsidR="003442A9" w:rsidRPr="00A7507D" w:rsidRDefault="003442A9" w:rsidP="00687778">
            <w:pPr>
              <w:pStyle w:val="Tabletext"/>
              <w:jc w:val="center"/>
              <w:rPr>
                <w:b/>
              </w:rPr>
            </w:pPr>
            <w:r w:rsidRPr="00A7507D">
              <w:rPr>
                <w:b/>
              </w:rPr>
              <w:t xml:space="preserve">0.627 </w:t>
            </w:r>
          </w:p>
          <w:p w:rsidR="003442A9" w:rsidRPr="00B1011F" w:rsidRDefault="003442A9" w:rsidP="00687778">
            <w:pPr>
              <w:pStyle w:val="Tabletext"/>
              <w:jc w:val="center"/>
            </w:pPr>
            <w:r>
              <w:t xml:space="preserve">(0.500 - </w:t>
            </w:r>
            <w:r w:rsidRPr="0070334E">
              <w:t xml:space="preserve"> 0.785)</w:t>
            </w:r>
          </w:p>
        </w:tc>
      </w:tr>
      <w:tr w:rsidR="003442A9" w:rsidRPr="00A7507D" w:rsidTr="00207B77">
        <w:trPr>
          <w:trHeight w:val="359"/>
        </w:trPr>
        <w:tc>
          <w:tcPr>
            <w:tcW w:w="599" w:type="pct"/>
            <w:vAlign w:val="center"/>
          </w:tcPr>
          <w:p w:rsidR="003442A9" w:rsidRDefault="003442A9" w:rsidP="00687778">
            <w:pPr>
              <w:pStyle w:val="Tabletext"/>
            </w:pPr>
            <w:r>
              <w:t>PFS</w:t>
            </w:r>
          </w:p>
        </w:tc>
        <w:tc>
          <w:tcPr>
            <w:tcW w:w="533" w:type="pct"/>
            <w:vAlign w:val="center"/>
          </w:tcPr>
          <w:p w:rsidR="003442A9" w:rsidRPr="00230BD0" w:rsidRDefault="003442A9" w:rsidP="00687778">
            <w:pPr>
              <w:pStyle w:val="Tabletext"/>
              <w:jc w:val="center"/>
            </w:pPr>
            <w:r>
              <w:t>293/379 (77.3%)</w:t>
            </w:r>
          </w:p>
        </w:tc>
        <w:tc>
          <w:tcPr>
            <w:tcW w:w="686" w:type="pct"/>
            <w:vAlign w:val="center"/>
          </w:tcPr>
          <w:p w:rsidR="003442A9" w:rsidRDefault="003442A9" w:rsidP="00687778">
            <w:pPr>
              <w:pStyle w:val="Tabletext"/>
              <w:jc w:val="center"/>
            </w:pPr>
            <w:r>
              <w:t xml:space="preserve">3.1 </w:t>
            </w:r>
          </w:p>
          <w:p w:rsidR="003442A9" w:rsidRDefault="003442A9" w:rsidP="00687778">
            <w:pPr>
              <w:pStyle w:val="Tabletext"/>
              <w:jc w:val="center"/>
            </w:pPr>
            <w:r>
              <w:t>(2.8–4.2)</w:t>
            </w:r>
          </w:p>
        </w:tc>
        <w:tc>
          <w:tcPr>
            <w:tcW w:w="626" w:type="pct"/>
            <w:vAlign w:val="center"/>
          </w:tcPr>
          <w:p w:rsidR="003442A9" w:rsidRDefault="003442A9" w:rsidP="00687778">
            <w:pPr>
              <w:pStyle w:val="Tabletext"/>
              <w:jc w:val="center"/>
            </w:pPr>
            <w:r>
              <w:t>181/194 (93.3%)</w:t>
            </w:r>
          </w:p>
        </w:tc>
        <w:tc>
          <w:tcPr>
            <w:tcW w:w="686" w:type="pct"/>
            <w:vAlign w:val="center"/>
          </w:tcPr>
          <w:p w:rsidR="003442A9" w:rsidRDefault="003442A9" w:rsidP="00687778">
            <w:pPr>
              <w:pStyle w:val="Tabletext"/>
              <w:jc w:val="center"/>
            </w:pPr>
            <w:r>
              <w:t>1.5</w:t>
            </w:r>
          </w:p>
          <w:p w:rsidR="003442A9" w:rsidRDefault="003442A9" w:rsidP="00687778">
            <w:pPr>
              <w:pStyle w:val="Tabletext"/>
              <w:jc w:val="center"/>
            </w:pPr>
            <w:r>
              <w:t>(1.4–1.6)</w:t>
            </w:r>
          </w:p>
        </w:tc>
        <w:tc>
          <w:tcPr>
            <w:tcW w:w="528" w:type="pct"/>
            <w:vAlign w:val="center"/>
          </w:tcPr>
          <w:p w:rsidR="003442A9" w:rsidRDefault="003442A9" w:rsidP="00687778">
            <w:pPr>
              <w:pStyle w:val="Tabletext"/>
              <w:jc w:val="center"/>
            </w:pPr>
            <w:r>
              <w:t>1.6</w:t>
            </w:r>
          </w:p>
          <w:p w:rsidR="003442A9" w:rsidRDefault="003442A9" w:rsidP="00687778">
            <w:pPr>
              <w:pStyle w:val="Tabletext"/>
              <w:jc w:val="center"/>
            </w:pPr>
            <w:r>
              <w:t>(0 – 2.6)</w:t>
            </w:r>
          </w:p>
        </w:tc>
        <w:tc>
          <w:tcPr>
            <w:tcW w:w="606" w:type="pct"/>
            <w:vAlign w:val="center"/>
          </w:tcPr>
          <w:p w:rsidR="003442A9" w:rsidRDefault="003442A9" w:rsidP="00687778">
            <w:pPr>
              <w:pStyle w:val="Tabletext"/>
              <w:jc w:val="center"/>
            </w:pPr>
            <w:r>
              <w:t>&lt; 0.0001</w:t>
            </w:r>
          </w:p>
        </w:tc>
        <w:tc>
          <w:tcPr>
            <w:tcW w:w="735" w:type="pct"/>
            <w:vAlign w:val="center"/>
          </w:tcPr>
          <w:p w:rsidR="003442A9" w:rsidRPr="00A7507D" w:rsidRDefault="003442A9" w:rsidP="00687778">
            <w:pPr>
              <w:pStyle w:val="Tabletext"/>
              <w:jc w:val="center"/>
              <w:rPr>
                <w:b/>
              </w:rPr>
            </w:pPr>
            <w:r w:rsidRPr="00A7507D">
              <w:rPr>
                <w:b/>
              </w:rPr>
              <w:t xml:space="preserve">0.455 </w:t>
            </w:r>
          </w:p>
          <w:p w:rsidR="003442A9" w:rsidRPr="00A7507D" w:rsidRDefault="003442A9" w:rsidP="00687778">
            <w:pPr>
              <w:pStyle w:val="Tabletext"/>
              <w:jc w:val="center"/>
              <w:rPr>
                <w:b/>
              </w:rPr>
            </w:pPr>
            <w:r>
              <w:t xml:space="preserve">(0.371 - </w:t>
            </w:r>
            <w:r w:rsidRPr="0070334E">
              <w:t xml:space="preserve"> 0.</w:t>
            </w:r>
            <w:r>
              <w:t>558</w:t>
            </w:r>
            <w:r w:rsidRPr="0070334E">
              <w:t>)</w:t>
            </w:r>
          </w:p>
        </w:tc>
      </w:tr>
      <w:tr w:rsidR="001A33AC" w:rsidRPr="00A010F6" w:rsidTr="00207B77">
        <w:trPr>
          <w:trHeight w:val="530"/>
        </w:trPr>
        <w:tc>
          <w:tcPr>
            <w:tcW w:w="599" w:type="pct"/>
            <w:vAlign w:val="center"/>
          </w:tcPr>
          <w:p w:rsidR="001A33AC" w:rsidRPr="001007BA" w:rsidRDefault="001A33AC" w:rsidP="000664A8">
            <w:pPr>
              <w:widowControl/>
              <w:jc w:val="left"/>
              <w:rPr>
                <w:rFonts w:ascii="Arial Narrow" w:hAnsi="Arial Narrow" w:cs="Times New Roman"/>
                <w:snapToGrid/>
                <w:sz w:val="20"/>
              </w:rPr>
            </w:pPr>
            <w:r w:rsidRPr="001007BA">
              <w:rPr>
                <w:rFonts w:ascii="Arial Narrow" w:hAnsi="Arial Narrow" w:cs="Times New Roman"/>
                <w:snapToGrid/>
                <w:sz w:val="20"/>
              </w:rPr>
              <w:t>TTP</w:t>
            </w:r>
          </w:p>
        </w:tc>
        <w:tc>
          <w:tcPr>
            <w:tcW w:w="533" w:type="pct"/>
            <w:vAlign w:val="center"/>
          </w:tcPr>
          <w:p w:rsidR="001A33AC" w:rsidRPr="001007BA" w:rsidRDefault="001A33AC" w:rsidP="000664A8">
            <w:pPr>
              <w:widowControl/>
              <w:jc w:val="center"/>
              <w:rPr>
                <w:rFonts w:ascii="Arial Narrow" w:hAnsi="Arial Narrow" w:cs="Times New Roman"/>
                <w:snapToGrid/>
                <w:sz w:val="20"/>
              </w:rPr>
            </w:pPr>
            <w:r w:rsidRPr="001007BA">
              <w:rPr>
                <w:rFonts w:ascii="Arial Narrow" w:hAnsi="Arial Narrow" w:cs="Times New Roman"/>
                <w:snapToGrid/>
                <w:sz w:val="20"/>
              </w:rPr>
              <w:t>274/379 (72.3%)</w:t>
            </w:r>
          </w:p>
        </w:tc>
        <w:tc>
          <w:tcPr>
            <w:tcW w:w="686" w:type="pct"/>
            <w:vAlign w:val="center"/>
          </w:tcPr>
          <w:p w:rsidR="001A33AC" w:rsidRPr="001007BA" w:rsidRDefault="001A33AC" w:rsidP="000664A8">
            <w:pPr>
              <w:widowControl/>
              <w:jc w:val="center"/>
              <w:rPr>
                <w:rFonts w:ascii="Arial Narrow" w:hAnsi="Arial Narrow" w:cs="Times New Roman"/>
                <w:snapToGrid/>
                <w:sz w:val="20"/>
              </w:rPr>
            </w:pPr>
            <w:r w:rsidRPr="001007BA">
              <w:rPr>
                <w:rFonts w:ascii="Arial Narrow" w:hAnsi="Arial Narrow" w:cs="Times New Roman"/>
                <w:snapToGrid/>
                <w:sz w:val="20"/>
              </w:rPr>
              <w:t xml:space="preserve">3.2 </w:t>
            </w:r>
          </w:p>
          <w:p w:rsidR="001A33AC" w:rsidRPr="001007BA" w:rsidRDefault="001A33AC" w:rsidP="000664A8">
            <w:pPr>
              <w:widowControl/>
              <w:jc w:val="center"/>
              <w:rPr>
                <w:rFonts w:ascii="Arial Narrow" w:hAnsi="Arial Narrow" w:cs="Times New Roman"/>
                <w:snapToGrid/>
                <w:sz w:val="20"/>
              </w:rPr>
            </w:pPr>
            <w:r w:rsidRPr="001007BA">
              <w:rPr>
                <w:rFonts w:ascii="Arial Narrow" w:hAnsi="Arial Narrow" w:cs="Times New Roman"/>
                <w:snapToGrid/>
                <w:sz w:val="20"/>
              </w:rPr>
              <w:t>(2.9–4.2)</w:t>
            </w:r>
          </w:p>
        </w:tc>
        <w:tc>
          <w:tcPr>
            <w:tcW w:w="626" w:type="pct"/>
            <w:vAlign w:val="center"/>
          </w:tcPr>
          <w:p w:rsidR="001A33AC" w:rsidRPr="001007BA" w:rsidRDefault="001A33AC" w:rsidP="000664A8">
            <w:pPr>
              <w:widowControl/>
              <w:jc w:val="center"/>
              <w:rPr>
                <w:rFonts w:ascii="Arial Narrow" w:hAnsi="Arial Narrow" w:cs="Times New Roman"/>
                <w:snapToGrid/>
                <w:sz w:val="20"/>
              </w:rPr>
            </w:pPr>
            <w:r w:rsidRPr="001007BA">
              <w:rPr>
                <w:rFonts w:ascii="Arial Narrow" w:hAnsi="Arial Narrow" w:cs="Times New Roman"/>
                <w:snapToGrid/>
                <w:sz w:val="20"/>
              </w:rPr>
              <w:t>173/194 (89.2%)</w:t>
            </w:r>
          </w:p>
        </w:tc>
        <w:tc>
          <w:tcPr>
            <w:tcW w:w="686" w:type="pct"/>
            <w:vAlign w:val="center"/>
          </w:tcPr>
          <w:p w:rsidR="001A33AC" w:rsidRPr="001007BA" w:rsidRDefault="001A33AC" w:rsidP="000664A8">
            <w:pPr>
              <w:widowControl/>
              <w:jc w:val="center"/>
              <w:rPr>
                <w:rFonts w:ascii="Arial Narrow" w:hAnsi="Arial Narrow" w:cs="Times New Roman"/>
                <w:snapToGrid/>
                <w:sz w:val="20"/>
              </w:rPr>
            </w:pPr>
            <w:r w:rsidRPr="001007BA">
              <w:rPr>
                <w:rFonts w:ascii="Arial Narrow" w:hAnsi="Arial Narrow" w:cs="Times New Roman"/>
                <w:snapToGrid/>
                <w:sz w:val="20"/>
              </w:rPr>
              <w:t>1.5</w:t>
            </w:r>
          </w:p>
          <w:p w:rsidR="001A33AC" w:rsidRPr="001007BA" w:rsidRDefault="001A33AC" w:rsidP="000664A8">
            <w:pPr>
              <w:widowControl/>
              <w:jc w:val="center"/>
              <w:rPr>
                <w:rFonts w:ascii="Arial Narrow" w:hAnsi="Arial Narrow" w:cs="Times New Roman"/>
                <w:snapToGrid/>
                <w:sz w:val="20"/>
              </w:rPr>
            </w:pPr>
            <w:r w:rsidRPr="001007BA">
              <w:rPr>
                <w:rFonts w:ascii="Arial Narrow" w:hAnsi="Arial Narrow" w:cs="Times New Roman"/>
                <w:snapToGrid/>
                <w:sz w:val="20"/>
              </w:rPr>
              <w:t>(1.4–1.6)</w:t>
            </w:r>
          </w:p>
        </w:tc>
        <w:tc>
          <w:tcPr>
            <w:tcW w:w="528" w:type="pct"/>
            <w:vAlign w:val="center"/>
          </w:tcPr>
          <w:p w:rsidR="001A33AC" w:rsidRPr="001007BA" w:rsidRDefault="001A33AC" w:rsidP="000664A8">
            <w:pPr>
              <w:widowControl/>
              <w:jc w:val="center"/>
              <w:rPr>
                <w:rFonts w:ascii="Arial Narrow" w:hAnsi="Arial Narrow" w:cs="Times New Roman"/>
                <w:snapToGrid/>
                <w:sz w:val="20"/>
              </w:rPr>
            </w:pPr>
            <w:r w:rsidRPr="001007BA">
              <w:rPr>
                <w:rFonts w:ascii="Arial Narrow" w:hAnsi="Arial Narrow" w:cs="Times New Roman"/>
                <w:snapToGrid/>
                <w:sz w:val="20"/>
              </w:rPr>
              <w:t xml:space="preserve">1.7 </w:t>
            </w:r>
          </w:p>
          <w:p w:rsidR="001A33AC" w:rsidRPr="001007BA" w:rsidRDefault="001A33AC" w:rsidP="000664A8">
            <w:pPr>
              <w:widowControl/>
              <w:jc w:val="center"/>
              <w:rPr>
                <w:rFonts w:ascii="Arial Narrow" w:hAnsi="Arial Narrow" w:cs="Times New Roman"/>
                <w:snapToGrid/>
                <w:sz w:val="20"/>
              </w:rPr>
            </w:pPr>
            <w:r w:rsidRPr="001007BA">
              <w:rPr>
                <w:rFonts w:ascii="Arial Narrow" w:hAnsi="Arial Narrow" w:cs="Times New Roman"/>
                <w:snapToGrid/>
                <w:sz w:val="20"/>
              </w:rPr>
              <w:t>(0.1 – 0.9)</w:t>
            </w:r>
          </w:p>
        </w:tc>
        <w:tc>
          <w:tcPr>
            <w:tcW w:w="606" w:type="pct"/>
            <w:vAlign w:val="center"/>
          </w:tcPr>
          <w:p w:rsidR="001A33AC" w:rsidRPr="001007BA" w:rsidRDefault="001A33AC" w:rsidP="000664A8">
            <w:pPr>
              <w:widowControl/>
              <w:jc w:val="center"/>
              <w:rPr>
                <w:rFonts w:ascii="Arial Narrow" w:hAnsi="Arial Narrow" w:cs="Times New Roman"/>
                <w:snapToGrid/>
                <w:sz w:val="20"/>
              </w:rPr>
            </w:pPr>
            <w:r w:rsidRPr="001007BA">
              <w:rPr>
                <w:rFonts w:ascii="Arial Narrow" w:hAnsi="Arial Narrow" w:cs="Times New Roman"/>
                <w:snapToGrid/>
                <w:sz w:val="20"/>
              </w:rPr>
              <w:t>&lt; 0.00001</w:t>
            </w:r>
          </w:p>
        </w:tc>
        <w:tc>
          <w:tcPr>
            <w:tcW w:w="735" w:type="pct"/>
            <w:vAlign w:val="center"/>
          </w:tcPr>
          <w:p w:rsidR="001A33AC" w:rsidRPr="001007BA" w:rsidRDefault="001A33AC" w:rsidP="000664A8">
            <w:pPr>
              <w:widowControl/>
              <w:jc w:val="center"/>
              <w:rPr>
                <w:rFonts w:ascii="Arial Narrow" w:hAnsi="Arial Narrow" w:cs="Times New Roman"/>
                <w:b/>
                <w:snapToGrid/>
                <w:sz w:val="20"/>
              </w:rPr>
            </w:pPr>
            <w:r w:rsidRPr="001007BA">
              <w:rPr>
                <w:rFonts w:ascii="Arial Narrow" w:hAnsi="Arial Narrow" w:cs="Times New Roman"/>
                <w:b/>
                <w:snapToGrid/>
                <w:sz w:val="20"/>
              </w:rPr>
              <w:t xml:space="preserve">0.442 </w:t>
            </w:r>
          </w:p>
          <w:p w:rsidR="001A33AC" w:rsidRPr="001007BA" w:rsidRDefault="001A33AC" w:rsidP="000664A8">
            <w:pPr>
              <w:widowControl/>
              <w:jc w:val="center"/>
              <w:rPr>
                <w:rFonts w:ascii="Arial Narrow" w:hAnsi="Arial Narrow" w:cs="Times New Roman"/>
                <w:b/>
                <w:snapToGrid/>
                <w:sz w:val="20"/>
              </w:rPr>
            </w:pPr>
            <w:r w:rsidRPr="001007BA">
              <w:rPr>
                <w:rFonts w:ascii="Arial Narrow" w:hAnsi="Arial Narrow" w:cs="Times New Roman"/>
                <w:snapToGrid/>
                <w:sz w:val="20"/>
              </w:rPr>
              <w:t>(0.358 - 0.545)</w:t>
            </w:r>
          </w:p>
        </w:tc>
      </w:tr>
      <w:tr w:rsidR="003442A9" w:rsidRPr="00744707" w:rsidTr="00207B77">
        <w:trPr>
          <w:trHeight w:val="242"/>
        </w:trPr>
        <w:tc>
          <w:tcPr>
            <w:tcW w:w="5000" w:type="pct"/>
            <w:gridSpan w:val="8"/>
            <w:shd w:val="clear" w:color="auto" w:fill="auto"/>
            <w:vAlign w:val="center"/>
          </w:tcPr>
          <w:p w:rsidR="003442A9" w:rsidRPr="00744707" w:rsidRDefault="003442A9" w:rsidP="00687778">
            <w:pPr>
              <w:widowControl/>
              <w:jc w:val="left"/>
              <w:rPr>
                <w:rFonts w:ascii="Arial Narrow" w:hAnsi="Arial Narrow" w:cs="Times New Roman"/>
                <w:b/>
                <w:snapToGrid/>
                <w:sz w:val="20"/>
              </w:rPr>
            </w:pPr>
            <w:r w:rsidRPr="00744707">
              <w:rPr>
                <w:rFonts w:ascii="Arial Narrow" w:hAnsi="Arial Narrow" w:cs="Times New Roman"/>
                <w:snapToGrid/>
                <w:sz w:val="20"/>
              </w:rPr>
              <w:t>Resubmission Nov-18</w:t>
            </w:r>
          </w:p>
        </w:tc>
      </w:tr>
      <w:tr w:rsidR="003442A9" w:rsidRPr="00744707" w:rsidTr="00207B77">
        <w:trPr>
          <w:trHeight w:val="431"/>
        </w:trPr>
        <w:tc>
          <w:tcPr>
            <w:tcW w:w="599" w:type="pct"/>
            <w:shd w:val="clear" w:color="auto" w:fill="auto"/>
            <w:vAlign w:val="center"/>
          </w:tcPr>
          <w:p w:rsidR="003442A9" w:rsidRPr="00744707" w:rsidRDefault="003442A9" w:rsidP="00687778">
            <w:pPr>
              <w:widowControl/>
              <w:jc w:val="left"/>
              <w:rPr>
                <w:rFonts w:ascii="Arial Narrow" w:hAnsi="Arial Narrow" w:cs="Times New Roman"/>
                <w:snapToGrid/>
                <w:sz w:val="20"/>
              </w:rPr>
            </w:pPr>
            <w:r w:rsidRPr="00744707">
              <w:rPr>
                <w:rFonts w:ascii="Arial Narrow" w:hAnsi="Arial Narrow" w:cs="Times New Roman"/>
                <w:snapToGrid/>
                <w:sz w:val="20"/>
              </w:rPr>
              <w:t>OS</w:t>
            </w:r>
          </w:p>
        </w:tc>
        <w:tc>
          <w:tcPr>
            <w:tcW w:w="533"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290/379 (76.5%)</w:t>
            </w:r>
          </w:p>
        </w:tc>
        <w:tc>
          <w:tcPr>
            <w:tcW w:w="686"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 xml:space="preserve">10.7 </w:t>
            </w:r>
          </w:p>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(9.1–12.2)</w:t>
            </w:r>
          </w:p>
        </w:tc>
        <w:tc>
          <w:tcPr>
            <w:tcW w:w="626"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169/194 (87.1%)</w:t>
            </w:r>
          </w:p>
        </w:tc>
        <w:tc>
          <w:tcPr>
            <w:tcW w:w="686"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7.9</w:t>
            </w:r>
          </w:p>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(6.4–9)</w:t>
            </w:r>
          </w:p>
        </w:tc>
        <w:tc>
          <w:tcPr>
            <w:tcW w:w="528"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 xml:space="preserve">2.8 </w:t>
            </w:r>
          </w:p>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(2.7 – 3.2)</w:t>
            </w:r>
          </w:p>
        </w:tc>
        <w:tc>
          <w:tcPr>
            <w:tcW w:w="606"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&lt; 0.00001</w:t>
            </w:r>
          </w:p>
        </w:tc>
        <w:tc>
          <w:tcPr>
            <w:tcW w:w="735" w:type="pct"/>
            <w:shd w:val="clear" w:color="auto" w:fill="auto"/>
            <w:vAlign w:val="center"/>
          </w:tcPr>
          <w:p w:rsidR="003442A9" w:rsidRPr="00744707" w:rsidRDefault="003442A9" w:rsidP="00687778">
            <w:pPr>
              <w:widowControl/>
              <w:jc w:val="center"/>
              <w:rPr>
                <w:rFonts w:ascii="Arial Narrow" w:hAnsi="Arial Narrow" w:cs="Times New Roman"/>
                <w:b/>
                <w:snapToGrid/>
                <w:sz w:val="20"/>
              </w:rPr>
            </w:pPr>
            <w:r w:rsidRPr="00744707">
              <w:rPr>
                <w:rFonts w:ascii="Arial Narrow" w:hAnsi="Arial Narrow" w:cs="Times New Roman"/>
                <w:b/>
                <w:snapToGrid/>
                <w:sz w:val="20"/>
              </w:rPr>
              <w:t>0.614</w:t>
            </w:r>
          </w:p>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(0.501 – 0.753)</w:t>
            </w:r>
          </w:p>
        </w:tc>
      </w:tr>
      <w:tr w:rsidR="003442A9" w:rsidRPr="00A010F6" w:rsidTr="00207B77">
        <w:trPr>
          <w:trHeight w:val="512"/>
        </w:trPr>
        <w:tc>
          <w:tcPr>
            <w:tcW w:w="599" w:type="pct"/>
            <w:shd w:val="clear" w:color="auto" w:fill="auto"/>
            <w:vAlign w:val="center"/>
          </w:tcPr>
          <w:p w:rsidR="003442A9" w:rsidRPr="00744707" w:rsidRDefault="003442A9" w:rsidP="00687778">
            <w:pPr>
              <w:widowControl/>
              <w:jc w:val="left"/>
              <w:rPr>
                <w:rFonts w:ascii="Arial Narrow" w:hAnsi="Arial Narrow" w:cs="Times New Roman"/>
                <w:snapToGrid/>
                <w:sz w:val="20"/>
              </w:rPr>
            </w:pPr>
            <w:r w:rsidRPr="00744707">
              <w:rPr>
                <w:rFonts w:ascii="Arial Narrow" w:hAnsi="Arial Narrow" w:cs="Times New Roman"/>
                <w:snapToGrid/>
                <w:sz w:val="20"/>
              </w:rPr>
              <w:t>PFS</w:t>
            </w:r>
          </w:p>
        </w:tc>
        <w:tc>
          <w:tcPr>
            <w:tcW w:w="533"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313/379 (82.6%)</w:t>
            </w:r>
          </w:p>
        </w:tc>
        <w:tc>
          <w:tcPr>
            <w:tcW w:w="686"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 xml:space="preserve">3.1 </w:t>
            </w:r>
          </w:p>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(2.8–4.2)</w:t>
            </w:r>
          </w:p>
        </w:tc>
        <w:tc>
          <w:tcPr>
            <w:tcW w:w="626"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183/194 (94.3%)</w:t>
            </w:r>
          </w:p>
        </w:tc>
        <w:tc>
          <w:tcPr>
            <w:tcW w:w="686"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1.5</w:t>
            </w:r>
          </w:p>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(1.4–1.6)</w:t>
            </w:r>
          </w:p>
        </w:tc>
        <w:tc>
          <w:tcPr>
            <w:tcW w:w="528"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1.6</w:t>
            </w:r>
          </w:p>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(1.4 – 2.6)</w:t>
            </w:r>
          </w:p>
        </w:tc>
        <w:tc>
          <w:tcPr>
            <w:tcW w:w="606" w:type="pct"/>
            <w:shd w:val="clear" w:color="auto" w:fill="auto"/>
            <w:vAlign w:val="center"/>
          </w:tcPr>
          <w:p w:rsidR="003442A9" w:rsidRPr="00744707" w:rsidRDefault="003442A9" w:rsidP="00687778">
            <w:pPr>
              <w:widowControl/>
              <w:jc w:val="center"/>
              <w:rPr>
                <w:rFonts w:ascii="Arial Narrow" w:hAnsi="Arial Narrow" w:cs="Times New Roman"/>
                <w:snapToGrid/>
                <w:sz w:val="20"/>
              </w:rPr>
            </w:pPr>
            <w:r w:rsidRPr="00744707">
              <w:rPr>
                <w:rFonts w:ascii="Arial Narrow" w:hAnsi="Arial Narrow" w:cs="Times New Roman"/>
                <w:snapToGrid/>
                <w:sz w:val="20"/>
              </w:rPr>
              <w:t>&lt; 0.000001</w:t>
            </w:r>
          </w:p>
        </w:tc>
        <w:tc>
          <w:tcPr>
            <w:tcW w:w="735" w:type="pct"/>
            <w:shd w:val="clear" w:color="auto" w:fill="auto"/>
            <w:vAlign w:val="center"/>
          </w:tcPr>
          <w:p w:rsidR="003442A9" w:rsidRPr="00744707" w:rsidRDefault="003442A9" w:rsidP="00687778">
            <w:pPr>
              <w:widowControl/>
              <w:jc w:val="center"/>
              <w:rPr>
                <w:rFonts w:ascii="Arial Narrow" w:hAnsi="Arial Narrow" w:cs="Times New Roman"/>
                <w:b/>
                <w:snapToGrid/>
                <w:sz w:val="20"/>
              </w:rPr>
            </w:pPr>
            <w:r w:rsidRPr="00744707">
              <w:rPr>
                <w:rFonts w:ascii="Arial Narrow" w:hAnsi="Arial Narrow" w:cs="Times New Roman"/>
                <w:b/>
                <w:snapToGrid/>
                <w:sz w:val="20"/>
              </w:rPr>
              <w:t xml:space="preserve">0.455 </w:t>
            </w:r>
          </w:p>
          <w:p w:rsidR="003442A9" w:rsidRPr="00744707" w:rsidRDefault="003442A9" w:rsidP="00687778">
            <w:pPr>
              <w:widowControl/>
              <w:jc w:val="center"/>
              <w:rPr>
                <w:rFonts w:ascii="Arial Narrow" w:hAnsi="Arial Narrow" w:cs="Times New Roman"/>
                <w:b/>
                <w:snapToGrid/>
                <w:sz w:val="20"/>
              </w:rPr>
            </w:pPr>
            <w:r w:rsidRPr="00744707">
              <w:rPr>
                <w:rFonts w:ascii="Arial Narrow" w:hAnsi="Arial Narrow" w:cs="Times New Roman"/>
                <w:snapToGrid/>
                <w:sz w:val="20"/>
              </w:rPr>
              <w:t>(0.372 - 0.557)</w:t>
            </w:r>
          </w:p>
        </w:tc>
      </w:tr>
    </w:tbl>
    <w:p w:rsidR="003442A9" w:rsidRPr="001803FD" w:rsidRDefault="003442A9" w:rsidP="00687778">
      <w:pPr>
        <w:widowControl/>
        <w:rPr>
          <w:rFonts w:ascii="Arial Narrow" w:hAnsi="Arial Narrow"/>
          <w:sz w:val="18"/>
        </w:rPr>
      </w:pPr>
      <w:r w:rsidRPr="001803FD">
        <w:rPr>
          <w:rFonts w:ascii="Arial Narrow" w:hAnsi="Arial Narrow"/>
          <w:sz w:val="18"/>
        </w:rPr>
        <w:t xml:space="preserve">Abbreviations: BSC= Best supportive care; CI = confidence interval; HR = Hazard ratio; OS= overall survival; PFS= progression free survival; TTP= time to progression. </w:t>
      </w:r>
    </w:p>
    <w:p w:rsidR="003442A9" w:rsidRPr="001803FD" w:rsidRDefault="003442A9" w:rsidP="00687778">
      <w:pPr>
        <w:widowControl/>
        <w:rPr>
          <w:rFonts w:ascii="Arial Narrow" w:hAnsi="Arial Narrow"/>
          <w:sz w:val="18"/>
        </w:rPr>
      </w:pPr>
      <w:r w:rsidRPr="001803FD">
        <w:rPr>
          <w:rFonts w:ascii="Arial Narrow" w:hAnsi="Arial Narrow"/>
          <w:sz w:val="18"/>
        </w:rPr>
        <w:t>Source: Table 2-27, Table 2-29 to 2-30, p. 86 to 92 of the resubmission.</w:t>
      </w:r>
    </w:p>
    <w:p w:rsidR="003442A9" w:rsidRDefault="003442A9" w:rsidP="00687778">
      <w:pPr>
        <w:widowControl/>
        <w:rPr>
          <w:rFonts w:ascii="Arial Narrow" w:hAnsi="Arial Narrow"/>
          <w:sz w:val="18"/>
        </w:rPr>
      </w:pPr>
      <w:r w:rsidRPr="001803FD">
        <w:rPr>
          <w:rFonts w:ascii="Arial Narrow" w:hAnsi="Arial Narrow"/>
          <w:sz w:val="18"/>
        </w:rPr>
        <w:t>Note</w:t>
      </w:r>
      <w:r w:rsidRPr="00C616DB">
        <w:rPr>
          <w:rFonts w:ascii="Arial Narrow" w:hAnsi="Arial Narrow"/>
          <w:sz w:val="18"/>
        </w:rPr>
        <w:t>: Bold text indicates a statistically significant value.</w:t>
      </w:r>
    </w:p>
    <w:p w:rsidR="00AA35DC" w:rsidRPr="00C616DB" w:rsidRDefault="00AA35DC" w:rsidP="00687778">
      <w:pPr>
        <w:widowControl/>
        <w:rPr>
          <w:rFonts w:ascii="Arial Narrow" w:hAnsi="Arial Narrow"/>
          <w:sz w:val="18"/>
        </w:rPr>
      </w:pPr>
    </w:p>
    <w:p w:rsidR="002D057E" w:rsidRPr="00C616DB" w:rsidRDefault="002D057E" w:rsidP="00687778">
      <w:pPr>
        <w:pStyle w:val="ListParagraph"/>
        <w:widowControl/>
        <w:numPr>
          <w:ilvl w:val="1"/>
          <w:numId w:val="3"/>
        </w:numPr>
      </w:pPr>
      <w:r w:rsidRPr="00C616DB">
        <w:rPr>
          <w:rFonts w:cs="Calibri"/>
          <w:snapToGrid/>
          <w:szCs w:val="24"/>
          <w:lang w:val="en-US" w:eastAsia="en-AU"/>
        </w:rPr>
        <w:t>The Kaplan-Mei</w:t>
      </w:r>
      <w:r w:rsidR="00533EE5">
        <w:rPr>
          <w:rFonts w:cs="Calibri"/>
          <w:snapToGrid/>
          <w:szCs w:val="24"/>
          <w:lang w:val="en-US" w:eastAsia="en-AU"/>
        </w:rPr>
        <w:t>e</w:t>
      </w:r>
      <w:r w:rsidRPr="00C616DB">
        <w:rPr>
          <w:rFonts w:cs="Calibri"/>
          <w:snapToGrid/>
          <w:szCs w:val="24"/>
          <w:lang w:val="en-US" w:eastAsia="en-AU"/>
        </w:rPr>
        <w:t>r data are presented in Figure 1</w:t>
      </w:r>
      <w:r w:rsidR="00875D7E">
        <w:rPr>
          <w:rFonts w:cs="Calibri"/>
          <w:snapToGrid/>
          <w:szCs w:val="24"/>
          <w:lang w:val="en-US" w:eastAsia="en-AU"/>
        </w:rPr>
        <w:t>. The gain in median OS was 2.8 </w:t>
      </w:r>
      <w:r w:rsidRPr="00C616DB">
        <w:rPr>
          <w:rFonts w:cs="Calibri"/>
          <w:snapToGrid/>
          <w:szCs w:val="24"/>
          <w:lang w:val="en-US" w:eastAsia="en-AU"/>
        </w:rPr>
        <w:t xml:space="preserve">months. </w:t>
      </w:r>
    </w:p>
    <w:p w:rsidR="002D057E" w:rsidRPr="00C616DB" w:rsidRDefault="00687778" w:rsidP="00687778">
      <w:pPr>
        <w:keepNext/>
        <w:widowControl/>
        <w:rPr>
          <w:rFonts w:ascii="Arial Narrow" w:hAnsi="Arial Narrow" w:cs="Calibri"/>
          <w:b/>
          <w:snapToGrid/>
          <w:sz w:val="20"/>
          <w:szCs w:val="20"/>
          <w:lang w:val="en-US" w:eastAsia="en-AU"/>
        </w:rPr>
      </w:pPr>
      <w:r>
        <w:rPr>
          <w:rFonts w:ascii="Arial Narrow" w:hAnsi="Arial Narrow"/>
          <w:b/>
          <w:sz w:val="20"/>
          <w:szCs w:val="20"/>
        </w:rPr>
        <w:t>Figure 1:</w:t>
      </w:r>
      <w:r w:rsidR="002D057E" w:rsidRPr="00744707">
        <w:rPr>
          <w:rFonts w:ascii="Arial Narrow" w:hAnsi="Arial Narrow"/>
          <w:b/>
          <w:sz w:val="20"/>
          <w:szCs w:val="20"/>
        </w:rPr>
        <w:t xml:space="preserve"> </w:t>
      </w:r>
      <w:r w:rsidR="002D057E" w:rsidRPr="00744707">
        <w:rPr>
          <w:rFonts w:ascii="Arial Narrow" w:hAnsi="Arial Narrow" w:cs="Calibri"/>
          <w:b/>
          <w:snapToGrid/>
          <w:sz w:val="20"/>
          <w:szCs w:val="20"/>
          <w:lang w:val="en-US" w:eastAsia="en-AU"/>
        </w:rPr>
        <w:t>Kaplan Meier curve for overall survival (Full Analysis Set)</w:t>
      </w:r>
      <w:r w:rsidR="00875B11" w:rsidRPr="00744707">
        <w:rPr>
          <w:rFonts w:ascii="Arial Narrow" w:hAnsi="Arial Narrow" w:cs="Calibri"/>
          <w:b/>
          <w:snapToGrid/>
          <w:sz w:val="20"/>
          <w:szCs w:val="20"/>
          <w:lang w:val="en-US" w:eastAsia="en-AU"/>
        </w:rPr>
        <w:t>: 23</w:t>
      </w:r>
      <w:r w:rsidR="00D0674A" w:rsidRPr="00744707">
        <w:rPr>
          <w:rFonts w:ascii="Arial Narrow" w:hAnsi="Arial Narrow" w:cs="Calibri"/>
          <w:b/>
          <w:snapToGrid/>
          <w:sz w:val="20"/>
          <w:szCs w:val="20"/>
          <w:vertAlign w:val="superscript"/>
          <w:lang w:val="en-US" w:eastAsia="en-AU"/>
        </w:rPr>
        <w:t>rd</w:t>
      </w:r>
      <w:r w:rsidR="00D0674A" w:rsidRPr="00744707">
        <w:rPr>
          <w:rFonts w:ascii="Arial Narrow" w:hAnsi="Arial Narrow" w:cs="Calibri"/>
          <w:b/>
          <w:snapToGrid/>
          <w:sz w:val="20"/>
          <w:szCs w:val="20"/>
          <w:lang w:val="en-US" w:eastAsia="en-AU"/>
        </w:rPr>
        <w:t xml:space="preserve"> </w:t>
      </w:r>
      <w:r w:rsidR="00875B11" w:rsidRPr="00744707">
        <w:rPr>
          <w:rFonts w:ascii="Arial Narrow" w:hAnsi="Arial Narrow" w:cs="Calibri"/>
          <w:b/>
          <w:snapToGrid/>
          <w:sz w:val="20"/>
          <w:szCs w:val="20"/>
          <w:lang w:val="en-US" w:eastAsia="en-AU"/>
        </w:rPr>
        <w:t>January 2017</w:t>
      </w:r>
    </w:p>
    <w:p w:rsidR="00875B11" w:rsidRPr="00C616DB" w:rsidRDefault="00875B11" w:rsidP="00545839">
      <w:pPr>
        <w:keepNext/>
        <w:widowControl/>
        <w:rPr>
          <w:rFonts w:ascii="Arial Narrow" w:hAnsi="Arial Narrow"/>
          <w:b/>
          <w:sz w:val="20"/>
          <w:szCs w:val="20"/>
        </w:rPr>
      </w:pPr>
      <w:bookmarkStart w:id="8" w:name="_GoBack"/>
      <w:r w:rsidRPr="00C616DB">
        <w:rPr>
          <w:rFonts w:asciiTheme="minorHAnsi" w:hAnsiTheme="minorHAnsi" w:cstheme="minorHAnsi"/>
          <w:noProof/>
          <w:highlight w:val="lightGray"/>
          <w:lang w:eastAsia="en-AU"/>
        </w:rPr>
        <w:drawing>
          <wp:inline distT="0" distB="0" distL="0" distR="0" wp14:anchorId="571F08B3" wp14:editId="5375AB38">
            <wp:extent cx="4733925" cy="3058965"/>
            <wp:effectExtent l="0" t="0" r="0" b="8255"/>
            <wp:docPr id="2" name="Picture 2" descr="G:\Market Access\Products\Oncology\Regorafenib Stivarga\HCC\PBAC Resubmission - November 2018 meeting\Clinical data\Jan 2017 Cut-off\OS KM Jan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Market Access\Products\Oncology\Regorafenib Stivarga\HCC\PBAC Resubmission - November 2018 meeting\Clinical data\Jan 2017 Cut-off\OS KM Jan1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7558" cy="3067774"/>
                    </a:xfrm>
                    <a:prstGeom prst="rect">
                      <a:avLst/>
                    </a:prstGeom>
                    <a:noFill/>
                    <a:ln>
                      <a:noFill/>
                    </a:ln>
                  </pic:spPr>
                </pic:pic>
              </a:graphicData>
            </a:graphic>
          </wp:inline>
        </w:drawing>
      </w:r>
      <w:bookmarkEnd w:id="8"/>
    </w:p>
    <w:p w:rsidR="002D057E" w:rsidRDefault="00875B11" w:rsidP="00687778">
      <w:pPr>
        <w:widowControl/>
        <w:rPr>
          <w:rFonts w:ascii="Arial Narrow" w:hAnsi="Arial Narrow"/>
          <w:sz w:val="18"/>
        </w:rPr>
      </w:pPr>
      <w:r w:rsidRPr="00744707">
        <w:rPr>
          <w:rFonts w:ascii="Arial Narrow" w:hAnsi="Arial Narrow"/>
          <w:sz w:val="18"/>
        </w:rPr>
        <w:t>Source: Figure 2-9</w:t>
      </w:r>
      <w:r w:rsidRPr="00744707" w:rsidDel="00637D08">
        <w:rPr>
          <w:rFonts w:ascii="Arial Narrow" w:hAnsi="Arial Narrow"/>
          <w:sz w:val="18"/>
        </w:rPr>
        <w:t xml:space="preserve">, </w:t>
      </w:r>
      <w:r w:rsidRPr="00744707">
        <w:rPr>
          <w:rFonts w:ascii="Arial Narrow" w:hAnsi="Arial Narrow"/>
          <w:sz w:val="18"/>
        </w:rPr>
        <w:t>p. 88 of the resubmission</w:t>
      </w:r>
      <w:r w:rsidR="00AA35DC" w:rsidRPr="00744707">
        <w:rPr>
          <w:rFonts w:ascii="Arial Narrow" w:hAnsi="Arial Narrow"/>
          <w:sz w:val="18"/>
        </w:rPr>
        <w:t>.</w:t>
      </w:r>
      <w:r w:rsidRPr="00C616DB" w:rsidDel="00637D08">
        <w:rPr>
          <w:rFonts w:ascii="Arial Narrow" w:hAnsi="Arial Narrow"/>
          <w:sz w:val="18"/>
        </w:rPr>
        <w:t xml:space="preserve"> </w:t>
      </w:r>
    </w:p>
    <w:p w:rsidR="00AA35DC" w:rsidRPr="00AA35DC" w:rsidRDefault="00AA35DC" w:rsidP="00687778">
      <w:pPr>
        <w:widowControl/>
        <w:rPr>
          <w:rFonts w:ascii="Arial Narrow" w:hAnsi="Arial Narrow"/>
          <w:sz w:val="18"/>
        </w:rPr>
      </w:pPr>
    </w:p>
    <w:p w:rsidR="002D057E" w:rsidRPr="00C616DB" w:rsidRDefault="002D057E" w:rsidP="00687778">
      <w:pPr>
        <w:pStyle w:val="ListParagraph"/>
        <w:widowControl/>
        <w:numPr>
          <w:ilvl w:val="1"/>
          <w:numId w:val="3"/>
        </w:numPr>
        <w:rPr>
          <w:rFonts w:cs="Calibri"/>
          <w:snapToGrid/>
          <w:szCs w:val="24"/>
          <w:lang w:val="en-US" w:eastAsia="en-AU"/>
        </w:rPr>
      </w:pPr>
      <w:r w:rsidRPr="00C616DB">
        <w:rPr>
          <w:rFonts w:cs="Calibri"/>
          <w:snapToGrid/>
          <w:szCs w:val="24"/>
          <w:lang w:val="en-US" w:eastAsia="en-AU"/>
        </w:rPr>
        <w:t xml:space="preserve">The results from the RESORCE trial showed that there were no statistically significant differences in QoL between regorafenib and BSC, despite improved PFS. However, on </w:t>
      </w:r>
      <w:r w:rsidRPr="00C616DB">
        <w:rPr>
          <w:rFonts w:cs="Calibri"/>
          <w:snapToGrid/>
          <w:szCs w:val="24"/>
          <w:lang w:val="en-US" w:eastAsia="en-AU"/>
        </w:rPr>
        <w:lastRenderedPageBreak/>
        <w:t xml:space="preserve">average, lower QoL values were observed for regorafenib compared with BSC for all QoL questionnaires. </w:t>
      </w:r>
      <w:r w:rsidRPr="00D0674A">
        <w:rPr>
          <w:rFonts w:cs="Calibri"/>
          <w:snapToGrid/>
          <w:szCs w:val="24"/>
          <w:lang w:val="en-US" w:eastAsia="en-AU"/>
        </w:rPr>
        <w:t>These were statistically significantly lower for the FACT-HEP and Trial Outcomes Index, but did not achieve the minimally important differences for those questionnaires. These lower QoL average values for regorafenib could be explained by the increased toxicity associated with regorafenib.</w:t>
      </w:r>
      <w:r w:rsidRPr="00C616DB">
        <w:rPr>
          <w:rFonts w:cs="Calibri"/>
          <w:snapToGrid/>
          <w:szCs w:val="24"/>
          <w:lang w:val="en-US" w:eastAsia="en-AU"/>
        </w:rPr>
        <w:t xml:space="preserve"> A summary of key QoL outcomes is presented in Table </w:t>
      </w:r>
      <w:r w:rsidR="00304DC0">
        <w:rPr>
          <w:rFonts w:cs="Calibri"/>
          <w:snapToGrid/>
          <w:szCs w:val="24"/>
          <w:lang w:val="en-US" w:eastAsia="en-AU"/>
        </w:rPr>
        <w:t>6</w:t>
      </w:r>
      <w:r w:rsidRPr="00C616DB">
        <w:rPr>
          <w:rFonts w:cs="Calibri"/>
          <w:snapToGrid/>
          <w:szCs w:val="24"/>
          <w:lang w:val="en-US" w:eastAsia="en-AU"/>
        </w:rPr>
        <w:t>.</w:t>
      </w:r>
    </w:p>
    <w:p w:rsidR="002D057E" w:rsidRPr="00C616DB" w:rsidRDefault="002D057E" w:rsidP="00687778">
      <w:pPr>
        <w:widowControl/>
        <w:rPr>
          <w:rFonts w:ascii="Arial Narrow" w:hAnsi="Arial Narrow"/>
          <w:sz w:val="20"/>
          <w:szCs w:val="20"/>
        </w:rPr>
      </w:pPr>
      <w:r w:rsidRPr="008C728C">
        <w:rPr>
          <w:rStyle w:val="CommentReference"/>
          <w:szCs w:val="20"/>
        </w:rPr>
        <w:t xml:space="preserve">Table </w:t>
      </w:r>
      <w:r w:rsidR="00304DC0">
        <w:rPr>
          <w:rFonts w:ascii="Arial Narrow" w:hAnsi="Arial Narrow"/>
          <w:b/>
          <w:sz w:val="20"/>
          <w:szCs w:val="20"/>
        </w:rPr>
        <w:t>6</w:t>
      </w:r>
      <w:r w:rsidRPr="008C728C">
        <w:rPr>
          <w:rStyle w:val="CommentReference"/>
          <w:b w:val="0"/>
          <w:szCs w:val="20"/>
        </w:rPr>
        <w:t>:</w:t>
      </w:r>
      <w:r w:rsidRPr="008C728C">
        <w:rPr>
          <w:rStyle w:val="CommentReference"/>
          <w:szCs w:val="20"/>
        </w:rPr>
        <w:t xml:space="preserve"> Results for</w:t>
      </w:r>
      <w:r w:rsidRPr="00C616DB">
        <w:rPr>
          <w:rStyle w:val="CommentReference"/>
          <w:szCs w:val="20"/>
        </w:rPr>
        <w:t xml:space="preserve"> patient reported outcomes (</w:t>
      </w:r>
      <w:proofErr w:type="spellStart"/>
      <w:r w:rsidRPr="00C616DB">
        <w:rPr>
          <w:rStyle w:val="CommentReference"/>
          <w:szCs w:val="20"/>
        </w:rPr>
        <w:t>HRQoL</w:t>
      </w:r>
      <w:proofErr w:type="spellEnd"/>
      <w:r w:rsidRPr="00C616DB">
        <w:rPr>
          <w:rStyle w:val="CommentReference"/>
          <w:szCs w:val="20"/>
        </w:rPr>
        <w:t xml:space="preserve">) in the RESORCE trial </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9"/>
        <w:gridCol w:w="1332"/>
        <w:gridCol w:w="1698"/>
        <w:gridCol w:w="1320"/>
        <w:gridCol w:w="1506"/>
        <w:gridCol w:w="1812"/>
      </w:tblGrid>
      <w:tr w:rsidR="002D057E" w:rsidRPr="00C616DB" w:rsidTr="005D0578">
        <w:trPr>
          <w:trHeight w:val="833"/>
          <w:tblHeader/>
        </w:trPr>
        <w:tc>
          <w:tcPr>
            <w:tcW w:w="729" w:type="pct"/>
            <w:vAlign w:val="center"/>
          </w:tcPr>
          <w:p w:rsidR="002D057E" w:rsidRPr="00C616DB" w:rsidRDefault="002D057E" w:rsidP="00687778">
            <w:pPr>
              <w:pStyle w:val="Tabletext"/>
              <w:rPr>
                <w:b/>
              </w:rPr>
            </w:pPr>
            <w:r w:rsidRPr="00C616DB">
              <w:rPr>
                <w:b/>
              </w:rPr>
              <w:t>LSM time-adjusted AUC (95% CI)</w:t>
            </w:r>
          </w:p>
        </w:tc>
        <w:tc>
          <w:tcPr>
            <w:tcW w:w="742" w:type="pct"/>
            <w:vAlign w:val="center"/>
          </w:tcPr>
          <w:p w:rsidR="002D057E" w:rsidRPr="00C616DB" w:rsidRDefault="002D057E" w:rsidP="00687778">
            <w:pPr>
              <w:pStyle w:val="Tabletext"/>
              <w:jc w:val="center"/>
              <w:rPr>
                <w:b/>
                <w:lang w:val="en-US"/>
              </w:rPr>
            </w:pPr>
            <w:proofErr w:type="spellStart"/>
            <w:r w:rsidRPr="00C616DB">
              <w:rPr>
                <w:b/>
                <w:iCs/>
                <w:lang w:val="en-US"/>
              </w:rPr>
              <w:t>Reg</w:t>
            </w:r>
            <w:proofErr w:type="spellEnd"/>
          </w:p>
        </w:tc>
        <w:tc>
          <w:tcPr>
            <w:tcW w:w="946" w:type="pct"/>
            <w:vAlign w:val="center"/>
          </w:tcPr>
          <w:p w:rsidR="002D057E" w:rsidRPr="00C616DB" w:rsidRDefault="002D057E" w:rsidP="00687778">
            <w:pPr>
              <w:pStyle w:val="Tabletext"/>
              <w:jc w:val="center"/>
              <w:rPr>
                <w:b/>
                <w:lang w:val="en-US"/>
              </w:rPr>
            </w:pPr>
            <w:r w:rsidRPr="00C616DB">
              <w:rPr>
                <w:b/>
                <w:lang w:val="en-US"/>
              </w:rPr>
              <w:t xml:space="preserve">BSC </w:t>
            </w:r>
          </w:p>
        </w:tc>
        <w:tc>
          <w:tcPr>
            <w:tcW w:w="735" w:type="pct"/>
            <w:vAlign w:val="center"/>
          </w:tcPr>
          <w:p w:rsidR="002D057E" w:rsidRPr="00C616DB" w:rsidRDefault="002D057E" w:rsidP="00687778">
            <w:pPr>
              <w:pStyle w:val="Tabletext"/>
              <w:jc w:val="center"/>
              <w:rPr>
                <w:b/>
                <w:lang w:val="en-US"/>
              </w:rPr>
            </w:pPr>
            <w:r w:rsidRPr="00C616DB">
              <w:rPr>
                <w:b/>
                <w:iCs/>
                <w:lang w:val="en-US"/>
              </w:rPr>
              <w:t>Difference</w:t>
            </w:r>
          </w:p>
        </w:tc>
        <w:tc>
          <w:tcPr>
            <w:tcW w:w="839" w:type="pct"/>
            <w:vAlign w:val="center"/>
          </w:tcPr>
          <w:p w:rsidR="002D057E" w:rsidRPr="00C616DB" w:rsidRDefault="002D057E" w:rsidP="00687778">
            <w:pPr>
              <w:pStyle w:val="Tabletext"/>
              <w:jc w:val="center"/>
              <w:rPr>
                <w:b/>
                <w:lang w:val="en-US"/>
              </w:rPr>
            </w:pPr>
            <w:r w:rsidRPr="00C616DB">
              <w:rPr>
                <w:b/>
                <w:lang w:val="en-US"/>
              </w:rPr>
              <w:t xml:space="preserve">P value </w:t>
            </w:r>
          </w:p>
        </w:tc>
        <w:tc>
          <w:tcPr>
            <w:tcW w:w="1009" w:type="pct"/>
            <w:vAlign w:val="center"/>
          </w:tcPr>
          <w:p w:rsidR="002D057E" w:rsidRPr="00C616DB" w:rsidRDefault="002D057E" w:rsidP="00687778">
            <w:pPr>
              <w:pStyle w:val="Tabletext"/>
              <w:jc w:val="center"/>
              <w:rPr>
                <w:b/>
                <w:lang w:val="en-US"/>
              </w:rPr>
            </w:pPr>
            <w:r w:rsidRPr="00C616DB">
              <w:rPr>
                <w:b/>
                <w:iCs/>
                <w:lang w:val="en-US"/>
              </w:rPr>
              <w:t>MID</w:t>
            </w:r>
          </w:p>
        </w:tc>
      </w:tr>
      <w:tr w:rsidR="00C616DB" w:rsidRPr="00C616DB" w:rsidTr="00863879">
        <w:trPr>
          <w:trHeight w:val="505"/>
        </w:trPr>
        <w:tc>
          <w:tcPr>
            <w:tcW w:w="729" w:type="pct"/>
            <w:vAlign w:val="center"/>
          </w:tcPr>
          <w:p w:rsidR="00280796" w:rsidRPr="00C616DB" w:rsidRDefault="00280796" w:rsidP="00687778">
            <w:pPr>
              <w:widowControl/>
              <w:jc w:val="left"/>
              <w:rPr>
                <w:rFonts w:ascii="Arial Narrow" w:hAnsi="Arial Narrow" w:cs="Times New Roman"/>
                <w:snapToGrid/>
                <w:sz w:val="20"/>
              </w:rPr>
            </w:pPr>
            <w:r w:rsidRPr="00C616DB">
              <w:rPr>
                <w:rFonts w:ascii="Arial Narrow" w:hAnsi="Arial Narrow" w:cs="Times New Roman"/>
                <w:snapToGrid/>
                <w:sz w:val="20"/>
              </w:rPr>
              <w:t>EQ-5D 3L index</w:t>
            </w:r>
          </w:p>
        </w:tc>
        <w:tc>
          <w:tcPr>
            <w:tcW w:w="742"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 xml:space="preserve">0.76 </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(0.75-0.78)</w:t>
            </w:r>
          </w:p>
        </w:tc>
        <w:tc>
          <w:tcPr>
            <w:tcW w:w="946"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 xml:space="preserve">0.77 </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(0.75-0.79)</w:t>
            </w:r>
          </w:p>
        </w:tc>
        <w:tc>
          <w:tcPr>
            <w:tcW w:w="735"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 xml:space="preserve">-0.01 </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(-0.03-0.02)</w:t>
            </w:r>
          </w:p>
        </w:tc>
        <w:tc>
          <w:tcPr>
            <w:tcW w:w="839"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0.4695</w:t>
            </w:r>
          </w:p>
        </w:tc>
        <w:tc>
          <w:tcPr>
            <w:tcW w:w="1009"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0.1</w:t>
            </w:r>
          </w:p>
        </w:tc>
      </w:tr>
      <w:tr w:rsidR="00C616DB" w:rsidRPr="00C616DB" w:rsidTr="00863879">
        <w:trPr>
          <w:trHeight w:val="505"/>
        </w:trPr>
        <w:tc>
          <w:tcPr>
            <w:tcW w:w="729" w:type="pct"/>
            <w:vAlign w:val="center"/>
          </w:tcPr>
          <w:p w:rsidR="00280796" w:rsidRPr="00C616DB" w:rsidRDefault="00280796" w:rsidP="00687778">
            <w:pPr>
              <w:widowControl/>
              <w:jc w:val="left"/>
              <w:rPr>
                <w:rFonts w:ascii="Arial Narrow" w:hAnsi="Arial Narrow" w:cs="Times New Roman"/>
                <w:snapToGrid/>
                <w:sz w:val="20"/>
              </w:rPr>
            </w:pPr>
            <w:r w:rsidRPr="00C616DB">
              <w:rPr>
                <w:rFonts w:ascii="Arial Narrow" w:hAnsi="Arial Narrow" w:cs="Times New Roman"/>
                <w:snapToGrid/>
                <w:sz w:val="20"/>
              </w:rPr>
              <w:t>EQ-5D VAS</w:t>
            </w:r>
          </w:p>
        </w:tc>
        <w:tc>
          <w:tcPr>
            <w:tcW w:w="742"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 xml:space="preserve">71.68 </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(70.46-72.90)</w:t>
            </w:r>
          </w:p>
        </w:tc>
        <w:tc>
          <w:tcPr>
            <w:tcW w:w="946"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 xml:space="preserve">73.45 </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(71.84-75.06)</w:t>
            </w:r>
          </w:p>
        </w:tc>
        <w:tc>
          <w:tcPr>
            <w:tcW w:w="735"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 xml:space="preserve">-1.77 </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(-3.58-0.04)</w:t>
            </w:r>
          </w:p>
        </w:tc>
        <w:tc>
          <w:tcPr>
            <w:tcW w:w="839"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0.0558</w:t>
            </w:r>
          </w:p>
        </w:tc>
        <w:tc>
          <w:tcPr>
            <w:tcW w:w="1009"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10</w:t>
            </w:r>
          </w:p>
        </w:tc>
      </w:tr>
      <w:tr w:rsidR="00C616DB" w:rsidRPr="00C616DB" w:rsidTr="00863879">
        <w:trPr>
          <w:trHeight w:val="505"/>
        </w:trPr>
        <w:tc>
          <w:tcPr>
            <w:tcW w:w="729" w:type="pct"/>
            <w:vAlign w:val="center"/>
          </w:tcPr>
          <w:p w:rsidR="00280796" w:rsidRPr="00C616DB" w:rsidRDefault="00280796" w:rsidP="00687778">
            <w:pPr>
              <w:widowControl/>
              <w:jc w:val="left"/>
              <w:rPr>
                <w:rFonts w:ascii="Arial Narrow" w:hAnsi="Arial Narrow" w:cs="Times New Roman"/>
                <w:snapToGrid/>
                <w:sz w:val="20"/>
              </w:rPr>
            </w:pPr>
            <w:r w:rsidRPr="00C616DB">
              <w:rPr>
                <w:rFonts w:ascii="Arial Narrow" w:hAnsi="Arial Narrow" w:cs="Times New Roman"/>
                <w:snapToGrid/>
                <w:sz w:val="20"/>
              </w:rPr>
              <w:t>FACT-General</w:t>
            </w:r>
          </w:p>
        </w:tc>
        <w:tc>
          <w:tcPr>
            <w:tcW w:w="742"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75.14</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(74.12-76.16)</w:t>
            </w:r>
          </w:p>
        </w:tc>
        <w:tc>
          <w:tcPr>
            <w:tcW w:w="946"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76.55</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(75.20-77.90)</w:t>
            </w:r>
          </w:p>
        </w:tc>
        <w:tc>
          <w:tcPr>
            <w:tcW w:w="735"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-1.41</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(-2.93-0.11)</w:t>
            </w:r>
          </w:p>
        </w:tc>
        <w:tc>
          <w:tcPr>
            <w:tcW w:w="839"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0.0698</w:t>
            </w:r>
          </w:p>
        </w:tc>
        <w:tc>
          <w:tcPr>
            <w:tcW w:w="1009"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6-7</w:t>
            </w:r>
          </w:p>
        </w:tc>
      </w:tr>
      <w:tr w:rsidR="00C616DB" w:rsidRPr="00C616DB" w:rsidTr="00863879">
        <w:trPr>
          <w:trHeight w:val="505"/>
        </w:trPr>
        <w:tc>
          <w:tcPr>
            <w:tcW w:w="729" w:type="pct"/>
            <w:tcBorders>
              <w:bottom w:val="single" w:sz="4" w:space="0" w:color="auto"/>
            </w:tcBorders>
            <w:vAlign w:val="center"/>
          </w:tcPr>
          <w:p w:rsidR="00280796" w:rsidRPr="00C616DB" w:rsidRDefault="00280796" w:rsidP="00687778">
            <w:pPr>
              <w:widowControl/>
              <w:jc w:val="left"/>
              <w:rPr>
                <w:rFonts w:ascii="Arial Narrow" w:hAnsi="Arial Narrow" w:cs="Times New Roman"/>
                <w:snapToGrid/>
                <w:sz w:val="20"/>
              </w:rPr>
            </w:pPr>
            <w:r w:rsidRPr="00C616DB">
              <w:rPr>
                <w:rFonts w:ascii="Arial Narrow" w:hAnsi="Arial Narrow" w:cs="Times New Roman"/>
                <w:snapToGrid/>
                <w:sz w:val="20"/>
              </w:rPr>
              <w:t>FACT-Hep total</w:t>
            </w:r>
          </w:p>
        </w:tc>
        <w:tc>
          <w:tcPr>
            <w:tcW w:w="742"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129.31</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(127.84-130.79)</w:t>
            </w:r>
          </w:p>
        </w:tc>
        <w:tc>
          <w:tcPr>
            <w:tcW w:w="946"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133.17</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(131.21-135.12)</w:t>
            </w:r>
          </w:p>
        </w:tc>
        <w:tc>
          <w:tcPr>
            <w:tcW w:w="735" w:type="pct"/>
            <w:vAlign w:val="center"/>
          </w:tcPr>
          <w:p w:rsidR="00280796" w:rsidRPr="00C616DB" w:rsidRDefault="00280796" w:rsidP="00687778">
            <w:pPr>
              <w:widowControl/>
              <w:jc w:val="center"/>
              <w:rPr>
                <w:rFonts w:ascii="Arial Narrow" w:hAnsi="Arial Narrow" w:cs="Times New Roman"/>
                <w:b/>
                <w:snapToGrid/>
                <w:sz w:val="20"/>
              </w:rPr>
            </w:pPr>
            <w:r w:rsidRPr="00C616DB">
              <w:rPr>
                <w:rFonts w:ascii="Arial Narrow" w:hAnsi="Arial Narrow" w:cs="Times New Roman"/>
                <w:b/>
                <w:snapToGrid/>
                <w:sz w:val="20"/>
              </w:rPr>
              <w:t>-3.85</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(-6.06 - -1.65)</w:t>
            </w:r>
          </w:p>
        </w:tc>
        <w:tc>
          <w:tcPr>
            <w:tcW w:w="839"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0.0006</w:t>
            </w:r>
          </w:p>
        </w:tc>
        <w:tc>
          <w:tcPr>
            <w:tcW w:w="1009"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8-9</w:t>
            </w:r>
          </w:p>
        </w:tc>
      </w:tr>
      <w:tr w:rsidR="00C616DB" w:rsidRPr="00C616DB" w:rsidTr="00863879">
        <w:trPr>
          <w:trHeight w:val="505"/>
        </w:trPr>
        <w:tc>
          <w:tcPr>
            <w:tcW w:w="729" w:type="pct"/>
            <w:tcBorders>
              <w:bottom w:val="single" w:sz="4" w:space="0" w:color="auto"/>
            </w:tcBorders>
            <w:vAlign w:val="center"/>
          </w:tcPr>
          <w:p w:rsidR="00280796" w:rsidRPr="00C616DB" w:rsidRDefault="00280796" w:rsidP="00687778">
            <w:pPr>
              <w:widowControl/>
              <w:jc w:val="left"/>
              <w:rPr>
                <w:rFonts w:ascii="Arial Narrow" w:hAnsi="Arial Narrow" w:cs="Times New Roman"/>
                <w:snapToGrid/>
                <w:sz w:val="20"/>
              </w:rPr>
            </w:pPr>
            <w:r w:rsidRPr="00C616DB">
              <w:rPr>
                <w:rFonts w:ascii="Arial Narrow" w:hAnsi="Arial Narrow" w:cs="Times New Roman"/>
                <w:snapToGrid/>
                <w:sz w:val="20"/>
              </w:rPr>
              <w:t>Trial outcome index</w:t>
            </w:r>
          </w:p>
        </w:tc>
        <w:tc>
          <w:tcPr>
            <w:tcW w:w="742"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91.47</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(90.30-92.64)</w:t>
            </w:r>
          </w:p>
        </w:tc>
        <w:tc>
          <w:tcPr>
            <w:tcW w:w="946"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95.52</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(93.98-97.07)</w:t>
            </w:r>
          </w:p>
        </w:tc>
        <w:tc>
          <w:tcPr>
            <w:tcW w:w="735" w:type="pct"/>
            <w:vAlign w:val="center"/>
          </w:tcPr>
          <w:p w:rsidR="00280796" w:rsidRPr="00C616DB" w:rsidRDefault="00280796" w:rsidP="00687778">
            <w:pPr>
              <w:widowControl/>
              <w:jc w:val="center"/>
              <w:rPr>
                <w:rFonts w:ascii="Arial Narrow" w:hAnsi="Arial Narrow" w:cs="Times New Roman"/>
                <w:b/>
                <w:snapToGrid/>
                <w:sz w:val="20"/>
              </w:rPr>
            </w:pPr>
            <w:r w:rsidRPr="00C616DB">
              <w:rPr>
                <w:rFonts w:ascii="Arial Narrow" w:hAnsi="Arial Narrow" w:cs="Times New Roman"/>
                <w:b/>
                <w:snapToGrid/>
                <w:sz w:val="20"/>
              </w:rPr>
              <w:t>-4.05</w:t>
            </w:r>
          </w:p>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(-5.79 - -2.31)</w:t>
            </w:r>
          </w:p>
        </w:tc>
        <w:tc>
          <w:tcPr>
            <w:tcW w:w="839"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&lt;0.0001</w:t>
            </w:r>
          </w:p>
        </w:tc>
        <w:tc>
          <w:tcPr>
            <w:tcW w:w="1009" w:type="pct"/>
            <w:vAlign w:val="center"/>
          </w:tcPr>
          <w:p w:rsidR="00280796" w:rsidRPr="00C616DB" w:rsidRDefault="00280796" w:rsidP="00687778">
            <w:pPr>
              <w:widowControl/>
              <w:jc w:val="center"/>
              <w:rPr>
                <w:rFonts w:ascii="Arial Narrow" w:hAnsi="Arial Narrow" w:cs="Times New Roman"/>
                <w:snapToGrid/>
                <w:sz w:val="20"/>
              </w:rPr>
            </w:pPr>
            <w:r w:rsidRPr="00C616DB">
              <w:rPr>
                <w:rFonts w:ascii="Arial Narrow" w:hAnsi="Arial Narrow" w:cs="Times New Roman"/>
                <w:snapToGrid/>
                <w:sz w:val="20"/>
              </w:rPr>
              <w:t>7-8</w:t>
            </w:r>
          </w:p>
        </w:tc>
      </w:tr>
    </w:tbl>
    <w:p w:rsidR="002D057E" w:rsidRPr="00C616DB" w:rsidRDefault="002D057E" w:rsidP="00687778">
      <w:pPr>
        <w:pStyle w:val="TableFooter"/>
        <w:widowControl/>
      </w:pPr>
      <w:r w:rsidRPr="00C616DB">
        <w:t xml:space="preserve">Abbreviations: AUC= area under the curve; CI= confidence intervals; FACT= Functional assessment cancer therapy; LSM= least squares mean; MID= minimally important difference; VAS= visual analogue scale. </w:t>
      </w:r>
    </w:p>
    <w:p w:rsidR="00280796" w:rsidRPr="00C616DB" w:rsidRDefault="00280796" w:rsidP="00687778">
      <w:pPr>
        <w:widowControl/>
        <w:rPr>
          <w:rFonts w:ascii="Arial Narrow" w:hAnsi="Arial Narrow"/>
          <w:sz w:val="18"/>
        </w:rPr>
      </w:pPr>
      <w:r w:rsidRPr="00C616DB">
        <w:rPr>
          <w:rFonts w:ascii="Arial Narrow" w:hAnsi="Arial Narrow"/>
          <w:sz w:val="18"/>
        </w:rPr>
        <w:t>Source: Table 2-35, p. 100 – 101 of the resubmission.</w:t>
      </w:r>
    </w:p>
    <w:p w:rsidR="002D057E" w:rsidRDefault="002D057E" w:rsidP="00687778">
      <w:pPr>
        <w:pStyle w:val="TableFooter"/>
        <w:widowControl/>
      </w:pPr>
      <w:r w:rsidRPr="00C616DB">
        <w:t>Note: Bold text indicates a statistically significant value.</w:t>
      </w:r>
    </w:p>
    <w:p w:rsidR="00AA35DC" w:rsidRPr="00C616DB" w:rsidRDefault="00AA35DC" w:rsidP="00687778">
      <w:pPr>
        <w:pStyle w:val="TableFooter"/>
        <w:widowControl/>
      </w:pPr>
    </w:p>
    <w:p w:rsidR="002D057E" w:rsidRPr="00744707" w:rsidRDefault="002D057E" w:rsidP="00687778">
      <w:pPr>
        <w:pStyle w:val="ListParagraph"/>
        <w:widowControl/>
        <w:numPr>
          <w:ilvl w:val="1"/>
          <w:numId w:val="3"/>
        </w:numPr>
        <w:rPr>
          <w:rFonts w:cs="Calibri"/>
          <w:snapToGrid/>
          <w:color w:val="0070C0"/>
          <w:szCs w:val="24"/>
          <w:lang w:val="en-US" w:eastAsia="en-AU"/>
        </w:rPr>
      </w:pPr>
      <w:r w:rsidRPr="00C616DB">
        <w:rPr>
          <w:rFonts w:cs="Calibri"/>
          <w:snapToGrid/>
          <w:szCs w:val="24"/>
          <w:lang w:val="en-US" w:eastAsia="en-AU"/>
        </w:rPr>
        <w:t xml:space="preserve">Patients treated with regorafenib were 3 times more likely </w:t>
      </w:r>
      <w:bookmarkStart w:id="9" w:name="_Hlk501110640"/>
      <w:r w:rsidRPr="00C616DB">
        <w:rPr>
          <w:rFonts w:cs="Calibri"/>
          <w:snapToGrid/>
          <w:szCs w:val="24"/>
          <w:lang w:val="en-US" w:eastAsia="en-AU"/>
        </w:rPr>
        <w:t xml:space="preserve">to suffer any grade 3 or 4 adverse event compared to </w:t>
      </w:r>
      <w:bookmarkEnd w:id="9"/>
      <w:r w:rsidRPr="00C616DB">
        <w:rPr>
          <w:rFonts w:cs="Calibri"/>
          <w:snapToGrid/>
          <w:szCs w:val="24"/>
          <w:lang w:val="en-US" w:eastAsia="en-AU"/>
        </w:rPr>
        <w:t xml:space="preserve">BSC (Table </w:t>
      </w:r>
      <w:r w:rsidR="00304DC0">
        <w:rPr>
          <w:rFonts w:cs="Calibri"/>
          <w:snapToGrid/>
          <w:szCs w:val="24"/>
          <w:lang w:val="en-US" w:eastAsia="en-AU"/>
        </w:rPr>
        <w:t>7</w:t>
      </w:r>
      <w:r w:rsidRPr="00C616DB">
        <w:rPr>
          <w:rFonts w:cs="Calibri"/>
          <w:snapToGrid/>
          <w:szCs w:val="24"/>
          <w:lang w:val="en-US" w:eastAsia="en-AU"/>
        </w:rPr>
        <w:t>). The data from the RESORCE trial showed that more patients treated with regorafenib (31.6%) reported infections and infestations than patients treated with BSC (17.24%)</w:t>
      </w:r>
      <w:r w:rsidR="00BC6E4C" w:rsidRPr="00C616DB">
        <w:rPr>
          <w:rFonts w:cs="Calibri"/>
          <w:snapToGrid/>
          <w:szCs w:val="24"/>
          <w:lang w:val="en-US" w:eastAsia="en-AU"/>
        </w:rPr>
        <w:t xml:space="preserve"> </w:t>
      </w:r>
      <w:r w:rsidR="005427CD">
        <w:rPr>
          <w:rFonts w:cs="Calibri"/>
          <w:snapToGrid/>
          <w:szCs w:val="24"/>
          <w:lang w:val="en-US" w:eastAsia="en-AU"/>
        </w:rPr>
        <w:t xml:space="preserve">however </w:t>
      </w:r>
      <w:r w:rsidR="00AA144F" w:rsidRPr="00744707">
        <w:rPr>
          <w:rFonts w:cs="Calibri"/>
          <w:snapToGrid/>
          <w:szCs w:val="24"/>
          <w:lang w:val="en-US" w:eastAsia="en-AU"/>
        </w:rPr>
        <w:t>the benefit-risk balance in the assessed patient population was positive</w:t>
      </w:r>
      <w:r w:rsidR="00AA144F" w:rsidRPr="00C616DB">
        <w:rPr>
          <w:szCs w:val="24"/>
        </w:rPr>
        <w:t xml:space="preserve"> </w:t>
      </w:r>
      <w:r w:rsidR="00BC6E4C" w:rsidRPr="00C616DB">
        <w:rPr>
          <w:szCs w:val="24"/>
        </w:rPr>
        <w:t xml:space="preserve">(TGA Delegate’s Overview regorafenib, Section 4.3, p. </w:t>
      </w:r>
      <w:r w:rsidR="00BC6E4C" w:rsidRPr="00744707">
        <w:rPr>
          <w:szCs w:val="24"/>
        </w:rPr>
        <w:t>11)</w:t>
      </w:r>
      <w:r w:rsidRPr="00744707">
        <w:rPr>
          <w:rFonts w:cs="Calibri"/>
          <w:snapToGrid/>
          <w:szCs w:val="24"/>
          <w:lang w:val="en-US" w:eastAsia="en-AU"/>
        </w:rPr>
        <w:t xml:space="preserve">. This was acknowledged by the TGA and a precautionary warning was included in the PI. </w:t>
      </w:r>
    </w:p>
    <w:p w:rsidR="002D057E" w:rsidRPr="00506A54" w:rsidRDefault="002D057E" w:rsidP="00687778">
      <w:pPr>
        <w:keepNext/>
        <w:keepLines/>
        <w:widowControl/>
        <w:rPr>
          <w:rFonts w:ascii="Arial Narrow" w:hAnsi="Arial Narrow"/>
          <w:b/>
          <w:sz w:val="20"/>
          <w:szCs w:val="20"/>
        </w:rPr>
      </w:pPr>
      <w:r w:rsidRPr="00506A54">
        <w:rPr>
          <w:rFonts w:ascii="Arial Narrow" w:hAnsi="Arial Narrow"/>
          <w:b/>
          <w:sz w:val="20"/>
          <w:szCs w:val="20"/>
        </w:rPr>
        <w:lastRenderedPageBreak/>
        <w:t xml:space="preserve">Table </w:t>
      </w:r>
      <w:r w:rsidR="00304DC0">
        <w:rPr>
          <w:rFonts w:ascii="Arial Narrow" w:hAnsi="Arial Narrow"/>
          <w:b/>
          <w:sz w:val="20"/>
          <w:szCs w:val="20"/>
        </w:rPr>
        <w:t>7</w:t>
      </w:r>
      <w:r w:rsidRPr="00506A54">
        <w:rPr>
          <w:rFonts w:ascii="Arial Narrow" w:hAnsi="Arial Narrow"/>
          <w:b/>
          <w:sz w:val="20"/>
          <w:szCs w:val="20"/>
        </w:rPr>
        <w:t>: Summary of key adve</w:t>
      </w:r>
      <w:r w:rsidR="00687778">
        <w:rPr>
          <w:rFonts w:ascii="Arial Narrow" w:hAnsi="Arial Narrow"/>
          <w:b/>
          <w:sz w:val="20"/>
          <w:szCs w:val="20"/>
        </w:rPr>
        <w:t>rse events in the RESORCE trial</w:t>
      </w:r>
    </w:p>
    <w:tbl>
      <w:tblPr>
        <w:tblStyle w:val="Summarybox6"/>
        <w:tblW w:w="5000" w:type="pct"/>
        <w:tblLook w:val="04A0" w:firstRow="1" w:lastRow="0" w:firstColumn="1" w:lastColumn="0" w:noHBand="0" w:noVBand="1"/>
        <w:tblCaption w:val="Summary of key adverse events in the RESORCE trial"/>
      </w:tblPr>
      <w:tblGrid>
        <w:gridCol w:w="2457"/>
        <w:gridCol w:w="1473"/>
        <w:gridCol w:w="1697"/>
        <w:gridCol w:w="1697"/>
        <w:gridCol w:w="1693"/>
      </w:tblGrid>
      <w:tr w:rsidR="002D057E" w:rsidRPr="00506A54" w:rsidTr="005D0578">
        <w:trPr>
          <w:trHeight w:val="201"/>
          <w:tblHeader/>
        </w:trPr>
        <w:tc>
          <w:tcPr>
            <w:tcW w:w="1362" w:type="pct"/>
            <w:shd w:val="clear" w:color="auto" w:fill="auto"/>
          </w:tcPr>
          <w:p w:rsidR="002D057E" w:rsidRPr="00506A54" w:rsidRDefault="002D057E" w:rsidP="00687778">
            <w:pPr>
              <w:keepNext/>
              <w:keepLines/>
              <w:widowControl/>
              <w:jc w:val="left"/>
              <w:rPr>
                <w:rFonts w:ascii="Arial Narrow" w:eastAsia="Calibri" w:hAnsi="Arial Narrow" w:cs="Calibri"/>
                <w:b/>
                <w:sz w:val="20"/>
                <w:szCs w:val="20"/>
              </w:rPr>
            </w:pPr>
          </w:p>
        </w:tc>
        <w:tc>
          <w:tcPr>
            <w:tcW w:w="817" w:type="pct"/>
            <w:shd w:val="clear" w:color="auto" w:fill="auto"/>
          </w:tcPr>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Regorafenib</w:t>
            </w:r>
          </w:p>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N = 374 (100%)</w:t>
            </w:r>
          </w:p>
        </w:tc>
        <w:tc>
          <w:tcPr>
            <w:tcW w:w="941" w:type="pct"/>
          </w:tcPr>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BSC</w:t>
            </w:r>
          </w:p>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N = 193 (100%)</w:t>
            </w:r>
          </w:p>
        </w:tc>
        <w:tc>
          <w:tcPr>
            <w:tcW w:w="941" w:type="pct"/>
            <w:shd w:val="clear" w:color="auto" w:fill="auto"/>
          </w:tcPr>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 xml:space="preserve">Relative risk </w:t>
            </w:r>
          </w:p>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(95% CI)</w:t>
            </w:r>
          </w:p>
        </w:tc>
        <w:tc>
          <w:tcPr>
            <w:tcW w:w="939" w:type="pct"/>
            <w:shd w:val="clear" w:color="auto" w:fill="auto"/>
          </w:tcPr>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Risk difference</w:t>
            </w:r>
          </w:p>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(95% CI)</w:t>
            </w:r>
          </w:p>
        </w:tc>
      </w:tr>
      <w:tr w:rsidR="002D057E" w:rsidRPr="00506A54" w:rsidTr="005D0578">
        <w:trPr>
          <w:trHeight w:val="201"/>
        </w:trPr>
        <w:tc>
          <w:tcPr>
            <w:tcW w:w="1362" w:type="pct"/>
            <w:shd w:val="clear" w:color="auto" w:fill="auto"/>
          </w:tcPr>
          <w:p w:rsidR="002D057E" w:rsidRPr="00506A54" w:rsidRDefault="002D057E" w:rsidP="00687778">
            <w:pPr>
              <w:keepNext/>
              <w:keepLines/>
              <w:widowControl/>
              <w:jc w:val="left"/>
              <w:rPr>
                <w:rFonts w:ascii="Arial Narrow" w:eastAsia="Calibri" w:hAnsi="Arial Narrow" w:cs="Calibri"/>
                <w:b/>
                <w:iCs/>
                <w:sz w:val="20"/>
                <w:szCs w:val="20"/>
              </w:rPr>
            </w:pPr>
            <w:r w:rsidRPr="00506A54">
              <w:rPr>
                <w:rFonts w:ascii="Arial Narrow" w:eastAsia="Calibri" w:hAnsi="Arial Narrow" w:cs="Calibri"/>
                <w:b/>
                <w:iCs/>
                <w:sz w:val="20"/>
                <w:szCs w:val="20"/>
              </w:rPr>
              <w:t>Any drug-related AE</w:t>
            </w:r>
          </w:p>
        </w:tc>
        <w:tc>
          <w:tcPr>
            <w:tcW w:w="817" w:type="pct"/>
            <w:shd w:val="clear" w:color="auto" w:fill="auto"/>
          </w:tcPr>
          <w:p w:rsidR="002D057E" w:rsidRPr="00506A54" w:rsidRDefault="002D057E" w:rsidP="00687778">
            <w:pPr>
              <w:keepNext/>
              <w:keepLines/>
              <w:widowControl/>
              <w:rPr>
                <w:rFonts w:ascii="Arial Narrow" w:eastAsia="Calibri" w:hAnsi="Arial Narrow" w:cs="Calibri"/>
                <w:b/>
                <w:sz w:val="20"/>
                <w:szCs w:val="20"/>
              </w:rPr>
            </w:pPr>
            <w:r w:rsidRPr="00506A54">
              <w:rPr>
                <w:rFonts w:ascii="Arial Narrow" w:eastAsia="Calibri" w:hAnsi="Arial Narrow" w:cs="Calibri"/>
                <w:b/>
                <w:sz w:val="20"/>
                <w:szCs w:val="20"/>
              </w:rPr>
              <w:t>346 (92.5%)</w:t>
            </w:r>
          </w:p>
        </w:tc>
        <w:tc>
          <w:tcPr>
            <w:tcW w:w="941" w:type="pct"/>
          </w:tcPr>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100 (51.8%)</w:t>
            </w:r>
          </w:p>
        </w:tc>
        <w:tc>
          <w:tcPr>
            <w:tcW w:w="941" w:type="pct"/>
            <w:tcBorders>
              <w:bottom w:val="single" w:sz="4" w:space="0" w:color="auto"/>
              <w:right w:val="single" w:sz="4" w:space="0" w:color="auto"/>
            </w:tcBorders>
            <w:shd w:val="clear" w:color="auto" w:fill="auto"/>
          </w:tcPr>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1.79 (1.55, 2.05)</w:t>
            </w:r>
          </w:p>
        </w:tc>
        <w:tc>
          <w:tcPr>
            <w:tcW w:w="939" w:type="pct"/>
            <w:tcBorders>
              <w:bottom w:val="single" w:sz="4" w:space="0" w:color="auto"/>
              <w:right w:val="single" w:sz="4" w:space="0" w:color="auto"/>
            </w:tcBorders>
            <w:shd w:val="clear" w:color="auto" w:fill="auto"/>
          </w:tcPr>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0.41 (0.33, 0.48)</w:t>
            </w:r>
          </w:p>
        </w:tc>
      </w:tr>
      <w:tr w:rsidR="002D057E" w:rsidRPr="00506A54" w:rsidTr="005D0578">
        <w:trPr>
          <w:trHeight w:val="201"/>
        </w:trPr>
        <w:tc>
          <w:tcPr>
            <w:tcW w:w="1362" w:type="pct"/>
            <w:shd w:val="clear" w:color="auto" w:fill="auto"/>
          </w:tcPr>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Worst CTCAE grade:</w:t>
            </w: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Grade 3 </w:t>
            </w: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Grade 4 </w:t>
            </w: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Grade 5 (death) </w:t>
            </w: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Grade 3 or 4 </w:t>
            </w: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Grade 3, 4 or 5 </w:t>
            </w:r>
          </w:p>
        </w:tc>
        <w:tc>
          <w:tcPr>
            <w:tcW w:w="817" w:type="pct"/>
            <w:shd w:val="clear" w:color="auto" w:fill="auto"/>
          </w:tcPr>
          <w:p w:rsidR="002D057E" w:rsidRPr="00506A54" w:rsidRDefault="002D057E" w:rsidP="00687778">
            <w:pPr>
              <w:keepNext/>
              <w:keepLines/>
              <w:widowControl/>
              <w:jc w:val="left"/>
              <w:rPr>
                <w:rFonts w:ascii="Arial Narrow" w:eastAsia="Calibri" w:hAnsi="Arial Narrow" w:cs="Calibri"/>
                <w:sz w:val="20"/>
                <w:szCs w:val="20"/>
              </w:rPr>
            </w:pP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173 (46.3%)</w:t>
            </w: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14 (3.7%)</w:t>
            </w: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7 (1.9%)</w:t>
            </w: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187 (50.0%)</w:t>
            </w:r>
          </w:p>
          <w:p w:rsidR="002D057E" w:rsidRPr="00506A54" w:rsidRDefault="002D057E" w:rsidP="00687778">
            <w:pPr>
              <w:keepNext/>
              <w:keepLines/>
              <w:widowControl/>
              <w:jc w:val="left"/>
              <w:rPr>
                <w:rFonts w:ascii="Arial Narrow" w:eastAsia="Calibri" w:hAnsi="Arial Narrow" w:cs="Calibri"/>
                <w:sz w:val="20"/>
                <w:szCs w:val="20"/>
              </w:rPr>
            </w:pPr>
            <w:r w:rsidRPr="00506A54">
              <w:rPr>
                <w:rFonts w:ascii="Arial Narrow" w:eastAsia="Calibri" w:hAnsi="Arial Narrow" w:cs="Calibri"/>
                <w:iCs/>
                <w:sz w:val="20"/>
                <w:szCs w:val="20"/>
              </w:rPr>
              <w:t>194 (51.9%)</w:t>
            </w:r>
          </w:p>
        </w:tc>
        <w:tc>
          <w:tcPr>
            <w:tcW w:w="941" w:type="pct"/>
          </w:tcPr>
          <w:p w:rsidR="002D057E" w:rsidRPr="00506A54" w:rsidRDefault="002D057E" w:rsidP="00687778">
            <w:pPr>
              <w:keepNext/>
              <w:keepLines/>
              <w:widowControl/>
              <w:jc w:val="left"/>
              <w:rPr>
                <w:rFonts w:ascii="Arial Narrow" w:eastAsia="Calibri" w:hAnsi="Arial Narrow" w:cs="Calibri"/>
                <w:iCs/>
                <w:sz w:val="20"/>
                <w:szCs w:val="20"/>
              </w:rPr>
            </w:pP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31 (16.1%) </w:t>
            </w: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1 (0.5%) </w:t>
            </w: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2 (1.0%) </w:t>
            </w:r>
          </w:p>
          <w:p w:rsidR="002D057E" w:rsidRPr="00506A54" w:rsidRDefault="002D057E" w:rsidP="00687778">
            <w:pPr>
              <w:keepNext/>
              <w:keepLines/>
              <w:widowControl/>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32 (16.6%) </w:t>
            </w:r>
          </w:p>
          <w:p w:rsidR="002D057E" w:rsidRPr="00506A54" w:rsidRDefault="002D057E" w:rsidP="00687778">
            <w:pPr>
              <w:keepNext/>
              <w:keepLines/>
              <w:widowControl/>
              <w:jc w:val="left"/>
              <w:rPr>
                <w:rFonts w:ascii="Arial Narrow" w:eastAsia="Calibri" w:hAnsi="Arial Narrow" w:cs="Calibri"/>
                <w:sz w:val="20"/>
                <w:szCs w:val="20"/>
              </w:rPr>
            </w:pPr>
            <w:r w:rsidRPr="00506A54">
              <w:rPr>
                <w:rFonts w:ascii="Arial Narrow" w:eastAsia="Calibri" w:hAnsi="Arial Narrow" w:cs="Calibri"/>
                <w:iCs/>
                <w:sz w:val="20"/>
                <w:szCs w:val="20"/>
              </w:rPr>
              <w:t>34 (17.6%)</w:t>
            </w:r>
          </w:p>
        </w:tc>
        <w:tc>
          <w:tcPr>
            <w:tcW w:w="941" w:type="pct"/>
            <w:tcBorders>
              <w:bottom w:val="single" w:sz="4" w:space="0" w:color="auto"/>
              <w:right w:val="single" w:sz="4" w:space="0" w:color="auto"/>
            </w:tcBorders>
            <w:shd w:val="clear" w:color="auto" w:fill="auto"/>
          </w:tcPr>
          <w:p w:rsidR="002D057E" w:rsidRPr="00506A54" w:rsidRDefault="002D057E" w:rsidP="00687778">
            <w:pPr>
              <w:keepNext/>
              <w:keepLines/>
              <w:widowControl/>
              <w:jc w:val="left"/>
              <w:rPr>
                <w:rFonts w:ascii="Arial Narrow" w:eastAsia="Calibri" w:hAnsi="Arial Narrow" w:cs="Calibri"/>
                <w:sz w:val="20"/>
                <w:szCs w:val="20"/>
              </w:rPr>
            </w:pPr>
          </w:p>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2.88 (2.05, 4.05)</w:t>
            </w:r>
          </w:p>
          <w:p w:rsidR="002D057E" w:rsidRPr="00506A54" w:rsidRDefault="002D057E" w:rsidP="00687778">
            <w:pPr>
              <w:keepNext/>
              <w:keepLines/>
              <w:widowControl/>
              <w:jc w:val="left"/>
              <w:rPr>
                <w:rFonts w:ascii="Arial Narrow" w:eastAsia="Calibri" w:hAnsi="Arial Narrow" w:cs="Calibri"/>
                <w:sz w:val="20"/>
                <w:szCs w:val="20"/>
              </w:rPr>
            </w:pPr>
            <w:r w:rsidRPr="00506A54">
              <w:rPr>
                <w:rFonts w:ascii="Arial Narrow" w:eastAsia="Calibri" w:hAnsi="Arial Narrow" w:cs="Calibri"/>
                <w:sz w:val="20"/>
                <w:szCs w:val="20"/>
              </w:rPr>
              <w:t>7.22 (0.96, 54.53)</w:t>
            </w:r>
          </w:p>
          <w:p w:rsidR="002D057E" w:rsidRPr="00506A54" w:rsidRDefault="002D057E" w:rsidP="00687778">
            <w:pPr>
              <w:keepNext/>
              <w:keepLines/>
              <w:widowControl/>
              <w:jc w:val="left"/>
              <w:rPr>
                <w:rFonts w:ascii="Arial Narrow" w:eastAsia="Calibri" w:hAnsi="Arial Narrow" w:cs="Calibri"/>
                <w:sz w:val="20"/>
                <w:szCs w:val="20"/>
              </w:rPr>
            </w:pPr>
            <w:r w:rsidRPr="00506A54">
              <w:rPr>
                <w:rFonts w:ascii="Arial Narrow" w:eastAsia="Calibri" w:hAnsi="Arial Narrow" w:cs="Calibri"/>
                <w:sz w:val="20"/>
                <w:szCs w:val="20"/>
              </w:rPr>
              <w:t>1.81 (0.38, 8.61)</w:t>
            </w:r>
          </w:p>
          <w:p w:rsidR="002D057E" w:rsidRPr="00506A54" w:rsidRDefault="002D057E" w:rsidP="00687778">
            <w:pPr>
              <w:keepNext/>
              <w:keepLines/>
              <w:widowControl/>
              <w:jc w:val="left"/>
              <w:rPr>
                <w:rFonts w:ascii="Arial Narrow" w:eastAsia="Calibri" w:hAnsi="Arial Narrow" w:cs="Calibri"/>
                <w:b/>
                <w:sz w:val="20"/>
                <w:szCs w:val="20"/>
              </w:rPr>
            </w:pPr>
            <w:r w:rsidRPr="00506A54">
              <w:rPr>
                <w:rFonts w:ascii="Arial Narrow" w:eastAsia="Calibri" w:hAnsi="Arial Narrow" w:cs="Calibri"/>
                <w:b/>
                <w:sz w:val="20"/>
                <w:szCs w:val="20"/>
              </w:rPr>
              <w:t>3.02 (2.16, 4.20)</w:t>
            </w:r>
          </w:p>
          <w:p w:rsidR="002D057E" w:rsidRPr="00506A54" w:rsidRDefault="002D057E" w:rsidP="00687778">
            <w:pPr>
              <w:keepNext/>
              <w:keepLines/>
              <w:widowControl/>
              <w:jc w:val="left"/>
              <w:rPr>
                <w:rFonts w:ascii="Arial Narrow" w:eastAsia="Calibri" w:hAnsi="Arial Narrow" w:cs="Calibri"/>
                <w:sz w:val="20"/>
                <w:szCs w:val="20"/>
              </w:rPr>
            </w:pPr>
            <w:r w:rsidRPr="00506A54">
              <w:rPr>
                <w:rFonts w:ascii="Arial Narrow" w:eastAsia="Calibri" w:hAnsi="Arial Narrow" w:cs="Calibri"/>
                <w:b/>
                <w:sz w:val="20"/>
                <w:szCs w:val="20"/>
              </w:rPr>
              <w:t>2.99 (2.17, 4.12)</w:t>
            </w:r>
          </w:p>
        </w:tc>
        <w:tc>
          <w:tcPr>
            <w:tcW w:w="939" w:type="pct"/>
            <w:tcBorders>
              <w:bottom w:val="single" w:sz="4" w:space="0" w:color="auto"/>
              <w:right w:val="single" w:sz="4" w:space="0" w:color="auto"/>
            </w:tcBorders>
            <w:shd w:val="clear" w:color="auto" w:fill="auto"/>
          </w:tcPr>
          <w:p w:rsidR="002D057E" w:rsidRPr="00506A54" w:rsidRDefault="002D057E" w:rsidP="00687778">
            <w:pPr>
              <w:keepNext/>
              <w:keepLines/>
              <w:widowControl/>
              <w:jc w:val="left"/>
              <w:rPr>
                <w:rFonts w:ascii="Arial Narrow" w:eastAsia="Calibri" w:hAnsi="Arial Narrow" w:cs="Calibri"/>
                <w:sz w:val="20"/>
                <w:szCs w:val="20"/>
              </w:rPr>
            </w:pPr>
          </w:p>
          <w:p w:rsidR="002D057E" w:rsidRPr="00A16364" w:rsidRDefault="002D057E" w:rsidP="00687778">
            <w:pPr>
              <w:keepNext/>
              <w:keepLines/>
              <w:widowControl/>
              <w:jc w:val="left"/>
              <w:rPr>
                <w:rFonts w:ascii="Arial Narrow" w:eastAsia="Calibri" w:hAnsi="Arial Narrow" w:cs="Calibri"/>
                <w:b/>
                <w:sz w:val="20"/>
                <w:szCs w:val="20"/>
              </w:rPr>
            </w:pPr>
            <w:r w:rsidRPr="00A16364">
              <w:rPr>
                <w:rFonts w:ascii="Arial Narrow" w:eastAsia="Calibri" w:hAnsi="Arial Narrow" w:cs="Calibri"/>
                <w:b/>
                <w:sz w:val="20"/>
                <w:szCs w:val="20"/>
              </w:rPr>
              <w:t>0.30 (0.23, 0.37)</w:t>
            </w:r>
          </w:p>
          <w:p w:rsidR="002D057E" w:rsidRPr="00A16364" w:rsidRDefault="002D057E" w:rsidP="00687778">
            <w:pPr>
              <w:keepNext/>
              <w:keepLines/>
              <w:widowControl/>
              <w:jc w:val="left"/>
              <w:rPr>
                <w:rFonts w:ascii="Arial Narrow" w:eastAsia="Calibri" w:hAnsi="Arial Narrow" w:cs="Calibri"/>
                <w:b/>
                <w:sz w:val="20"/>
                <w:szCs w:val="20"/>
              </w:rPr>
            </w:pPr>
            <w:r w:rsidRPr="00A16364">
              <w:rPr>
                <w:rFonts w:ascii="Arial Narrow" w:eastAsia="Calibri" w:hAnsi="Arial Narrow" w:cs="Calibri"/>
                <w:b/>
                <w:sz w:val="20"/>
                <w:szCs w:val="20"/>
              </w:rPr>
              <w:t>0.03 (0.01, 0.05)</w:t>
            </w:r>
          </w:p>
          <w:p w:rsidR="002D057E" w:rsidRPr="00506A54" w:rsidRDefault="002D057E" w:rsidP="00687778">
            <w:pPr>
              <w:keepNext/>
              <w:keepLines/>
              <w:widowControl/>
              <w:jc w:val="left"/>
              <w:rPr>
                <w:rFonts w:ascii="Arial Narrow" w:eastAsia="Calibri" w:hAnsi="Arial Narrow" w:cs="Calibri"/>
                <w:sz w:val="20"/>
                <w:szCs w:val="20"/>
              </w:rPr>
            </w:pPr>
            <w:r w:rsidRPr="00506A54">
              <w:rPr>
                <w:rFonts w:ascii="Arial Narrow" w:eastAsia="Calibri" w:hAnsi="Arial Narrow" w:cs="Calibri"/>
                <w:sz w:val="20"/>
                <w:szCs w:val="20"/>
              </w:rPr>
              <w:t>0.01 (-0.01, 0.03)</w:t>
            </w:r>
          </w:p>
          <w:p w:rsidR="002D057E" w:rsidRPr="00A16364" w:rsidRDefault="002D057E" w:rsidP="00687778">
            <w:pPr>
              <w:keepNext/>
              <w:keepLines/>
              <w:widowControl/>
              <w:jc w:val="left"/>
              <w:rPr>
                <w:rFonts w:ascii="Arial Narrow" w:eastAsia="Calibri" w:hAnsi="Arial Narrow" w:cs="Calibri"/>
                <w:b/>
                <w:sz w:val="20"/>
                <w:szCs w:val="20"/>
              </w:rPr>
            </w:pPr>
            <w:r w:rsidRPr="00A16364">
              <w:rPr>
                <w:rFonts w:ascii="Arial Narrow" w:eastAsia="Calibri" w:hAnsi="Arial Narrow" w:cs="Calibri"/>
                <w:b/>
                <w:sz w:val="20"/>
                <w:szCs w:val="20"/>
              </w:rPr>
              <w:t>0.33 (0.26, 0.41)</w:t>
            </w:r>
          </w:p>
          <w:p w:rsidR="002D057E" w:rsidRPr="00A16364" w:rsidRDefault="002D057E" w:rsidP="00687778">
            <w:pPr>
              <w:keepNext/>
              <w:keepLines/>
              <w:widowControl/>
              <w:jc w:val="left"/>
              <w:rPr>
                <w:rFonts w:ascii="Arial Narrow" w:eastAsia="Calibri" w:hAnsi="Arial Narrow" w:cs="Calibri"/>
                <w:b/>
                <w:sz w:val="20"/>
                <w:szCs w:val="20"/>
              </w:rPr>
            </w:pPr>
            <w:r w:rsidRPr="00A16364">
              <w:rPr>
                <w:rFonts w:ascii="Arial Narrow" w:eastAsia="Calibri" w:hAnsi="Arial Narrow" w:cs="Calibri"/>
                <w:b/>
                <w:sz w:val="20"/>
                <w:szCs w:val="20"/>
              </w:rPr>
              <w:t>0.35 (0.28, 0.42)</w:t>
            </w:r>
          </w:p>
          <w:p w:rsidR="002D057E" w:rsidRPr="00506A54" w:rsidRDefault="002D057E" w:rsidP="00687778">
            <w:pPr>
              <w:keepNext/>
              <w:keepLines/>
              <w:widowControl/>
              <w:jc w:val="left"/>
              <w:rPr>
                <w:rFonts w:ascii="Arial Narrow" w:eastAsia="Calibri" w:hAnsi="Arial Narrow" w:cs="Calibri"/>
                <w:sz w:val="20"/>
                <w:szCs w:val="20"/>
              </w:rPr>
            </w:pPr>
          </w:p>
        </w:tc>
      </w:tr>
      <w:tr w:rsidR="002D057E" w:rsidRPr="00506A54" w:rsidTr="005D0578">
        <w:trPr>
          <w:trHeight w:val="201"/>
        </w:trPr>
        <w:tc>
          <w:tcPr>
            <w:tcW w:w="1362" w:type="pct"/>
            <w:shd w:val="clear" w:color="auto" w:fill="auto"/>
          </w:tcPr>
          <w:p w:rsidR="002D057E" w:rsidRPr="00506A54" w:rsidRDefault="002D057E" w:rsidP="00687778">
            <w:pPr>
              <w:keepNext/>
              <w:keepLines/>
              <w:widowControl/>
              <w:spacing w:after="120"/>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Serious </w:t>
            </w:r>
          </w:p>
          <w:p w:rsidR="002D057E" w:rsidRPr="00506A54" w:rsidRDefault="002D057E" w:rsidP="00687778">
            <w:pPr>
              <w:keepNext/>
              <w:keepLines/>
              <w:widowControl/>
              <w:spacing w:after="120"/>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Leading to dose modification </w:t>
            </w:r>
          </w:p>
          <w:p w:rsidR="002D057E" w:rsidRPr="00506A54" w:rsidRDefault="002D057E" w:rsidP="00687778">
            <w:pPr>
              <w:keepNext/>
              <w:keepLines/>
              <w:widowControl/>
              <w:spacing w:after="120"/>
              <w:jc w:val="left"/>
              <w:rPr>
                <w:rFonts w:ascii="Arial Narrow" w:eastAsia="Calibri" w:hAnsi="Arial Narrow" w:cs="Calibri"/>
                <w:iCs/>
                <w:sz w:val="20"/>
                <w:szCs w:val="20"/>
              </w:rPr>
            </w:pPr>
            <w:r w:rsidRPr="00506A54">
              <w:rPr>
                <w:rFonts w:ascii="Arial Narrow" w:eastAsia="Calibri" w:hAnsi="Arial Narrow" w:cs="Calibri"/>
                <w:iCs/>
                <w:sz w:val="20"/>
                <w:szCs w:val="20"/>
              </w:rPr>
              <w:t xml:space="preserve">Leading to permanent discontinuation of study drug </w:t>
            </w:r>
          </w:p>
        </w:tc>
        <w:tc>
          <w:tcPr>
            <w:tcW w:w="817" w:type="pct"/>
            <w:shd w:val="clear" w:color="auto" w:fill="auto"/>
          </w:tcPr>
          <w:p w:rsidR="002D057E" w:rsidRPr="00506A54" w:rsidRDefault="002D057E" w:rsidP="00687778">
            <w:pPr>
              <w:keepNext/>
              <w:keepLines/>
              <w:widowControl/>
              <w:spacing w:after="120"/>
              <w:jc w:val="left"/>
              <w:rPr>
                <w:rFonts w:ascii="Arial Narrow" w:eastAsia="Calibri" w:hAnsi="Arial Narrow" w:cs="Calibri"/>
                <w:iCs/>
                <w:sz w:val="20"/>
                <w:szCs w:val="20"/>
              </w:rPr>
            </w:pPr>
            <w:r w:rsidRPr="00506A54">
              <w:rPr>
                <w:rFonts w:ascii="Arial Narrow" w:eastAsia="Calibri" w:hAnsi="Arial Narrow" w:cs="Calibri"/>
                <w:iCs/>
                <w:sz w:val="20"/>
                <w:szCs w:val="20"/>
              </w:rPr>
              <w:t>39 (10.4%)</w:t>
            </w:r>
          </w:p>
          <w:p w:rsidR="002D057E" w:rsidRPr="00506A54" w:rsidRDefault="002D057E" w:rsidP="00687778">
            <w:pPr>
              <w:keepNext/>
              <w:keepLines/>
              <w:widowControl/>
              <w:spacing w:after="120"/>
              <w:jc w:val="left"/>
              <w:rPr>
                <w:rFonts w:ascii="Arial Narrow" w:eastAsia="Calibri" w:hAnsi="Arial Narrow" w:cs="Calibri"/>
                <w:iCs/>
                <w:sz w:val="20"/>
                <w:szCs w:val="20"/>
              </w:rPr>
            </w:pPr>
            <w:r w:rsidRPr="00506A54">
              <w:rPr>
                <w:rFonts w:ascii="Arial Narrow" w:eastAsia="Calibri" w:hAnsi="Arial Narrow" w:cs="Calibri"/>
                <w:iCs/>
                <w:sz w:val="20"/>
                <w:szCs w:val="20"/>
              </w:rPr>
              <w:t>202 (54.0%)</w:t>
            </w:r>
          </w:p>
          <w:p w:rsidR="002D057E" w:rsidRPr="00506A54" w:rsidRDefault="002D057E" w:rsidP="00687778">
            <w:pPr>
              <w:keepNext/>
              <w:keepLines/>
              <w:widowControl/>
              <w:spacing w:after="120"/>
              <w:jc w:val="left"/>
              <w:rPr>
                <w:rFonts w:ascii="Arial Narrow" w:eastAsia="Calibri" w:hAnsi="Arial Narrow" w:cs="Calibri"/>
                <w:iCs/>
                <w:sz w:val="20"/>
                <w:szCs w:val="20"/>
              </w:rPr>
            </w:pPr>
            <w:r w:rsidRPr="00506A54">
              <w:rPr>
                <w:rFonts w:ascii="Arial Narrow" w:eastAsia="Calibri" w:hAnsi="Arial Narrow" w:cs="Calibri"/>
                <w:iCs/>
                <w:sz w:val="20"/>
                <w:szCs w:val="20"/>
              </w:rPr>
              <w:t>39 (10.4%)</w:t>
            </w:r>
          </w:p>
        </w:tc>
        <w:tc>
          <w:tcPr>
            <w:tcW w:w="941" w:type="pct"/>
          </w:tcPr>
          <w:p w:rsidR="002D057E" w:rsidRPr="00506A54" w:rsidRDefault="002D057E" w:rsidP="00687778">
            <w:pPr>
              <w:keepNext/>
              <w:keepLines/>
              <w:widowControl/>
              <w:spacing w:after="120"/>
              <w:jc w:val="left"/>
              <w:rPr>
                <w:rFonts w:ascii="Arial Narrow" w:eastAsia="Calibri" w:hAnsi="Arial Narrow" w:cs="Calibri"/>
                <w:iCs/>
                <w:sz w:val="20"/>
                <w:szCs w:val="20"/>
              </w:rPr>
            </w:pPr>
            <w:r w:rsidRPr="00506A54">
              <w:rPr>
                <w:rFonts w:ascii="Arial Narrow" w:eastAsia="Calibri" w:hAnsi="Arial Narrow" w:cs="Calibri"/>
                <w:iCs/>
                <w:sz w:val="20"/>
                <w:szCs w:val="20"/>
              </w:rPr>
              <w:t>5 (2.6%)</w:t>
            </w:r>
          </w:p>
          <w:p w:rsidR="002D057E" w:rsidRPr="00506A54" w:rsidRDefault="002D057E" w:rsidP="00687778">
            <w:pPr>
              <w:keepNext/>
              <w:keepLines/>
              <w:widowControl/>
              <w:spacing w:after="120"/>
              <w:jc w:val="left"/>
              <w:rPr>
                <w:rFonts w:ascii="Arial Narrow" w:eastAsia="Calibri" w:hAnsi="Arial Narrow" w:cs="Calibri"/>
                <w:iCs/>
                <w:sz w:val="20"/>
                <w:szCs w:val="20"/>
              </w:rPr>
            </w:pPr>
            <w:r w:rsidRPr="00506A54">
              <w:rPr>
                <w:rFonts w:ascii="Arial Narrow" w:eastAsia="Calibri" w:hAnsi="Arial Narrow" w:cs="Calibri"/>
                <w:iCs/>
                <w:sz w:val="20"/>
                <w:szCs w:val="20"/>
              </w:rPr>
              <w:t>20 (10.4%)</w:t>
            </w:r>
          </w:p>
          <w:p w:rsidR="002D057E" w:rsidRPr="00506A54" w:rsidRDefault="002D057E" w:rsidP="00687778">
            <w:pPr>
              <w:keepNext/>
              <w:keepLines/>
              <w:widowControl/>
              <w:spacing w:after="120"/>
              <w:jc w:val="left"/>
              <w:rPr>
                <w:rFonts w:ascii="Arial Narrow" w:eastAsia="Calibri" w:hAnsi="Arial Narrow" w:cs="Calibri"/>
                <w:sz w:val="20"/>
                <w:szCs w:val="20"/>
              </w:rPr>
            </w:pPr>
            <w:r w:rsidRPr="00506A54">
              <w:rPr>
                <w:rFonts w:ascii="Arial Narrow" w:eastAsia="Calibri" w:hAnsi="Arial Narrow" w:cs="Calibri"/>
                <w:iCs/>
                <w:sz w:val="20"/>
                <w:szCs w:val="20"/>
              </w:rPr>
              <w:t>7 (3.6%)</w:t>
            </w:r>
          </w:p>
        </w:tc>
        <w:tc>
          <w:tcPr>
            <w:tcW w:w="941" w:type="pct"/>
            <w:tcBorders>
              <w:bottom w:val="single" w:sz="4" w:space="0" w:color="auto"/>
              <w:right w:val="single" w:sz="4" w:space="0" w:color="auto"/>
            </w:tcBorders>
            <w:shd w:val="clear" w:color="auto" w:fill="auto"/>
          </w:tcPr>
          <w:p w:rsidR="002D057E" w:rsidRPr="00506A54" w:rsidRDefault="002D057E" w:rsidP="00687778">
            <w:pPr>
              <w:keepNext/>
              <w:keepLines/>
              <w:widowControl/>
              <w:spacing w:after="120"/>
              <w:jc w:val="left"/>
              <w:rPr>
                <w:rFonts w:ascii="Arial Narrow" w:eastAsia="Calibri" w:hAnsi="Arial Narrow" w:cs="Calibri"/>
                <w:b/>
                <w:sz w:val="20"/>
                <w:szCs w:val="20"/>
              </w:rPr>
            </w:pPr>
            <w:r w:rsidRPr="00506A54">
              <w:rPr>
                <w:rFonts w:ascii="Arial Narrow" w:eastAsia="Calibri" w:hAnsi="Arial Narrow" w:cs="Calibri"/>
                <w:b/>
                <w:sz w:val="20"/>
                <w:szCs w:val="20"/>
              </w:rPr>
              <w:t>4.03 (1.61, 10.05)</w:t>
            </w:r>
          </w:p>
          <w:p w:rsidR="002D057E" w:rsidRPr="00506A54" w:rsidRDefault="002D057E" w:rsidP="00687778">
            <w:pPr>
              <w:keepNext/>
              <w:keepLines/>
              <w:widowControl/>
              <w:spacing w:after="120"/>
              <w:jc w:val="left"/>
              <w:rPr>
                <w:rFonts w:ascii="Arial Narrow" w:eastAsia="Calibri" w:hAnsi="Arial Narrow" w:cs="Calibri"/>
                <w:b/>
                <w:sz w:val="20"/>
                <w:szCs w:val="20"/>
              </w:rPr>
            </w:pPr>
            <w:r w:rsidRPr="00506A54">
              <w:rPr>
                <w:rFonts w:ascii="Arial Narrow" w:eastAsia="Calibri" w:hAnsi="Arial Narrow" w:cs="Calibri"/>
                <w:b/>
                <w:sz w:val="20"/>
                <w:szCs w:val="20"/>
              </w:rPr>
              <w:t>5.21 (3.41, 7.97)</w:t>
            </w:r>
          </w:p>
          <w:p w:rsidR="002D057E" w:rsidRPr="00506A54" w:rsidRDefault="002D057E" w:rsidP="00687778">
            <w:pPr>
              <w:keepNext/>
              <w:keepLines/>
              <w:widowControl/>
              <w:spacing w:after="120"/>
              <w:jc w:val="left"/>
              <w:rPr>
                <w:rFonts w:ascii="Arial Narrow" w:eastAsia="Calibri" w:hAnsi="Arial Narrow" w:cs="Calibri"/>
                <w:sz w:val="20"/>
                <w:szCs w:val="20"/>
              </w:rPr>
            </w:pPr>
            <w:r w:rsidRPr="00506A54">
              <w:rPr>
                <w:rFonts w:ascii="Arial Narrow" w:eastAsia="Calibri" w:hAnsi="Arial Narrow" w:cs="Calibri"/>
                <w:sz w:val="20"/>
                <w:szCs w:val="20"/>
              </w:rPr>
              <w:t>2.58 (0.57, 11.66)</w:t>
            </w:r>
          </w:p>
        </w:tc>
        <w:tc>
          <w:tcPr>
            <w:tcW w:w="939" w:type="pct"/>
            <w:tcBorders>
              <w:bottom w:val="single" w:sz="4" w:space="0" w:color="auto"/>
              <w:right w:val="single" w:sz="4" w:space="0" w:color="auto"/>
            </w:tcBorders>
            <w:shd w:val="clear" w:color="auto" w:fill="auto"/>
          </w:tcPr>
          <w:p w:rsidR="002D057E" w:rsidRPr="00A16364" w:rsidRDefault="002D057E" w:rsidP="00687778">
            <w:pPr>
              <w:pStyle w:val="ListParagraph"/>
              <w:keepNext/>
              <w:keepLines/>
              <w:widowControl/>
              <w:numPr>
                <w:ilvl w:val="1"/>
                <w:numId w:val="25"/>
              </w:numPr>
              <w:spacing w:after="120"/>
              <w:jc w:val="left"/>
              <w:rPr>
                <w:rFonts w:ascii="Arial Narrow" w:eastAsia="Calibri" w:hAnsi="Arial Narrow" w:cs="Calibri"/>
                <w:b/>
                <w:sz w:val="20"/>
                <w:szCs w:val="20"/>
              </w:rPr>
            </w:pPr>
            <w:r w:rsidRPr="00A16364">
              <w:rPr>
                <w:rFonts w:ascii="Arial Narrow" w:eastAsia="Calibri" w:hAnsi="Arial Narrow" w:cs="Calibri"/>
                <w:b/>
                <w:sz w:val="20"/>
                <w:szCs w:val="20"/>
              </w:rPr>
              <w:t>(0.04, 0.12)</w:t>
            </w:r>
          </w:p>
          <w:p w:rsidR="002D057E" w:rsidRPr="00A16364" w:rsidRDefault="002D057E" w:rsidP="00687778">
            <w:pPr>
              <w:keepNext/>
              <w:keepLines/>
              <w:widowControl/>
              <w:spacing w:after="120"/>
              <w:jc w:val="left"/>
              <w:rPr>
                <w:rFonts w:ascii="Arial Narrow" w:eastAsia="Calibri" w:hAnsi="Arial Narrow" w:cs="Calibri"/>
                <w:b/>
                <w:sz w:val="20"/>
                <w:szCs w:val="20"/>
              </w:rPr>
            </w:pPr>
            <w:r w:rsidRPr="00A16364">
              <w:rPr>
                <w:rFonts w:ascii="Arial Narrow" w:eastAsia="Calibri" w:hAnsi="Arial Narrow" w:cs="Calibri"/>
                <w:b/>
                <w:sz w:val="20"/>
                <w:szCs w:val="20"/>
              </w:rPr>
              <w:t>0.44 (0.37, 0.50)</w:t>
            </w:r>
          </w:p>
          <w:p w:rsidR="002D057E" w:rsidRPr="00506A54" w:rsidRDefault="002D057E" w:rsidP="00687778">
            <w:pPr>
              <w:keepNext/>
              <w:keepLines/>
              <w:widowControl/>
              <w:spacing w:after="120"/>
              <w:jc w:val="left"/>
              <w:rPr>
                <w:rFonts w:ascii="Arial Narrow" w:eastAsia="Calibri" w:hAnsi="Arial Narrow" w:cs="Calibri"/>
                <w:sz w:val="20"/>
                <w:szCs w:val="20"/>
              </w:rPr>
            </w:pPr>
            <w:r w:rsidRPr="00506A54">
              <w:rPr>
                <w:rFonts w:ascii="Arial Narrow" w:eastAsia="Calibri" w:hAnsi="Arial Narrow" w:cs="Calibri"/>
                <w:sz w:val="20"/>
                <w:szCs w:val="20"/>
              </w:rPr>
              <w:t>0.02 (-0.01, 0.04)</w:t>
            </w:r>
          </w:p>
        </w:tc>
      </w:tr>
    </w:tbl>
    <w:p w:rsidR="002D057E" w:rsidRPr="00506A54" w:rsidRDefault="002D057E" w:rsidP="00687778">
      <w:pPr>
        <w:pStyle w:val="TableFooter"/>
        <w:widowControl/>
        <w:rPr>
          <w:rFonts w:eastAsia="Calibri"/>
        </w:rPr>
      </w:pPr>
      <w:r w:rsidRPr="00506A54">
        <w:rPr>
          <w:rFonts w:eastAsia="Calibri"/>
        </w:rPr>
        <w:t xml:space="preserve">Abbreviations: AE= adverse event; BSC= best supportive care; CI = confidence interval; CTCAE= </w:t>
      </w:r>
      <w:r w:rsidRPr="00506A54">
        <w:t>Common Terminology Criteria for Adverse Events;</w:t>
      </w:r>
      <w:r w:rsidRPr="00506A54">
        <w:rPr>
          <w:rFonts w:eastAsia="Calibri"/>
        </w:rPr>
        <w:t xml:space="preserve"> n = number of participants reporting data; N = total participants in group; RD = risk difference; RR = relative risk</w:t>
      </w:r>
    </w:p>
    <w:p w:rsidR="00506A54" w:rsidRPr="00506A54" w:rsidRDefault="00506A54" w:rsidP="00687778">
      <w:pPr>
        <w:widowControl/>
        <w:rPr>
          <w:rFonts w:ascii="Arial Narrow" w:hAnsi="Arial Narrow"/>
          <w:sz w:val="18"/>
        </w:rPr>
      </w:pPr>
      <w:r w:rsidRPr="00506A54">
        <w:rPr>
          <w:rFonts w:ascii="Arial Narrow" w:hAnsi="Arial Narrow"/>
          <w:sz w:val="18"/>
        </w:rPr>
        <w:t>Source: Table 2-36, p. 102 of the resubmission.</w:t>
      </w:r>
    </w:p>
    <w:p w:rsidR="00A02D9C" w:rsidRPr="00506A54" w:rsidRDefault="002D057E" w:rsidP="00687778">
      <w:pPr>
        <w:pStyle w:val="TableFooter"/>
        <w:widowControl/>
      </w:pPr>
      <w:r w:rsidRPr="00506A54">
        <w:t>Note: Bold text indicates a statistically significant value.</w:t>
      </w:r>
    </w:p>
    <w:p w:rsidR="00B60939" w:rsidRPr="00882085" w:rsidRDefault="00B60939" w:rsidP="00067969">
      <w:pPr>
        <w:pStyle w:val="Heading2"/>
      </w:pPr>
      <w:bookmarkStart w:id="10" w:name="_Toc523405675"/>
      <w:r w:rsidRPr="00C9624D">
        <w:t>Comparative harms</w:t>
      </w:r>
      <w:bookmarkEnd w:id="10"/>
    </w:p>
    <w:p w:rsidR="00741AF0" w:rsidRDefault="00741AF0" w:rsidP="00687778">
      <w:pPr>
        <w:pStyle w:val="ListParagraph"/>
        <w:widowControl/>
        <w:numPr>
          <w:ilvl w:val="1"/>
          <w:numId w:val="3"/>
        </w:numPr>
      </w:pPr>
      <w:r>
        <w:t>Safety d</w:t>
      </w:r>
      <w:r w:rsidRPr="00844E77">
        <w:t>ata presented in the</w:t>
      </w:r>
      <w:r w:rsidR="00950607">
        <w:t xml:space="preserve"> resubmission</w:t>
      </w:r>
      <w:r w:rsidRPr="00844E77">
        <w:t xml:space="preserve"> were obtained from the RESORCE trial </w:t>
      </w:r>
      <w:r>
        <w:t xml:space="preserve">and are summarised in Table </w:t>
      </w:r>
      <w:r w:rsidR="00304DC0">
        <w:t>8</w:t>
      </w:r>
      <w:r>
        <w:t>.</w:t>
      </w:r>
      <w:r w:rsidRPr="00844E77">
        <w:t xml:space="preserve"> There is a boxed warning for hepatotoxicity associated with regorafenib</w:t>
      </w:r>
      <w:r>
        <w:t xml:space="preserve"> and</w:t>
      </w:r>
      <w:r w:rsidRPr="00844E77">
        <w:t xml:space="preserve"> included as a warning on the PI. </w:t>
      </w:r>
      <w:r>
        <w:t>T</w:t>
      </w:r>
      <w:r w:rsidRPr="00844E77">
        <w:t xml:space="preserve">he rates of liver-related adverse events and liver failure </w:t>
      </w:r>
      <w:r>
        <w:t xml:space="preserve">with </w:t>
      </w:r>
      <w:r w:rsidRPr="00844E77">
        <w:t>regorafenib in the RESORCE trial were not higher when compared with other regorafenib trials</w:t>
      </w:r>
      <w:r>
        <w:t xml:space="preserve"> (for a different indication)</w:t>
      </w:r>
      <w:r w:rsidRPr="00844E77">
        <w:t xml:space="preserve">. </w:t>
      </w:r>
      <w:r w:rsidR="005427CD">
        <w:t xml:space="preserve">The PI states </w:t>
      </w:r>
      <w:r w:rsidR="00CA10D9">
        <w:t>that i</w:t>
      </w:r>
      <w:r w:rsidR="00CA10D9" w:rsidRPr="00CA10D9">
        <w:t>n clinical studies, no relevant differences in safety or efficacy were observed between patients with mild hepatic impairment (Child-Pugh A) and normal hepatic function</w:t>
      </w:r>
      <w:r w:rsidR="00CA10D9">
        <w:t xml:space="preserve"> and that close monitoring of overall safety is recommended in patients with moderate hepatic impairment (Child-</w:t>
      </w:r>
      <w:proofErr w:type="spellStart"/>
      <w:r w:rsidR="00CA10D9">
        <w:t>PughB</w:t>
      </w:r>
      <w:proofErr w:type="spellEnd"/>
      <w:r w:rsidR="00CA10D9">
        <w:t xml:space="preserve">) as limited data are available in these patients. </w:t>
      </w:r>
    </w:p>
    <w:p w:rsidR="00741AF0" w:rsidRPr="00C81586" w:rsidRDefault="00741AF0" w:rsidP="00687778">
      <w:pPr>
        <w:keepNext/>
        <w:widowControl/>
        <w:rPr>
          <w:rFonts w:ascii="Arial Narrow" w:hAnsi="Arial Narrow"/>
          <w:b/>
          <w:sz w:val="20"/>
          <w:szCs w:val="20"/>
        </w:rPr>
      </w:pPr>
      <w:r w:rsidRPr="00C81586">
        <w:rPr>
          <w:rFonts w:ascii="Arial Narrow" w:hAnsi="Arial Narrow"/>
          <w:b/>
          <w:sz w:val="20"/>
          <w:szCs w:val="20"/>
        </w:rPr>
        <w:t xml:space="preserve">Table </w:t>
      </w:r>
      <w:r w:rsidR="00304DC0">
        <w:rPr>
          <w:rFonts w:ascii="Arial Narrow" w:hAnsi="Arial Narrow"/>
          <w:b/>
          <w:sz w:val="20"/>
          <w:szCs w:val="20"/>
        </w:rPr>
        <w:t>8</w:t>
      </w:r>
      <w:r w:rsidRPr="00C81586">
        <w:rPr>
          <w:rFonts w:ascii="Arial Narrow" w:hAnsi="Arial Narrow"/>
          <w:b/>
          <w:sz w:val="20"/>
          <w:szCs w:val="20"/>
        </w:rPr>
        <w:t>: Summary of key drug-related TEAEs in the RESORCE trial (more tha</w:t>
      </w:r>
      <w:r w:rsidR="00687778">
        <w:rPr>
          <w:rFonts w:ascii="Arial Narrow" w:hAnsi="Arial Narrow"/>
          <w:b/>
          <w:sz w:val="20"/>
          <w:szCs w:val="20"/>
        </w:rPr>
        <w:t>n 5% in either treatment group)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3"/>
        <w:gridCol w:w="959"/>
        <w:gridCol w:w="700"/>
        <w:gridCol w:w="1124"/>
        <w:gridCol w:w="552"/>
        <w:gridCol w:w="551"/>
        <w:gridCol w:w="1124"/>
        <w:gridCol w:w="1267"/>
        <w:gridCol w:w="1557"/>
      </w:tblGrid>
      <w:tr w:rsidR="00741AF0" w:rsidRPr="006615BC" w:rsidTr="00863879">
        <w:trPr>
          <w:trHeight w:val="612"/>
          <w:jc w:val="center"/>
        </w:trPr>
        <w:tc>
          <w:tcPr>
            <w:tcW w:w="653" w:type="pct"/>
            <w:vMerge w:val="restar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left"/>
              <w:rPr>
                <w:rFonts w:ascii="Arial Narrow" w:eastAsia="Calibri" w:hAnsi="Arial Narrow"/>
                <w:b/>
                <w:sz w:val="20"/>
                <w:szCs w:val="20"/>
              </w:rPr>
            </w:pPr>
            <w:r w:rsidRPr="006615BC">
              <w:rPr>
                <w:rFonts w:ascii="Arial Narrow" w:eastAsia="Calibri" w:hAnsi="Arial Narrow"/>
                <w:b/>
                <w:sz w:val="20"/>
                <w:szCs w:val="20"/>
              </w:rPr>
              <w:t>CTCAE drug related TEAEs</w:t>
            </w:r>
          </w:p>
        </w:tc>
        <w:tc>
          <w:tcPr>
            <w:tcW w:w="1538" w:type="pct"/>
            <w:gridSpan w:val="3"/>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Regorafenib</w:t>
            </w:r>
          </w:p>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N=374 (100%)</w:t>
            </w:r>
          </w:p>
        </w:tc>
        <w:tc>
          <w:tcPr>
            <w:tcW w:w="1239" w:type="pct"/>
            <w:gridSpan w:val="3"/>
            <w:vAlign w:val="center"/>
          </w:tcPr>
          <w:p w:rsidR="00741AF0" w:rsidRPr="006615BC" w:rsidRDefault="00741AF0" w:rsidP="00687778">
            <w:pPr>
              <w:keepNext/>
              <w:keepLines/>
              <w:widowControl/>
              <w:jc w:val="center"/>
              <w:rPr>
                <w:rFonts w:ascii="Arial Narrow" w:eastAsia="Calibri" w:hAnsi="Arial Narrow"/>
                <w:b/>
                <w:sz w:val="20"/>
                <w:szCs w:val="20"/>
              </w:rPr>
            </w:pPr>
            <w:r>
              <w:rPr>
                <w:rFonts w:ascii="Arial Narrow" w:eastAsia="Calibri" w:hAnsi="Arial Narrow"/>
                <w:b/>
                <w:sz w:val="20"/>
                <w:szCs w:val="20"/>
              </w:rPr>
              <w:t>BSC</w:t>
            </w:r>
          </w:p>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N=193 (100%)</w:t>
            </w:r>
          </w:p>
        </w:tc>
        <w:tc>
          <w:tcPr>
            <w:tcW w:w="704"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Relative risk</w:t>
            </w:r>
          </w:p>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(95% CI)</w:t>
            </w:r>
          </w:p>
        </w:tc>
        <w:tc>
          <w:tcPr>
            <w:tcW w:w="866"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Risk difference</w:t>
            </w:r>
          </w:p>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(95% CI)</w:t>
            </w:r>
          </w:p>
        </w:tc>
      </w:tr>
      <w:tr w:rsidR="00741AF0" w:rsidRPr="006615BC" w:rsidTr="00863879">
        <w:trPr>
          <w:trHeight w:val="460"/>
          <w:jc w:val="center"/>
        </w:trPr>
        <w:tc>
          <w:tcPr>
            <w:tcW w:w="653" w:type="pct"/>
            <w:vMerge/>
            <w:shd w:val="clear" w:color="auto" w:fill="auto"/>
            <w:vAlign w:val="center"/>
            <w:hideMark/>
          </w:tcPr>
          <w:p w:rsidR="00741AF0" w:rsidRPr="00870D22" w:rsidRDefault="00741AF0" w:rsidP="00687778">
            <w:pPr>
              <w:keepNext/>
              <w:keepLines/>
              <w:widowControl/>
              <w:jc w:val="left"/>
              <w:rPr>
                <w:rFonts w:ascii="Arial Narrow" w:eastAsia="Calibri" w:hAnsi="Arial Narrow"/>
                <w:b/>
                <w:sz w:val="20"/>
                <w:szCs w:val="20"/>
              </w:rPr>
            </w:pPr>
          </w:p>
        </w:tc>
        <w:tc>
          <w:tcPr>
            <w:tcW w:w="534" w:type="pct"/>
            <w:shd w:val="clear" w:color="auto" w:fill="auto"/>
            <w:tcMar>
              <w:top w:w="0" w:type="dxa"/>
              <w:left w:w="108" w:type="dxa"/>
              <w:bottom w:w="0" w:type="dxa"/>
              <w:right w:w="108" w:type="dxa"/>
            </w:tcMar>
            <w:vAlign w:val="center"/>
            <w:hideMark/>
          </w:tcPr>
          <w:p w:rsidR="00741AF0" w:rsidRPr="00870D22" w:rsidRDefault="00741AF0" w:rsidP="00687778">
            <w:pPr>
              <w:keepNext/>
              <w:keepLines/>
              <w:widowControl/>
              <w:jc w:val="center"/>
              <w:rPr>
                <w:rFonts w:ascii="Arial Narrow" w:eastAsia="Calibri" w:hAnsi="Arial Narrow"/>
                <w:b/>
                <w:sz w:val="20"/>
                <w:szCs w:val="20"/>
              </w:rPr>
            </w:pPr>
            <w:r w:rsidRPr="00870D22">
              <w:rPr>
                <w:rFonts w:ascii="Arial Narrow" w:eastAsia="Calibri" w:hAnsi="Arial Narrow"/>
                <w:b/>
                <w:sz w:val="20"/>
                <w:szCs w:val="20"/>
              </w:rPr>
              <w:t>Grade 3</w:t>
            </w:r>
          </w:p>
        </w:tc>
        <w:tc>
          <w:tcPr>
            <w:tcW w:w="379" w:type="pct"/>
            <w:shd w:val="clear" w:color="auto" w:fill="auto"/>
            <w:tcMar>
              <w:top w:w="0" w:type="dxa"/>
              <w:left w:w="108" w:type="dxa"/>
              <w:bottom w:w="0" w:type="dxa"/>
              <w:right w:w="108" w:type="dxa"/>
            </w:tcMar>
            <w:vAlign w:val="center"/>
            <w:hideMark/>
          </w:tcPr>
          <w:p w:rsidR="00741AF0" w:rsidRPr="00870D22" w:rsidRDefault="00741AF0" w:rsidP="00687778">
            <w:pPr>
              <w:keepNext/>
              <w:keepLines/>
              <w:widowControl/>
              <w:jc w:val="center"/>
              <w:rPr>
                <w:rFonts w:ascii="Arial Narrow" w:eastAsia="Calibri" w:hAnsi="Arial Narrow"/>
                <w:b/>
                <w:sz w:val="20"/>
                <w:szCs w:val="20"/>
              </w:rPr>
            </w:pPr>
            <w:r w:rsidRPr="00870D22">
              <w:rPr>
                <w:rFonts w:ascii="Arial Narrow" w:eastAsia="Calibri" w:hAnsi="Arial Narrow"/>
                <w:b/>
                <w:sz w:val="20"/>
                <w:szCs w:val="20"/>
              </w:rPr>
              <w:t>Grade 4</w:t>
            </w:r>
          </w:p>
        </w:tc>
        <w:tc>
          <w:tcPr>
            <w:tcW w:w="625" w:type="pct"/>
            <w:shd w:val="clear" w:color="auto" w:fill="auto"/>
            <w:tcMar>
              <w:top w:w="0" w:type="dxa"/>
              <w:left w:w="108" w:type="dxa"/>
              <w:bottom w:w="0" w:type="dxa"/>
              <w:right w:w="108" w:type="dxa"/>
            </w:tcMar>
            <w:vAlign w:val="center"/>
            <w:hideMark/>
          </w:tcPr>
          <w:p w:rsidR="00741AF0" w:rsidRPr="00870D22" w:rsidRDefault="00741AF0" w:rsidP="00687778">
            <w:pPr>
              <w:keepNext/>
              <w:keepLines/>
              <w:widowControl/>
              <w:jc w:val="center"/>
              <w:rPr>
                <w:rFonts w:ascii="Arial Narrow" w:eastAsia="Calibri" w:hAnsi="Arial Narrow"/>
                <w:b/>
                <w:sz w:val="20"/>
                <w:szCs w:val="20"/>
              </w:rPr>
            </w:pPr>
            <w:r w:rsidRPr="00870D22">
              <w:rPr>
                <w:rFonts w:ascii="Arial Narrow" w:eastAsia="Calibri" w:hAnsi="Arial Narrow"/>
                <w:b/>
                <w:sz w:val="20"/>
                <w:szCs w:val="20"/>
              </w:rPr>
              <w:t>Total</w:t>
            </w:r>
          </w:p>
          <w:p w:rsidR="00741AF0" w:rsidRPr="00870D22" w:rsidRDefault="00741AF0" w:rsidP="00687778">
            <w:pPr>
              <w:keepNext/>
              <w:keepLines/>
              <w:widowControl/>
              <w:jc w:val="center"/>
              <w:rPr>
                <w:rFonts w:ascii="Arial Narrow" w:eastAsia="Calibri" w:hAnsi="Arial Narrow"/>
                <w:b/>
                <w:sz w:val="20"/>
                <w:szCs w:val="20"/>
              </w:rPr>
            </w:pPr>
            <w:r w:rsidRPr="00870D22">
              <w:rPr>
                <w:rFonts w:ascii="Arial Narrow" w:eastAsia="Calibri" w:hAnsi="Arial Narrow"/>
                <w:b/>
                <w:sz w:val="20"/>
                <w:szCs w:val="20"/>
              </w:rPr>
              <w:t>(Grade 3+4)</w:t>
            </w:r>
          </w:p>
        </w:tc>
        <w:tc>
          <w:tcPr>
            <w:tcW w:w="308" w:type="pct"/>
            <w:vAlign w:val="center"/>
          </w:tcPr>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Grade 3</w:t>
            </w:r>
          </w:p>
        </w:tc>
        <w:tc>
          <w:tcPr>
            <w:tcW w:w="307" w:type="pct"/>
            <w:vAlign w:val="center"/>
          </w:tcPr>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Grade 4</w:t>
            </w:r>
          </w:p>
        </w:tc>
        <w:tc>
          <w:tcPr>
            <w:tcW w:w="625" w:type="pct"/>
            <w:vAlign w:val="center"/>
          </w:tcPr>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Total</w:t>
            </w:r>
          </w:p>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(Grade 3+4)</w:t>
            </w:r>
          </w:p>
        </w:tc>
        <w:tc>
          <w:tcPr>
            <w:tcW w:w="704"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Total</w:t>
            </w:r>
          </w:p>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(Grade 3+4)</w:t>
            </w:r>
          </w:p>
        </w:tc>
        <w:tc>
          <w:tcPr>
            <w:tcW w:w="866"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Total</w:t>
            </w:r>
          </w:p>
          <w:p w:rsidR="00741AF0" w:rsidRPr="006615BC" w:rsidRDefault="00741AF0" w:rsidP="00687778">
            <w:pPr>
              <w:keepNext/>
              <w:keepLines/>
              <w:widowControl/>
              <w:jc w:val="center"/>
              <w:rPr>
                <w:rFonts w:ascii="Arial Narrow" w:eastAsia="Calibri" w:hAnsi="Arial Narrow"/>
                <w:b/>
                <w:sz w:val="20"/>
                <w:szCs w:val="20"/>
              </w:rPr>
            </w:pPr>
            <w:r w:rsidRPr="006615BC">
              <w:rPr>
                <w:rFonts w:ascii="Arial Narrow" w:eastAsia="Calibri" w:hAnsi="Arial Narrow"/>
                <w:b/>
                <w:sz w:val="20"/>
                <w:szCs w:val="20"/>
              </w:rPr>
              <w:t>(Grade 3+4)</w:t>
            </w:r>
          </w:p>
        </w:tc>
      </w:tr>
      <w:tr w:rsidR="00741AF0" w:rsidRPr="006615BC" w:rsidTr="00863879">
        <w:trPr>
          <w:trHeight w:val="460"/>
          <w:jc w:val="center"/>
        </w:trPr>
        <w:tc>
          <w:tcPr>
            <w:tcW w:w="653"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left"/>
              <w:rPr>
                <w:rFonts w:ascii="Arial Narrow" w:eastAsia="Calibri" w:hAnsi="Arial Narrow"/>
                <w:sz w:val="20"/>
                <w:szCs w:val="20"/>
              </w:rPr>
            </w:pPr>
            <w:r w:rsidRPr="006615BC">
              <w:rPr>
                <w:rFonts w:ascii="Arial Narrow" w:eastAsia="Calibri" w:hAnsi="Arial Narrow"/>
                <w:sz w:val="20"/>
                <w:szCs w:val="20"/>
              </w:rPr>
              <w:t>Hypertension</w:t>
            </w:r>
          </w:p>
        </w:tc>
        <w:tc>
          <w:tcPr>
            <w:tcW w:w="534"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48 (12.8%)</w:t>
            </w:r>
          </w:p>
        </w:tc>
        <w:tc>
          <w:tcPr>
            <w:tcW w:w="379"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0</w:t>
            </w:r>
          </w:p>
        </w:tc>
        <w:tc>
          <w:tcPr>
            <w:tcW w:w="625"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48 (12.8%)</w:t>
            </w:r>
          </w:p>
        </w:tc>
        <w:tc>
          <w:tcPr>
            <w:tcW w:w="308"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6 (3.1%)</w:t>
            </w:r>
          </w:p>
        </w:tc>
        <w:tc>
          <w:tcPr>
            <w:tcW w:w="307"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0</w:t>
            </w:r>
          </w:p>
        </w:tc>
        <w:tc>
          <w:tcPr>
            <w:tcW w:w="625"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6 (3.1%)</w:t>
            </w:r>
          </w:p>
        </w:tc>
        <w:tc>
          <w:tcPr>
            <w:tcW w:w="704" w:type="pct"/>
            <w:shd w:val="clear" w:color="auto" w:fill="auto"/>
            <w:tcMar>
              <w:top w:w="0" w:type="dxa"/>
              <w:left w:w="108" w:type="dxa"/>
              <w:bottom w:w="0" w:type="dxa"/>
              <w:right w:w="108" w:type="dxa"/>
            </w:tcMar>
            <w:vAlign w:val="center"/>
          </w:tcPr>
          <w:p w:rsidR="00741AF0" w:rsidRPr="00741AF0" w:rsidRDefault="00741AF0" w:rsidP="00687778">
            <w:pPr>
              <w:keepNext/>
              <w:keepLines/>
              <w:widowControl/>
              <w:jc w:val="center"/>
              <w:rPr>
                <w:rFonts w:ascii="Arial Narrow" w:eastAsia="Calibri" w:hAnsi="Arial Narrow"/>
                <w:b/>
                <w:sz w:val="20"/>
                <w:szCs w:val="20"/>
              </w:rPr>
            </w:pPr>
            <w:r w:rsidRPr="00741AF0">
              <w:rPr>
                <w:rFonts w:ascii="Arial Narrow" w:eastAsia="Calibri" w:hAnsi="Arial Narrow"/>
                <w:b/>
                <w:sz w:val="20"/>
                <w:szCs w:val="20"/>
              </w:rPr>
              <w:t>4.13</w:t>
            </w:r>
          </w:p>
          <w:p w:rsidR="00741AF0" w:rsidRPr="00741AF0" w:rsidRDefault="00741AF0" w:rsidP="00687778">
            <w:pPr>
              <w:keepNext/>
              <w:keepLines/>
              <w:widowControl/>
              <w:jc w:val="center"/>
              <w:rPr>
                <w:rFonts w:ascii="Arial Narrow" w:eastAsia="Calibri" w:hAnsi="Arial Narrow"/>
                <w:b/>
                <w:sz w:val="20"/>
                <w:szCs w:val="20"/>
              </w:rPr>
            </w:pPr>
            <w:r w:rsidRPr="00741AF0">
              <w:rPr>
                <w:rFonts w:ascii="Arial Narrow" w:eastAsia="Calibri" w:hAnsi="Arial Narrow"/>
                <w:b/>
                <w:sz w:val="20"/>
                <w:szCs w:val="20"/>
              </w:rPr>
              <w:t>(1.80, 9.47)</w:t>
            </w:r>
          </w:p>
        </w:tc>
        <w:tc>
          <w:tcPr>
            <w:tcW w:w="866" w:type="pct"/>
            <w:shd w:val="clear" w:color="auto" w:fill="auto"/>
            <w:tcMar>
              <w:top w:w="0" w:type="dxa"/>
              <w:left w:w="108" w:type="dxa"/>
              <w:bottom w:w="0" w:type="dxa"/>
              <w:right w:w="108" w:type="dxa"/>
            </w:tcMar>
            <w:vAlign w:val="center"/>
          </w:tcPr>
          <w:p w:rsidR="00741AF0" w:rsidRPr="00417B8E" w:rsidRDefault="00741AF0" w:rsidP="00687778">
            <w:pPr>
              <w:keepNext/>
              <w:keepLines/>
              <w:widowControl/>
              <w:jc w:val="center"/>
              <w:rPr>
                <w:rFonts w:ascii="Arial Narrow" w:eastAsia="Calibri" w:hAnsi="Arial Narrow"/>
                <w:b/>
                <w:sz w:val="20"/>
                <w:szCs w:val="20"/>
              </w:rPr>
            </w:pPr>
            <w:r w:rsidRPr="00417B8E">
              <w:rPr>
                <w:rFonts w:ascii="Arial Narrow" w:eastAsia="Calibri" w:hAnsi="Arial Narrow"/>
                <w:b/>
                <w:sz w:val="20"/>
                <w:szCs w:val="20"/>
              </w:rPr>
              <w:t>0.10</w:t>
            </w:r>
          </w:p>
          <w:p w:rsidR="00741AF0" w:rsidRPr="00417B8E" w:rsidRDefault="00741AF0" w:rsidP="00687778">
            <w:pPr>
              <w:keepNext/>
              <w:keepLines/>
              <w:widowControl/>
              <w:jc w:val="center"/>
              <w:rPr>
                <w:rFonts w:ascii="Arial Narrow" w:eastAsia="Calibri" w:hAnsi="Arial Narrow"/>
                <w:b/>
                <w:sz w:val="20"/>
                <w:szCs w:val="20"/>
              </w:rPr>
            </w:pPr>
            <w:r w:rsidRPr="00417B8E">
              <w:rPr>
                <w:rFonts w:ascii="Arial Narrow" w:eastAsia="Calibri" w:hAnsi="Arial Narrow"/>
                <w:b/>
                <w:sz w:val="20"/>
                <w:szCs w:val="20"/>
              </w:rPr>
              <w:t>(0.06, 0.14)</w:t>
            </w:r>
          </w:p>
        </w:tc>
      </w:tr>
      <w:tr w:rsidR="00741AF0" w:rsidRPr="006615BC" w:rsidTr="00863879">
        <w:trPr>
          <w:trHeight w:val="460"/>
          <w:jc w:val="center"/>
        </w:trPr>
        <w:tc>
          <w:tcPr>
            <w:tcW w:w="653"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left"/>
              <w:rPr>
                <w:rFonts w:ascii="Arial Narrow" w:eastAsia="Calibri" w:hAnsi="Arial Narrow"/>
                <w:sz w:val="20"/>
                <w:szCs w:val="20"/>
              </w:rPr>
            </w:pPr>
            <w:r w:rsidRPr="006615BC">
              <w:rPr>
                <w:rFonts w:ascii="Arial Narrow" w:eastAsia="Calibri" w:hAnsi="Arial Narrow"/>
                <w:sz w:val="20"/>
                <w:szCs w:val="20"/>
              </w:rPr>
              <w:t>HFSR</w:t>
            </w:r>
          </w:p>
        </w:tc>
        <w:tc>
          <w:tcPr>
            <w:tcW w:w="534"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46 (12.3%)</w:t>
            </w:r>
          </w:p>
        </w:tc>
        <w:tc>
          <w:tcPr>
            <w:tcW w:w="379"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0</w:t>
            </w:r>
          </w:p>
        </w:tc>
        <w:tc>
          <w:tcPr>
            <w:tcW w:w="625"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46 (12.3%)</w:t>
            </w:r>
          </w:p>
        </w:tc>
        <w:tc>
          <w:tcPr>
            <w:tcW w:w="308"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1 (0.5%)</w:t>
            </w:r>
          </w:p>
        </w:tc>
        <w:tc>
          <w:tcPr>
            <w:tcW w:w="307"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0</w:t>
            </w:r>
          </w:p>
        </w:tc>
        <w:tc>
          <w:tcPr>
            <w:tcW w:w="625"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1 (0.5%)</w:t>
            </w:r>
          </w:p>
        </w:tc>
        <w:tc>
          <w:tcPr>
            <w:tcW w:w="704" w:type="pct"/>
            <w:shd w:val="clear" w:color="auto" w:fill="auto"/>
            <w:tcMar>
              <w:top w:w="0" w:type="dxa"/>
              <w:left w:w="108" w:type="dxa"/>
              <w:bottom w:w="0" w:type="dxa"/>
              <w:right w:w="108" w:type="dxa"/>
            </w:tcMar>
            <w:vAlign w:val="center"/>
          </w:tcPr>
          <w:p w:rsidR="00741AF0" w:rsidRPr="00741AF0" w:rsidRDefault="00741AF0" w:rsidP="00687778">
            <w:pPr>
              <w:keepNext/>
              <w:keepLines/>
              <w:widowControl/>
              <w:jc w:val="center"/>
              <w:rPr>
                <w:rFonts w:ascii="Arial Narrow" w:eastAsia="Calibri" w:hAnsi="Arial Narrow"/>
                <w:b/>
                <w:sz w:val="20"/>
                <w:szCs w:val="20"/>
              </w:rPr>
            </w:pPr>
            <w:r w:rsidRPr="00741AF0">
              <w:rPr>
                <w:rFonts w:ascii="Arial Narrow" w:eastAsia="Calibri" w:hAnsi="Arial Narrow"/>
                <w:b/>
                <w:sz w:val="20"/>
                <w:szCs w:val="20"/>
              </w:rPr>
              <w:t>23.74</w:t>
            </w:r>
          </w:p>
          <w:p w:rsidR="00741AF0" w:rsidRPr="00741AF0" w:rsidRDefault="00741AF0" w:rsidP="00687778">
            <w:pPr>
              <w:keepNext/>
              <w:keepLines/>
              <w:widowControl/>
              <w:jc w:val="center"/>
              <w:rPr>
                <w:rFonts w:ascii="Arial Narrow" w:eastAsia="Calibri" w:hAnsi="Arial Narrow"/>
                <w:b/>
                <w:sz w:val="20"/>
                <w:szCs w:val="20"/>
              </w:rPr>
            </w:pPr>
            <w:r w:rsidRPr="00741AF0">
              <w:rPr>
                <w:rFonts w:ascii="Arial Narrow" w:eastAsia="Calibri" w:hAnsi="Arial Narrow"/>
                <w:b/>
                <w:sz w:val="20"/>
                <w:szCs w:val="20"/>
              </w:rPr>
              <w:t>(3.30, 170.82)</w:t>
            </w:r>
          </w:p>
        </w:tc>
        <w:tc>
          <w:tcPr>
            <w:tcW w:w="866" w:type="pct"/>
            <w:shd w:val="clear" w:color="auto" w:fill="auto"/>
            <w:tcMar>
              <w:top w:w="0" w:type="dxa"/>
              <w:left w:w="108" w:type="dxa"/>
              <w:bottom w:w="0" w:type="dxa"/>
              <w:right w:w="108" w:type="dxa"/>
            </w:tcMar>
            <w:vAlign w:val="center"/>
          </w:tcPr>
          <w:p w:rsidR="00741AF0" w:rsidRPr="00417B8E" w:rsidRDefault="00741AF0" w:rsidP="00687778">
            <w:pPr>
              <w:keepNext/>
              <w:keepLines/>
              <w:widowControl/>
              <w:jc w:val="center"/>
              <w:rPr>
                <w:rFonts w:ascii="Arial Narrow" w:eastAsia="Calibri" w:hAnsi="Arial Narrow"/>
                <w:b/>
                <w:sz w:val="20"/>
                <w:szCs w:val="20"/>
              </w:rPr>
            </w:pPr>
            <w:r w:rsidRPr="00417B8E">
              <w:rPr>
                <w:rFonts w:ascii="Arial Narrow" w:eastAsia="Calibri" w:hAnsi="Arial Narrow"/>
                <w:b/>
                <w:sz w:val="20"/>
                <w:szCs w:val="20"/>
              </w:rPr>
              <w:t>0.12</w:t>
            </w:r>
          </w:p>
          <w:p w:rsidR="00741AF0" w:rsidRPr="00417B8E" w:rsidRDefault="00741AF0" w:rsidP="00687778">
            <w:pPr>
              <w:keepNext/>
              <w:keepLines/>
              <w:widowControl/>
              <w:jc w:val="center"/>
              <w:rPr>
                <w:rFonts w:ascii="Arial Narrow" w:eastAsia="Calibri" w:hAnsi="Arial Narrow"/>
                <w:b/>
                <w:sz w:val="20"/>
                <w:szCs w:val="20"/>
              </w:rPr>
            </w:pPr>
            <w:r w:rsidRPr="00417B8E">
              <w:rPr>
                <w:rFonts w:ascii="Arial Narrow" w:eastAsia="Calibri" w:hAnsi="Arial Narrow"/>
                <w:b/>
                <w:sz w:val="20"/>
                <w:szCs w:val="20"/>
              </w:rPr>
              <w:t>(0.08, 0.15)</w:t>
            </w:r>
          </w:p>
        </w:tc>
      </w:tr>
      <w:tr w:rsidR="00741AF0" w:rsidRPr="006615BC" w:rsidTr="00863879">
        <w:trPr>
          <w:trHeight w:val="453"/>
          <w:jc w:val="center"/>
        </w:trPr>
        <w:tc>
          <w:tcPr>
            <w:tcW w:w="653"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left"/>
              <w:rPr>
                <w:rFonts w:ascii="Arial Narrow" w:eastAsia="Calibri" w:hAnsi="Arial Narrow"/>
                <w:sz w:val="20"/>
                <w:szCs w:val="20"/>
              </w:rPr>
            </w:pPr>
            <w:r w:rsidRPr="006615BC">
              <w:rPr>
                <w:rFonts w:ascii="Arial Narrow" w:eastAsia="Calibri" w:hAnsi="Arial Narrow"/>
                <w:sz w:val="20"/>
                <w:szCs w:val="20"/>
              </w:rPr>
              <w:t>Blood bilirubin increased</w:t>
            </w:r>
          </w:p>
        </w:tc>
        <w:tc>
          <w:tcPr>
            <w:tcW w:w="534"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19 (5.1%)</w:t>
            </w:r>
          </w:p>
        </w:tc>
        <w:tc>
          <w:tcPr>
            <w:tcW w:w="379"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0</w:t>
            </w:r>
          </w:p>
        </w:tc>
        <w:tc>
          <w:tcPr>
            <w:tcW w:w="625"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19 (5.1%)</w:t>
            </w:r>
          </w:p>
        </w:tc>
        <w:tc>
          <w:tcPr>
            <w:tcW w:w="308"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2 (1.0%)</w:t>
            </w:r>
          </w:p>
        </w:tc>
        <w:tc>
          <w:tcPr>
            <w:tcW w:w="307"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0</w:t>
            </w:r>
          </w:p>
        </w:tc>
        <w:tc>
          <w:tcPr>
            <w:tcW w:w="625"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2 (1.0%)</w:t>
            </w:r>
          </w:p>
        </w:tc>
        <w:tc>
          <w:tcPr>
            <w:tcW w:w="704" w:type="pct"/>
            <w:shd w:val="clear" w:color="auto" w:fill="auto"/>
            <w:tcMar>
              <w:top w:w="0" w:type="dxa"/>
              <w:left w:w="108" w:type="dxa"/>
              <w:bottom w:w="0" w:type="dxa"/>
              <w:right w:w="108" w:type="dxa"/>
            </w:tcMar>
            <w:vAlign w:val="center"/>
          </w:tcPr>
          <w:p w:rsidR="00741AF0" w:rsidRPr="00741AF0" w:rsidRDefault="00741AF0" w:rsidP="00687778">
            <w:pPr>
              <w:keepNext/>
              <w:keepLines/>
              <w:widowControl/>
              <w:jc w:val="center"/>
              <w:rPr>
                <w:rFonts w:ascii="Arial Narrow" w:eastAsia="Calibri" w:hAnsi="Arial Narrow"/>
                <w:b/>
                <w:sz w:val="20"/>
                <w:szCs w:val="20"/>
              </w:rPr>
            </w:pPr>
            <w:r w:rsidRPr="00741AF0">
              <w:rPr>
                <w:rFonts w:ascii="Arial Narrow" w:eastAsia="Calibri" w:hAnsi="Arial Narrow"/>
                <w:b/>
                <w:sz w:val="20"/>
                <w:szCs w:val="20"/>
              </w:rPr>
              <w:t>4.90</w:t>
            </w:r>
          </w:p>
          <w:p w:rsidR="00741AF0" w:rsidRPr="00741AF0" w:rsidRDefault="00741AF0" w:rsidP="00687778">
            <w:pPr>
              <w:keepNext/>
              <w:keepLines/>
              <w:widowControl/>
              <w:jc w:val="center"/>
              <w:rPr>
                <w:rFonts w:ascii="Arial Narrow" w:eastAsia="Calibri" w:hAnsi="Arial Narrow"/>
                <w:b/>
                <w:sz w:val="20"/>
                <w:szCs w:val="20"/>
              </w:rPr>
            </w:pPr>
            <w:r w:rsidRPr="00741AF0">
              <w:rPr>
                <w:rFonts w:ascii="Arial Narrow" w:eastAsia="Calibri" w:hAnsi="Arial Narrow"/>
                <w:b/>
                <w:sz w:val="20"/>
                <w:szCs w:val="20"/>
              </w:rPr>
              <w:t>(1.15, 20.83)</w:t>
            </w:r>
          </w:p>
        </w:tc>
        <w:tc>
          <w:tcPr>
            <w:tcW w:w="866" w:type="pct"/>
            <w:shd w:val="clear" w:color="auto" w:fill="auto"/>
            <w:tcMar>
              <w:top w:w="0" w:type="dxa"/>
              <w:left w:w="108" w:type="dxa"/>
              <w:bottom w:w="0" w:type="dxa"/>
              <w:right w:w="108" w:type="dxa"/>
            </w:tcMar>
            <w:vAlign w:val="center"/>
          </w:tcPr>
          <w:p w:rsidR="00741AF0" w:rsidRPr="00417B8E" w:rsidRDefault="00741AF0" w:rsidP="00687778">
            <w:pPr>
              <w:keepNext/>
              <w:keepLines/>
              <w:widowControl/>
              <w:jc w:val="center"/>
              <w:rPr>
                <w:rFonts w:ascii="Arial Narrow" w:eastAsia="Calibri" w:hAnsi="Arial Narrow"/>
                <w:b/>
                <w:sz w:val="20"/>
                <w:szCs w:val="20"/>
              </w:rPr>
            </w:pPr>
            <w:r w:rsidRPr="00417B8E">
              <w:rPr>
                <w:rFonts w:ascii="Arial Narrow" w:eastAsia="Calibri" w:hAnsi="Arial Narrow"/>
                <w:b/>
                <w:sz w:val="20"/>
                <w:szCs w:val="20"/>
              </w:rPr>
              <w:t>0.04</w:t>
            </w:r>
          </w:p>
          <w:p w:rsidR="00741AF0" w:rsidRPr="00417B8E" w:rsidRDefault="00741AF0" w:rsidP="00687778">
            <w:pPr>
              <w:keepNext/>
              <w:keepLines/>
              <w:widowControl/>
              <w:jc w:val="center"/>
              <w:rPr>
                <w:rFonts w:ascii="Arial Narrow" w:eastAsia="Calibri" w:hAnsi="Arial Narrow"/>
                <w:b/>
                <w:sz w:val="20"/>
                <w:szCs w:val="20"/>
              </w:rPr>
            </w:pPr>
            <w:r w:rsidRPr="00417B8E">
              <w:rPr>
                <w:rFonts w:ascii="Arial Narrow" w:eastAsia="Calibri" w:hAnsi="Arial Narrow"/>
                <w:b/>
                <w:sz w:val="20"/>
                <w:szCs w:val="20"/>
              </w:rPr>
              <w:t>(0.01, 0.07)</w:t>
            </w:r>
          </w:p>
        </w:tc>
      </w:tr>
      <w:tr w:rsidR="00741AF0" w:rsidRPr="006615BC" w:rsidTr="00863879">
        <w:trPr>
          <w:trHeight w:val="460"/>
          <w:jc w:val="center"/>
        </w:trPr>
        <w:tc>
          <w:tcPr>
            <w:tcW w:w="653"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left"/>
              <w:rPr>
                <w:rFonts w:ascii="Arial Narrow" w:eastAsia="Calibri" w:hAnsi="Arial Narrow"/>
                <w:sz w:val="20"/>
                <w:szCs w:val="20"/>
              </w:rPr>
            </w:pPr>
            <w:r w:rsidRPr="006615BC">
              <w:rPr>
                <w:rFonts w:ascii="Arial Narrow" w:eastAsia="Calibri" w:hAnsi="Arial Narrow"/>
                <w:sz w:val="20"/>
                <w:szCs w:val="20"/>
              </w:rPr>
              <w:t>AST increased</w:t>
            </w:r>
          </w:p>
        </w:tc>
        <w:tc>
          <w:tcPr>
            <w:tcW w:w="534"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17 (4.5%)</w:t>
            </w:r>
          </w:p>
        </w:tc>
        <w:tc>
          <w:tcPr>
            <w:tcW w:w="379"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3 (0.8%)</w:t>
            </w:r>
          </w:p>
        </w:tc>
        <w:tc>
          <w:tcPr>
            <w:tcW w:w="625" w:type="pct"/>
            <w:shd w:val="clear" w:color="auto" w:fill="auto"/>
            <w:tcMar>
              <w:top w:w="0" w:type="dxa"/>
              <w:left w:w="108" w:type="dxa"/>
              <w:bottom w:w="0" w:type="dxa"/>
              <w:right w:w="108" w:type="dxa"/>
            </w:tcMar>
            <w:vAlign w:val="center"/>
            <w:hideMark/>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20 (5.3%)</w:t>
            </w:r>
          </w:p>
        </w:tc>
        <w:tc>
          <w:tcPr>
            <w:tcW w:w="308"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9 (4.7%)</w:t>
            </w:r>
          </w:p>
        </w:tc>
        <w:tc>
          <w:tcPr>
            <w:tcW w:w="307"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1 (0.5%)</w:t>
            </w:r>
          </w:p>
        </w:tc>
        <w:tc>
          <w:tcPr>
            <w:tcW w:w="625" w:type="pct"/>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10 (5.2%)</w:t>
            </w:r>
          </w:p>
        </w:tc>
        <w:tc>
          <w:tcPr>
            <w:tcW w:w="704" w:type="pct"/>
            <w:shd w:val="clear" w:color="auto" w:fill="auto"/>
            <w:tcMar>
              <w:top w:w="0" w:type="dxa"/>
              <w:left w:w="108" w:type="dxa"/>
              <w:bottom w:w="0" w:type="dxa"/>
              <w:right w:w="108" w:type="dxa"/>
            </w:tcMar>
            <w:vAlign w:val="center"/>
          </w:tcPr>
          <w:p w:rsidR="00741AF0" w:rsidRPr="00741AF0" w:rsidRDefault="00741AF0" w:rsidP="00687778">
            <w:pPr>
              <w:keepNext/>
              <w:keepLines/>
              <w:widowControl/>
              <w:jc w:val="center"/>
              <w:rPr>
                <w:rFonts w:ascii="Arial Narrow" w:eastAsia="Calibri" w:hAnsi="Arial Narrow"/>
                <w:sz w:val="20"/>
                <w:szCs w:val="20"/>
              </w:rPr>
            </w:pPr>
            <w:r w:rsidRPr="00741AF0">
              <w:rPr>
                <w:rFonts w:ascii="Arial Narrow" w:eastAsia="Calibri" w:hAnsi="Arial Narrow"/>
                <w:sz w:val="20"/>
                <w:szCs w:val="20"/>
              </w:rPr>
              <w:t>1.03</w:t>
            </w:r>
          </w:p>
          <w:p w:rsidR="00741AF0" w:rsidRPr="00741AF0" w:rsidRDefault="00741AF0" w:rsidP="00687778">
            <w:pPr>
              <w:keepNext/>
              <w:keepLines/>
              <w:widowControl/>
              <w:jc w:val="center"/>
              <w:rPr>
                <w:rFonts w:ascii="Arial Narrow" w:eastAsia="Calibri" w:hAnsi="Arial Narrow"/>
                <w:sz w:val="20"/>
                <w:szCs w:val="20"/>
              </w:rPr>
            </w:pPr>
            <w:r w:rsidRPr="00741AF0">
              <w:rPr>
                <w:rFonts w:ascii="Arial Narrow" w:eastAsia="Calibri" w:hAnsi="Arial Narrow"/>
                <w:sz w:val="20"/>
                <w:szCs w:val="20"/>
              </w:rPr>
              <w:t>(0.49, 2.16)</w:t>
            </w:r>
          </w:p>
        </w:tc>
        <w:tc>
          <w:tcPr>
            <w:tcW w:w="866" w:type="pct"/>
            <w:shd w:val="clear" w:color="auto" w:fill="auto"/>
            <w:tcMar>
              <w:top w:w="0" w:type="dxa"/>
              <w:left w:w="108" w:type="dxa"/>
              <w:bottom w:w="0" w:type="dxa"/>
              <w:right w:w="108" w:type="dxa"/>
            </w:tcMar>
            <w:vAlign w:val="center"/>
          </w:tcPr>
          <w:p w:rsidR="00741AF0" w:rsidRPr="006615BC" w:rsidRDefault="00741AF0" w:rsidP="00687778">
            <w:pPr>
              <w:keepNext/>
              <w:keepLines/>
              <w:widowControl/>
              <w:jc w:val="center"/>
              <w:rPr>
                <w:rFonts w:ascii="Arial Narrow" w:eastAsia="Calibri" w:hAnsi="Arial Narrow"/>
                <w:sz w:val="20"/>
                <w:szCs w:val="20"/>
              </w:rPr>
            </w:pPr>
            <w:r w:rsidRPr="006615BC">
              <w:rPr>
                <w:rFonts w:ascii="Arial Narrow" w:eastAsia="Calibri" w:hAnsi="Arial Narrow"/>
                <w:sz w:val="20"/>
                <w:szCs w:val="20"/>
              </w:rPr>
              <w:t>0.00</w:t>
            </w:r>
          </w:p>
          <w:p w:rsidR="00741AF0" w:rsidRPr="006615BC" w:rsidRDefault="00741AF0" w:rsidP="00687778">
            <w:pPr>
              <w:keepNext/>
              <w:keepLines/>
              <w:widowControl/>
              <w:jc w:val="center"/>
              <w:rPr>
                <w:rFonts w:ascii="Arial Narrow" w:eastAsia="Calibri" w:hAnsi="Arial Narrow"/>
                <w:sz w:val="20"/>
                <w:szCs w:val="20"/>
              </w:rPr>
            </w:pPr>
            <w:r>
              <w:rPr>
                <w:rFonts w:ascii="Arial Narrow" w:eastAsia="Calibri" w:hAnsi="Arial Narrow"/>
                <w:sz w:val="20"/>
                <w:szCs w:val="20"/>
              </w:rPr>
              <w:t>(</w:t>
            </w:r>
            <w:r w:rsidRPr="006615BC">
              <w:rPr>
                <w:rFonts w:ascii="Arial Narrow" w:eastAsia="Calibri" w:hAnsi="Arial Narrow"/>
                <w:sz w:val="20"/>
                <w:szCs w:val="20"/>
              </w:rPr>
              <w:t>-0.04, 0.04</w:t>
            </w:r>
            <w:r>
              <w:rPr>
                <w:rFonts w:ascii="Arial Narrow" w:eastAsia="Calibri" w:hAnsi="Arial Narrow"/>
                <w:sz w:val="20"/>
                <w:szCs w:val="20"/>
              </w:rPr>
              <w:t>)</w:t>
            </w:r>
          </w:p>
        </w:tc>
      </w:tr>
    </w:tbl>
    <w:p w:rsidR="00741AF0" w:rsidRPr="00C81586" w:rsidRDefault="00741AF0" w:rsidP="00687778">
      <w:pPr>
        <w:pStyle w:val="TableFooter"/>
        <w:widowControl/>
        <w:rPr>
          <w:rFonts w:eastAsia="Calibri"/>
        </w:rPr>
      </w:pPr>
      <w:r w:rsidRPr="00C81586">
        <w:rPr>
          <w:rFonts w:eastAsia="Calibri"/>
        </w:rPr>
        <w:t xml:space="preserve">Abbreviations: </w:t>
      </w:r>
      <w:r>
        <w:rPr>
          <w:rFonts w:eastAsia="Calibri"/>
        </w:rPr>
        <w:t xml:space="preserve">BSC = best supportive care; </w:t>
      </w:r>
      <w:r w:rsidRPr="00C81586">
        <w:rPr>
          <w:rFonts w:eastAsia="Calibri"/>
        </w:rPr>
        <w:t>CI = confidence interval;</w:t>
      </w:r>
      <w:r>
        <w:rPr>
          <w:rFonts w:eastAsia="Calibri"/>
        </w:rPr>
        <w:t xml:space="preserve"> CTCAE =</w:t>
      </w:r>
      <w:r w:rsidRPr="00C81586">
        <w:rPr>
          <w:rFonts w:eastAsia="Calibri"/>
        </w:rPr>
        <w:t xml:space="preserve"> </w:t>
      </w:r>
      <w:r w:rsidRPr="00741AF0">
        <w:rPr>
          <w:rFonts w:eastAsia="Calibri"/>
        </w:rPr>
        <w:t>Common Terminology Criteria Adverse Event</w:t>
      </w:r>
      <w:r>
        <w:rPr>
          <w:rFonts w:eastAsia="Calibri"/>
        </w:rPr>
        <w:t xml:space="preserve">; </w:t>
      </w:r>
      <w:r w:rsidRPr="00C81586">
        <w:rPr>
          <w:rFonts w:eastAsia="Calibri"/>
        </w:rPr>
        <w:t>HFSR= hand–foot skin reaction; n = number of participants reporting data; N = total participants in group; RD = risk difference; RR = relative risk; TEAE</w:t>
      </w:r>
      <w:r>
        <w:rPr>
          <w:rFonts w:eastAsia="Calibri"/>
        </w:rPr>
        <w:t xml:space="preserve"> </w:t>
      </w:r>
      <w:r w:rsidRPr="00C81586">
        <w:rPr>
          <w:rFonts w:eastAsia="Calibri"/>
        </w:rPr>
        <w:t xml:space="preserve">= treatment-emergent adverse events. </w:t>
      </w:r>
    </w:p>
    <w:p w:rsidR="00741AF0" w:rsidRPr="00774F17" w:rsidRDefault="00741AF0" w:rsidP="00687778">
      <w:pPr>
        <w:widowControl/>
        <w:rPr>
          <w:rFonts w:ascii="Arial Narrow" w:hAnsi="Arial Narrow"/>
          <w:sz w:val="18"/>
        </w:rPr>
      </w:pPr>
      <w:r w:rsidRPr="00774F17">
        <w:rPr>
          <w:rFonts w:ascii="Arial Narrow" w:hAnsi="Arial Narrow"/>
          <w:sz w:val="18"/>
        </w:rPr>
        <w:t>Source: Table 2-37, p. 104 of the resubmission.</w:t>
      </w:r>
    </w:p>
    <w:p w:rsidR="00741AF0" w:rsidRDefault="00741AF0" w:rsidP="00687778">
      <w:pPr>
        <w:pStyle w:val="TableFooter"/>
        <w:widowControl/>
      </w:pPr>
      <w:r>
        <w:t>Note: Bold text indicates a statistically significant value.</w:t>
      </w:r>
    </w:p>
    <w:p w:rsidR="00A02D9C" w:rsidRPr="0058730C" w:rsidRDefault="00A02D9C" w:rsidP="00687778">
      <w:pPr>
        <w:pStyle w:val="TableFooter"/>
        <w:widowControl/>
      </w:pPr>
    </w:p>
    <w:p w:rsidR="004151CF" w:rsidRPr="00D2042D" w:rsidRDefault="007F1017" w:rsidP="00067969">
      <w:pPr>
        <w:pStyle w:val="Heading2"/>
      </w:pPr>
      <w:bookmarkStart w:id="11" w:name="_Toc523405676"/>
      <w:r w:rsidRPr="00D2042D">
        <w:lastRenderedPageBreak/>
        <w:t>Benefits/harms</w:t>
      </w:r>
      <w:bookmarkEnd w:id="11"/>
    </w:p>
    <w:p w:rsidR="00B20FEC" w:rsidRPr="00D2042D" w:rsidRDefault="00B20FEC" w:rsidP="00687778">
      <w:pPr>
        <w:pStyle w:val="ListParagraph"/>
        <w:widowControl/>
        <w:numPr>
          <w:ilvl w:val="1"/>
          <w:numId w:val="3"/>
        </w:numPr>
      </w:pPr>
      <w:r w:rsidRPr="00D2042D">
        <w:t xml:space="preserve">A summary of the comparative benefits and harms for regorafenib versus BSC is presented in the table below. </w:t>
      </w:r>
    </w:p>
    <w:p w:rsidR="00B20FEC" w:rsidRPr="00D2042D" w:rsidRDefault="00B20FEC" w:rsidP="00687778">
      <w:pPr>
        <w:widowControl/>
        <w:rPr>
          <w:rStyle w:val="CommentReference"/>
        </w:rPr>
      </w:pPr>
      <w:r w:rsidRPr="00D2042D">
        <w:rPr>
          <w:rStyle w:val="CommentReference"/>
        </w:rPr>
        <w:t xml:space="preserve">Table </w:t>
      </w:r>
      <w:r w:rsidR="00304DC0">
        <w:rPr>
          <w:rStyle w:val="CommentReference"/>
        </w:rPr>
        <w:t>9:</w:t>
      </w:r>
      <w:r w:rsidRPr="00D2042D">
        <w:rPr>
          <w:rStyle w:val="CommentReference"/>
        </w:rPr>
        <w:t xml:space="preserve"> Summary of comparative benefits and harms for regorafenib and best supportive care (BSC)</w:t>
      </w:r>
      <w:r w:rsidR="00791481">
        <w:rPr>
          <w:rStyle w:val="CommentReference"/>
        </w:rPr>
        <w:t xml:space="preserve"> - RESORCE</w:t>
      </w:r>
    </w:p>
    <w:tbl>
      <w:tblPr>
        <w:tblW w:w="5000" w:type="pct"/>
        <w:tblLayout w:type="fixed"/>
        <w:tblCellMar>
          <w:left w:w="28" w:type="dxa"/>
          <w:right w:w="28" w:type="dxa"/>
        </w:tblCellMar>
        <w:tblLook w:val="04A0" w:firstRow="1" w:lastRow="0" w:firstColumn="1" w:lastColumn="0" w:noHBand="0" w:noVBand="1"/>
      </w:tblPr>
      <w:tblGrid>
        <w:gridCol w:w="2420"/>
        <w:gridCol w:w="1266"/>
        <w:gridCol w:w="1127"/>
        <w:gridCol w:w="1125"/>
        <w:gridCol w:w="433"/>
        <w:gridCol w:w="693"/>
        <w:gridCol w:w="844"/>
        <w:gridCol w:w="1109"/>
      </w:tblGrid>
      <w:tr w:rsidR="00EB0CB0" w:rsidRPr="00D2042D" w:rsidTr="00EB0CB0">
        <w:tc>
          <w:tcPr>
            <w:tcW w:w="5000" w:type="pct"/>
            <w:gridSpan w:val="8"/>
            <w:tcBorders>
              <w:top w:val="double" w:sz="4" w:space="0" w:color="auto"/>
              <w:left w:val="single" w:sz="4" w:space="0" w:color="auto"/>
              <w:bottom w:val="single" w:sz="4" w:space="0" w:color="auto"/>
              <w:right w:val="single" w:sz="4" w:space="0" w:color="auto"/>
            </w:tcBorders>
          </w:tcPr>
          <w:p w:rsidR="00EB0CB0" w:rsidRPr="00477CAE" w:rsidRDefault="00791481" w:rsidP="00687778">
            <w:pPr>
              <w:widowControl/>
              <w:rPr>
                <w:rFonts w:ascii="Arial Narrow" w:hAnsi="Arial Narrow"/>
                <w:b/>
                <w:sz w:val="20"/>
                <w:szCs w:val="18"/>
              </w:rPr>
            </w:pPr>
            <w:r>
              <w:rPr>
                <w:rFonts w:ascii="Arial Narrow" w:hAnsi="Arial Narrow"/>
                <w:b/>
                <w:sz w:val="20"/>
                <w:szCs w:val="18"/>
              </w:rPr>
              <w:t>Benefits</w:t>
            </w:r>
          </w:p>
        </w:tc>
      </w:tr>
      <w:tr w:rsidR="00791481" w:rsidRPr="00B20FEC" w:rsidTr="00713AF5">
        <w:tc>
          <w:tcPr>
            <w:tcW w:w="1342" w:type="pct"/>
            <w:tcBorders>
              <w:top w:val="single" w:sz="4" w:space="0" w:color="auto"/>
              <w:left w:val="single" w:sz="4" w:space="0" w:color="auto"/>
              <w:bottom w:val="single" w:sz="4" w:space="0" w:color="auto"/>
              <w:right w:val="single" w:sz="4" w:space="0" w:color="auto"/>
            </w:tcBorders>
            <w:shd w:val="clear" w:color="auto" w:fill="auto"/>
          </w:tcPr>
          <w:p w:rsidR="00791481" w:rsidRPr="00791481" w:rsidRDefault="00791481" w:rsidP="00687778">
            <w:pPr>
              <w:widowControl/>
              <w:jc w:val="center"/>
              <w:rPr>
                <w:rFonts w:ascii="Arial Narrow" w:hAnsi="Arial Narrow"/>
                <w:sz w:val="20"/>
                <w:szCs w:val="20"/>
              </w:rPr>
            </w:pPr>
            <w:r w:rsidRPr="00791481">
              <w:rPr>
                <w:rFonts w:ascii="Arial Narrow" w:hAnsi="Arial Narrow"/>
                <w:b/>
                <w:sz w:val="20"/>
                <w:szCs w:val="20"/>
              </w:rPr>
              <w:t>Event:</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791481" w:rsidRPr="00791481" w:rsidRDefault="00791481" w:rsidP="00687778">
            <w:pPr>
              <w:widowControl/>
              <w:jc w:val="center"/>
              <w:rPr>
                <w:rFonts w:ascii="Arial Narrow" w:hAnsi="Arial Narrow"/>
                <w:b/>
                <w:sz w:val="20"/>
                <w:szCs w:val="20"/>
              </w:rPr>
            </w:pPr>
            <w:r w:rsidRPr="00791481">
              <w:rPr>
                <w:rFonts w:ascii="Arial Narrow" w:hAnsi="Arial Narrow"/>
                <w:b/>
                <w:sz w:val="20"/>
                <w:szCs w:val="20"/>
              </w:rPr>
              <w:t>Regorafenib, N=379</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91481" w:rsidRPr="00791481" w:rsidRDefault="00791481" w:rsidP="00687778">
            <w:pPr>
              <w:widowControl/>
              <w:jc w:val="center"/>
              <w:rPr>
                <w:rFonts w:ascii="Arial Narrow" w:hAnsi="Arial Narrow"/>
                <w:b/>
                <w:sz w:val="20"/>
                <w:szCs w:val="20"/>
              </w:rPr>
            </w:pPr>
            <w:r w:rsidRPr="00791481">
              <w:rPr>
                <w:rFonts w:ascii="Arial Narrow" w:hAnsi="Arial Narrow"/>
                <w:b/>
                <w:sz w:val="20"/>
                <w:szCs w:val="20"/>
              </w:rPr>
              <w:t>BSC, N=194</w:t>
            </w:r>
          </w:p>
        </w:tc>
        <w:tc>
          <w:tcPr>
            <w:tcW w:w="864" w:type="pct"/>
            <w:gridSpan w:val="2"/>
            <w:tcBorders>
              <w:top w:val="single" w:sz="4" w:space="0" w:color="auto"/>
              <w:left w:val="single" w:sz="4" w:space="0" w:color="auto"/>
              <w:bottom w:val="single" w:sz="4" w:space="0" w:color="auto"/>
              <w:right w:val="single" w:sz="4" w:space="0" w:color="auto"/>
            </w:tcBorders>
            <w:shd w:val="clear" w:color="auto" w:fill="auto"/>
          </w:tcPr>
          <w:p w:rsidR="00791481" w:rsidRPr="00791481" w:rsidRDefault="00791481" w:rsidP="00687778">
            <w:pPr>
              <w:widowControl/>
              <w:jc w:val="center"/>
              <w:rPr>
                <w:rFonts w:ascii="Arial Narrow" w:hAnsi="Arial Narrow"/>
                <w:b/>
                <w:sz w:val="20"/>
                <w:szCs w:val="20"/>
              </w:rPr>
            </w:pPr>
            <w:r w:rsidRPr="00791481">
              <w:rPr>
                <w:rFonts w:ascii="Arial Narrow" w:hAnsi="Arial Narrow"/>
                <w:b/>
                <w:sz w:val="20"/>
                <w:szCs w:val="20"/>
              </w:rPr>
              <w:t>Absolute difference</w:t>
            </w:r>
          </w:p>
        </w:tc>
        <w:tc>
          <w:tcPr>
            <w:tcW w:w="1467" w:type="pct"/>
            <w:gridSpan w:val="3"/>
            <w:tcBorders>
              <w:top w:val="single" w:sz="4" w:space="0" w:color="auto"/>
              <w:left w:val="single" w:sz="4" w:space="0" w:color="auto"/>
              <w:bottom w:val="single" w:sz="4" w:space="0" w:color="auto"/>
              <w:right w:val="single" w:sz="4" w:space="0" w:color="auto"/>
            </w:tcBorders>
          </w:tcPr>
          <w:p w:rsidR="00791481" w:rsidRPr="00791481" w:rsidRDefault="00791481" w:rsidP="00687778">
            <w:pPr>
              <w:widowControl/>
              <w:jc w:val="center"/>
              <w:rPr>
                <w:rFonts w:ascii="Arial Narrow" w:hAnsi="Arial Narrow"/>
                <w:b/>
                <w:sz w:val="20"/>
                <w:szCs w:val="20"/>
              </w:rPr>
            </w:pPr>
            <w:r w:rsidRPr="00791481">
              <w:rPr>
                <w:rFonts w:ascii="Arial Narrow" w:hAnsi="Arial Narrow"/>
                <w:b/>
                <w:sz w:val="20"/>
                <w:szCs w:val="20"/>
              </w:rPr>
              <w:t>HR (95% CI)</w:t>
            </w:r>
          </w:p>
        </w:tc>
      </w:tr>
      <w:tr w:rsidR="00B74B15" w:rsidRPr="00B20FEC" w:rsidTr="00B74B15">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B74B15" w:rsidRPr="00791481" w:rsidRDefault="006D7311" w:rsidP="00687778">
            <w:pPr>
              <w:widowControl/>
              <w:jc w:val="left"/>
              <w:rPr>
                <w:rFonts w:ascii="Arial Narrow" w:hAnsi="Arial Narrow"/>
                <w:b/>
                <w:sz w:val="20"/>
                <w:szCs w:val="20"/>
              </w:rPr>
            </w:pPr>
            <w:r>
              <w:rPr>
                <w:rFonts w:ascii="Arial Narrow" w:hAnsi="Arial Narrow"/>
                <w:b/>
                <w:sz w:val="20"/>
                <w:szCs w:val="20"/>
              </w:rPr>
              <w:t>Progression</w:t>
            </w:r>
          </w:p>
        </w:tc>
      </w:tr>
      <w:tr w:rsidR="004116B4" w:rsidRPr="00B20FEC" w:rsidTr="00744707">
        <w:tc>
          <w:tcPr>
            <w:tcW w:w="1342" w:type="pct"/>
            <w:tcBorders>
              <w:top w:val="single" w:sz="4" w:space="0" w:color="auto"/>
              <w:left w:val="single" w:sz="4" w:space="0" w:color="auto"/>
              <w:bottom w:val="single" w:sz="4" w:space="0" w:color="auto"/>
              <w:right w:val="single" w:sz="4" w:space="0" w:color="auto"/>
            </w:tcBorders>
            <w:shd w:val="clear" w:color="auto" w:fill="auto"/>
          </w:tcPr>
          <w:p w:rsidR="004116B4" w:rsidRPr="00791481" w:rsidRDefault="004116B4" w:rsidP="00687778">
            <w:pPr>
              <w:widowControl/>
              <w:jc w:val="left"/>
              <w:rPr>
                <w:rFonts w:ascii="Arial Narrow" w:hAnsi="Arial Narrow"/>
                <w:sz w:val="20"/>
                <w:szCs w:val="20"/>
              </w:rPr>
            </w:pPr>
            <w:r>
              <w:rPr>
                <w:rFonts w:ascii="Arial Narrow" w:hAnsi="Arial Narrow"/>
                <w:sz w:val="20"/>
                <w:szCs w:val="20"/>
              </w:rPr>
              <w:t>P</w:t>
            </w:r>
            <w:r w:rsidR="00962D70">
              <w:rPr>
                <w:rFonts w:ascii="Arial Narrow" w:hAnsi="Arial Narrow"/>
                <w:sz w:val="20"/>
                <w:szCs w:val="20"/>
              </w:rPr>
              <w:t>FS at 6 months</w:t>
            </w:r>
            <w:r>
              <w:rPr>
                <w:rFonts w:ascii="Arial Narrow" w:hAnsi="Arial Narrow"/>
                <w:sz w:val="20"/>
                <w:szCs w:val="20"/>
              </w:rPr>
              <w:t xml:space="preserve"> (%)</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116B4" w:rsidRPr="00962D70" w:rsidRDefault="00962D70" w:rsidP="00687778">
            <w:pPr>
              <w:widowControl/>
              <w:jc w:val="center"/>
              <w:rPr>
                <w:rFonts w:ascii="Arial Narrow" w:hAnsi="Arial Narrow"/>
                <w:sz w:val="20"/>
                <w:szCs w:val="20"/>
              </w:rPr>
            </w:pPr>
            <w:r w:rsidRPr="00962D70">
              <w:rPr>
                <w:rFonts w:ascii="Arial Narrow" w:hAnsi="Arial Narrow"/>
                <w:sz w:val="20"/>
                <w:szCs w:val="20"/>
              </w:rPr>
              <w:t>28.0%</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4116B4" w:rsidRPr="00962D70" w:rsidRDefault="00962D70" w:rsidP="00687778">
            <w:pPr>
              <w:widowControl/>
              <w:jc w:val="center"/>
              <w:rPr>
                <w:rFonts w:ascii="Arial Narrow" w:hAnsi="Arial Narrow"/>
                <w:sz w:val="20"/>
                <w:szCs w:val="20"/>
              </w:rPr>
            </w:pPr>
            <w:r w:rsidRPr="00962D70">
              <w:rPr>
                <w:rFonts w:ascii="Arial Narrow" w:hAnsi="Arial Narrow"/>
                <w:sz w:val="20"/>
                <w:szCs w:val="20"/>
              </w:rPr>
              <w:t>8.5%</w:t>
            </w:r>
          </w:p>
        </w:tc>
        <w:tc>
          <w:tcPr>
            <w:tcW w:w="86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4116B4" w:rsidRPr="00962D70" w:rsidRDefault="00962D70" w:rsidP="00687778">
            <w:pPr>
              <w:widowControl/>
              <w:jc w:val="center"/>
              <w:rPr>
                <w:rFonts w:ascii="Arial Narrow" w:hAnsi="Arial Narrow"/>
                <w:i/>
                <w:sz w:val="20"/>
                <w:szCs w:val="20"/>
              </w:rPr>
            </w:pPr>
            <w:r w:rsidRPr="00962D70">
              <w:rPr>
                <w:rFonts w:ascii="Arial Narrow" w:hAnsi="Arial Narrow"/>
                <w:i/>
                <w:sz w:val="20"/>
                <w:szCs w:val="20"/>
              </w:rPr>
              <w:t>19.5%</w:t>
            </w:r>
          </w:p>
        </w:tc>
        <w:tc>
          <w:tcPr>
            <w:tcW w:w="1467" w:type="pct"/>
            <w:gridSpan w:val="3"/>
            <w:tcBorders>
              <w:top w:val="single" w:sz="4" w:space="0" w:color="auto"/>
              <w:left w:val="single" w:sz="4" w:space="0" w:color="auto"/>
              <w:right w:val="single" w:sz="4" w:space="0" w:color="auto"/>
            </w:tcBorders>
            <w:shd w:val="clear" w:color="auto" w:fill="auto"/>
          </w:tcPr>
          <w:p w:rsidR="004116B4" w:rsidRPr="00B74B15" w:rsidRDefault="004116B4" w:rsidP="00687778">
            <w:pPr>
              <w:widowControl/>
              <w:jc w:val="center"/>
              <w:rPr>
                <w:rFonts w:ascii="Arial Narrow" w:hAnsi="Arial Narrow"/>
                <w:b/>
                <w:sz w:val="20"/>
                <w:szCs w:val="20"/>
              </w:rPr>
            </w:pPr>
            <w:r w:rsidRPr="00B74B15">
              <w:rPr>
                <w:rFonts w:ascii="Arial Narrow" w:hAnsi="Arial Narrow"/>
                <w:b/>
                <w:sz w:val="20"/>
                <w:szCs w:val="20"/>
              </w:rPr>
              <w:t>0.455 (0.372, 0.557)</w:t>
            </w:r>
          </w:p>
        </w:tc>
      </w:tr>
      <w:tr w:rsidR="004116B4" w:rsidRPr="00B20FEC" w:rsidTr="00744707">
        <w:tc>
          <w:tcPr>
            <w:tcW w:w="1342" w:type="pct"/>
            <w:tcBorders>
              <w:top w:val="single" w:sz="4" w:space="0" w:color="auto"/>
              <w:left w:val="single" w:sz="4" w:space="0" w:color="auto"/>
              <w:bottom w:val="single" w:sz="4" w:space="0" w:color="auto"/>
              <w:right w:val="single" w:sz="4" w:space="0" w:color="auto"/>
            </w:tcBorders>
            <w:shd w:val="clear" w:color="auto" w:fill="auto"/>
          </w:tcPr>
          <w:p w:rsidR="004116B4" w:rsidRDefault="004116B4" w:rsidP="00687778">
            <w:pPr>
              <w:widowControl/>
              <w:jc w:val="left"/>
              <w:rPr>
                <w:rFonts w:ascii="Arial Narrow" w:hAnsi="Arial Narrow"/>
                <w:sz w:val="20"/>
                <w:szCs w:val="20"/>
              </w:rPr>
            </w:pPr>
            <w:r>
              <w:rPr>
                <w:rFonts w:ascii="Arial Narrow" w:hAnsi="Arial Narrow"/>
                <w:sz w:val="20"/>
                <w:szCs w:val="20"/>
              </w:rPr>
              <w:t>P</w:t>
            </w:r>
            <w:r w:rsidR="00962D70">
              <w:rPr>
                <w:rFonts w:ascii="Arial Narrow" w:hAnsi="Arial Narrow"/>
                <w:sz w:val="20"/>
                <w:szCs w:val="20"/>
              </w:rPr>
              <w:t>FS</w:t>
            </w:r>
            <w:r>
              <w:rPr>
                <w:rFonts w:ascii="Arial Narrow" w:hAnsi="Arial Narrow"/>
                <w:sz w:val="20"/>
                <w:szCs w:val="20"/>
              </w:rPr>
              <w:t xml:space="preserve"> at 12</w:t>
            </w:r>
            <w:r w:rsidR="00962D70">
              <w:rPr>
                <w:rFonts w:ascii="Arial Narrow" w:hAnsi="Arial Narrow"/>
                <w:sz w:val="20"/>
                <w:szCs w:val="20"/>
              </w:rPr>
              <w:t xml:space="preserve"> months </w:t>
            </w:r>
            <w:r>
              <w:rPr>
                <w:rFonts w:ascii="Arial Narrow" w:hAnsi="Arial Narrow"/>
                <w:sz w:val="20"/>
                <w:szCs w:val="20"/>
              </w:rPr>
              <w:t>(%)</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116B4" w:rsidRPr="00962D70" w:rsidRDefault="00962D70" w:rsidP="00687778">
            <w:pPr>
              <w:widowControl/>
              <w:jc w:val="center"/>
              <w:rPr>
                <w:rFonts w:ascii="Arial Narrow" w:hAnsi="Arial Narrow"/>
                <w:sz w:val="20"/>
                <w:szCs w:val="20"/>
              </w:rPr>
            </w:pPr>
            <w:r w:rsidRPr="00962D70">
              <w:rPr>
                <w:rFonts w:ascii="Arial Narrow" w:hAnsi="Arial Narrow"/>
                <w:sz w:val="20"/>
                <w:szCs w:val="20"/>
              </w:rPr>
              <w:t>12.7%</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4116B4" w:rsidRPr="00962D70" w:rsidRDefault="00962D70" w:rsidP="00687778">
            <w:pPr>
              <w:widowControl/>
              <w:jc w:val="center"/>
              <w:rPr>
                <w:rFonts w:ascii="Arial Narrow" w:hAnsi="Arial Narrow"/>
                <w:sz w:val="20"/>
                <w:szCs w:val="20"/>
              </w:rPr>
            </w:pPr>
            <w:r w:rsidRPr="00962D70">
              <w:rPr>
                <w:rFonts w:ascii="Arial Narrow" w:hAnsi="Arial Narrow"/>
                <w:sz w:val="20"/>
                <w:szCs w:val="20"/>
              </w:rPr>
              <w:t>2.5%</w:t>
            </w:r>
          </w:p>
        </w:tc>
        <w:tc>
          <w:tcPr>
            <w:tcW w:w="86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4116B4" w:rsidRPr="00962D70" w:rsidRDefault="00962D70" w:rsidP="00687778">
            <w:pPr>
              <w:widowControl/>
              <w:jc w:val="center"/>
              <w:rPr>
                <w:rFonts w:ascii="Arial Narrow" w:hAnsi="Arial Narrow"/>
                <w:i/>
                <w:sz w:val="20"/>
                <w:szCs w:val="20"/>
              </w:rPr>
            </w:pPr>
            <w:r w:rsidRPr="00962D70">
              <w:rPr>
                <w:rFonts w:ascii="Arial Narrow" w:hAnsi="Arial Narrow"/>
                <w:i/>
                <w:sz w:val="20"/>
                <w:szCs w:val="20"/>
              </w:rPr>
              <w:t>10.2%</w:t>
            </w:r>
          </w:p>
        </w:tc>
        <w:tc>
          <w:tcPr>
            <w:tcW w:w="1467" w:type="pct"/>
            <w:gridSpan w:val="3"/>
            <w:tcBorders>
              <w:left w:val="single" w:sz="4" w:space="0" w:color="auto"/>
              <w:right w:val="single" w:sz="4" w:space="0" w:color="auto"/>
            </w:tcBorders>
            <w:shd w:val="clear" w:color="auto" w:fill="auto"/>
          </w:tcPr>
          <w:p w:rsidR="004116B4" w:rsidRPr="00B74B15" w:rsidRDefault="004116B4" w:rsidP="00687778">
            <w:pPr>
              <w:widowControl/>
              <w:jc w:val="center"/>
              <w:rPr>
                <w:rFonts w:ascii="Arial Narrow" w:hAnsi="Arial Narrow"/>
                <w:b/>
                <w:sz w:val="20"/>
                <w:szCs w:val="20"/>
              </w:rPr>
            </w:pPr>
          </w:p>
        </w:tc>
      </w:tr>
      <w:tr w:rsidR="004116B4" w:rsidRPr="00B20FEC" w:rsidTr="00744707">
        <w:tc>
          <w:tcPr>
            <w:tcW w:w="1342" w:type="pct"/>
            <w:tcBorders>
              <w:top w:val="single" w:sz="4" w:space="0" w:color="auto"/>
              <w:left w:val="single" w:sz="4" w:space="0" w:color="auto"/>
              <w:bottom w:val="single" w:sz="4" w:space="0" w:color="auto"/>
              <w:right w:val="single" w:sz="4" w:space="0" w:color="auto"/>
            </w:tcBorders>
            <w:shd w:val="clear" w:color="auto" w:fill="auto"/>
          </w:tcPr>
          <w:p w:rsidR="004116B4" w:rsidRDefault="004116B4" w:rsidP="00687778">
            <w:pPr>
              <w:widowControl/>
              <w:jc w:val="left"/>
              <w:rPr>
                <w:rFonts w:ascii="Arial Narrow" w:hAnsi="Arial Narrow"/>
                <w:sz w:val="20"/>
                <w:szCs w:val="20"/>
              </w:rPr>
            </w:pPr>
            <w:r>
              <w:rPr>
                <w:rFonts w:ascii="Arial Narrow" w:hAnsi="Arial Narrow"/>
                <w:sz w:val="20"/>
                <w:szCs w:val="20"/>
              </w:rPr>
              <w:t>P</w:t>
            </w:r>
            <w:r w:rsidR="00962D70">
              <w:rPr>
                <w:rFonts w:ascii="Arial Narrow" w:hAnsi="Arial Narrow"/>
                <w:sz w:val="20"/>
                <w:szCs w:val="20"/>
              </w:rPr>
              <w:t>FS</w:t>
            </w:r>
            <w:r>
              <w:rPr>
                <w:rFonts w:ascii="Arial Narrow" w:hAnsi="Arial Narrow"/>
                <w:sz w:val="20"/>
                <w:szCs w:val="20"/>
              </w:rPr>
              <w:t xml:space="preserve"> at 18</w:t>
            </w:r>
            <w:r w:rsidR="00962D70">
              <w:rPr>
                <w:rFonts w:ascii="Arial Narrow" w:hAnsi="Arial Narrow"/>
                <w:sz w:val="20"/>
                <w:szCs w:val="20"/>
              </w:rPr>
              <w:t xml:space="preserve"> months </w:t>
            </w:r>
            <w:r>
              <w:rPr>
                <w:rFonts w:ascii="Arial Narrow" w:hAnsi="Arial Narrow"/>
                <w:sz w:val="20"/>
                <w:szCs w:val="20"/>
              </w:rPr>
              <w:t>(%)</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116B4" w:rsidRPr="00962D70" w:rsidRDefault="00962D70" w:rsidP="00687778">
            <w:pPr>
              <w:widowControl/>
              <w:jc w:val="center"/>
              <w:rPr>
                <w:rFonts w:ascii="Arial Narrow" w:hAnsi="Arial Narrow"/>
                <w:sz w:val="20"/>
                <w:szCs w:val="20"/>
              </w:rPr>
            </w:pPr>
            <w:r w:rsidRPr="00962D70">
              <w:rPr>
                <w:rFonts w:ascii="Arial Narrow" w:hAnsi="Arial Narrow"/>
                <w:sz w:val="20"/>
                <w:szCs w:val="20"/>
              </w:rPr>
              <w:t>6.6%</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4116B4" w:rsidRPr="00962D70" w:rsidRDefault="00962D70" w:rsidP="00687778">
            <w:pPr>
              <w:widowControl/>
              <w:jc w:val="center"/>
              <w:rPr>
                <w:rFonts w:ascii="Arial Narrow" w:hAnsi="Arial Narrow"/>
                <w:sz w:val="20"/>
                <w:szCs w:val="20"/>
              </w:rPr>
            </w:pPr>
            <w:r w:rsidRPr="00962D70">
              <w:rPr>
                <w:rFonts w:ascii="Arial Narrow" w:hAnsi="Arial Narrow"/>
                <w:sz w:val="20"/>
                <w:szCs w:val="20"/>
              </w:rPr>
              <w:t>1.2%</w:t>
            </w:r>
          </w:p>
        </w:tc>
        <w:tc>
          <w:tcPr>
            <w:tcW w:w="86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4116B4" w:rsidRPr="00962D70" w:rsidRDefault="00962D70" w:rsidP="00687778">
            <w:pPr>
              <w:widowControl/>
              <w:jc w:val="center"/>
              <w:rPr>
                <w:rFonts w:ascii="Arial Narrow" w:hAnsi="Arial Narrow"/>
                <w:i/>
                <w:sz w:val="20"/>
                <w:szCs w:val="20"/>
              </w:rPr>
            </w:pPr>
            <w:r w:rsidRPr="00962D70">
              <w:rPr>
                <w:rFonts w:ascii="Arial Narrow" w:hAnsi="Arial Narrow"/>
                <w:i/>
                <w:sz w:val="20"/>
                <w:szCs w:val="20"/>
              </w:rPr>
              <w:t>5.4%</w:t>
            </w:r>
          </w:p>
        </w:tc>
        <w:tc>
          <w:tcPr>
            <w:tcW w:w="1467" w:type="pct"/>
            <w:gridSpan w:val="3"/>
            <w:tcBorders>
              <w:left w:val="single" w:sz="4" w:space="0" w:color="auto"/>
              <w:right w:val="single" w:sz="4" w:space="0" w:color="auto"/>
            </w:tcBorders>
            <w:shd w:val="clear" w:color="auto" w:fill="auto"/>
          </w:tcPr>
          <w:p w:rsidR="004116B4" w:rsidRPr="00B74B15" w:rsidRDefault="004116B4" w:rsidP="00687778">
            <w:pPr>
              <w:widowControl/>
              <w:jc w:val="center"/>
              <w:rPr>
                <w:rFonts w:ascii="Arial Narrow" w:hAnsi="Arial Narrow"/>
                <w:b/>
                <w:sz w:val="20"/>
                <w:szCs w:val="20"/>
              </w:rPr>
            </w:pPr>
          </w:p>
        </w:tc>
      </w:tr>
      <w:tr w:rsidR="004116B4" w:rsidRPr="00B20FEC" w:rsidTr="00744707">
        <w:tc>
          <w:tcPr>
            <w:tcW w:w="1342" w:type="pct"/>
            <w:tcBorders>
              <w:top w:val="single" w:sz="4" w:space="0" w:color="auto"/>
              <w:left w:val="single" w:sz="4" w:space="0" w:color="auto"/>
              <w:bottom w:val="single" w:sz="4" w:space="0" w:color="auto"/>
              <w:right w:val="single" w:sz="4" w:space="0" w:color="auto"/>
            </w:tcBorders>
            <w:shd w:val="clear" w:color="auto" w:fill="auto"/>
          </w:tcPr>
          <w:p w:rsidR="004116B4" w:rsidRDefault="004116B4" w:rsidP="00687778">
            <w:pPr>
              <w:widowControl/>
              <w:jc w:val="left"/>
              <w:rPr>
                <w:rFonts w:ascii="Arial Narrow" w:hAnsi="Arial Narrow"/>
                <w:sz w:val="20"/>
                <w:szCs w:val="20"/>
              </w:rPr>
            </w:pPr>
            <w:r>
              <w:rPr>
                <w:rFonts w:ascii="Arial Narrow" w:hAnsi="Arial Narrow"/>
                <w:sz w:val="20"/>
                <w:szCs w:val="20"/>
              </w:rPr>
              <w:t>P</w:t>
            </w:r>
            <w:r w:rsidR="00962D70">
              <w:rPr>
                <w:rFonts w:ascii="Arial Narrow" w:hAnsi="Arial Narrow"/>
                <w:sz w:val="20"/>
                <w:szCs w:val="20"/>
              </w:rPr>
              <w:t>FS</w:t>
            </w:r>
            <w:r>
              <w:rPr>
                <w:rFonts w:ascii="Arial Narrow" w:hAnsi="Arial Narrow"/>
                <w:sz w:val="20"/>
                <w:szCs w:val="20"/>
              </w:rPr>
              <w:t xml:space="preserve"> at 24</w:t>
            </w:r>
            <w:r w:rsidR="00962D70">
              <w:rPr>
                <w:rFonts w:ascii="Arial Narrow" w:hAnsi="Arial Narrow"/>
                <w:sz w:val="20"/>
                <w:szCs w:val="20"/>
              </w:rPr>
              <w:t xml:space="preserve"> months </w:t>
            </w:r>
            <w:r>
              <w:rPr>
                <w:rFonts w:ascii="Arial Narrow" w:hAnsi="Arial Narrow"/>
                <w:sz w:val="20"/>
                <w:szCs w:val="20"/>
              </w:rPr>
              <w:t>(%)</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4116B4" w:rsidRPr="00962D70" w:rsidRDefault="00962D70" w:rsidP="00687778">
            <w:pPr>
              <w:widowControl/>
              <w:jc w:val="center"/>
              <w:rPr>
                <w:rFonts w:ascii="Arial Narrow" w:hAnsi="Arial Narrow"/>
                <w:sz w:val="20"/>
                <w:szCs w:val="20"/>
              </w:rPr>
            </w:pPr>
            <w:r w:rsidRPr="00962D70">
              <w:rPr>
                <w:rFonts w:ascii="Arial Narrow" w:hAnsi="Arial Narrow"/>
                <w:sz w:val="20"/>
                <w:szCs w:val="20"/>
              </w:rPr>
              <w:t>4.4%</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4116B4" w:rsidRPr="00962D70" w:rsidRDefault="00962D70" w:rsidP="00687778">
            <w:pPr>
              <w:widowControl/>
              <w:jc w:val="center"/>
              <w:rPr>
                <w:rFonts w:ascii="Arial Narrow" w:hAnsi="Arial Narrow"/>
                <w:sz w:val="20"/>
                <w:szCs w:val="20"/>
              </w:rPr>
            </w:pPr>
            <w:r w:rsidRPr="00962D70">
              <w:rPr>
                <w:rFonts w:ascii="Arial Narrow" w:hAnsi="Arial Narrow"/>
                <w:sz w:val="20"/>
                <w:szCs w:val="20"/>
              </w:rPr>
              <w:t>1.2%</w:t>
            </w:r>
          </w:p>
        </w:tc>
        <w:tc>
          <w:tcPr>
            <w:tcW w:w="864" w:type="pct"/>
            <w:gridSpan w:val="2"/>
            <w:tcBorders>
              <w:top w:val="single" w:sz="4" w:space="0" w:color="auto"/>
              <w:left w:val="single" w:sz="4" w:space="0" w:color="auto"/>
              <w:bottom w:val="single" w:sz="4" w:space="0" w:color="auto"/>
              <w:right w:val="single" w:sz="4" w:space="0" w:color="auto"/>
            </w:tcBorders>
            <w:shd w:val="clear" w:color="auto" w:fill="auto"/>
            <w:vAlign w:val="bottom"/>
          </w:tcPr>
          <w:p w:rsidR="004116B4" w:rsidRPr="00962D70" w:rsidRDefault="00962D70" w:rsidP="00687778">
            <w:pPr>
              <w:widowControl/>
              <w:jc w:val="center"/>
              <w:rPr>
                <w:rFonts w:ascii="Arial Narrow" w:hAnsi="Arial Narrow"/>
                <w:i/>
                <w:sz w:val="20"/>
                <w:szCs w:val="20"/>
              </w:rPr>
            </w:pPr>
            <w:r w:rsidRPr="00962D70">
              <w:rPr>
                <w:rFonts w:ascii="Arial Narrow" w:hAnsi="Arial Narrow"/>
                <w:i/>
                <w:sz w:val="20"/>
                <w:szCs w:val="20"/>
              </w:rPr>
              <w:t>3.2%</w:t>
            </w:r>
          </w:p>
        </w:tc>
        <w:tc>
          <w:tcPr>
            <w:tcW w:w="1467" w:type="pct"/>
            <w:gridSpan w:val="3"/>
            <w:tcBorders>
              <w:left w:val="single" w:sz="4" w:space="0" w:color="auto"/>
              <w:bottom w:val="single" w:sz="4" w:space="0" w:color="auto"/>
              <w:right w:val="single" w:sz="4" w:space="0" w:color="auto"/>
            </w:tcBorders>
            <w:shd w:val="clear" w:color="auto" w:fill="auto"/>
          </w:tcPr>
          <w:p w:rsidR="004116B4" w:rsidRPr="00B74B15" w:rsidRDefault="004116B4" w:rsidP="00687778">
            <w:pPr>
              <w:widowControl/>
              <w:jc w:val="center"/>
              <w:rPr>
                <w:rFonts w:ascii="Arial Narrow" w:hAnsi="Arial Narrow"/>
                <w:b/>
                <w:sz w:val="20"/>
                <w:szCs w:val="20"/>
              </w:rPr>
            </w:pPr>
          </w:p>
        </w:tc>
      </w:tr>
      <w:tr w:rsidR="00B74B15" w:rsidRPr="00B20FEC" w:rsidTr="00B74B15">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B74B15" w:rsidRPr="00791481" w:rsidRDefault="00962D70" w:rsidP="00687778">
            <w:pPr>
              <w:widowControl/>
              <w:jc w:val="left"/>
              <w:rPr>
                <w:rFonts w:ascii="Arial Narrow" w:hAnsi="Arial Narrow"/>
                <w:sz w:val="20"/>
                <w:szCs w:val="20"/>
              </w:rPr>
            </w:pPr>
            <w:r>
              <w:rPr>
                <w:rFonts w:ascii="Arial Narrow" w:hAnsi="Arial Narrow"/>
                <w:b/>
                <w:sz w:val="20"/>
                <w:szCs w:val="20"/>
              </w:rPr>
              <w:t>Survival</w:t>
            </w:r>
          </w:p>
        </w:tc>
      </w:tr>
      <w:tr w:rsidR="001A0AA5" w:rsidRPr="00B20FEC" w:rsidTr="00744707">
        <w:tc>
          <w:tcPr>
            <w:tcW w:w="1342" w:type="pct"/>
            <w:tcBorders>
              <w:top w:val="single" w:sz="4" w:space="0" w:color="auto"/>
              <w:left w:val="single" w:sz="4" w:space="0" w:color="auto"/>
              <w:bottom w:val="single" w:sz="4" w:space="0" w:color="auto"/>
              <w:right w:val="single" w:sz="4" w:space="0" w:color="auto"/>
            </w:tcBorders>
            <w:shd w:val="clear" w:color="auto" w:fill="auto"/>
          </w:tcPr>
          <w:p w:rsidR="00791481" w:rsidRPr="00791481" w:rsidRDefault="00962D70" w:rsidP="00687778">
            <w:pPr>
              <w:widowControl/>
              <w:jc w:val="left"/>
              <w:rPr>
                <w:rFonts w:ascii="Arial Narrow" w:hAnsi="Arial Narrow"/>
                <w:sz w:val="20"/>
                <w:szCs w:val="20"/>
              </w:rPr>
            </w:pPr>
            <w:r>
              <w:rPr>
                <w:rFonts w:ascii="Arial Narrow" w:hAnsi="Arial Narrow"/>
                <w:sz w:val="20"/>
                <w:szCs w:val="20"/>
              </w:rPr>
              <w:t>Alive at 12 months</w:t>
            </w:r>
            <w:r w:rsidR="00791481" w:rsidRPr="00791481">
              <w:rPr>
                <w:rFonts w:ascii="Arial Narrow" w:hAnsi="Arial Narrow"/>
                <w:sz w:val="20"/>
                <w:szCs w:val="20"/>
              </w:rPr>
              <w:t xml:space="preserve"> (%)</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791481" w:rsidRPr="00962D70" w:rsidRDefault="00962D70" w:rsidP="00687778">
            <w:pPr>
              <w:widowControl/>
              <w:jc w:val="center"/>
              <w:rPr>
                <w:rFonts w:ascii="Arial Narrow" w:hAnsi="Arial Narrow"/>
                <w:sz w:val="20"/>
                <w:szCs w:val="20"/>
              </w:rPr>
            </w:pPr>
            <w:r>
              <w:rPr>
                <w:rFonts w:ascii="Arial Narrow" w:hAnsi="Arial Narrow"/>
                <w:sz w:val="20"/>
                <w:szCs w:val="20"/>
              </w:rPr>
              <w:t>46.6%</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91481" w:rsidRPr="00962D70" w:rsidRDefault="00962D70" w:rsidP="00687778">
            <w:pPr>
              <w:widowControl/>
              <w:jc w:val="center"/>
              <w:rPr>
                <w:rFonts w:ascii="Arial Narrow" w:hAnsi="Arial Narrow"/>
                <w:sz w:val="20"/>
                <w:szCs w:val="20"/>
              </w:rPr>
            </w:pPr>
            <w:r>
              <w:rPr>
                <w:rFonts w:ascii="Arial Narrow" w:hAnsi="Arial Narrow"/>
                <w:sz w:val="20"/>
                <w:szCs w:val="20"/>
              </w:rPr>
              <w:t>27.9%</w:t>
            </w:r>
          </w:p>
        </w:tc>
        <w:tc>
          <w:tcPr>
            <w:tcW w:w="864" w:type="pct"/>
            <w:gridSpan w:val="2"/>
            <w:tcBorders>
              <w:top w:val="single" w:sz="4" w:space="0" w:color="auto"/>
              <w:left w:val="single" w:sz="4" w:space="0" w:color="auto"/>
              <w:bottom w:val="single" w:sz="4" w:space="0" w:color="auto"/>
              <w:right w:val="single" w:sz="4" w:space="0" w:color="auto"/>
            </w:tcBorders>
            <w:shd w:val="clear" w:color="auto" w:fill="auto"/>
          </w:tcPr>
          <w:p w:rsidR="00791481" w:rsidRPr="00791481" w:rsidRDefault="002E1898" w:rsidP="00687778">
            <w:pPr>
              <w:widowControl/>
              <w:jc w:val="center"/>
              <w:rPr>
                <w:rFonts w:ascii="Arial Narrow" w:hAnsi="Arial Narrow"/>
                <w:i/>
                <w:sz w:val="20"/>
                <w:szCs w:val="20"/>
              </w:rPr>
            </w:pPr>
            <w:r>
              <w:rPr>
                <w:rFonts w:ascii="Arial Narrow" w:hAnsi="Arial Narrow"/>
                <w:i/>
                <w:sz w:val="20"/>
                <w:szCs w:val="20"/>
              </w:rPr>
              <w:t>18.7%</w:t>
            </w:r>
          </w:p>
        </w:tc>
        <w:tc>
          <w:tcPr>
            <w:tcW w:w="1467" w:type="pct"/>
            <w:gridSpan w:val="3"/>
            <w:tcBorders>
              <w:top w:val="single" w:sz="4" w:space="0" w:color="auto"/>
              <w:left w:val="single" w:sz="4" w:space="0" w:color="auto"/>
              <w:right w:val="single" w:sz="4" w:space="0" w:color="auto"/>
            </w:tcBorders>
            <w:shd w:val="clear" w:color="auto" w:fill="auto"/>
          </w:tcPr>
          <w:p w:rsidR="00791481" w:rsidRPr="00791481" w:rsidRDefault="005A2148" w:rsidP="00687778">
            <w:pPr>
              <w:widowControl/>
              <w:jc w:val="center"/>
              <w:rPr>
                <w:rFonts w:ascii="Arial Narrow" w:hAnsi="Arial Narrow"/>
                <w:sz w:val="20"/>
                <w:szCs w:val="20"/>
              </w:rPr>
            </w:pPr>
            <w:r w:rsidRPr="00B74B15">
              <w:rPr>
                <w:rFonts w:ascii="Arial Narrow" w:hAnsi="Arial Narrow"/>
                <w:b/>
                <w:sz w:val="20"/>
                <w:szCs w:val="20"/>
              </w:rPr>
              <w:t>0.614 (0.501, 0.753)</w:t>
            </w:r>
          </w:p>
        </w:tc>
      </w:tr>
      <w:tr w:rsidR="001A0AA5" w:rsidRPr="00B20FEC" w:rsidTr="00744707">
        <w:tc>
          <w:tcPr>
            <w:tcW w:w="1342" w:type="pct"/>
            <w:tcBorders>
              <w:top w:val="single" w:sz="4" w:space="0" w:color="auto"/>
              <w:left w:val="single" w:sz="4" w:space="0" w:color="auto"/>
              <w:bottom w:val="single" w:sz="4" w:space="0" w:color="auto"/>
              <w:right w:val="single" w:sz="4" w:space="0" w:color="auto"/>
            </w:tcBorders>
            <w:shd w:val="clear" w:color="auto" w:fill="auto"/>
          </w:tcPr>
          <w:p w:rsidR="00791481" w:rsidRPr="00791481" w:rsidRDefault="00962D70" w:rsidP="00687778">
            <w:pPr>
              <w:widowControl/>
              <w:jc w:val="left"/>
              <w:rPr>
                <w:rFonts w:ascii="Arial Narrow" w:hAnsi="Arial Narrow"/>
                <w:sz w:val="20"/>
                <w:szCs w:val="20"/>
              </w:rPr>
            </w:pPr>
            <w:r>
              <w:rPr>
                <w:rFonts w:ascii="Arial Narrow" w:hAnsi="Arial Narrow"/>
                <w:sz w:val="20"/>
                <w:szCs w:val="20"/>
              </w:rPr>
              <w:t xml:space="preserve">Alive at 18 months </w:t>
            </w:r>
            <w:r w:rsidR="00791481" w:rsidRPr="00791481">
              <w:rPr>
                <w:rFonts w:ascii="Arial Narrow" w:hAnsi="Arial Narrow"/>
                <w:sz w:val="20"/>
                <w:szCs w:val="20"/>
              </w:rPr>
              <w:t>(%)</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791481" w:rsidRPr="00962D70" w:rsidRDefault="00962D70" w:rsidP="00687778">
            <w:pPr>
              <w:widowControl/>
              <w:jc w:val="center"/>
              <w:rPr>
                <w:rFonts w:ascii="Arial Narrow" w:hAnsi="Arial Narrow" w:cs="Times New Roman"/>
                <w:snapToGrid/>
                <w:sz w:val="20"/>
                <w:szCs w:val="20"/>
              </w:rPr>
            </w:pPr>
            <w:r>
              <w:rPr>
                <w:rFonts w:ascii="Arial Narrow" w:hAnsi="Arial Narrow" w:cs="Times New Roman"/>
                <w:snapToGrid/>
                <w:sz w:val="20"/>
                <w:szCs w:val="20"/>
              </w:rPr>
              <w:t>31.9%</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91481" w:rsidRPr="00962D70" w:rsidRDefault="002E1898" w:rsidP="00687778">
            <w:pPr>
              <w:widowControl/>
              <w:jc w:val="center"/>
              <w:rPr>
                <w:rFonts w:ascii="Arial Narrow" w:hAnsi="Arial Narrow" w:cs="Times New Roman"/>
                <w:snapToGrid/>
                <w:sz w:val="20"/>
                <w:szCs w:val="20"/>
              </w:rPr>
            </w:pPr>
            <w:r>
              <w:rPr>
                <w:rFonts w:ascii="Arial Narrow" w:hAnsi="Arial Narrow" w:cs="Times New Roman"/>
                <w:snapToGrid/>
                <w:sz w:val="20"/>
                <w:szCs w:val="20"/>
              </w:rPr>
              <w:t>15.5%</w:t>
            </w:r>
          </w:p>
        </w:tc>
        <w:tc>
          <w:tcPr>
            <w:tcW w:w="864" w:type="pct"/>
            <w:gridSpan w:val="2"/>
            <w:tcBorders>
              <w:top w:val="single" w:sz="4" w:space="0" w:color="auto"/>
              <w:left w:val="single" w:sz="4" w:space="0" w:color="auto"/>
              <w:bottom w:val="single" w:sz="4" w:space="0" w:color="auto"/>
              <w:right w:val="single" w:sz="4" w:space="0" w:color="auto"/>
            </w:tcBorders>
            <w:shd w:val="clear" w:color="auto" w:fill="auto"/>
          </w:tcPr>
          <w:p w:rsidR="00791481" w:rsidRPr="00791481" w:rsidRDefault="002E1898" w:rsidP="00687778">
            <w:pPr>
              <w:widowControl/>
              <w:jc w:val="center"/>
              <w:rPr>
                <w:rFonts w:ascii="Arial Narrow" w:hAnsi="Arial Narrow"/>
                <w:i/>
                <w:sz w:val="20"/>
                <w:szCs w:val="20"/>
              </w:rPr>
            </w:pPr>
            <w:r>
              <w:rPr>
                <w:rFonts w:ascii="Arial Narrow" w:hAnsi="Arial Narrow"/>
                <w:i/>
                <w:sz w:val="20"/>
                <w:szCs w:val="20"/>
              </w:rPr>
              <w:t>16.4%</w:t>
            </w:r>
          </w:p>
        </w:tc>
        <w:tc>
          <w:tcPr>
            <w:tcW w:w="1467" w:type="pct"/>
            <w:gridSpan w:val="3"/>
            <w:tcBorders>
              <w:left w:val="single" w:sz="4" w:space="0" w:color="auto"/>
              <w:right w:val="single" w:sz="4" w:space="0" w:color="auto"/>
            </w:tcBorders>
            <w:shd w:val="clear" w:color="auto" w:fill="auto"/>
          </w:tcPr>
          <w:p w:rsidR="00791481" w:rsidRPr="00791481" w:rsidRDefault="00791481" w:rsidP="00687778">
            <w:pPr>
              <w:widowControl/>
              <w:jc w:val="center"/>
              <w:rPr>
                <w:rFonts w:ascii="Arial Narrow" w:hAnsi="Arial Narrow"/>
                <w:sz w:val="20"/>
                <w:szCs w:val="20"/>
              </w:rPr>
            </w:pPr>
          </w:p>
        </w:tc>
      </w:tr>
      <w:tr w:rsidR="00E8684F" w:rsidRPr="00B20FEC" w:rsidTr="00744707">
        <w:tc>
          <w:tcPr>
            <w:tcW w:w="1342" w:type="pct"/>
            <w:tcBorders>
              <w:top w:val="single" w:sz="4" w:space="0" w:color="auto"/>
              <w:left w:val="single" w:sz="4" w:space="0" w:color="auto"/>
              <w:bottom w:val="single" w:sz="4" w:space="0" w:color="auto"/>
              <w:right w:val="single" w:sz="4" w:space="0" w:color="auto"/>
            </w:tcBorders>
            <w:shd w:val="clear" w:color="auto" w:fill="auto"/>
          </w:tcPr>
          <w:p w:rsidR="00E8684F" w:rsidRDefault="00E8684F" w:rsidP="00687778">
            <w:pPr>
              <w:widowControl/>
              <w:jc w:val="left"/>
              <w:rPr>
                <w:rFonts w:ascii="Arial Narrow" w:hAnsi="Arial Narrow"/>
                <w:sz w:val="20"/>
                <w:szCs w:val="20"/>
              </w:rPr>
            </w:pPr>
            <w:r>
              <w:rPr>
                <w:rFonts w:ascii="Arial Narrow" w:hAnsi="Arial Narrow"/>
                <w:sz w:val="20"/>
                <w:szCs w:val="20"/>
              </w:rPr>
              <w:t>Alive at 24 months (%)</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E8684F" w:rsidRDefault="00E8684F" w:rsidP="00687778">
            <w:pPr>
              <w:widowControl/>
              <w:jc w:val="center"/>
              <w:rPr>
                <w:rFonts w:ascii="Arial Narrow" w:hAnsi="Arial Narrow" w:cs="Times New Roman"/>
                <w:snapToGrid/>
                <w:sz w:val="20"/>
                <w:szCs w:val="20"/>
              </w:rPr>
            </w:pPr>
            <w:r>
              <w:rPr>
                <w:rFonts w:ascii="Arial Narrow" w:hAnsi="Arial Narrow" w:cs="Times New Roman"/>
                <w:snapToGrid/>
                <w:sz w:val="20"/>
                <w:szCs w:val="20"/>
              </w:rPr>
              <w:t>10.2%</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E8684F" w:rsidRDefault="00E8684F" w:rsidP="00687778">
            <w:pPr>
              <w:widowControl/>
              <w:jc w:val="center"/>
              <w:rPr>
                <w:rFonts w:ascii="Arial Narrow" w:hAnsi="Arial Narrow" w:cs="Times New Roman"/>
                <w:snapToGrid/>
                <w:sz w:val="20"/>
                <w:szCs w:val="20"/>
              </w:rPr>
            </w:pPr>
            <w:r>
              <w:rPr>
                <w:rFonts w:ascii="Arial Narrow" w:hAnsi="Arial Narrow" w:cs="Times New Roman"/>
                <w:snapToGrid/>
                <w:sz w:val="20"/>
                <w:szCs w:val="20"/>
              </w:rPr>
              <w:t>21.9%</w:t>
            </w:r>
          </w:p>
        </w:tc>
        <w:tc>
          <w:tcPr>
            <w:tcW w:w="864" w:type="pct"/>
            <w:gridSpan w:val="2"/>
            <w:tcBorders>
              <w:top w:val="single" w:sz="4" w:space="0" w:color="auto"/>
              <w:left w:val="single" w:sz="4" w:space="0" w:color="auto"/>
              <w:bottom w:val="single" w:sz="4" w:space="0" w:color="auto"/>
              <w:right w:val="single" w:sz="4" w:space="0" w:color="auto"/>
            </w:tcBorders>
            <w:shd w:val="clear" w:color="auto" w:fill="auto"/>
          </w:tcPr>
          <w:p w:rsidR="00E8684F" w:rsidRDefault="00E8684F" w:rsidP="00687778">
            <w:pPr>
              <w:widowControl/>
              <w:jc w:val="center"/>
              <w:rPr>
                <w:rFonts w:ascii="Arial Narrow" w:hAnsi="Arial Narrow"/>
                <w:i/>
                <w:sz w:val="20"/>
                <w:szCs w:val="20"/>
              </w:rPr>
            </w:pPr>
            <w:r>
              <w:rPr>
                <w:rFonts w:ascii="Arial Narrow" w:hAnsi="Arial Narrow"/>
                <w:i/>
                <w:sz w:val="20"/>
                <w:szCs w:val="20"/>
              </w:rPr>
              <w:t>11.7%</w:t>
            </w:r>
          </w:p>
        </w:tc>
        <w:tc>
          <w:tcPr>
            <w:tcW w:w="1467" w:type="pct"/>
            <w:gridSpan w:val="3"/>
            <w:tcBorders>
              <w:left w:val="single" w:sz="4" w:space="0" w:color="auto"/>
              <w:right w:val="single" w:sz="4" w:space="0" w:color="auto"/>
            </w:tcBorders>
            <w:shd w:val="clear" w:color="auto" w:fill="auto"/>
          </w:tcPr>
          <w:p w:rsidR="00E8684F" w:rsidRPr="00791481" w:rsidRDefault="00E8684F" w:rsidP="00687778">
            <w:pPr>
              <w:widowControl/>
              <w:jc w:val="center"/>
              <w:rPr>
                <w:rFonts w:ascii="Arial Narrow" w:hAnsi="Arial Narrow"/>
                <w:sz w:val="20"/>
                <w:szCs w:val="20"/>
              </w:rPr>
            </w:pPr>
          </w:p>
        </w:tc>
      </w:tr>
      <w:tr w:rsidR="001A0AA5" w:rsidRPr="00B20FEC" w:rsidTr="00744707">
        <w:tc>
          <w:tcPr>
            <w:tcW w:w="1342" w:type="pct"/>
            <w:tcBorders>
              <w:top w:val="single" w:sz="4" w:space="0" w:color="auto"/>
              <w:left w:val="single" w:sz="4" w:space="0" w:color="auto"/>
              <w:bottom w:val="single" w:sz="4" w:space="0" w:color="auto"/>
              <w:right w:val="single" w:sz="4" w:space="0" w:color="auto"/>
            </w:tcBorders>
            <w:shd w:val="clear" w:color="auto" w:fill="auto"/>
          </w:tcPr>
          <w:p w:rsidR="00791481" w:rsidRPr="00791481" w:rsidRDefault="00962D70" w:rsidP="00687778">
            <w:pPr>
              <w:widowControl/>
              <w:jc w:val="left"/>
              <w:rPr>
                <w:rFonts w:ascii="Arial Narrow" w:hAnsi="Arial Narrow"/>
                <w:sz w:val="20"/>
                <w:szCs w:val="20"/>
              </w:rPr>
            </w:pPr>
            <w:r>
              <w:rPr>
                <w:rFonts w:ascii="Arial Narrow" w:hAnsi="Arial Narrow"/>
                <w:sz w:val="20"/>
                <w:szCs w:val="20"/>
              </w:rPr>
              <w:t>Alive at 30 months</w:t>
            </w:r>
            <w:r w:rsidR="00791481" w:rsidRPr="00791481">
              <w:rPr>
                <w:rFonts w:ascii="Arial Narrow" w:hAnsi="Arial Narrow"/>
                <w:sz w:val="20"/>
                <w:szCs w:val="20"/>
              </w:rPr>
              <w:t xml:space="preserve"> (%)</w:t>
            </w:r>
          </w:p>
        </w:tc>
        <w:tc>
          <w:tcPr>
            <w:tcW w:w="702" w:type="pct"/>
            <w:tcBorders>
              <w:top w:val="single" w:sz="4" w:space="0" w:color="auto"/>
              <w:left w:val="single" w:sz="4" w:space="0" w:color="auto"/>
              <w:bottom w:val="single" w:sz="4" w:space="0" w:color="auto"/>
              <w:right w:val="single" w:sz="4" w:space="0" w:color="auto"/>
            </w:tcBorders>
            <w:shd w:val="clear" w:color="auto" w:fill="auto"/>
          </w:tcPr>
          <w:p w:rsidR="00791481" w:rsidRPr="00962D70" w:rsidRDefault="00962D70" w:rsidP="00687778">
            <w:pPr>
              <w:widowControl/>
              <w:jc w:val="center"/>
              <w:rPr>
                <w:rFonts w:ascii="Arial Narrow" w:hAnsi="Arial Narrow" w:cs="Times New Roman"/>
                <w:snapToGrid/>
                <w:sz w:val="20"/>
                <w:szCs w:val="20"/>
              </w:rPr>
            </w:pPr>
            <w:r>
              <w:rPr>
                <w:rFonts w:ascii="Arial Narrow" w:hAnsi="Arial Narrow" w:cs="Times New Roman"/>
                <w:snapToGrid/>
                <w:sz w:val="20"/>
                <w:szCs w:val="20"/>
              </w:rPr>
              <w:t>16.0%</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791481" w:rsidRPr="00962D70" w:rsidRDefault="002E1898" w:rsidP="00687778">
            <w:pPr>
              <w:widowControl/>
              <w:jc w:val="center"/>
              <w:rPr>
                <w:rFonts w:ascii="Arial Narrow" w:hAnsi="Arial Narrow" w:cs="Times New Roman"/>
                <w:snapToGrid/>
                <w:sz w:val="20"/>
                <w:szCs w:val="20"/>
              </w:rPr>
            </w:pPr>
            <w:r>
              <w:rPr>
                <w:rFonts w:ascii="Arial Narrow" w:hAnsi="Arial Narrow" w:cs="Times New Roman"/>
                <w:snapToGrid/>
                <w:sz w:val="20"/>
                <w:szCs w:val="20"/>
              </w:rPr>
              <w:t>6.7%</w:t>
            </w:r>
          </w:p>
        </w:tc>
        <w:tc>
          <w:tcPr>
            <w:tcW w:w="864" w:type="pct"/>
            <w:gridSpan w:val="2"/>
            <w:tcBorders>
              <w:top w:val="single" w:sz="4" w:space="0" w:color="auto"/>
              <w:left w:val="single" w:sz="4" w:space="0" w:color="auto"/>
              <w:bottom w:val="single" w:sz="4" w:space="0" w:color="auto"/>
              <w:right w:val="single" w:sz="4" w:space="0" w:color="auto"/>
            </w:tcBorders>
            <w:shd w:val="clear" w:color="auto" w:fill="auto"/>
          </w:tcPr>
          <w:p w:rsidR="00791481" w:rsidRPr="00791481" w:rsidRDefault="002E1898" w:rsidP="00687778">
            <w:pPr>
              <w:widowControl/>
              <w:jc w:val="center"/>
              <w:rPr>
                <w:rFonts w:ascii="Arial Narrow" w:hAnsi="Arial Narrow"/>
                <w:i/>
                <w:sz w:val="20"/>
                <w:szCs w:val="20"/>
              </w:rPr>
            </w:pPr>
            <w:r>
              <w:rPr>
                <w:rFonts w:ascii="Arial Narrow" w:hAnsi="Arial Narrow"/>
                <w:i/>
                <w:sz w:val="20"/>
                <w:szCs w:val="20"/>
              </w:rPr>
              <w:t>9.3%</w:t>
            </w:r>
          </w:p>
        </w:tc>
        <w:tc>
          <w:tcPr>
            <w:tcW w:w="1467" w:type="pct"/>
            <w:gridSpan w:val="3"/>
            <w:tcBorders>
              <w:left w:val="single" w:sz="4" w:space="0" w:color="auto"/>
              <w:bottom w:val="single" w:sz="4" w:space="0" w:color="auto"/>
              <w:right w:val="single" w:sz="4" w:space="0" w:color="auto"/>
            </w:tcBorders>
            <w:shd w:val="clear" w:color="auto" w:fill="auto"/>
          </w:tcPr>
          <w:p w:rsidR="00791481" w:rsidRPr="00791481" w:rsidRDefault="00791481" w:rsidP="00687778">
            <w:pPr>
              <w:widowControl/>
              <w:jc w:val="center"/>
              <w:rPr>
                <w:rFonts w:ascii="Arial Narrow" w:hAnsi="Arial Narrow"/>
                <w:sz w:val="20"/>
                <w:szCs w:val="20"/>
              </w:rPr>
            </w:pPr>
          </w:p>
        </w:tc>
      </w:tr>
      <w:tr w:rsidR="00791481" w:rsidRPr="00B20FEC" w:rsidTr="00EB0CB0">
        <w:tc>
          <w:tcPr>
            <w:tcW w:w="5000" w:type="pct"/>
            <w:gridSpan w:val="8"/>
            <w:tcBorders>
              <w:top w:val="double" w:sz="4" w:space="0" w:color="auto"/>
              <w:left w:val="single" w:sz="4" w:space="0" w:color="auto"/>
              <w:bottom w:val="single" w:sz="4" w:space="0" w:color="auto"/>
              <w:right w:val="single" w:sz="4" w:space="0" w:color="auto"/>
            </w:tcBorders>
          </w:tcPr>
          <w:p w:rsidR="00791481" w:rsidRPr="00791481" w:rsidRDefault="00791481" w:rsidP="00687778">
            <w:pPr>
              <w:widowControl/>
              <w:rPr>
                <w:rFonts w:ascii="Arial Narrow" w:hAnsi="Arial Narrow"/>
                <w:b/>
                <w:sz w:val="20"/>
                <w:szCs w:val="18"/>
                <w:u w:val="single"/>
              </w:rPr>
            </w:pPr>
            <w:r w:rsidRPr="00791481">
              <w:rPr>
                <w:rFonts w:ascii="Arial Narrow" w:hAnsi="Arial Narrow"/>
                <w:b/>
                <w:sz w:val="20"/>
                <w:szCs w:val="18"/>
                <w:u w:val="single"/>
              </w:rPr>
              <w:t>Harms</w:t>
            </w:r>
          </w:p>
        </w:tc>
      </w:tr>
      <w:tr w:rsidR="001A0AA5" w:rsidRPr="00B20FEC" w:rsidTr="00713AF5">
        <w:trPr>
          <w:trHeight w:val="70"/>
        </w:trPr>
        <w:tc>
          <w:tcPr>
            <w:tcW w:w="134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widowControl/>
              <w:rPr>
                <w:rFonts w:ascii="Arial Narrow" w:hAnsi="Arial Narrow"/>
                <w:b/>
                <w:sz w:val="20"/>
                <w:szCs w:val="18"/>
              </w:rPr>
            </w:pPr>
            <w:r w:rsidRPr="00D2042D">
              <w:rPr>
                <w:rFonts w:ascii="Arial Narrow" w:hAnsi="Arial Narrow"/>
                <w:b/>
                <w:sz w:val="20"/>
                <w:szCs w:val="18"/>
              </w:rPr>
              <w:t>RESORCE trial</w:t>
            </w:r>
          </w:p>
        </w:tc>
        <w:tc>
          <w:tcPr>
            <w:tcW w:w="702" w:type="pct"/>
            <w:vMerge w:val="restar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b/>
                <w:sz w:val="20"/>
                <w:szCs w:val="18"/>
              </w:rPr>
            </w:pPr>
            <w:r w:rsidRPr="00D2042D">
              <w:rPr>
                <w:rFonts w:ascii="Arial Narrow" w:hAnsi="Arial Narrow"/>
                <w:b/>
                <w:sz w:val="20"/>
                <w:szCs w:val="18"/>
              </w:rPr>
              <w:t>Regorafenib</w:t>
            </w:r>
          </w:p>
          <w:p w:rsidR="00791481" w:rsidRPr="00D2042D" w:rsidRDefault="00791481" w:rsidP="00687778">
            <w:pPr>
              <w:widowControl/>
              <w:jc w:val="center"/>
              <w:rPr>
                <w:rFonts w:ascii="Arial Narrow" w:hAnsi="Arial Narrow"/>
                <w:b/>
                <w:sz w:val="20"/>
                <w:szCs w:val="18"/>
              </w:rPr>
            </w:pPr>
            <w:r w:rsidRPr="00D2042D">
              <w:rPr>
                <w:rFonts w:ascii="Arial Narrow" w:hAnsi="Arial Narrow"/>
                <w:b/>
                <w:sz w:val="20"/>
                <w:szCs w:val="18"/>
              </w:rPr>
              <w:t>n/N</w:t>
            </w:r>
          </w:p>
        </w:tc>
        <w:tc>
          <w:tcPr>
            <w:tcW w:w="625" w:type="pct"/>
            <w:vMerge w:val="restar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b/>
                <w:sz w:val="20"/>
                <w:szCs w:val="18"/>
              </w:rPr>
            </w:pPr>
            <w:r w:rsidRPr="00D2042D">
              <w:rPr>
                <w:rFonts w:ascii="Arial Narrow" w:hAnsi="Arial Narrow"/>
                <w:b/>
                <w:sz w:val="20"/>
                <w:szCs w:val="18"/>
              </w:rPr>
              <w:t>BSC</w:t>
            </w:r>
          </w:p>
          <w:p w:rsidR="00791481" w:rsidRPr="00D2042D" w:rsidRDefault="00791481" w:rsidP="00687778">
            <w:pPr>
              <w:widowControl/>
              <w:jc w:val="center"/>
              <w:rPr>
                <w:rFonts w:ascii="Arial Narrow" w:hAnsi="Arial Narrow"/>
                <w:b/>
                <w:sz w:val="20"/>
                <w:szCs w:val="18"/>
              </w:rPr>
            </w:pPr>
            <w:r w:rsidRPr="00D2042D">
              <w:rPr>
                <w:rFonts w:ascii="Arial Narrow" w:hAnsi="Arial Narrow"/>
                <w:b/>
                <w:sz w:val="20"/>
                <w:szCs w:val="18"/>
              </w:rPr>
              <w:t>n/N</w:t>
            </w:r>
          </w:p>
        </w:tc>
        <w:tc>
          <w:tcPr>
            <w:tcW w:w="624" w:type="pct"/>
            <w:vMerge w:val="restar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b/>
                <w:sz w:val="20"/>
                <w:szCs w:val="18"/>
              </w:rPr>
            </w:pPr>
            <w:r w:rsidRPr="00D2042D">
              <w:rPr>
                <w:rFonts w:ascii="Arial Narrow" w:hAnsi="Arial Narrow"/>
                <w:b/>
                <w:sz w:val="20"/>
                <w:szCs w:val="18"/>
              </w:rPr>
              <w:t>RR</w:t>
            </w:r>
          </w:p>
          <w:p w:rsidR="00791481" w:rsidRPr="00D2042D" w:rsidRDefault="00791481" w:rsidP="00687778">
            <w:pPr>
              <w:widowControl/>
              <w:jc w:val="center"/>
              <w:rPr>
                <w:rFonts w:ascii="Arial Narrow" w:hAnsi="Arial Narrow"/>
                <w:b/>
                <w:sz w:val="20"/>
                <w:szCs w:val="18"/>
              </w:rPr>
            </w:pPr>
            <w:r w:rsidRPr="00D2042D">
              <w:rPr>
                <w:rFonts w:ascii="Arial Narrow" w:hAnsi="Arial Narrow"/>
                <w:b/>
                <w:sz w:val="20"/>
                <w:szCs w:val="18"/>
              </w:rPr>
              <w:t>(95% CI)</w:t>
            </w:r>
          </w:p>
        </w:tc>
        <w:tc>
          <w:tcPr>
            <w:tcW w:w="1092" w:type="pct"/>
            <w:gridSpan w:val="3"/>
            <w:tcBorders>
              <w:top w:val="single" w:sz="4" w:space="0" w:color="auto"/>
              <w:left w:val="single" w:sz="4" w:space="0" w:color="auto"/>
              <w:bottom w:val="single" w:sz="4" w:space="0" w:color="auto"/>
              <w:right w:val="single" w:sz="4" w:space="0" w:color="auto"/>
            </w:tcBorders>
          </w:tcPr>
          <w:p w:rsidR="00791481" w:rsidRPr="00D2042D" w:rsidRDefault="00791481" w:rsidP="00687778">
            <w:pPr>
              <w:widowControl/>
              <w:jc w:val="center"/>
              <w:rPr>
                <w:rFonts w:ascii="Arial Narrow" w:hAnsi="Arial Narrow"/>
                <w:b/>
                <w:sz w:val="20"/>
                <w:szCs w:val="18"/>
              </w:rPr>
            </w:pPr>
            <w:r w:rsidRPr="00D2042D">
              <w:rPr>
                <w:rFonts w:ascii="Arial Narrow" w:hAnsi="Arial Narrow"/>
                <w:b/>
                <w:sz w:val="20"/>
                <w:szCs w:val="18"/>
              </w:rPr>
              <w:t xml:space="preserve">Event rate/100 </w:t>
            </w:r>
            <w:proofErr w:type="spellStart"/>
            <w:r w:rsidRPr="00D2042D">
              <w:rPr>
                <w:rFonts w:ascii="Arial Narrow" w:hAnsi="Arial Narrow"/>
                <w:b/>
                <w:sz w:val="20"/>
                <w:szCs w:val="18"/>
              </w:rPr>
              <w:t>patients</w:t>
            </w:r>
            <w:r w:rsidR="003019FC" w:rsidRPr="003019FC">
              <w:rPr>
                <w:rFonts w:ascii="Arial Narrow" w:hAnsi="Arial Narrow"/>
                <w:b/>
                <w:sz w:val="20"/>
                <w:szCs w:val="18"/>
                <w:vertAlign w:val="superscript"/>
              </w:rPr>
              <w:t>c</w:t>
            </w:r>
            <w:proofErr w:type="spellEnd"/>
            <w:r w:rsidRPr="00D2042D">
              <w:rPr>
                <w:rFonts w:ascii="Arial Narrow" w:hAnsi="Arial Narrow"/>
                <w:b/>
                <w:sz w:val="20"/>
                <w:szCs w:val="18"/>
              </w:rPr>
              <w:t xml:space="preserve"> </w:t>
            </w:r>
          </w:p>
        </w:tc>
        <w:tc>
          <w:tcPr>
            <w:tcW w:w="615" w:type="pct"/>
            <w:vMerge w:val="restar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b/>
                <w:sz w:val="20"/>
                <w:szCs w:val="18"/>
              </w:rPr>
            </w:pPr>
            <w:r w:rsidRPr="00D2042D">
              <w:rPr>
                <w:rFonts w:ascii="Arial Narrow" w:hAnsi="Arial Narrow"/>
                <w:b/>
                <w:sz w:val="20"/>
                <w:szCs w:val="18"/>
              </w:rPr>
              <w:t>RD</w:t>
            </w:r>
          </w:p>
          <w:p w:rsidR="00791481" w:rsidRPr="00D2042D" w:rsidRDefault="00791481" w:rsidP="00687778">
            <w:pPr>
              <w:widowControl/>
              <w:jc w:val="center"/>
              <w:rPr>
                <w:rFonts w:ascii="Arial Narrow" w:hAnsi="Arial Narrow"/>
                <w:b/>
                <w:sz w:val="20"/>
                <w:szCs w:val="18"/>
              </w:rPr>
            </w:pPr>
            <w:r w:rsidRPr="00D2042D">
              <w:rPr>
                <w:rFonts w:ascii="Arial Narrow" w:hAnsi="Arial Narrow"/>
                <w:b/>
                <w:sz w:val="20"/>
                <w:szCs w:val="18"/>
              </w:rPr>
              <w:t>(95% CI)</w:t>
            </w:r>
          </w:p>
        </w:tc>
      </w:tr>
      <w:tr w:rsidR="001A0AA5" w:rsidRPr="00B20FEC" w:rsidTr="00713AF5">
        <w:trPr>
          <w:trHeight w:val="390"/>
        </w:trPr>
        <w:tc>
          <w:tcPr>
            <w:tcW w:w="1342" w:type="pct"/>
            <w:vMerge/>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widowControl/>
              <w:rPr>
                <w:rFonts w:ascii="Arial Narrow" w:hAnsi="Arial Narrow"/>
                <w:b/>
                <w:sz w:val="20"/>
                <w:szCs w:val="18"/>
              </w:rPr>
            </w:pPr>
          </w:p>
        </w:tc>
        <w:tc>
          <w:tcPr>
            <w:tcW w:w="702" w:type="pct"/>
            <w:vMerge/>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b/>
                <w:sz w:val="20"/>
                <w:szCs w:val="18"/>
              </w:rPr>
            </w:pPr>
          </w:p>
        </w:tc>
        <w:tc>
          <w:tcPr>
            <w:tcW w:w="625" w:type="pct"/>
            <w:vMerge/>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b/>
                <w:sz w:val="20"/>
                <w:szCs w:val="18"/>
              </w:rPr>
            </w:pPr>
          </w:p>
        </w:tc>
        <w:tc>
          <w:tcPr>
            <w:tcW w:w="624" w:type="pct"/>
            <w:vMerge/>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b/>
                <w:sz w:val="20"/>
                <w:szCs w:val="18"/>
              </w:rPr>
            </w:pPr>
          </w:p>
        </w:tc>
        <w:tc>
          <w:tcPr>
            <w:tcW w:w="624" w:type="pct"/>
            <w:gridSpan w:val="2"/>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b/>
                <w:sz w:val="20"/>
                <w:szCs w:val="18"/>
              </w:rPr>
            </w:pPr>
            <w:r w:rsidRPr="00D2042D">
              <w:rPr>
                <w:rFonts w:ascii="Arial Narrow" w:hAnsi="Arial Narrow"/>
                <w:b/>
                <w:sz w:val="20"/>
                <w:szCs w:val="18"/>
              </w:rPr>
              <w:t>Regorafenib</w:t>
            </w:r>
          </w:p>
        </w:tc>
        <w:tc>
          <w:tcPr>
            <w:tcW w:w="468" w:type="pc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b/>
                <w:sz w:val="20"/>
                <w:szCs w:val="18"/>
              </w:rPr>
            </w:pPr>
            <w:r w:rsidRPr="00D2042D">
              <w:rPr>
                <w:rFonts w:ascii="Arial Narrow" w:hAnsi="Arial Narrow"/>
                <w:b/>
                <w:sz w:val="20"/>
                <w:szCs w:val="18"/>
              </w:rPr>
              <w:t>BSC</w:t>
            </w:r>
          </w:p>
        </w:tc>
        <w:tc>
          <w:tcPr>
            <w:tcW w:w="615" w:type="pct"/>
            <w:vMerge/>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b/>
                <w:sz w:val="20"/>
                <w:szCs w:val="18"/>
              </w:rPr>
            </w:pPr>
          </w:p>
        </w:tc>
      </w:tr>
      <w:tr w:rsidR="001A0AA5" w:rsidRPr="00B20FEC" w:rsidTr="00713AF5">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widowControl/>
              <w:rPr>
                <w:rFonts w:ascii="Arial Narrow" w:hAnsi="Arial Narrow"/>
                <w:sz w:val="20"/>
                <w:szCs w:val="18"/>
                <w:vertAlign w:val="superscript"/>
              </w:rPr>
            </w:pPr>
            <w:proofErr w:type="spellStart"/>
            <w:r w:rsidRPr="00D2042D">
              <w:rPr>
                <w:rFonts w:ascii="Arial Narrow" w:hAnsi="Arial Narrow"/>
                <w:sz w:val="20"/>
                <w:szCs w:val="18"/>
              </w:rPr>
              <w:t>Hypertension</w:t>
            </w:r>
            <w:r w:rsidRPr="00D2042D">
              <w:rPr>
                <w:rFonts w:ascii="Arial Narrow" w:hAnsi="Arial Narrow"/>
                <w:sz w:val="20"/>
                <w:szCs w:val="18"/>
                <w:vertAlign w:val="superscript"/>
              </w:rPr>
              <w:t>a</w:t>
            </w:r>
            <w:proofErr w:type="spellEnd"/>
          </w:p>
        </w:tc>
        <w:tc>
          <w:tcPr>
            <w:tcW w:w="702" w:type="pc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szCs w:val="18"/>
              </w:rPr>
            </w:pPr>
            <w:r w:rsidRPr="00D2042D">
              <w:rPr>
                <w:rFonts w:ascii="Arial Narrow" w:hAnsi="Arial Narrow"/>
                <w:sz w:val="20"/>
                <w:szCs w:val="18"/>
              </w:rPr>
              <w:t>49/374</w:t>
            </w:r>
          </w:p>
        </w:tc>
        <w:tc>
          <w:tcPr>
            <w:tcW w:w="625" w:type="pc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szCs w:val="18"/>
              </w:rPr>
            </w:pPr>
            <w:r w:rsidRPr="00D2042D">
              <w:rPr>
                <w:rFonts w:ascii="Arial Narrow" w:hAnsi="Arial Narrow"/>
                <w:sz w:val="20"/>
                <w:szCs w:val="18"/>
              </w:rPr>
              <w:t>15/193</w:t>
            </w:r>
          </w:p>
        </w:tc>
        <w:tc>
          <w:tcPr>
            <w:tcW w:w="624" w:type="pct"/>
            <w:tcBorders>
              <w:top w:val="single" w:sz="4" w:space="0" w:color="auto"/>
              <w:left w:val="single" w:sz="4" w:space="0" w:color="auto"/>
              <w:bottom w:val="single" w:sz="4" w:space="0" w:color="auto"/>
              <w:right w:val="single" w:sz="4" w:space="0" w:color="auto"/>
            </w:tcBorders>
            <w:vAlign w:val="center"/>
          </w:tcPr>
          <w:p w:rsidR="00791481" w:rsidRPr="00A16364" w:rsidRDefault="00791481" w:rsidP="00687778">
            <w:pPr>
              <w:keepNext/>
              <w:keepLines/>
              <w:widowControl/>
              <w:jc w:val="center"/>
              <w:rPr>
                <w:rFonts w:ascii="Arial Narrow" w:eastAsia="Calibri" w:hAnsi="Arial Narrow"/>
                <w:b/>
                <w:sz w:val="20"/>
                <w:szCs w:val="20"/>
              </w:rPr>
            </w:pPr>
            <w:r w:rsidRPr="00A16364">
              <w:rPr>
                <w:rFonts w:ascii="Arial Narrow" w:eastAsia="Calibri" w:hAnsi="Arial Narrow"/>
                <w:b/>
                <w:sz w:val="20"/>
                <w:szCs w:val="20"/>
              </w:rPr>
              <w:t xml:space="preserve">4.13 </w:t>
            </w:r>
          </w:p>
          <w:p w:rsidR="00791481" w:rsidRPr="00A16364" w:rsidRDefault="00791481" w:rsidP="00687778">
            <w:pPr>
              <w:keepNext/>
              <w:keepLines/>
              <w:widowControl/>
              <w:jc w:val="center"/>
              <w:rPr>
                <w:rFonts w:ascii="Arial Narrow" w:hAnsi="Arial Narrow"/>
                <w:b/>
                <w:sz w:val="20"/>
                <w:szCs w:val="18"/>
              </w:rPr>
            </w:pPr>
            <w:r w:rsidRPr="00A16364">
              <w:rPr>
                <w:rFonts w:ascii="Arial Narrow" w:eastAsia="Calibri" w:hAnsi="Arial Narrow"/>
                <w:b/>
                <w:sz w:val="20"/>
                <w:szCs w:val="20"/>
              </w:rPr>
              <w:t>(1.80, 9.47)</w:t>
            </w:r>
          </w:p>
        </w:tc>
        <w:tc>
          <w:tcPr>
            <w:tcW w:w="624" w:type="pct"/>
            <w:gridSpan w:val="2"/>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szCs w:val="18"/>
              </w:rPr>
            </w:pPr>
            <w:r w:rsidRPr="00D2042D">
              <w:rPr>
                <w:rFonts w:ascii="Arial Narrow" w:hAnsi="Arial Narrow"/>
                <w:sz w:val="20"/>
                <w:szCs w:val="18"/>
              </w:rPr>
              <w:t>13.1</w:t>
            </w:r>
          </w:p>
        </w:tc>
        <w:tc>
          <w:tcPr>
            <w:tcW w:w="468" w:type="pc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szCs w:val="18"/>
              </w:rPr>
            </w:pPr>
            <w:r w:rsidRPr="00D2042D">
              <w:rPr>
                <w:rFonts w:ascii="Arial Narrow" w:hAnsi="Arial Narrow"/>
                <w:sz w:val="20"/>
                <w:szCs w:val="18"/>
              </w:rPr>
              <w:t>7.8</w:t>
            </w:r>
          </w:p>
        </w:tc>
        <w:tc>
          <w:tcPr>
            <w:tcW w:w="615" w:type="pct"/>
            <w:tcBorders>
              <w:top w:val="single" w:sz="4" w:space="0" w:color="auto"/>
              <w:left w:val="single" w:sz="4" w:space="0" w:color="auto"/>
              <w:bottom w:val="single" w:sz="4" w:space="0" w:color="auto"/>
              <w:right w:val="single" w:sz="4" w:space="0" w:color="auto"/>
            </w:tcBorders>
            <w:vAlign w:val="center"/>
          </w:tcPr>
          <w:p w:rsidR="00791481" w:rsidRPr="00A16364" w:rsidRDefault="00791481" w:rsidP="00687778">
            <w:pPr>
              <w:keepNext/>
              <w:keepLines/>
              <w:widowControl/>
              <w:jc w:val="center"/>
              <w:rPr>
                <w:rFonts w:ascii="Arial Narrow" w:eastAsia="Calibri" w:hAnsi="Arial Narrow"/>
                <w:b/>
                <w:sz w:val="20"/>
                <w:szCs w:val="20"/>
              </w:rPr>
            </w:pPr>
            <w:r w:rsidRPr="00A16364">
              <w:rPr>
                <w:rFonts w:ascii="Arial Narrow" w:eastAsia="Calibri" w:hAnsi="Arial Narrow"/>
                <w:b/>
                <w:sz w:val="20"/>
                <w:szCs w:val="20"/>
              </w:rPr>
              <w:t>0.10</w:t>
            </w:r>
          </w:p>
          <w:p w:rsidR="00791481" w:rsidRPr="00A16364" w:rsidRDefault="00791481" w:rsidP="00687778">
            <w:pPr>
              <w:widowControl/>
              <w:jc w:val="center"/>
              <w:rPr>
                <w:rFonts w:ascii="Arial Narrow" w:hAnsi="Arial Narrow"/>
                <w:b/>
                <w:sz w:val="20"/>
                <w:szCs w:val="18"/>
              </w:rPr>
            </w:pPr>
            <w:r w:rsidRPr="00A16364">
              <w:rPr>
                <w:rFonts w:ascii="Arial Narrow" w:eastAsia="Calibri" w:hAnsi="Arial Narrow"/>
                <w:b/>
                <w:sz w:val="20"/>
                <w:szCs w:val="20"/>
              </w:rPr>
              <w:t>(0.06, 0.14)</w:t>
            </w:r>
          </w:p>
        </w:tc>
      </w:tr>
      <w:tr w:rsidR="001A0AA5" w:rsidRPr="00B20FEC" w:rsidTr="00744707">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6D1C0D" w:rsidRDefault="00791481" w:rsidP="00687778">
            <w:pPr>
              <w:widowControl/>
              <w:rPr>
                <w:rFonts w:ascii="Arial Narrow" w:hAnsi="Arial Narrow"/>
                <w:sz w:val="20"/>
                <w:szCs w:val="18"/>
                <w:vertAlign w:val="superscript"/>
              </w:rPr>
            </w:pPr>
            <w:r w:rsidRPr="00D2042D">
              <w:rPr>
                <w:rFonts w:ascii="Arial Narrow" w:hAnsi="Arial Narrow"/>
                <w:sz w:val="20"/>
                <w:szCs w:val="18"/>
              </w:rPr>
              <w:t>HFSR</w:t>
            </w:r>
            <w:r>
              <w:rPr>
                <w:rFonts w:ascii="Arial Narrow" w:hAnsi="Arial Narrow"/>
                <w:sz w:val="20"/>
                <w:szCs w:val="18"/>
              </w:rPr>
              <w:t xml:space="preserve"> (grade 3)</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widowControl/>
              <w:jc w:val="center"/>
              <w:rPr>
                <w:rFonts w:ascii="Arial Narrow" w:hAnsi="Arial Narrow"/>
                <w:sz w:val="20"/>
                <w:szCs w:val="18"/>
              </w:rPr>
            </w:pPr>
            <w:r w:rsidRPr="00D2042D">
              <w:rPr>
                <w:rFonts w:ascii="Arial Narrow" w:hAnsi="Arial Narrow"/>
                <w:sz w:val="20"/>
                <w:szCs w:val="18"/>
              </w:rPr>
              <w:t>47/374</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widowControl/>
              <w:jc w:val="center"/>
              <w:rPr>
                <w:rFonts w:ascii="Arial Narrow" w:hAnsi="Arial Narrow"/>
                <w:sz w:val="20"/>
                <w:szCs w:val="18"/>
              </w:rPr>
            </w:pPr>
            <w:r w:rsidRPr="00D2042D">
              <w:rPr>
                <w:rFonts w:ascii="Arial Narrow" w:hAnsi="Arial Narrow"/>
                <w:sz w:val="20"/>
                <w:szCs w:val="18"/>
              </w:rPr>
              <w:t>1/193</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A16364" w:rsidRDefault="00791481" w:rsidP="00687778">
            <w:pPr>
              <w:keepNext/>
              <w:keepLines/>
              <w:widowControl/>
              <w:jc w:val="center"/>
              <w:rPr>
                <w:rFonts w:ascii="Arial Narrow" w:eastAsia="Calibri" w:hAnsi="Arial Narrow"/>
                <w:b/>
                <w:sz w:val="20"/>
                <w:szCs w:val="20"/>
              </w:rPr>
            </w:pPr>
            <w:r w:rsidRPr="00A16364">
              <w:rPr>
                <w:rFonts w:ascii="Arial Narrow" w:eastAsia="Calibri" w:hAnsi="Arial Narrow"/>
                <w:b/>
                <w:sz w:val="20"/>
                <w:szCs w:val="20"/>
              </w:rPr>
              <w:t>23.74</w:t>
            </w:r>
          </w:p>
          <w:p w:rsidR="00791481" w:rsidRPr="00A16364" w:rsidRDefault="00791481" w:rsidP="00687778">
            <w:pPr>
              <w:widowControl/>
              <w:jc w:val="center"/>
              <w:rPr>
                <w:rFonts w:ascii="Arial Narrow" w:hAnsi="Arial Narrow"/>
                <w:b/>
                <w:sz w:val="20"/>
                <w:szCs w:val="18"/>
              </w:rPr>
            </w:pPr>
            <w:r w:rsidRPr="00A16364">
              <w:rPr>
                <w:rFonts w:ascii="Arial Narrow" w:eastAsia="Calibri" w:hAnsi="Arial Narrow"/>
                <w:b/>
                <w:sz w:val="20"/>
                <w:szCs w:val="20"/>
              </w:rPr>
              <w:t>(3.30, 170.82)</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widowControl/>
              <w:jc w:val="center"/>
              <w:rPr>
                <w:rFonts w:ascii="Arial Narrow" w:hAnsi="Arial Narrow"/>
                <w:sz w:val="20"/>
                <w:szCs w:val="18"/>
              </w:rPr>
            </w:pPr>
            <w:r w:rsidRPr="00D2042D">
              <w:rPr>
                <w:rFonts w:ascii="Arial Narrow" w:hAnsi="Arial Narrow"/>
                <w:sz w:val="20"/>
                <w:szCs w:val="18"/>
              </w:rPr>
              <w:t>12.6</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widowControl/>
              <w:jc w:val="center"/>
              <w:rPr>
                <w:rFonts w:ascii="Arial Narrow" w:hAnsi="Arial Narrow"/>
                <w:sz w:val="20"/>
                <w:szCs w:val="18"/>
              </w:rPr>
            </w:pPr>
            <w:r w:rsidRPr="00D2042D">
              <w:rPr>
                <w:rFonts w:ascii="Arial Narrow" w:hAnsi="Arial Narrow"/>
                <w:sz w:val="20"/>
                <w:szCs w:val="18"/>
              </w:rPr>
              <w:t>&lt;1</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A16364" w:rsidRDefault="00791481" w:rsidP="00687778">
            <w:pPr>
              <w:keepNext/>
              <w:keepLines/>
              <w:widowControl/>
              <w:jc w:val="center"/>
              <w:rPr>
                <w:rFonts w:ascii="Arial Narrow" w:eastAsia="Calibri" w:hAnsi="Arial Narrow"/>
                <w:b/>
                <w:sz w:val="20"/>
                <w:szCs w:val="20"/>
              </w:rPr>
            </w:pPr>
            <w:r w:rsidRPr="00A16364">
              <w:rPr>
                <w:rFonts w:ascii="Arial Narrow" w:eastAsia="Calibri" w:hAnsi="Arial Narrow"/>
                <w:b/>
                <w:sz w:val="20"/>
                <w:szCs w:val="20"/>
              </w:rPr>
              <w:t>0.12</w:t>
            </w:r>
          </w:p>
          <w:p w:rsidR="00791481" w:rsidRPr="00A16364" w:rsidRDefault="00791481" w:rsidP="00687778">
            <w:pPr>
              <w:widowControl/>
              <w:jc w:val="center"/>
              <w:rPr>
                <w:rFonts w:ascii="Arial Narrow" w:hAnsi="Arial Narrow"/>
                <w:b/>
                <w:sz w:val="20"/>
                <w:szCs w:val="18"/>
              </w:rPr>
            </w:pPr>
            <w:r w:rsidRPr="00A16364">
              <w:rPr>
                <w:rFonts w:ascii="Arial Narrow" w:eastAsia="Calibri" w:hAnsi="Arial Narrow"/>
                <w:b/>
                <w:sz w:val="20"/>
                <w:szCs w:val="20"/>
              </w:rPr>
              <w:t>(0.08, 0.15)</w:t>
            </w:r>
          </w:p>
        </w:tc>
      </w:tr>
      <w:tr w:rsidR="00B74B15" w:rsidRPr="00B20FEC" w:rsidTr="00744707">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6D1C0D" w:rsidRDefault="00791481" w:rsidP="00687778">
            <w:pPr>
              <w:widowControl/>
              <w:jc w:val="left"/>
              <w:rPr>
                <w:rFonts w:ascii="Arial Narrow" w:hAnsi="Arial Narrow"/>
                <w:sz w:val="20"/>
                <w:szCs w:val="18"/>
                <w:vertAlign w:val="superscript"/>
              </w:rPr>
            </w:pPr>
            <w:r>
              <w:rPr>
                <w:rFonts w:ascii="Arial Narrow" w:hAnsi="Arial Narrow"/>
                <w:sz w:val="20"/>
                <w:szCs w:val="18"/>
              </w:rPr>
              <w:t>HFSR (any grade)</w:t>
            </w:r>
            <w:r>
              <w:rPr>
                <w:rFonts w:ascii="Arial Narrow" w:hAnsi="Arial Narrow"/>
                <w:sz w:val="20"/>
                <w:szCs w:val="18"/>
                <w:vertAlign w:val="superscript"/>
              </w:rPr>
              <w:t>b</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widowControl/>
              <w:jc w:val="center"/>
              <w:rPr>
                <w:rFonts w:ascii="Arial Narrow" w:hAnsi="Arial Narrow"/>
                <w:sz w:val="20"/>
                <w:szCs w:val="18"/>
              </w:rPr>
            </w:pPr>
            <w:r>
              <w:rPr>
                <w:rFonts w:ascii="Arial Narrow" w:hAnsi="Arial Narrow"/>
                <w:sz w:val="20"/>
                <w:szCs w:val="18"/>
              </w:rPr>
              <w:t>198/374</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widowControl/>
              <w:jc w:val="center"/>
              <w:rPr>
                <w:rFonts w:ascii="Arial Narrow" w:hAnsi="Arial Narrow"/>
                <w:sz w:val="20"/>
                <w:szCs w:val="18"/>
              </w:rPr>
            </w:pPr>
            <w:r>
              <w:rPr>
                <w:rFonts w:ascii="Arial Narrow" w:hAnsi="Arial Narrow"/>
                <w:sz w:val="20"/>
                <w:szCs w:val="18"/>
              </w:rPr>
              <w:t>15/193</w:t>
            </w:r>
          </w:p>
        </w:tc>
        <w:tc>
          <w:tcPr>
            <w:tcW w:w="624"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keepNext/>
              <w:keepLines/>
              <w:widowControl/>
              <w:jc w:val="center"/>
              <w:rPr>
                <w:rFonts w:ascii="Arial Narrow" w:eastAsia="Calibri" w:hAnsi="Arial Narrow"/>
                <w:sz w:val="20"/>
                <w:szCs w:val="20"/>
              </w:rPr>
            </w:pPr>
            <w:r>
              <w:rPr>
                <w:rFonts w:ascii="Arial Narrow" w:eastAsia="Calibri" w:hAnsi="Arial Narrow"/>
                <w:sz w:val="20"/>
                <w:szCs w:val="20"/>
              </w:rPr>
              <w:t>6.81</w:t>
            </w:r>
            <w:r w:rsidR="00B74B15">
              <w:rPr>
                <w:rFonts w:ascii="Arial Narrow" w:eastAsia="Calibri" w:hAnsi="Arial Narrow"/>
                <w:sz w:val="20"/>
                <w:szCs w:val="20"/>
              </w:rPr>
              <w:t xml:space="preserve"> (</w:t>
            </w:r>
            <w:proofErr w:type="spellStart"/>
            <w:r w:rsidR="00B74B15">
              <w:rPr>
                <w:rFonts w:ascii="Arial Narrow" w:eastAsia="Calibri" w:hAnsi="Arial Narrow"/>
                <w:sz w:val="20"/>
                <w:szCs w:val="20"/>
              </w:rPr>
              <w:t>n.r</w:t>
            </w:r>
            <w:proofErr w:type="spellEnd"/>
            <w:r w:rsidR="00B74B15">
              <w:rPr>
                <w:rFonts w:ascii="Arial Narrow" w:eastAsia="Calibri" w:hAnsi="Arial Narrow"/>
                <w:sz w:val="20"/>
                <w:szCs w:val="20"/>
              </w:rPr>
              <w:t>.)</w:t>
            </w:r>
          </w:p>
        </w:tc>
        <w:tc>
          <w:tcPr>
            <w:tcW w:w="62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91481" w:rsidRDefault="00791481" w:rsidP="00687778">
            <w:pPr>
              <w:widowControl/>
              <w:jc w:val="center"/>
              <w:rPr>
                <w:rFonts w:ascii="Arial Narrow" w:hAnsi="Arial Narrow"/>
                <w:sz w:val="20"/>
                <w:szCs w:val="18"/>
              </w:rPr>
            </w:pPr>
            <w:r>
              <w:rPr>
                <w:rFonts w:ascii="Arial Narrow" w:hAnsi="Arial Narrow"/>
                <w:sz w:val="20"/>
                <w:szCs w:val="18"/>
              </w:rPr>
              <w:t>52.9</w:t>
            </w:r>
          </w:p>
        </w:tc>
        <w:tc>
          <w:tcPr>
            <w:tcW w:w="468"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5C7D3D" w:rsidP="00687778">
            <w:pPr>
              <w:widowControl/>
              <w:jc w:val="center"/>
              <w:rPr>
                <w:rFonts w:ascii="Arial Narrow" w:hAnsi="Arial Narrow"/>
                <w:sz w:val="20"/>
                <w:szCs w:val="18"/>
              </w:rPr>
            </w:pPr>
            <w:r>
              <w:rPr>
                <w:rFonts w:ascii="Arial Narrow" w:hAnsi="Arial Narrow"/>
                <w:sz w:val="20"/>
                <w:szCs w:val="18"/>
              </w:rPr>
              <w:t>7.8</w:t>
            </w:r>
          </w:p>
        </w:tc>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A16364" w:rsidRDefault="00791481" w:rsidP="00687778">
            <w:pPr>
              <w:keepNext/>
              <w:keepLines/>
              <w:widowControl/>
              <w:jc w:val="center"/>
              <w:rPr>
                <w:rFonts w:ascii="Arial Narrow" w:eastAsia="Calibri" w:hAnsi="Arial Narrow"/>
                <w:b/>
                <w:sz w:val="20"/>
                <w:szCs w:val="20"/>
              </w:rPr>
            </w:pPr>
            <w:r w:rsidRPr="00A16364">
              <w:rPr>
                <w:rFonts w:ascii="Arial Narrow" w:eastAsia="Calibri" w:hAnsi="Arial Narrow"/>
                <w:b/>
                <w:sz w:val="20"/>
                <w:szCs w:val="20"/>
              </w:rPr>
              <w:t>0.45</w:t>
            </w:r>
            <w:r w:rsidR="00B74B15" w:rsidRPr="00A16364">
              <w:rPr>
                <w:rFonts w:ascii="Arial Narrow" w:eastAsia="Calibri" w:hAnsi="Arial Narrow"/>
                <w:b/>
                <w:sz w:val="20"/>
                <w:szCs w:val="20"/>
              </w:rPr>
              <w:t xml:space="preserve"> (</w:t>
            </w:r>
            <w:proofErr w:type="spellStart"/>
            <w:r w:rsidR="00B74B15" w:rsidRPr="00A16364">
              <w:rPr>
                <w:rFonts w:ascii="Arial Narrow" w:eastAsia="Calibri" w:hAnsi="Arial Narrow"/>
                <w:b/>
                <w:sz w:val="20"/>
                <w:szCs w:val="20"/>
              </w:rPr>
              <w:t>n.r</w:t>
            </w:r>
            <w:proofErr w:type="spellEnd"/>
            <w:r w:rsidR="00B74B15" w:rsidRPr="00A16364">
              <w:rPr>
                <w:rFonts w:ascii="Arial Narrow" w:eastAsia="Calibri" w:hAnsi="Arial Narrow"/>
                <w:b/>
                <w:sz w:val="20"/>
                <w:szCs w:val="20"/>
              </w:rPr>
              <w:t>.)</w:t>
            </w:r>
          </w:p>
        </w:tc>
      </w:tr>
      <w:tr w:rsidR="001A0AA5" w:rsidRPr="00B20FEC" w:rsidTr="00713AF5">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widowControl/>
              <w:rPr>
                <w:rFonts w:ascii="Arial Narrow" w:hAnsi="Arial Narrow"/>
                <w:sz w:val="20"/>
                <w:szCs w:val="18"/>
                <w:vertAlign w:val="superscript"/>
              </w:rPr>
            </w:pPr>
            <w:r w:rsidRPr="00D2042D">
              <w:rPr>
                <w:rFonts w:ascii="Arial Narrow" w:hAnsi="Arial Narrow"/>
                <w:sz w:val="20"/>
                <w:szCs w:val="18"/>
              </w:rPr>
              <w:t xml:space="preserve">Blood bilirubin </w:t>
            </w:r>
            <w:proofErr w:type="spellStart"/>
            <w:r w:rsidRPr="00D2042D">
              <w:rPr>
                <w:rFonts w:ascii="Arial Narrow" w:hAnsi="Arial Narrow"/>
                <w:sz w:val="20"/>
                <w:szCs w:val="18"/>
              </w:rPr>
              <w:t>increased</w:t>
            </w:r>
            <w:r w:rsidRPr="00D2042D">
              <w:rPr>
                <w:rFonts w:ascii="Arial Narrow" w:hAnsi="Arial Narrow"/>
                <w:sz w:val="20"/>
                <w:szCs w:val="18"/>
                <w:vertAlign w:val="superscript"/>
              </w:rPr>
              <w:t>a</w:t>
            </w:r>
            <w:proofErr w:type="spellEnd"/>
          </w:p>
        </w:tc>
        <w:tc>
          <w:tcPr>
            <w:tcW w:w="702" w:type="pc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szCs w:val="18"/>
              </w:rPr>
            </w:pPr>
            <w:r w:rsidRPr="00D2042D">
              <w:rPr>
                <w:rFonts w:ascii="Arial Narrow" w:hAnsi="Arial Narrow"/>
                <w:sz w:val="20"/>
              </w:rPr>
              <w:t>25/374</w:t>
            </w:r>
          </w:p>
        </w:tc>
        <w:tc>
          <w:tcPr>
            <w:tcW w:w="625" w:type="pc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szCs w:val="18"/>
              </w:rPr>
            </w:pPr>
            <w:r w:rsidRPr="00D2042D">
              <w:rPr>
                <w:rFonts w:ascii="Arial Narrow" w:hAnsi="Arial Narrow"/>
                <w:sz w:val="20"/>
              </w:rPr>
              <w:t>4/193</w:t>
            </w:r>
          </w:p>
        </w:tc>
        <w:tc>
          <w:tcPr>
            <w:tcW w:w="624" w:type="pct"/>
            <w:tcBorders>
              <w:top w:val="single" w:sz="4" w:space="0" w:color="auto"/>
              <w:left w:val="single" w:sz="4" w:space="0" w:color="auto"/>
              <w:bottom w:val="single" w:sz="4" w:space="0" w:color="auto"/>
              <w:right w:val="single" w:sz="4" w:space="0" w:color="auto"/>
            </w:tcBorders>
            <w:vAlign w:val="center"/>
          </w:tcPr>
          <w:p w:rsidR="00791481" w:rsidRPr="00A16364" w:rsidRDefault="00791481" w:rsidP="00687778">
            <w:pPr>
              <w:keepNext/>
              <w:keepLines/>
              <w:widowControl/>
              <w:jc w:val="center"/>
              <w:rPr>
                <w:rFonts w:ascii="Arial Narrow" w:eastAsia="Calibri" w:hAnsi="Arial Narrow"/>
                <w:b/>
                <w:sz w:val="20"/>
                <w:szCs w:val="20"/>
              </w:rPr>
            </w:pPr>
            <w:r w:rsidRPr="00A16364">
              <w:rPr>
                <w:rFonts w:ascii="Arial Narrow" w:eastAsia="Calibri" w:hAnsi="Arial Narrow"/>
                <w:b/>
                <w:sz w:val="20"/>
                <w:szCs w:val="20"/>
              </w:rPr>
              <w:t>4.90</w:t>
            </w:r>
          </w:p>
          <w:p w:rsidR="00791481" w:rsidRPr="00D2042D" w:rsidRDefault="00791481" w:rsidP="00687778">
            <w:pPr>
              <w:widowControl/>
              <w:jc w:val="center"/>
              <w:rPr>
                <w:rFonts w:ascii="Arial Narrow" w:hAnsi="Arial Narrow"/>
                <w:sz w:val="20"/>
                <w:szCs w:val="18"/>
              </w:rPr>
            </w:pPr>
            <w:r w:rsidRPr="00A16364">
              <w:rPr>
                <w:rFonts w:ascii="Arial Narrow" w:eastAsia="Calibri" w:hAnsi="Arial Narrow"/>
                <w:b/>
                <w:sz w:val="20"/>
                <w:szCs w:val="20"/>
              </w:rPr>
              <w:t>(1.15, 20.83)</w:t>
            </w:r>
          </w:p>
        </w:tc>
        <w:tc>
          <w:tcPr>
            <w:tcW w:w="624" w:type="pct"/>
            <w:gridSpan w:val="2"/>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rPr>
            </w:pPr>
            <w:r w:rsidRPr="00D2042D">
              <w:rPr>
                <w:rFonts w:ascii="Arial Narrow" w:hAnsi="Arial Narrow"/>
                <w:sz w:val="20"/>
              </w:rPr>
              <w:t>6.7</w:t>
            </w:r>
          </w:p>
        </w:tc>
        <w:tc>
          <w:tcPr>
            <w:tcW w:w="468" w:type="pc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szCs w:val="18"/>
              </w:rPr>
            </w:pPr>
            <w:r w:rsidRPr="00D2042D">
              <w:rPr>
                <w:rFonts w:ascii="Arial Narrow" w:hAnsi="Arial Narrow"/>
                <w:sz w:val="20"/>
              </w:rPr>
              <w:t>2.1</w:t>
            </w:r>
          </w:p>
        </w:tc>
        <w:tc>
          <w:tcPr>
            <w:tcW w:w="615" w:type="pct"/>
            <w:tcBorders>
              <w:top w:val="single" w:sz="4" w:space="0" w:color="auto"/>
              <w:left w:val="single" w:sz="4" w:space="0" w:color="auto"/>
              <w:bottom w:val="single" w:sz="4" w:space="0" w:color="auto"/>
              <w:right w:val="single" w:sz="4" w:space="0" w:color="auto"/>
            </w:tcBorders>
            <w:vAlign w:val="center"/>
          </w:tcPr>
          <w:p w:rsidR="00791481" w:rsidRPr="00A16364" w:rsidRDefault="00791481" w:rsidP="00687778">
            <w:pPr>
              <w:widowControl/>
              <w:jc w:val="center"/>
              <w:rPr>
                <w:rFonts w:ascii="Arial Narrow" w:hAnsi="Arial Narrow"/>
                <w:b/>
                <w:sz w:val="20"/>
              </w:rPr>
            </w:pPr>
            <w:r w:rsidRPr="00A16364">
              <w:rPr>
                <w:rFonts w:ascii="Arial Narrow" w:hAnsi="Arial Narrow"/>
                <w:b/>
                <w:sz w:val="20"/>
              </w:rPr>
              <w:t>0.05</w:t>
            </w:r>
          </w:p>
          <w:p w:rsidR="00791481" w:rsidRPr="00A16364" w:rsidRDefault="00791481" w:rsidP="00687778">
            <w:pPr>
              <w:widowControl/>
              <w:jc w:val="center"/>
              <w:rPr>
                <w:rFonts w:ascii="Arial Narrow" w:hAnsi="Arial Narrow"/>
                <w:b/>
                <w:sz w:val="20"/>
                <w:szCs w:val="18"/>
              </w:rPr>
            </w:pPr>
            <w:r w:rsidRPr="00A16364">
              <w:rPr>
                <w:rFonts w:ascii="Arial Narrow" w:hAnsi="Arial Narrow"/>
                <w:b/>
                <w:sz w:val="20"/>
              </w:rPr>
              <w:t>(-0.03, 0.14)</w:t>
            </w:r>
          </w:p>
        </w:tc>
      </w:tr>
      <w:tr w:rsidR="001A0AA5" w:rsidRPr="00B20FEC" w:rsidTr="00713AF5">
        <w:tc>
          <w:tcPr>
            <w:tcW w:w="1342" w:type="pct"/>
            <w:tcBorders>
              <w:top w:val="single" w:sz="4" w:space="0" w:color="auto"/>
              <w:left w:val="single" w:sz="4" w:space="0" w:color="auto"/>
              <w:bottom w:val="single" w:sz="4" w:space="0" w:color="auto"/>
              <w:right w:val="single" w:sz="4" w:space="0" w:color="auto"/>
            </w:tcBorders>
            <w:shd w:val="clear" w:color="auto" w:fill="auto"/>
            <w:vAlign w:val="center"/>
          </w:tcPr>
          <w:p w:rsidR="00791481" w:rsidRPr="00D2042D" w:rsidRDefault="00791481" w:rsidP="00687778">
            <w:pPr>
              <w:widowControl/>
              <w:rPr>
                <w:rFonts w:ascii="Arial Narrow" w:hAnsi="Arial Narrow"/>
                <w:sz w:val="20"/>
                <w:szCs w:val="18"/>
                <w:vertAlign w:val="superscript"/>
              </w:rPr>
            </w:pPr>
            <w:r w:rsidRPr="00D2042D">
              <w:rPr>
                <w:rFonts w:ascii="Arial Narrow" w:hAnsi="Arial Narrow"/>
                <w:sz w:val="20"/>
              </w:rPr>
              <w:t xml:space="preserve">AST </w:t>
            </w:r>
            <w:proofErr w:type="spellStart"/>
            <w:r w:rsidRPr="00D2042D">
              <w:rPr>
                <w:rFonts w:ascii="Arial Narrow" w:hAnsi="Arial Narrow"/>
                <w:sz w:val="20"/>
              </w:rPr>
              <w:t>increased</w:t>
            </w:r>
            <w:r w:rsidRPr="00D2042D">
              <w:rPr>
                <w:rFonts w:ascii="Arial Narrow" w:hAnsi="Arial Narrow"/>
                <w:sz w:val="20"/>
                <w:vertAlign w:val="superscript"/>
              </w:rPr>
              <w:t>a</w:t>
            </w:r>
            <w:proofErr w:type="spellEnd"/>
          </w:p>
        </w:tc>
        <w:tc>
          <w:tcPr>
            <w:tcW w:w="702" w:type="pc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rPr>
            </w:pPr>
            <w:r w:rsidRPr="00D2042D">
              <w:rPr>
                <w:rFonts w:ascii="Arial Narrow" w:hAnsi="Arial Narrow"/>
                <w:sz w:val="20"/>
              </w:rPr>
              <w:t>19/374</w:t>
            </w:r>
          </w:p>
        </w:tc>
        <w:tc>
          <w:tcPr>
            <w:tcW w:w="625" w:type="pc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rPr>
            </w:pPr>
            <w:r w:rsidRPr="00D2042D">
              <w:rPr>
                <w:rFonts w:ascii="Arial Narrow" w:hAnsi="Arial Narrow"/>
                <w:sz w:val="20"/>
              </w:rPr>
              <w:t>10/193</w:t>
            </w:r>
          </w:p>
        </w:tc>
        <w:tc>
          <w:tcPr>
            <w:tcW w:w="624" w:type="pct"/>
            <w:tcBorders>
              <w:top w:val="single" w:sz="4" w:space="0" w:color="auto"/>
              <w:left w:val="single" w:sz="4" w:space="0" w:color="auto"/>
              <w:bottom w:val="single" w:sz="4" w:space="0" w:color="auto"/>
              <w:right w:val="single" w:sz="4" w:space="0" w:color="auto"/>
            </w:tcBorders>
            <w:vAlign w:val="center"/>
          </w:tcPr>
          <w:p w:rsidR="00791481" w:rsidRPr="00A16364" w:rsidRDefault="00791481" w:rsidP="00687778">
            <w:pPr>
              <w:widowControl/>
              <w:jc w:val="center"/>
              <w:rPr>
                <w:rFonts w:ascii="Arial Narrow" w:eastAsia="Calibri" w:hAnsi="Arial Narrow"/>
                <w:sz w:val="20"/>
                <w:szCs w:val="20"/>
              </w:rPr>
            </w:pPr>
            <w:r w:rsidRPr="00A16364">
              <w:rPr>
                <w:rFonts w:ascii="Arial Narrow" w:eastAsia="Calibri" w:hAnsi="Arial Narrow"/>
                <w:sz w:val="20"/>
                <w:szCs w:val="20"/>
              </w:rPr>
              <w:t xml:space="preserve">1.03 </w:t>
            </w:r>
          </w:p>
          <w:p w:rsidR="00791481" w:rsidRPr="00D2042D" w:rsidRDefault="00791481" w:rsidP="00687778">
            <w:pPr>
              <w:widowControl/>
              <w:jc w:val="center"/>
              <w:rPr>
                <w:rFonts w:ascii="Arial Narrow" w:hAnsi="Arial Narrow"/>
                <w:sz w:val="20"/>
              </w:rPr>
            </w:pPr>
            <w:r w:rsidRPr="00A16364">
              <w:rPr>
                <w:rFonts w:ascii="Arial Narrow" w:eastAsia="Calibri" w:hAnsi="Arial Narrow"/>
                <w:sz w:val="20"/>
                <w:szCs w:val="20"/>
              </w:rPr>
              <w:t>(0.49, 2.16)</w:t>
            </w:r>
          </w:p>
        </w:tc>
        <w:tc>
          <w:tcPr>
            <w:tcW w:w="624" w:type="pct"/>
            <w:gridSpan w:val="2"/>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rPr>
            </w:pPr>
            <w:r w:rsidRPr="00D2042D">
              <w:rPr>
                <w:rFonts w:ascii="Arial Narrow" w:hAnsi="Arial Narrow"/>
                <w:sz w:val="20"/>
              </w:rPr>
              <w:t>5.1</w:t>
            </w:r>
          </w:p>
        </w:tc>
        <w:tc>
          <w:tcPr>
            <w:tcW w:w="468" w:type="pc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widowControl/>
              <w:jc w:val="center"/>
              <w:rPr>
                <w:rFonts w:ascii="Arial Narrow" w:hAnsi="Arial Narrow"/>
                <w:sz w:val="20"/>
              </w:rPr>
            </w:pPr>
            <w:r w:rsidRPr="00D2042D">
              <w:rPr>
                <w:rFonts w:ascii="Arial Narrow" w:hAnsi="Arial Narrow"/>
                <w:sz w:val="20"/>
              </w:rPr>
              <w:t>5.2</w:t>
            </w:r>
          </w:p>
        </w:tc>
        <w:tc>
          <w:tcPr>
            <w:tcW w:w="615" w:type="pct"/>
            <w:tcBorders>
              <w:top w:val="single" w:sz="4" w:space="0" w:color="auto"/>
              <w:left w:val="single" w:sz="4" w:space="0" w:color="auto"/>
              <w:bottom w:val="single" w:sz="4" w:space="0" w:color="auto"/>
              <w:right w:val="single" w:sz="4" w:space="0" w:color="auto"/>
            </w:tcBorders>
            <w:vAlign w:val="center"/>
          </w:tcPr>
          <w:p w:rsidR="00791481" w:rsidRPr="00D2042D" w:rsidRDefault="00791481" w:rsidP="00687778">
            <w:pPr>
              <w:keepNext/>
              <w:keepLines/>
              <w:widowControl/>
              <w:jc w:val="center"/>
              <w:rPr>
                <w:rFonts w:ascii="Arial Narrow" w:eastAsia="Calibri" w:hAnsi="Arial Narrow"/>
                <w:sz w:val="20"/>
                <w:szCs w:val="20"/>
              </w:rPr>
            </w:pPr>
            <w:r w:rsidRPr="00D2042D">
              <w:rPr>
                <w:rFonts w:ascii="Arial Narrow" w:eastAsia="Calibri" w:hAnsi="Arial Narrow"/>
                <w:sz w:val="20"/>
                <w:szCs w:val="20"/>
              </w:rPr>
              <w:t>0.00</w:t>
            </w:r>
          </w:p>
          <w:p w:rsidR="00791481" w:rsidRPr="00D2042D" w:rsidRDefault="00791481" w:rsidP="00687778">
            <w:pPr>
              <w:widowControl/>
              <w:jc w:val="center"/>
              <w:rPr>
                <w:rFonts w:ascii="Arial Narrow" w:hAnsi="Arial Narrow"/>
                <w:sz w:val="20"/>
              </w:rPr>
            </w:pPr>
            <w:r w:rsidRPr="00D2042D">
              <w:rPr>
                <w:rFonts w:ascii="Arial Narrow" w:eastAsia="Calibri" w:hAnsi="Arial Narrow"/>
                <w:sz w:val="20"/>
                <w:szCs w:val="20"/>
              </w:rPr>
              <w:t>(-0.04, 0.04)</w:t>
            </w:r>
          </w:p>
        </w:tc>
      </w:tr>
    </w:tbl>
    <w:p w:rsidR="003019FC" w:rsidRPr="00744707" w:rsidRDefault="00B20FEC" w:rsidP="00687778">
      <w:pPr>
        <w:pStyle w:val="TableFooter"/>
        <w:widowControl/>
      </w:pPr>
      <w:r w:rsidRPr="00744707">
        <w:t xml:space="preserve">Notes: </w:t>
      </w:r>
      <w:r w:rsidRPr="00744707">
        <w:rPr>
          <w:vertAlign w:val="superscript"/>
        </w:rPr>
        <w:t xml:space="preserve">a </w:t>
      </w:r>
      <w:proofErr w:type="gramStart"/>
      <w:r w:rsidRPr="00744707">
        <w:t>Only</w:t>
      </w:r>
      <w:proofErr w:type="gramEnd"/>
      <w:r w:rsidRPr="00744707">
        <w:t xml:space="preserve"> grade 3 and 4 adverse events are reported. </w:t>
      </w:r>
      <w:proofErr w:type="gramStart"/>
      <w:r w:rsidR="00847E39" w:rsidRPr="00744707">
        <w:rPr>
          <w:vertAlign w:val="superscript"/>
        </w:rPr>
        <w:t>b</w:t>
      </w:r>
      <w:proofErr w:type="gramEnd"/>
      <w:r w:rsidR="00847E39" w:rsidRPr="00744707">
        <w:t xml:space="preserve"> Unknown whether statistically significant due to data </w:t>
      </w:r>
      <w:r w:rsidR="00D0674A" w:rsidRPr="00744707">
        <w:t xml:space="preserve">being </w:t>
      </w:r>
      <w:r w:rsidR="00847E39" w:rsidRPr="00744707">
        <w:t>unavailab</w:t>
      </w:r>
      <w:r w:rsidR="00D0674A" w:rsidRPr="00744707">
        <w:t>le</w:t>
      </w:r>
      <w:r w:rsidR="003019FC" w:rsidRPr="00744707">
        <w:t xml:space="preserve">. </w:t>
      </w:r>
    </w:p>
    <w:p w:rsidR="00847E39" w:rsidRPr="00744707" w:rsidRDefault="003019FC" w:rsidP="00687778">
      <w:pPr>
        <w:pStyle w:val="TableFooter"/>
        <w:widowControl/>
      </w:pPr>
      <w:proofErr w:type="gramStart"/>
      <w:r w:rsidRPr="00744707">
        <w:rPr>
          <w:vertAlign w:val="superscript"/>
        </w:rPr>
        <w:t>c</w:t>
      </w:r>
      <w:proofErr w:type="gramEnd"/>
      <w:r w:rsidRPr="00744707">
        <w:t xml:space="preserve"> Median duration of follow-up OS: RESORCE Trial = 7 months, Maximum duration of follow-up OS: RESORCE Trial = 33 months.</w:t>
      </w:r>
    </w:p>
    <w:p w:rsidR="00B20FEC" w:rsidRPr="00744707" w:rsidRDefault="00B20FEC" w:rsidP="00687778">
      <w:pPr>
        <w:pStyle w:val="TableFooter"/>
        <w:widowControl/>
      </w:pPr>
      <w:r w:rsidRPr="00744707">
        <w:t xml:space="preserve">Abbreviations: AST= aspartate aminotransferase; BSC= best supportive care; HFSR= Hand–foot skin reaction; HR = hazard ratio; </w:t>
      </w:r>
      <w:proofErr w:type="spellStart"/>
      <w:r w:rsidR="00B74B15" w:rsidRPr="00744707">
        <w:t>n.r</w:t>
      </w:r>
      <w:proofErr w:type="spellEnd"/>
      <w:proofErr w:type="gramStart"/>
      <w:r w:rsidR="00B74B15" w:rsidRPr="00744707">
        <w:t>.=</w:t>
      </w:r>
      <w:proofErr w:type="gramEnd"/>
      <w:r w:rsidR="00B74B15" w:rsidRPr="00744707">
        <w:t xml:space="preserve">not reported; </w:t>
      </w:r>
      <w:r w:rsidRPr="00744707">
        <w:t>RD = risk difference; RR = risk ratio</w:t>
      </w:r>
    </w:p>
    <w:p w:rsidR="00A903FB" w:rsidRPr="00744707" w:rsidRDefault="00A903FB" w:rsidP="00687778">
      <w:pPr>
        <w:pStyle w:val="TableFooter"/>
        <w:widowControl/>
      </w:pPr>
      <w:r w:rsidRPr="00744707">
        <w:t>Source: Table 2-27, Table 2-29</w:t>
      </w:r>
      <w:r w:rsidR="009032C9" w:rsidRPr="00744707">
        <w:t>, Table 2-37</w:t>
      </w:r>
      <w:r w:rsidRPr="00744707">
        <w:t>, p. 86 to 89, 104 of the resubmission</w:t>
      </w:r>
      <w:r w:rsidR="002E1898" w:rsidRPr="00744707">
        <w:t>,  Table 14.2.1/1 p6</w:t>
      </w:r>
      <w:r w:rsidR="006D7311" w:rsidRPr="00744707">
        <w:t xml:space="preserve"> of 79 (OS)</w:t>
      </w:r>
      <w:r w:rsidR="002E1898" w:rsidRPr="00744707">
        <w:t xml:space="preserve"> and </w:t>
      </w:r>
      <w:r w:rsidR="006D7311" w:rsidRPr="00744707">
        <w:t xml:space="preserve">Table 14.2.1/1 p3 of 10 (PFS) </w:t>
      </w:r>
      <w:r w:rsidR="002E1898" w:rsidRPr="00744707">
        <w:t>of the updated CSR to the resubmission.</w:t>
      </w:r>
      <w:r w:rsidR="006D7311" w:rsidRPr="00744707">
        <w:t xml:space="preserve"> </w:t>
      </w:r>
      <w:r w:rsidR="00847E39" w:rsidRPr="00744707">
        <w:t xml:space="preserve">HFSR (any grade) calculated from Table 2 data within reference in resubmission: </w:t>
      </w:r>
      <w:proofErr w:type="spellStart"/>
      <w:r w:rsidR="00847E39" w:rsidRPr="00744707">
        <w:t>Bruix</w:t>
      </w:r>
      <w:proofErr w:type="spellEnd"/>
      <w:r w:rsidR="00847E39" w:rsidRPr="00744707">
        <w:t xml:space="preserve"> Updated overall survival analysis (ESMO 19</w:t>
      </w:r>
      <w:r w:rsidR="00847E39" w:rsidRPr="00744707">
        <w:rPr>
          <w:vertAlign w:val="superscript"/>
        </w:rPr>
        <w:t>th</w:t>
      </w:r>
      <w:r w:rsidR="00847E39" w:rsidRPr="00744707">
        <w:t xml:space="preserve"> World Congress on Gastrointestinal Cancer) - July 2017</w:t>
      </w:r>
    </w:p>
    <w:p w:rsidR="005D737B" w:rsidRDefault="00B20FEC" w:rsidP="00687778">
      <w:pPr>
        <w:pStyle w:val="TableFooter"/>
        <w:widowControl/>
      </w:pPr>
      <w:r w:rsidRPr="00744707">
        <w:t>Note: Bold text indicates a statistically significant value.</w:t>
      </w:r>
    </w:p>
    <w:p w:rsidR="00A02D9C" w:rsidRPr="00B74B15" w:rsidRDefault="00A02D9C" w:rsidP="00687778">
      <w:pPr>
        <w:pStyle w:val="TableFooter"/>
        <w:widowControl/>
      </w:pPr>
    </w:p>
    <w:p w:rsidR="00B20FEC" w:rsidRPr="00744707" w:rsidRDefault="00B20FEC" w:rsidP="00687778">
      <w:pPr>
        <w:pStyle w:val="ListParagraph"/>
        <w:widowControl/>
        <w:numPr>
          <w:ilvl w:val="1"/>
          <w:numId w:val="3"/>
        </w:numPr>
        <w:spacing w:after="0"/>
      </w:pPr>
      <w:r w:rsidRPr="00744707">
        <w:t>On the basis of the direct evidence presented by the</w:t>
      </w:r>
      <w:r w:rsidR="00950607" w:rsidRPr="00744707">
        <w:t xml:space="preserve"> resubmission</w:t>
      </w:r>
      <w:r w:rsidRPr="00744707">
        <w:t>, for every 100 patients treated with regorafenib in comparison to BSC</w:t>
      </w:r>
      <w:r w:rsidR="005C7D3D" w:rsidRPr="00744707">
        <w:t>:</w:t>
      </w:r>
    </w:p>
    <w:p w:rsidR="005C7D3D" w:rsidRPr="00744707" w:rsidRDefault="00193435" w:rsidP="00687778">
      <w:pPr>
        <w:pStyle w:val="ListParagraph"/>
        <w:widowControl/>
        <w:numPr>
          <w:ilvl w:val="0"/>
          <w:numId w:val="2"/>
        </w:numPr>
        <w:spacing w:before="40" w:after="40"/>
        <w:ind w:left="992" w:hanging="357"/>
      </w:pPr>
      <w:r w:rsidRPr="00744707">
        <w:rPr>
          <w:rFonts w:cs="Calibri"/>
          <w:snapToGrid/>
          <w:szCs w:val="24"/>
          <w:lang w:val="en-US" w:eastAsia="en-AU"/>
        </w:rPr>
        <w:t xml:space="preserve">Approximately </w:t>
      </w:r>
      <w:r w:rsidR="00962D70" w:rsidRPr="00744707">
        <w:rPr>
          <w:rFonts w:cs="Calibri"/>
          <w:snapToGrid/>
          <w:szCs w:val="24"/>
          <w:lang w:val="en-US" w:eastAsia="en-AU"/>
        </w:rPr>
        <w:t>5</w:t>
      </w:r>
      <w:r w:rsidR="005C7D3D" w:rsidRPr="00744707">
        <w:rPr>
          <w:rFonts w:cs="Calibri"/>
          <w:snapToGrid/>
          <w:szCs w:val="24"/>
          <w:lang w:val="en-US" w:eastAsia="en-AU"/>
        </w:rPr>
        <w:t xml:space="preserve"> more patients will remain progression free</w:t>
      </w:r>
      <w:r w:rsidRPr="00744707">
        <w:rPr>
          <w:rFonts w:cs="Calibri"/>
          <w:snapToGrid/>
          <w:szCs w:val="24"/>
          <w:lang w:val="en-US" w:eastAsia="en-AU"/>
        </w:rPr>
        <w:t xml:space="preserve"> </w:t>
      </w:r>
      <w:r w:rsidR="00BB1A12" w:rsidRPr="00744707">
        <w:rPr>
          <w:rFonts w:cs="Calibri"/>
          <w:snapToGrid/>
          <w:szCs w:val="24"/>
          <w:lang w:val="en-US" w:eastAsia="en-AU"/>
        </w:rPr>
        <w:t xml:space="preserve">after </w:t>
      </w:r>
      <w:r w:rsidRPr="00744707">
        <w:rPr>
          <w:rFonts w:cs="Calibri"/>
          <w:snapToGrid/>
          <w:szCs w:val="24"/>
          <w:lang w:val="en-US" w:eastAsia="en-AU"/>
        </w:rPr>
        <w:t>18</w:t>
      </w:r>
      <w:r w:rsidR="005C7D3D" w:rsidRPr="00744707">
        <w:rPr>
          <w:rFonts w:cs="Calibri"/>
          <w:snapToGrid/>
          <w:szCs w:val="24"/>
          <w:lang w:val="en-US" w:eastAsia="en-AU"/>
        </w:rPr>
        <w:t xml:space="preserve"> months of treatment.</w:t>
      </w:r>
    </w:p>
    <w:p w:rsidR="00B20FEC" w:rsidRPr="00744707" w:rsidRDefault="00193435" w:rsidP="00687778">
      <w:pPr>
        <w:pStyle w:val="ListParagraph"/>
        <w:widowControl/>
        <w:numPr>
          <w:ilvl w:val="0"/>
          <w:numId w:val="2"/>
        </w:numPr>
        <w:spacing w:before="40" w:after="40"/>
        <w:ind w:left="992" w:hanging="357"/>
        <w:rPr>
          <w:rFonts w:cs="Calibri"/>
          <w:snapToGrid/>
          <w:szCs w:val="24"/>
          <w:lang w:val="en-US" w:eastAsia="en-AU"/>
        </w:rPr>
      </w:pPr>
      <w:r w:rsidRPr="00744707">
        <w:rPr>
          <w:rFonts w:cs="Calibri"/>
          <w:snapToGrid/>
          <w:szCs w:val="24"/>
          <w:lang w:val="en-US" w:eastAsia="en-AU"/>
        </w:rPr>
        <w:t xml:space="preserve">Approximately </w:t>
      </w:r>
      <w:r w:rsidR="002E1898" w:rsidRPr="00744707">
        <w:rPr>
          <w:rFonts w:cs="Calibri"/>
          <w:snapToGrid/>
          <w:szCs w:val="24"/>
          <w:lang w:val="en-US" w:eastAsia="en-AU"/>
        </w:rPr>
        <w:t>16</w:t>
      </w:r>
      <w:r w:rsidR="00B20FEC" w:rsidRPr="00744707">
        <w:rPr>
          <w:rFonts w:cs="Calibri"/>
          <w:snapToGrid/>
          <w:szCs w:val="24"/>
          <w:lang w:val="en-US" w:eastAsia="en-AU"/>
        </w:rPr>
        <w:t xml:space="preserve"> more patients will </w:t>
      </w:r>
      <w:r w:rsidR="003019FC" w:rsidRPr="00744707">
        <w:rPr>
          <w:rFonts w:cs="Calibri"/>
          <w:snapToGrid/>
          <w:szCs w:val="24"/>
          <w:lang w:val="en-US" w:eastAsia="en-AU"/>
        </w:rPr>
        <w:t>remain alive</w:t>
      </w:r>
      <w:r w:rsidR="005C7D3D" w:rsidRPr="00744707">
        <w:rPr>
          <w:rFonts w:cs="Calibri"/>
          <w:snapToGrid/>
          <w:szCs w:val="24"/>
          <w:lang w:val="en-US" w:eastAsia="en-AU"/>
        </w:rPr>
        <w:t xml:space="preserve"> after </w:t>
      </w:r>
      <w:r w:rsidR="00BB1A12" w:rsidRPr="00744707">
        <w:rPr>
          <w:rFonts w:cs="Calibri"/>
          <w:snapToGrid/>
          <w:szCs w:val="24"/>
          <w:lang w:val="en-US" w:eastAsia="en-AU"/>
        </w:rPr>
        <w:t>18 months</w:t>
      </w:r>
      <w:r w:rsidR="005C7D3D" w:rsidRPr="00744707">
        <w:rPr>
          <w:rFonts w:cs="Calibri"/>
          <w:snapToGrid/>
          <w:szCs w:val="24"/>
          <w:lang w:val="en-US" w:eastAsia="en-AU"/>
        </w:rPr>
        <w:t xml:space="preserve"> of treatment</w:t>
      </w:r>
      <w:r w:rsidR="00B20FEC" w:rsidRPr="00744707">
        <w:rPr>
          <w:rFonts w:cs="Calibri"/>
          <w:snapToGrid/>
          <w:szCs w:val="24"/>
          <w:lang w:val="en-US" w:eastAsia="en-AU"/>
        </w:rPr>
        <w:t>.</w:t>
      </w:r>
    </w:p>
    <w:p w:rsidR="00B20FEC" w:rsidRPr="00744707" w:rsidRDefault="00B20FEC" w:rsidP="00687778">
      <w:pPr>
        <w:pStyle w:val="ListParagraph"/>
        <w:widowControl/>
        <w:numPr>
          <w:ilvl w:val="0"/>
          <w:numId w:val="2"/>
        </w:numPr>
        <w:spacing w:before="40" w:after="40"/>
        <w:ind w:left="992" w:hanging="357"/>
      </w:pPr>
      <w:r w:rsidRPr="00744707">
        <w:rPr>
          <w:rFonts w:cs="Calibri"/>
          <w:snapToGrid/>
          <w:szCs w:val="24"/>
          <w:lang w:val="en-US" w:eastAsia="en-AU"/>
        </w:rPr>
        <w:t>Approximately 10 more patients will experience hypertension</w:t>
      </w:r>
      <w:r w:rsidR="003019FC" w:rsidRPr="00744707">
        <w:rPr>
          <w:rFonts w:cs="Calibri"/>
          <w:snapToGrid/>
          <w:szCs w:val="24"/>
          <w:lang w:val="en-US" w:eastAsia="en-AU"/>
        </w:rPr>
        <w:t xml:space="preserve"> over a duration of exposure of 7 months</w:t>
      </w:r>
      <w:r w:rsidRPr="00744707">
        <w:rPr>
          <w:rFonts w:cs="Calibri"/>
          <w:snapToGrid/>
          <w:szCs w:val="24"/>
          <w:lang w:val="en-US" w:eastAsia="en-AU"/>
        </w:rPr>
        <w:t>.</w:t>
      </w:r>
    </w:p>
    <w:p w:rsidR="009C12BE" w:rsidRPr="00744707" w:rsidRDefault="00B20FEC" w:rsidP="00687778">
      <w:pPr>
        <w:pStyle w:val="ListParagraph"/>
        <w:widowControl/>
        <w:numPr>
          <w:ilvl w:val="0"/>
          <w:numId w:val="2"/>
        </w:numPr>
        <w:spacing w:before="40" w:after="40"/>
        <w:ind w:left="992" w:hanging="357"/>
      </w:pPr>
      <w:r w:rsidRPr="00744707">
        <w:rPr>
          <w:rFonts w:cs="Calibri"/>
          <w:snapToGrid/>
          <w:szCs w:val="24"/>
          <w:lang w:val="en-US" w:eastAsia="en-AU"/>
        </w:rPr>
        <w:t xml:space="preserve">Approximately 12 </w:t>
      </w:r>
      <w:r w:rsidR="009C12BE" w:rsidRPr="00744707">
        <w:rPr>
          <w:rFonts w:cs="Calibri"/>
          <w:snapToGrid/>
          <w:szCs w:val="24"/>
          <w:lang w:val="en-US" w:eastAsia="en-AU"/>
        </w:rPr>
        <w:t xml:space="preserve">more patients will experience a grade 3 </w:t>
      </w:r>
      <w:r w:rsidR="005D7D00" w:rsidRPr="00744707">
        <w:rPr>
          <w:rFonts w:cs="Calibri"/>
          <w:snapToGrid/>
          <w:szCs w:val="24"/>
          <w:lang w:val="en-US" w:eastAsia="en-AU"/>
        </w:rPr>
        <w:t>HFSR</w:t>
      </w:r>
      <w:r w:rsidR="007013CD" w:rsidRPr="00744707">
        <w:rPr>
          <w:rFonts w:cs="Calibri"/>
          <w:snapToGrid/>
          <w:szCs w:val="24"/>
          <w:lang w:val="en-US" w:eastAsia="en-AU"/>
        </w:rPr>
        <w:t xml:space="preserve"> over a duration of exposure of 7 months.</w:t>
      </w:r>
    </w:p>
    <w:p w:rsidR="00B20FEC" w:rsidRPr="00744707" w:rsidRDefault="005D7D00" w:rsidP="00687778">
      <w:pPr>
        <w:pStyle w:val="ListParagraph"/>
        <w:widowControl/>
        <w:numPr>
          <w:ilvl w:val="0"/>
          <w:numId w:val="2"/>
        </w:numPr>
        <w:spacing w:before="40" w:after="40"/>
        <w:ind w:left="992" w:hanging="357"/>
      </w:pPr>
      <w:r w:rsidRPr="00744707">
        <w:rPr>
          <w:rFonts w:cs="Calibri"/>
          <w:snapToGrid/>
          <w:szCs w:val="24"/>
          <w:lang w:val="en-US" w:eastAsia="en-AU"/>
        </w:rPr>
        <w:lastRenderedPageBreak/>
        <w:t xml:space="preserve">Approximately </w:t>
      </w:r>
      <w:r w:rsidR="00382679" w:rsidRPr="00744707">
        <w:rPr>
          <w:rFonts w:cs="Calibri"/>
          <w:snapToGrid/>
          <w:szCs w:val="24"/>
          <w:lang w:val="en-US" w:eastAsia="en-AU"/>
        </w:rPr>
        <w:t xml:space="preserve">45 </w:t>
      </w:r>
      <w:r w:rsidR="00B20FEC" w:rsidRPr="00744707">
        <w:rPr>
          <w:rFonts w:cs="Calibri"/>
          <w:snapToGrid/>
          <w:szCs w:val="24"/>
          <w:lang w:val="en-US" w:eastAsia="en-AU"/>
        </w:rPr>
        <w:t xml:space="preserve">more patients will experience </w:t>
      </w:r>
      <w:r w:rsidRPr="00744707">
        <w:rPr>
          <w:rFonts w:cs="Calibri"/>
          <w:snapToGrid/>
          <w:szCs w:val="24"/>
          <w:lang w:val="en-US" w:eastAsia="en-AU"/>
        </w:rPr>
        <w:t>a HFSR (</w:t>
      </w:r>
      <w:r w:rsidR="00382679" w:rsidRPr="00744707">
        <w:rPr>
          <w:rFonts w:cs="Calibri"/>
          <w:snapToGrid/>
          <w:szCs w:val="24"/>
          <w:lang w:val="en-US" w:eastAsia="en-AU"/>
        </w:rPr>
        <w:t>any grade</w:t>
      </w:r>
      <w:r w:rsidRPr="00744707">
        <w:rPr>
          <w:rFonts w:cs="Calibri"/>
          <w:snapToGrid/>
          <w:szCs w:val="24"/>
          <w:lang w:val="en-US" w:eastAsia="en-AU"/>
        </w:rPr>
        <w:t>)</w:t>
      </w:r>
      <w:r w:rsidR="007013CD" w:rsidRPr="00744707">
        <w:rPr>
          <w:rFonts w:cs="Calibri"/>
          <w:snapToGrid/>
          <w:szCs w:val="24"/>
          <w:lang w:val="en-US" w:eastAsia="en-AU"/>
        </w:rPr>
        <w:t xml:space="preserve"> over a duration of exposure of 7 months.</w:t>
      </w:r>
    </w:p>
    <w:p w:rsidR="00B60939" w:rsidRPr="00882085" w:rsidRDefault="00B60939" w:rsidP="00067969">
      <w:pPr>
        <w:pStyle w:val="Heading2"/>
      </w:pPr>
      <w:bookmarkStart w:id="12" w:name="_Toc523405677"/>
      <w:r w:rsidRPr="00744707">
        <w:t>Clinical claim</w:t>
      </w:r>
      <w:bookmarkEnd w:id="12"/>
    </w:p>
    <w:p w:rsidR="00A139D2" w:rsidRDefault="00A139D2" w:rsidP="00687778">
      <w:pPr>
        <w:pStyle w:val="ListParagraph"/>
        <w:widowControl/>
        <w:numPr>
          <w:ilvl w:val="1"/>
          <w:numId w:val="3"/>
        </w:numPr>
      </w:pPr>
      <w:r>
        <w:t>The</w:t>
      </w:r>
      <w:r w:rsidR="00950607">
        <w:t xml:space="preserve"> resubmission</w:t>
      </w:r>
      <w:r>
        <w:t xml:space="preserve"> claimed that r</w:t>
      </w:r>
      <w:r w:rsidRPr="001729B9">
        <w:t xml:space="preserve">egorafenib </w:t>
      </w:r>
      <w:r>
        <w:t>wa</w:t>
      </w:r>
      <w:r w:rsidRPr="001729B9">
        <w:t xml:space="preserve">s superior to BSC for the treatment of advanced HCC, </w:t>
      </w:r>
      <w:r w:rsidRPr="00A139D2">
        <w:t xml:space="preserve">providing a statistically </w:t>
      </w:r>
      <w:r w:rsidRPr="00744707">
        <w:t>and clinically significant increase in OS</w:t>
      </w:r>
      <w:r w:rsidR="00C50122">
        <w:t>; and that</w:t>
      </w:r>
      <w:r w:rsidR="00FD4D73" w:rsidRPr="00744707">
        <w:t xml:space="preserve"> regorafenib</w:t>
      </w:r>
      <w:r w:rsidRPr="00744707">
        <w:t xml:space="preserve"> </w:t>
      </w:r>
      <w:r w:rsidR="00D0674A" w:rsidRPr="00744707">
        <w:t xml:space="preserve">was </w:t>
      </w:r>
      <w:r w:rsidRPr="00744707">
        <w:t>associated with a higher incidence of drug related adverse events which were well tolerated and with no clinically significant impact on QoL.</w:t>
      </w:r>
      <w:r>
        <w:t xml:space="preserve"> </w:t>
      </w:r>
      <w:r w:rsidRPr="002B24E7">
        <w:t xml:space="preserve">The clinical claim was supported by the data presented with respect to OS, </w:t>
      </w:r>
      <w:r w:rsidR="003C65C8">
        <w:t>and t</w:t>
      </w:r>
      <w:r w:rsidR="003C65C8" w:rsidRPr="00D31E2F">
        <w:t xml:space="preserve">he ESC considered that the clinical claim of superior efficacy to BSC was reasonable. </w:t>
      </w:r>
      <w:r w:rsidR="003C65C8">
        <w:t xml:space="preserve">The clinical claim </w:t>
      </w:r>
      <w:r w:rsidRPr="002B24E7">
        <w:t>may not be supported with respect to the impact of adverse events on QoL</w:t>
      </w:r>
      <w:r w:rsidR="003C65C8" w:rsidRPr="003C65C8">
        <w:t xml:space="preserve"> </w:t>
      </w:r>
      <w:r w:rsidR="003C65C8">
        <w:t>and t</w:t>
      </w:r>
      <w:r w:rsidR="003C65C8" w:rsidRPr="00D31E2F">
        <w:t>he ESC considered that regorafenib has inferior safety to BSC.</w:t>
      </w:r>
      <w:r w:rsidR="00970EBF">
        <w:t xml:space="preserve"> P</w:t>
      </w:r>
      <w:r w:rsidR="003C65C8" w:rsidRPr="003C65C8">
        <w:t>atients</w:t>
      </w:r>
      <w:r w:rsidR="00970EBF">
        <w:t xml:space="preserve"> treated with regorafenib</w:t>
      </w:r>
      <w:r w:rsidR="003C65C8" w:rsidRPr="003C65C8">
        <w:t xml:space="preserve"> are 3 times more likely to suffer any grade 3 or 4 adverse event compared to BSC; there were no data presented which showed that these events did not result in a diminution of patients’ QoL. The submission acknowledged that patients on regorafenib are more likely to experience significant toxicity and the PSCR </w:t>
      </w:r>
      <w:r w:rsidR="004E619B">
        <w:t>revised</w:t>
      </w:r>
      <w:r w:rsidR="003C65C8" w:rsidRPr="003C65C8">
        <w:t xml:space="preserve"> the clinical claim </w:t>
      </w:r>
      <w:r w:rsidR="004E619B">
        <w:t>to</w:t>
      </w:r>
      <w:r w:rsidR="003C65C8" w:rsidRPr="003C65C8">
        <w:t xml:space="preserve"> inferior safety compared with placebo. The ESC agreed that this was appropriate and noted that the </w:t>
      </w:r>
      <w:r w:rsidR="0023363C">
        <w:t xml:space="preserve">economic </w:t>
      </w:r>
      <w:r w:rsidR="003C65C8" w:rsidRPr="003C65C8">
        <w:t>model accounted for this inferior safety by using utility values based on treatment groups and applying disutility values for adverse events.</w:t>
      </w:r>
    </w:p>
    <w:p w:rsidR="004B7362" w:rsidRPr="004E619B" w:rsidRDefault="004B7362" w:rsidP="002652E7">
      <w:pPr>
        <w:pStyle w:val="ListParagraph"/>
        <w:widowControl/>
        <w:numPr>
          <w:ilvl w:val="1"/>
          <w:numId w:val="3"/>
        </w:numPr>
        <w:spacing w:after="120"/>
        <w:ind w:left="709" w:hanging="709"/>
        <w:rPr>
          <w:rFonts w:asciiTheme="minorHAnsi" w:hAnsiTheme="minorHAnsi"/>
          <w:szCs w:val="20"/>
        </w:rPr>
      </w:pPr>
      <w:r w:rsidRPr="004E619B">
        <w:rPr>
          <w:rFonts w:asciiTheme="minorHAnsi" w:hAnsiTheme="minorHAnsi"/>
          <w:szCs w:val="20"/>
        </w:rPr>
        <w:t>The PBAC considered that the claim of superior comparative effectiveness was reasonable</w:t>
      </w:r>
      <w:r w:rsidR="004E619B" w:rsidRPr="004E619B">
        <w:rPr>
          <w:rFonts w:asciiTheme="minorHAnsi" w:hAnsiTheme="minorHAnsi"/>
          <w:szCs w:val="20"/>
        </w:rPr>
        <w:t>.</w:t>
      </w:r>
    </w:p>
    <w:p w:rsidR="004B7362" w:rsidRPr="004E619B" w:rsidRDefault="004B7362" w:rsidP="002652E7">
      <w:pPr>
        <w:pStyle w:val="ListParagraph"/>
        <w:widowControl/>
        <w:numPr>
          <w:ilvl w:val="1"/>
          <w:numId w:val="3"/>
        </w:numPr>
        <w:spacing w:after="120"/>
        <w:ind w:left="709" w:hanging="709"/>
        <w:rPr>
          <w:rFonts w:asciiTheme="minorHAnsi" w:hAnsiTheme="minorHAnsi"/>
          <w:szCs w:val="20"/>
        </w:rPr>
      </w:pPr>
      <w:r w:rsidRPr="004E619B">
        <w:rPr>
          <w:rFonts w:asciiTheme="minorHAnsi" w:hAnsiTheme="minorHAnsi"/>
          <w:szCs w:val="20"/>
        </w:rPr>
        <w:t>The PBAC considered that the claim of inferior comparative safety was reasonable</w:t>
      </w:r>
      <w:r w:rsidR="004E619B" w:rsidRPr="004E619B">
        <w:rPr>
          <w:rFonts w:asciiTheme="minorHAnsi" w:hAnsiTheme="minorHAnsi"/>
          <w:szCs w:val="20"/>
        </w:rPr>
        <w:t>.</w:t>
      </w:r>
    </w:p>
    <w:p w:rsidR="00B60939" w:rsidRPr="00D8387F" w:rsidRDefault="00B60939" w:rsidP="00067969">
      <w:pPr>
        <w:pStyle w:val="Heading2"/>
      </w:pPr>
      <w:bookmarkStart w:id="13" w:name="_Toc523405678"/>
      <w:r w:rsidRPr="00D8387F">
        <w:t>Economic analysis</w:t>
      </w:r>
      <w:bookmarkEnd w:id="13"/>
      <w:r w:rsidR="00491B3A" w:rsidRPr="00D8387F">
        <w:t xml:space="preserve"> </w:t>
      </w:r>
    </w:p>
    <w:p w:rsidR="00D15FB0" w:rsidRPr="00D8387F" w:rsidRDefault="00D15FB0" w:rsidP="00687778">
      <w:pPr>
        <w:pStyle w:val="ListParagraph"/>
        <w:widowControl/>
        <w:numPr>
          <w:ilvl w:val="1"/>
          <w:numId w:val="3"/>
        </w:numPr>
      </w:pPr>
      <w:r w:rsidRPr="00D8387F">
        <w:t>The economic evaluations presented were a cost-effectiveness analysis (CEA) and cost-utility analysis (CUA</w:t>
      </w:r>
      <w:r w:rsidRPr="002B24E7">
        <w:t>). Health benefits were reported as life years gained (LYGs) and QALYs gained, respectively.</w:t>
      </w:r>
      <w:r w:rsidRPr="00D8387F">
        <w:rPr>
          <w:i/>
        </w:rPr>
        <w:t xml:space="preserve"> </w:t>
      </w:r>
      <w:r w:rsidR="000D008C" w:rsidRPr="002B24E7">
        <w:t>The latest OS and PFS data were used for the economic analysis (cut-off 23</w:t>
      </w:r>
      <w:r w:rsidR="000D008C" w:rsidRPr="002B24E7">
        <w:rPr>
          <w:vertAlign w:val="superscript"/>
        </w:rPr>
        <w:t>rd</w:t>
      </w:r>
      <w:r w:rsidR="000D008C" w:rsidRPr="002B24E7">
        <w:t xml:space="preserve"> January 2017). This </w:t>
      </w:r>
      <w:r w:rsidR="002652E7">
        <w:t>wa</w:t>
      </w:r>
      <w:r w:rsidR="000D008C" w:rsidRPr="002B24E7">
        <w:t>s appropriate and provided an additional 11 months of follow-up data from the March 2018 submission.</w:t>
      </w:r>
    </w:p>
    <w:p w:rsidR="00D15FB0" w:rsidRPr="00D8387F" w:rsidRDefault="00D15FB0" w:rsidP="00875D7E">
      <w:pPr>
        <w:keepNext/>
        <w:widowControl/>
        <w:rPr>
          <w:rStyle w:val="CommentReference"/>
        </w:rPr>
      </w:pPr>
      <w:r w:rsidRPr="00D8387F">
        <w:rPr>
          <w:rStyle w:val="CommentReference"/>
        </w:rPr>
        <w:lastRenderedPageBreak/>
        <w:t xml:space="preserve">Table </w:t>
      </w:r>
      <w:r w:rsidR="00304DC0">
        <w:rPr>
          <w:rStyle w:val="CommentReference"/>
        </w:rPr>
        <w:t>10</w:t>
      </w:r>
      <w:r w:rsidRPr="00D8387F">
        <w:rPr>
          <w:rStyle w:val="CommentReference"/>
        </w:rPr>
        <w:t>: Key components of the economic evaluation</w:t>
      </w:r>
    </w:p>
    <w:tbl>
      <w:tblPr>
        <w:tblW w:w="50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72"/>
        <w:gridCol w:w="6088"/>
      </w:tblGrid>
      <w:tr w:rsidR="00D15FB0" w:rsidRPr="00D8387F" w:rsidTr="00863879">
        <w:trPr>
          <w:trHeight w:val="157"/>
        </w:trPr>
        <w:tc>
          <w:tcPr>
            <w:tcW w:w="1640" w:type="pct"/>
            <w:vAlign w:val="center"/>
          </w:tcPr>
          <w:p w:rsidR="00D15FB0" w:rsidRPr="00D8387F" w:rsidRDefault="00D15FB0" w:rsidP="00875D7E">
            <w:pPr>
              <w:pStyle w:val="Tabletext"/>
              <w:keepNext/>
              <w:rPr>
                <w:b/>
              </w:rPr>
            </w:pPr>
            <w:r w:rsidRPr="00D8387F">
              <w:rPr>
                <w:b/>
              </w:rPr>
              <w:t>Component</w:t>
            </w:r>
          </w:p>
        </w:tc>
        <w:tc>
          <w:tcPr>
            <w:tcW w:w="3360" w:type="pct"/>
            <w:vAlign w:val="center"/>
          </w:tcPr>
          <w:p w:rsidR="00D15FB0" w:rsidRPr="00D8387F" w:rsidRDefault="00D15FB0" w:rsidP="00875D7E">
            <w:pPr>
              <w:pStyle w:val="Tabletext"/>
              <w:keepNext/>
              <w:rPr>
                <w:b/>
              </w:rPr>
            </w:pPr>
            <w:r w:rsidRPr="00D8387F">
              <w:rPr>
                <w:b/>
              </w:rPr>
              <w:t>Description</w:t>
            </w:r>
          </w:p>
        </w:tc>
      </w:tr>
      <w:tr w:rsidR="00D15FB0" w:rsidRPr="00D8387F" w:rsidTr="00863879">
        <w:trPr>
          <w:trHeight w:val="157"/>
        </w:trPr>
        <w:tc>
          <w:tcPr>
            <w:tcW w:w="1640" w:type="pct"/>
            <w:vAlign w:val="center"/>
          </w:tcPr>
          <w:p w:rsidR="00D15FB0" w:rsidRPr="00D8387F" w:rsidRDefault="00D15FB0" w:rsidP="00875D7E">
            <w:pPr>
              <w:pStyle w:val="Tabletext"/>
              <w:keepNext/>
            </w:pPr>
            <w:r w:rsidRPr="00D8387F">
              <w:t>Perspective</w:t>
            </w:r>
          </w:p>
        </w:tc>
        <w:tc>
          <w:tcPr>
            <w:tcW w:w="3360" w:type="pct"/>
            <w:vAlign w:val="center"/>
          </w:tcPr>
          <w:p w:rsidR="00D15FB0" w:rsidRPr="00D8387F" w:rsidRDefault="00D15FB0" w:rsidP="00875D7E">
            <w:pPr>
              <w:pStyle w:val="Tabletext"/>
              <w:keepNext/>
            </w:pPr>
            <w:r w:rsidRPr="00D8387F">
              <w:t>Health care perspective</w:t>
            </w:r>
          </w:p>
        </w:tc>
      </w:tr>
      <w:tr w:rsidR="00D15FB0" w:rsidRPr="00D8387F" w:rsidTr="00863879">
        <w:trPr>
          <w:trHeight w:val="157"/>
        </w:trPr>
        <w:tc>
          <w:tcPr>
            <w:tcW w:w="1640" w:type="pct"/>
            <w:vAlign w:val="center"/>
          </w:tcPr>
          <w:p w:rsidR="00D15FB0" w:rsidRPr="00D8387F" w:rsidRDefault="00D15FB0" w:rsidP="00875D7E">
            <w:pPr>
              <w:pStyle w:val="Tabletext"/>
              <w:keepNext/>
            </w:pPr>
            <w:r w:rsidRPr="00D8387F">
              <w:t>Type of analysis</w:t>
            </w:r>
          </w:p>
        </w:tc>
        <w:tc>
          <w:tcPr>
            <w:tcW w:w="3360" w:type="pct"/>
            <w:vAlign w:val="center"/>
          </w:tcPr>
          <w:p w:rsidR="00D15FB0" w:rsidRPr="00D8387F" w:rsidRDefault="00D15FB0" w:rsidP="00875D7E">
            <w:pPr>
              <w:pStyle w:val="Tabletext"/>
              <w:keepNext/>
            </w:pPr>
            <w:r w:rsidRPr="00D8387F">
              <w:t>CEA and CUA</w:t>
            </w:r>
          </w:p>
        </w:tc>
      </w:tr>
      <w:tr w:rsidR="00D15FB0" w:rsidRPr="00D8387F" w:rsidTr="00863879">
        <w:trPr>
          <w:trHeight w:val="157"/>
        </w:trPr>
        <w:tc>
          <w:tcPr>
            <w:tcW w:w="1640" w:type="pct"/>
            <w:vAlign w:val="center"/>
          </w:tcPr>
          <w:p w:rsidR="00D15FB0" w:rsidRPr="00D8387F" w:rsidRDefault="00D15FB0" w:rsidP="00875D7E">
            <w:pPr>
              <w:pStyle w:val="Tabletext"/>
              <w:keepNext/>
            </w:pPr>
            <w:r w:rsidRPr="00D8387F">
              <w:t>Outcomes</w:t>
            </w:r>
          </w:p>
        </w:tc>
        <w:tc>
          <w:tcPr>
            <w:tcW w:w="3360" w:type="pct"/>
            <w:vAlign w:val="center"/>
          </w:tcPr>
          <w:p w:rsidR="00D15FB0" w:rsidRPr="00D8387F" w:rsidRDefault="00D15FB0" w:rsidP="00875D7E">
            <w:pPr>
              <w:pStyle w:val="Tabletext"/>
              <w:keepNext/>
            </w:pPr>
            <w:r w:rsidRPr="00D8387F">
              <w:t>LYGs and QALYs</w:t>
            </w:r>
          </w:p>
        </w:tc>
      </w:tr>
      <w:tr w:rsidR="00D8387F" w:rsidRPr="00D8387F" w:rsidTr="00863879">
        <w:trPr>
          <w:trHeight w:val="316"/>
        </w:trPr>
        <w:tc>
          <w:tcPr>
            <w:tcW w:w="1640" w:type="pct"/>
            <w:vAlign w:val="center"/>
          </w:tcPr>
          <w:p w:rsidR="00D15FB0" w:rsidRPr="00D8387F" w:rsidRDefault="00D15FB0" w:rsidP="00875D7E">
            <w:pPr>
              <w:pStyle w:val="Tabletext"/>
              <w:keepNext/>
            </w:pPr>
            <w:r w:rsidRPr="00D8387F">
              <w:t>Time horizon</w:t>
            </w:r>
          </w:p>
        </w:tc>
        <w:tc>
          <w:tcPr>
            <w:tcW w:w="3360" w:type="pct"/>
            <w:vAlign w:val="center"/>
          </w:tcPr>
          <w:p w:rsidR="00967433" w:rsidRPr="002B24E7" w:rsidRDefault="00967433" w:rsidP="00875D7E">
            <w:pPr>
              <w:pStyle w:val="Tabletext"/>
              <w:keepNext/>
              <w:rPr>
                <w:szCs w:val="20"/>
              </w:rPr>
            </w:pPr>
            <w:r w:rsidRPr="00681A83">
              <w:rPr>
                <w:szCs w:val="20"/>
                <w:u w:val="single"/>
              </w:rPr>
              <w:t>Mar-18 submission</w:t>
            </w:r>
            <w:r w:rsidRPr="002B24E7">
              <w:rPr>
                <w:szCs w:val="20"/>
              </w:rPr>
              <w:t xml:space="preserve">: </w:t>
            </w:r>
            <w:r w:rsidR="00D15FB0" w:rsidRPr="002B24E7">
              <w:rPr>
                <w:szCs w:val="20"/>
              </w:rPr>
              <w:t>5 years in the base case vs 2.77 years (33 months) in the RESORCE trial.</w:t>
            </w:r>
            <w:r w:rsidRPr="002B24E7">
              <w:rPr>
                <w:szCs w:val="20"/>
              </w:rPr>
              <w:t xml:space="preserve"> </w:t>
            </w:r>
            <w:r w:rsidRPr="002B24E7">
              <w:t>Only costs and outcomes in the regorafenib arm, not BSC were extrapolated out to five years. This was not appropriate.</w:t>
            </w:r>
          </w:p>
          <w:p w:rsidR="00967433" w:rsidRPr="002B24E7" w:rsidRDefault="00967433" w:rsidP="00875D7E">
            <w:pPr>
              <w:pStyle w:val="Tabletext"/>
              <w:keepNext/>
              <w:rPr>
                <w:szCs w:val="20"/>
              </w:rPr>
            </w:pPr>
            <w:r w:rsidRPr="00681A83">
              <w:rPr>
                <w:szCs w:val="20"/>
                <w:u w:val="single"/>
              </w:rPr>
              <w:t>Nov-18 resubmission</w:t>
            </w:r>
            <w:r w:rsidRPr="002B24E7">
              <w:rPr>
                <w:szCs w:val="20"/>
              </w:rPr>
              <w:t>: 5 y</w:t>
            </w:r>
            <w:r w:rsidR="00D16789" w:rsidRPr="002B24E7">
              <w:rPr>
                <w:szCs w:val="20"/>
              </w:rPr>
              <w:t>ea</w:t>
            </w:r>
            <w:r w:rsidRPr="002B24E7">
              <w:rPr>
                <w:szCs w:val="20"/>
              </w:rPr>
              <w:t>rs base case vs 3.8 years (46 months) in the RESORCE trial. Costs and outcomes for both treatment arms were extrapolated out to five years. This was appropriate.</w:t>
            </w:r>
          </w:p>
        </w:tc>
      </w:tr>
      <w:tr w:rsidR="00D15FB0" w:rsidRPr="00D8387F" w:rsidTr="00863879">
        <w:trPr>
          <w:trHeight w:val="123"/>
        </w:trPr>
        <w:tc>
          <w:tcPr>
            <w:tcW w:w="1640" w:type="pct"/>
            <w:vAlign w:val="center"/>
          </w:tcPr>
          <w:p w:rsidR="00D15FB0" w:rsidRPr="00D8387F" w:rsidRDefault="00D15FB0" w:rsidP="00875D7E">
            <w:pPr>
              <w:pStyle w:val="Tabletext"/>
              <w:keepNext/>
            </w:pPr>
            <w:r w:rsidRPr="00D8387F">
              <w:t>Methods used to generate results</w:t>
            </w:r>
          </w:p>
        </w:tc>
        <w:tc>
          <w:tcPr>
            <w:tcW w:w="3360" w:type="pct"/>
            <w:vAlign w:val="center"/>
          </w:tcPr>
          <w:p w:rsidR="00D15FB0" w:rsidRPr="002B24E7" w:rsidRDefault="00D15FB0" w:rsidP="00875D7E">
            <w:pPr>
              <w:pStyle w:val="Tabletext"/>
              <w:keepNext/>
            </w:pPr>
            <w:r w:rsidRPr="002B24E7">
              <w:t>Partitioned survival model</w:t>
            </w:r>
          </w:p>
        </w:tc>
      </w:tr>
      <w:tr w:rsidR="00D15FB0" w:rsidRPr="00D8387F" w:rsidTr="00863879">
        <w:trPr>
          <w:trHeight w:val="85"/>
        </w:trPr>
        <w:tc>
          <w:tcPr>
            <w:tcW w:w="1640" w:type="pct"/>
            <w:vAlign w:val="center"/>
          </w:tcPr>
          <w:p w:rsidR="00D15FB0" w:rsidRPr="00D8387F" w:rsidRDefault="00D15FB0" w:rsidP="00875D7E">
            <w:pPr>
              <w:pStyle w:val="Tabletext"/>
              <w:keepNext/>
            </w:pPr>
            <w:r w:rsidRPr="00D8387F">
              <w:t>Health states</w:t>
            </w:r>
          </w:p>
        </w:tc>
        <w:tc>
          <w:tcPr>
            <w:tcW w:w="3360" w:type="pct"/>
            <w:vAlign w:val="center"/>
          </w:tcPr>
          <w:p w:rsidR="00D15FB0" w:rsidRPr="002B24E7" w:rsidRDefault="00D15FB0" w:rsidP="00875D7E">
            <w:pPr>
              <w:pStyle w:val="Tabletext"/>
              <w:keepNext/>
            </w:pPr>
            <w:r w:rsidRPr="002B24E7">
              <w:t>Progression Free (PFS), Progressive Disease (PD) and Dead.</w:t>
            </w:r>
          </w:p>
        </w:tc>
      </w:tr>
      <w:tr w:rsidR="00D15FB0" w:rsidRPr="00D8387F" w:rsidTr="00863879">
        <w:trPr>
          <w:trHeight w:val="157"/>
        </w:trPr>
        <w:tc>
          <w:tcPr>
            <w:tcW w:w="1640" w:type="pct"/>
            <w:vAlign w:val="center"/>
          </w:tcPr>
          <w:p w:rsidR="00D15FB0" w:rsidRPr="00D8387F" w:rsidRDefault="00D15FB0" w:rsidP="00875D7E">
            <w:pPr>
              <w:pStyle w:val="Tabletext"/>
              <w:keepNext/>
            </w:pPr>
            <w:r w:rsidRPr="00D8387F">
              <w:t>Cycle length</w:t>
            </w:r>
          </w:p>
        </w:tc>
        <w:tc>
          <w:tcPr>
            <w:tcW w:w="3360" w:type="pct"/>
            <w:vAlign w:val="center"/>
          </w:tcPr>
          <w:p w:rsidR="00D15FB0" w:rsidRPr="002B24E7" w:rsidRDefault="00D15FB0" w:rsidP="00875D7E">
            <w:pPr>
              <w:pStyle w:val="Tabletext"/>
              <w:keepNext/>
            </w:pPr>
            <w:r w:rsidRPr="002B24E7">
              <w:t>28 days</w:t>
            </w:r>
          </w:p>
        </w:tc>
      </w:tr>
      <w:tr w:rsidR="00567D34" w:rsidRPr="00D8387F" w:rsidTr="00863879">
        <w:trPr>
          <w:trHeight w:val="157"/>
        </w:trPr>
        <w:tc>
          <w:tcPr>
            <w:tcW w:w="1640" w:type="pct"/>
            <w:vAlign w:val="center"/>
          </w:tcPr>
          <w:p w:rsidR="00567D34" w:rsidRPr="00E075EF" w:rsidRDefault="00567D34" w:rsidP="00875D7E">
            <w:pPr>
              <w:pStyle w:val="Tabletext"/>
              <w:keepNext/>
              <w:rPr>
                <w:highlight w:val="lightGray"/>
              </w:rPr>
            </w:pPr>
            <w:r w:rsidRPr="003B021D">
              <w:t xml:space="preserve">Utility </w:t>
            </w:r>
            <w:r w:rsidR="00E075EF" w:rsidRPr="003B021D">
              <w:t>values</w:t>
            </w:r>
          </w:p>
        </w:tc>
        <w:tc>
          <w:tcPr>
            <w:tcW w:w="3360" w:type="pct"/>
            <w:vAlign w:val="center"/>
          </w:tcPr>
          <w:p w:rsidR="00E075EF" w:rsidRPr="002B24E7" w:rsidRDefault="00567D34" w:rsidP="00875D7E">
            <w:pPr>
              <w:pStyle w:val="Tabletext"/>
              <w:keepNext/>
            </w:pPr>
            <w:r w:rsidRPr="002B24E7">
              <w:t xml:space="preserve">Treatment specific utility values from RESORCE: </w:t>
            </w:r>
          </w:p>
          <w:p w:rsidR="00567D34" w:rsidRPr="002B24E7" w:rsidRDefault="00E075EF" w:rsidP="00875D7E">
            <w:pPr>
              <w:pStyle w:val="Tabletext"/>
              <w:keepNext/>
            </w:pPr>
            <w:r w:rsidRPr="002B24E7">
              <w:t xml:space="preserve">PF: </w:t>
            </w:r>
            <w:r w:rsidR="00567D34" w:rsidRPr="002B24E7">
              <w:t>0.776 (Regorafenib) &amp; 0.783 (BSC)</w:t>
            </w:r>
          </w:p>
          <w:p w:rsidR="00E075EF" w:rsidRPr="002B24E7" w:rsidRDefault="00E075EF" w:rsidP="00875D7E">
            <w:pPr>
              <w:pStyle w:val="Tabletext"/>
              <w:keepNext/>
            </w:pPr>
            <w:r w:rsidRPr="002B24E7">
              <w:t>PD: 0.738 (Regorafenib) &amp; 0.741 (BSC)</w:t>
            </w:r>
          </w:p>
        </w:tc>
      </w:tr>
      <w:tr w:rsidR="00D15FB0" w:rsidRPr="00D8387F" w:rsidTr="00863879">
        <w:trPr>
          <w:trHeight w:val="157"/>
        </w:trPr>
        <w:tc>
          <w:tcPr>
            <w:tcW w:w="1640" w:type="pct"/>
            <w:vAlign w:val="center"/>
          </w:tcPr>
          <w:p w:rsidR="00D15FB0" w:rsidRPr="00D8387F" w:rsidRDefault="00D15FB0" w:rsidP="00875D7E">
            <w:pPr>
              <w:pStyle w:val="Tabletext"/>
              <w:keepNext/>
            </w:pPr>
            <w:r w:rsidRPr="00D8387F">
              <w:t>Discounting</w:t>
            </w:r>
          </w:p>
        </w:tc>
        <w:tc>
          <w:tcPr>
            <w:tcW w:w="3360" w:type="pct"/>
            <w:vAlign w:val="center"/>
          </w:tcPr>
          <w:p w:rsidR="00D15FB0" w:rsidRPr="002B24E7" w:rsidRDefault="00D15FB0" w:rsidP="00875D7E">
            <w:pPr>
              <w:pStyle w:val="Tabletext"/>
              <w:keepNext/>
            </w:pPr>
            <w:r w:rsidRPr="002B24E7">
              <w:t>5% per year for costs and benefits</w:t>
            </w:r>
          </w:p>
        </w:tc>
      </w:tr>
      <w:tr w:rsidR="00D15FB0" w:rsidRPr="00D8387F" w:rsidTr="00863879">
        <w:trPr>
          <w:trHeight w:val="70"/>
        </w:trPr>
        <w:tc>
          <w:tcPr>
            <w:tcW w:w="1640" w:type="pct"/>
            <w:vAlign w:val="center"/>
          </w:tcPr>
          <w:p w:rsidR="00D15FB0" w:rsidRPr="00D8387F" w:rsidRDefault="00D15FB0" w:rsidP="00875D7E">
            <w:pPr>
              <w:pStyle w:val="Tabletext"/>
              <w:keepNext/>
            </w:pPr>
            <w:r w:rsidRPr="00D8387F">
              <w:t>Area under the curve (AUC)</w:t>
            </w:r>
          </w:p>
        </w:tc>
        <w:tc>
          <w:tcPr>
            <w:tcW w:w="3360" w:type="pct"/>
            <w:vAlign w:val="center"/>
          </w:tcPr>
          <w:p w:rsidR="00D15FB0" w:rsidRPr="002B24E7" w:rsidRDefault="00967433" w:rsidP="00875D7E">
            <w:pPr>
              <w:pStyle w:val="Tabletext"/>
              <w:keepNext/>
              <w:rPr>
                <w:szCs w:val="20"/>
              </w:rPr>
            </w:pPr>
            <w:r w:rsidRPr="00681A83">
              <w:rPr>
                <w:szCs w:val="20"/>
                <w:u w:val="single"/>
              </w:rPr>
              <w:t>Mar-18 submission</w:t>
            </w:r>
            <w:r w:rsidRPr="002B24E7">
              <w:rPr>
                <w:szCs w:val="20"/>
              </w:rPr>
              <w:t xml:space="preserve">: </w:t>
            </w:r>
            <w:r w:rsidR="00D15FB0" w:rsidRPr="002B24E7">
              <w:rPr>
                <w:szCs w:val="20"/>
              </w:rPr>
              <w:t>The KM estimates for PFS and OS were derived directly from the RESORCE trial</w:t>
            </w:r>
            <w:r w:rsidRPr="002B24E7">
              <w:rPr>
                <w:szCs w:val="20"/>
              </w:rPr>
              <w:t>, with extrapolations thereafter for the regorafenib arm only using a piecewise model.</w:t>
            </w:r>
          </w:p>
          <w:p w:rsidR="00967433" w:rsidRPr="002B24E7" w:rsidRDefault="00967433" w:rsidP="00875D7E">
            <w:pPr>
              <w:pStyle w:val="Tabletext"/>
              <w:keepNext/>
            </w:pPr>
            <w:r w:rsidRPr="00681A83">
              <w:rPr>
                <w:u w:val="single"/>
              </w:rPr>
              <w:t>Nov-18 resubmission</w:t>
            </w:r>
            <w:r w:rsidRPr="002B24E7">
              <w:t xml:space="preserve">: </w:t>
            </w:r>
            <w:r w:rsidRPr="002B24E7">
              <w:rPr>
                <w:szCs w:val="20"/>
              </w:rPr>
              <w:t xml:space="preserve">The KM estimates for PFS and OS were derived directly from the RESORCE trial, with </w:t>
            </w:r>
            <w:r w:rsidR="005A2697" w:rsidRPr="002B24E7">
              <w:rPr>
                <w:szCs w:val="20"/>
              </w:rPr>
              <w:t xml:space="preserve">extrapolation </w:t>
            </w:r>
            <w:r w:rsidR="005A2697" w:rsidRPr="002B24E7">
              <w:t xml:space="preserve">applied to both arms from </w:t>
            </w:r>
            <w:r w:rsidR="00703171" w:rsidRPr="002B24E7">
              <w:t xml:space="preserve">median PFS and OS. </w:t>
            </w:r>
            <w:r w:rsidR="000C26C8" w:rsidRPr="002B24E7">
              <w:t>However, t</w:t>
            </w:r>
            <w:r w:rsidR="00703171" w:rsidRPr="002B24E7">
              <w:t xml:space="preserve">he PBAC </w:t>
            </w:r>
            <w:r w:rsidR="000C26C8" w:rsidRPr="002B24E7">
              <w:t xml:space="preserve">had </w:t>
            </w:r>
            <w:r w:rsidR="00703171" w:rsidRPr="002B24E7">
              <w:t xml:space="preserve">requested extrapolation from the median point of follow-up (p 6.43, Mar-18 PSD), </w:t>
            </w:r>
            <w:r w:rsidR="000C26C8" w:rsidRPr="002B24E7">
              <w:t xml:space="preserve">rather than median survival </w:t>
            </w:r>
            <w:proofErr w:type="spellStart"/>
            <w:r w:rsidR="000C26C8" w:rsidRPr="002B24E7">
              <w:t>timepoints</w:t>
            </w:r>
            <w:proofErr w:type="spellEnd"/>
            <w:r w:rsidR="000C26C8" w:rsidRPr="002B24E7">
              <w:t>.</w:t>
            </w:r>
            <w:r w:rsidR="00703171" w:rsidRPr="002B24E7">
              <w:t xml:space="preserve"> </w:t>
            </w:r>
          </w:p>
        </w:tc>
      </w:tr>
      <w:tr w:rsidR="00D15FB0" w:rsidRPr="00D8387F" w:rsidTr="00863879">
        <w:trPr>
          <w:trHeight w:val="157"/>
        </w:trPr>
        <w:tc>
          <w:tcPr>
            <w:tcW w:w="1640" w:type="pct"/>
            <w:vAlign w:val="center"/>
          </w:tcPr>
          <w:p w:rsidR="00D15FB0" w:rsidRPr="00D8387F" w:rsidRDefault="00D15FB0" w:rsidP="00875D7E">
            <w:pPr>
              <w:pStyle w:val="Tabletext"/>
              <w:keepNext/>
            </w:pPr>
            <w:r w:rsidRPr="00D8387F">
              <w:t>Software package</w:t>
            </w:r>
          </w:p>
        </w:tc>
        <w:tc>
          <w:tcPr>
            <w:tcW w:w="3360" w:type="pct"/>
            <w:vAlign w:val="center"/>
          </w:tcPr>
          <w:p w:rsidR="00D15FB0" w:rsidRPr="00D8387F" w:rsidRDefault="00D15FB0" w:rsidP="00875D7E">
            <w:pPr>
              <w:pStyle w:val="Tabletext"/>
              <w:keepNext/>
            </w:pPr>
            <w:r w:rsidRPr="00D8387F">
              <w:rPr>
                <w:szCs w:val="20"/>
              </w:rPr>
              <w:t>Microsoft Excel 2016</w:t>
            </w:r>
          </w:p>
        </w:tc>
      </w:tr>
    </w:tbl>
    <w:p w:rsidR="00D15FB0" w:rsidRPr="00D8387F" w:rsidRDefault="00D15FB0" w:rsidP="00875D7E">
      <w:pPr>
        <w:pStyle w:val="TableFooter"/>
        <w:keepNext/>
        <w:widowControl/>
      </w:pPr>
      <w:r w:rsidRPr="00D8387F">
        <w:t xml:space="preserve">Abbreviations: AUC= area under the curve; BSC= best supportive care; KM= Kaplan-Meier; LYG= life years gained; N/A= not applicable; OS= overall survival; PD= progressive disease; PFS= progression free survival; QALYs= quality adjusted life years. </w:t>
      </w:r>
    </w:p>
    <w:p w:rsidR="00D15FB0" w:rsidRPr="0085137D" w:rsidRDefault="00D15FB0" w:rsidP="0085137D">
      <w:pPr>
        <w:pStyle w:val="TableFooter"/>
        <w:widowControl/>
        <w:rPr>
          <w:rStyle w:val="CommentReference"/>
          <w:b w:val="0"/>
          <w:sz w:val="18"/>
          <w:szCs w:val="22"/>
        </w:rPr>
      </w:pPr>
      <w:r w:rsidRPr="00D8387F">
        <w:t xml:space="preserve">Source: </w:t>
      </w:r>
      <w:r w:rsidR="00D8387F" w:rsidRPr="00D8387F">
        <w:t>Table 3-1, p. 132 of the resubmission.</w:t>
      </w:r>
    </w:p>
    <w:p w:rsidR="00D15FB0" w:rsidRPr="0045455B" w:rsidRDefault="00D15FB0" w:rsidP="0085137D">
      <w:pPr>
        <w:pStyle w:val="ListParagraph"/>
        <w:widowControl/>
        <w:numPr>
          <w:ilvl w:val="1"/>
          <w:numId w:val="3"/>
        </w:numPr>
        <w:spacing w:before="120"/>
      </w:pPr>
      <w:r w:rsidRPr="0045455B">
        <w:t xml:space="preserve">A summary of the key drivers of the model </w:t>
      </w:r>
      <w:r w:rsidR="000C26C8">
        <w:t>is</w:t>
      </w:r>
      <w:r w:rsidR="000C26C8" w:rsidRPr="0045455B">
        <w:t xml:space="preserve"> </w:t>
      </w:r>
      <w:r w:rsidRPr="0045455B">
        <w:t>shown in Table 1</w:t>
      </w:r>
      <w:r w:rsidR="00304DC0">
        <w:t>1</w:t>
      </w:r>
      <w:r w:rsidRPr="0045455B">
        <w:t xml:space="preserve">.   </w:t>
      </w:r>
    </w:p>
    <w:p w:rsidR="00D15FB0" w:rsidRPr="002B24E7" w:rsidRDefault="00D15FB0" w:rsidP="00207B77">
      <w:pPr>
        <w:keepNext/>
        <w:widowControl/>
        <w:rPr>
          <w:rStyle w:val="CommentReference"/>
        </w:rPr>
      </w:pPr>
      <w:r w:rsidRPr="002B24E7">
        <w:rPr>
          <w:rStyle w:val="CommentReference"/>
        </w:rPr>
        <w:t>Table 1</w:t>
      </w:r>
      <w:r w:rsidR="00304DC0" w:rsidRPr="002B24E7">
        <w:rPr>
          <w:rStyle w:val="CommentReference"/>
        </w:rPr>
        <w:t>1</w:t>
      </w:r>
      <w:r w:rsidRPr="002B24E7">
        <w:rPr>
          <w:rStyle w:val="CommentReference"/>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28" w:type="dxa"/>
          <w:right w:w="28" w:type="dxa"/>
        </w:tblCellMar>
        <w:tblLook w:val="04A0" w:firstRow="1" w:lastRow="0" w:firstColumn="1" w:lastColumn="0" w:noHBand="0" w:noVBand="1"/>
      </w:tblPr>
      <w:tblGrid>
        <w:gridCol w:w="1713"/>
        <w:gridCol w:w="4619"/>
        <w:gridCol w:w="2685"/>
      </w:tblGrid>
      <w:tr w:rsidR="008061D2" w:rsidRPr="002B24E7" w:rsidTr="002B24E7">
        <w:trPr>
          <w:tblHeader/>
        </w:trPr>
        <w:tc>
          <w:tcPr>
            <w:tcW w:w="950" w:type="pct"/>
            <w:shd w:val="clear" w:color="auto" w:fill="auto"/>
            <w:vAlign w:val="center"/>
          </w:tcPr>
          <w:p w:rsidR="00D15FB0" w:rsidRPr="002B24E7" w:rsidRDefault="00D15FB0" w:rsidP="00207B77">
            <w:pPr>
              <w:pStyle w:val="Tabletext"/>
              <w:keepNext/>
              <w:rPr>
                <w:b/>
                <w:lang w:val="en-US"/>
              </w:rPr>
            </w:pPr>
            <w:r w:rsidRPr="002B24E7">
              <w:rPr>
                <w:b/>
                <w:lang w:val="en-US"/>
              </w:rPr>
              <w:t>Description</w:t>
            </w:r>
          </w:p>
        </w:tc>
        <w:tc>
          <w:tcPr>
            <w:tcW w:w="2561" w:type="pct"/>
            <w:shd w:val="clear" w:color="auto" w:fill="auto"/>
            <w:vAlign w:val="center"/>
          </w:tcPr>
          <w:p w:rsidR="00D15FB0" w:rsidRPr="002B24E7" w:rsidRDefault="00D15FB0" w:rsidP="00207B77">
            <w:pPr>
              <w:pStyle w:val="Tabletext"/>
              <w:keepNext/>
              <w:jc w:val="center"/>
              <w:rPr>
                <w:b/>
                <w:lang w:val="en-US"/>
              </w:rPr>
            </w:pPr>
            <w:r w:rsidRPr="002B24E7">
              <w:rPr>
                <w:b/>
                <w:lang w:val="en-US"/>
              </w:rPr>
              <w:t>Method/Value</w:t>
            </w:r>
          </w:p>
        </w:tc>
        <w:tc>
          <w:tcPr>
            <w:tcW w:w="1489" w:type="pct"/>
            <w:shd w:val="clear" w:color="auto" w:fill="auto"/>
            <w:vAlign w:val="center"/>
          </w:tcPr>
          <w:p w:rsidR="00D15FB0" w:rsidRPr="002B24E7" w:rsidRDefault="00D15FB0" w:rsidP="00207B77">
            <w:pPr>
              <w:pStyle w:val="Tabletext"/>
              <w:keepNext/>
              <w:jc w:val="center"/>
              <w:rPr>
                <w:b/>
                <w:lang w:val="en-US"/>
              </w:rPr>
            </w:pPr>
            <w:r w:rsidRPr="002B24E7">
              <w:rPr>
                <w:b/>
                <w:lang w:val="en-US"/>
              </w:rPr>
              <w:t>Impact</w:t>
            </w:r>
          </w:p>
          <w:p w:rsidR="000C26C8" w:rsidRPr="002B24E7" w:rsidRDefault="000C26C8" w:rsidP="00207B77">
            <w:pPr>
              <w:pStyle w:val="Tabletext"/>
              <w:keepNext/>
              <w:jc w:val="center"/>
              <w:rPr>
                <w:lang w:val="en-US"/>
              </w:rPr>
            </w:pPr>
            <w:r w:rsidRPr="002B24E7">
              <w:rPr>
                <w:lang w:val="en-US"/>
              </w:rPr>
              <w:t>(Base case ICER: $</w:t>
            </w:r>
            <w:r w:rsidR="00D25498">
              <w:rPr>
                <w:noProof/>
                <w:color w:val="000000"/>
                <w:highlight w:val="black"/>
                <w:lang w:val="en-US"/>
              </w:rPr>
              <w:t>''''''''''''''''</w:t>
            </w:r>
            <w:r w:rsidRPr="002B24E7">
              <w:rPr>
                <w:lang w:val="en-US"/>
              </w:rPr>
              <w:t xml:space="preserve"> per QALY)</w:t>
            </w:r>
          </w:p>
        </w:tc>
      </w:tr>
      <w:tr w:rsidR="008061D2" w:rsidRPr="002B24E7" w:rsidTr="002B24E7">
        <w:tc>
          <w:tcPr>
            <w:tcW w:w="950" w:type="pct"/>
            <w:shd w:val="clear" w:color="auto" w:fill="auto"/>
            <w:vAlign w:val="center"/>
          </w:tcPr>
          <w:p w:rsidR="00D15FB0" w:rsidRPr="002B24E7" w:rsidRDefault="00D15FB0" w:rsidP="00207B77">
            <w:pPr>
              <w:pStyle w:val="Tabletext"/>
              <w:keepNext/>
              <w:rPr>
                <w:lang w:val="en-US"/>
              </w:rPr>
            </w:pPr>
            <w:r w:rsidRPr="002B24E7">
              <w:rPr>
                <w:lang w:val="en-US"/>
              </w:rPr>
              <w:t>Application of extrapolation</w:t>
            </w:r>
            <w:r w:rsidRPr="002B24E7" w:rsidDel="00816325">
              <w:rPr>
                <w:lang w:val="en-US"/>
              </w:rPr>
              <w:t xml:space="preserve"> </w:t>
            </w:r>
          </w:p>
        </w:tc>
        <w:tc>
          <w:tcPr>
            <w:tcW w:w="2561" w:type="pct"/>
            <w:shd w:val="clear" w:color="auto" w:fill="auto"/>
            <w:vAlign w:val="center"/>
          </w:tcPr>
          <w:p w:rsidR="00D15FB0" w:rsidRPr="002B24E7" w:rsidRDefault="00D15FB0" w:rsidP="00207B77">
            <w:pPr>
              <w:pStyle w:val="Tabletext"/>
              <w:keepNext/>
              <w:rPr>
                <w:lang w:val="en-US"/>
              </w:rPr>
            </w:pPr>
            <w:r w:rsidRPr="002B24E7">
              <w:rPr>
                <w:lang w:val="en-US"/>
              </w:rPr>
              <w:t xml:space="preserve">Extrapolation was </w:t>
            </w:r>
            <w:r w:rsidR="00314F79" w:rsidRPr="002B24E7">
              <w:rPr>
                <w:lang w:val="en-US"/>
              </w:rPr>
              <w:t>applied to</w:t>
            </w:r>
            <w:r w:rsidR="000C26C8" w:rsidRPr="002B24E7">
              <w:rPr>
                <w:lang w:val="en-US"/>
              </w:rPr>
              <w:t xml:space="preserve"> both OS and PFS, as an independent model, </w:t>
            </w:r>
            <w:r w:rsidRPr="002B24E7">
              <w:rPr>
                <w:lang w:val="en-US"/>
              </w:rPr>
              <w:t xml:space="preserve">for </w:t>
            </w:r>
            <w:r w:rsidR="00E0266F" w:rsidRPr="002B24E7">
              <w:rPr>
                <w:lang w:val="en-US"/>
              </w:rPr>
              <w:t xml:space="preserve">both </w:t>
            </w:r>
            <w:r w:rsidR="000C26C8" w:rsidRPr="002B24E7">
              <w:rPr>
                <w:lang w:val="en-US"/>
              </w:rPr>
              <w:t>treatment groups.</w:t>
            </w:r>
            <w:r w:rsidR="00E0266F" w:rsidRPr="002B24E7">
              <w:rPr>
                <w:lang w:val="en-US"/>
              </w:rPr>
              <w:t xml:space="preserve"> </w:t>
            </w:r>
          </w:p>
        </w:tc>
        <w:tc>
          <w:tcPr>
            <w:tcW w:w="1489" w:type="pct"/>
            <w:shd w:val="clear" w:color="auto" w:fill="auto"/>
            <w:vAlign w:val="center"/>
          </w:tcPr>
          <w:p w:rsidR="00D15FB0" w:rsidRPr="002B24E7" w:rsidRDefault="000E621B" w:rsidP="00207B77">
            <w:pPr>
              <w:pStyle w:val="Tabletext"/>
              <w:keepNext/>
              <w:rPr>
                <w:lang w:val="en-US"/>
              </w:rPr>
            </w:pPr>
            <w:r w:rsidRPr="002B24E7">
              <w:rPr>
                <w:lang w:val="en-US"/>
              </w:rPr>
              <w:t>Moderate</w:t>
            </w:r>
            <w:r w:rsidR="000C26C8" w:rsidRPr="002B24E7">
              <w:rPr>
                <w:lang w:val="en-US"/>
              </w:rPr>
              <w:t xml:space="preserve"> The ICER ranged from $</w:t>
            </w:r>
            <w:r w:rsidR="00D25498">
              <w:rPr>
                <w:noProof/>
                <w:color w:val="000000"/>
                <w:highlight w:val="black"/>
                <w:lang w:val="en-US"/>
              </w:rPr>
              <w:t>'''''''''''''''''</w:t>
            </w:r>
            <w:r w:rsidR="000C26C8" w:rsidRPr="002B24E7">
              <w:rPr>
                <w:lang w:val="en-US"/>
              </w:rPr>
              <w:t xml:space="preserve"> to $</w:t>
            </w:r>
            <w:r w:rsidR="00D25498">
              <w:rPr>
                <w:noProof/>
                <w:color w:val="000000"/>
                <w:highlight w:val="black"/>
                <w:lang w:val="en-US"/>
              </w:rPr>
              <w:t>''''''''''''''''</w:t>
            </w:r>
            <w:r w:rsidR="000C26C8" w:rsidRPr="002B24E7">
              <w:rPr>
                <w:lang w:val="en-US"/>
              </w:rPr>
              <w:t xml:space="preserve"> per QALY depending on the choice of extrapolation function (see Table 12).</w:t>
            </w:r>
          </w:p>
        </w:tc>
      </w:tr>
      <w:tr w:rsidR="008061D2" w:rsidRPr="008061D2" w:rsidTr="002B24E7">
        <w:tc>
          <w:tcPr>
            <w:tcW w:w="950" w:type="pct"/>
            <w:shd w:val="clear" w:color="auto" w:fill="auto"/>
            <w:vAlign w:val="center"/>
          </w:tcPr>
          <w:p w:rsidR="00D15FB0" w:rsidRPr="002B24E7" w:rsidRDefault="00B872D9" w:rsidP="00207B77">
            <w:pPr>
              <w:pStyle w:val="Tabletext"/>
              <w:keepNext/>
              <w:rPr>
                <w:lang w:val="en-US"/>
              </w:rPr>
            </w:pPr>
            <w:r w:rsidRPr="002B24E7">
              <w:rPr>
                <w:lang w:val="en-US"/>
              </w:rPr>
              <w:t>Disease c</w:t>
            </w:r>
            <w:r w:rsidR="00F9209D" w:rsidRPr="002B24E7">
              <w:rPr>
                <w:lang w:val="en-US"/>
              </w:rPr>
              <w:t>osts</w:t>
            </w:r>
          </w:p>
        </w:tc>
        <w:tc>
          <w:tcPr>
            <w:tcW w:w="2561" w:type="pct"/>
            <w:shd w:val="clear" w:color="auto" w:fill="auto"/>
            <w:vAlign w:val="center"/>
          </w:tcPr>
          <w:p w:rsidR="00D15FB0" w:rsidRPr="002B24E7" w:rsidRDefault="00D15FB0" w:rsidP="00207B77">
            <w:pPr>
              <w:pStyle w:val="Tabletext"/>
              <w:keepNext/>
              <w:rPr>
                <w:lang w:val="en-US"/>
              </w:rPr>
            </w:pPr>
            <w:r w:rsidRPr="002B24E7">
              <w:t xml:space="preserve">The model </w:t>
            </w:r>
            <w:r w:rsidR="00314F79" w:rsidRPr="002B24E7">
              <w:t xml:space="preserve">included ongoing disease management costs for HCC, including for medical services and </w:t>
            </w:r>
            <w:r w:rsidR="00B872D9" w:rsidRPr="002B24E7">
              <w:t>TE</w:t>
            </w:r>
            <w:r w:rsidR="00314F79" w:rsidRPr="002B24E7">
              <w:t>AE management</w:t>
            </w:r>
            <w:r w:rsidR="008061D2" w:rsidRPr="002B24E7">
              <w:t>.</w:t>
            </w:r>
            <w:r w:rsidR="00681A83">
              <w:t xml:space="preserve"> </w:t>
            </w:r>
            <w:r w:rsidR="00681A83" w:rsidRPr="00D31E2F">
              <w:t>The ESC considered it appropriate for these costs to be included in the model.</w:t>
            </w:r>
            <w:r w:rsidR="008061D2" w:rsidRPr="002B24E7">
              <w:t xml:space="preserve"> </w:t>
            </w:r>
          </w:p>
        </w:tc>
        <w:tc>
          <w:tcPr>
            <w:tcW w:w="1489" w:type="pct"/>
            <w:shd w:val="clear" w:color="auto" w:fill="auto"/>
            <w:vAlign w:val="center"/>
          </w:tcPr>
          <w:p w:rsidR="00D15FB0" w:rsidRPr="00BF39CA" w:rsidRDefault="00B872D9" w:rsidP="00207B77">
            <w:pPr>
              <w:pStyle w:val="Tabletext"/>
              <w:keepNext/>
              <w:rPr>
                <w:lang w:val="en-US"/>
              </w:rPr>
            </w:pPr>
            <w:r w:rsidRPr="002B24E7">
              <w:rPr>
                <w:lang w:val="en-US"/>
              </w:rPr>
              <w:t>Moderate</w:t>
            </w:r>
            <w:r w:rsidR="00D15FB0" w:rsidRPr="002B24E7">
              <w:rPr>
                <w:lang w:val="en-US"/>
              </w:rPr>
              <w:t xml:space="preserve">, </w:t>
            </w:r>
            <w:proofErr w:type="spellStart"/>
            <w:r w:rsidR="00D15FB0" w:rsidRPr="002B24E7">
              <w:rPr>
                <w:lang w:val="en-US"/>
              </w:rPr>
              <w:t>favoured</w:t>
            </w:r>
            <w:proofErr w:type="spellEnd"/>
            <w:r w:rsidR="00D15FB0" w:rsidRPr="002B24E7">
              <w:rPr>
                <w:lang w:val="en-US"/>
              </w:rPr>
              <w:t xml:space="preserve"> </w:t>
            </w:r>
            <w:r w:rsidR="00314F79" w:rsidRPr="002B24E7">
              <w:rPr>
                <w:lang w:val="en-US"/>
              </w:rPr>
              <w:t>BSC. An analysis</w:t>
            </w:r>
            <w:r w:rsidRPr="002B24E7">
              <w:rPr>
                <w:lang w:val="en-US"/>
              </w:rPr>
              <w:t xml:space="preserve"> which</w:t>
            </w:r>
            <w:r w:rsidR="00314F79" w:rsidRPr="002B24E7">
              <w:rPr>
                <w:lang w:val="en-US"/>
              </w:rPr>
              <w:t xml:space="preserve"> </w:t>
            </w:r>
            <w:r w:rsidRPr="002B24E7">
              <w:rPr>
                <w:lang w:val="en-US"/>
              </w:rPr>
              <w:t xml:space="preserve">excluded ongoing disease management costs </w:t>
            </w:r>
            <w:r w:rsidR="00314F79" w:rsidRPr="002B24E7">
              <w:rPr>
                <w:lang w:val="en-US"/>
              </w:rPr>
              <w:t>reduced the ICER to $</w:t>
            </w:r>
            <w:r w:rsidR="00D25498">
              <w:rPr>
                <w:noProof/>
                <w:color w:val="000000"/>
                <w:highlight w:val="black"/>
                <w:lang w:val="en-US"/>
              </w:rPr>
              <w:t>''''''''''''''''''</w:t>
            </w:r>
            <w:r w:rsidR="00314F79" w:rsidRPr="002B24E7">
              <w:rPr>
                <w:lang w:val="en-US"/>
              </w:rPr>
              <w:t>.</w:t>
            </w:r>
          </w:p>
        </w:tc>
      </w:tr>
    </w:tbl>
    <w:p w:rsidR="00D15FB0" w:rsidRPr="008061D2" w:rsidRDefault="00D15FB0" w:rsidP="00687778">
      <w:pPr>
        <w:pStyle w:val="TableFooter"/>
        <w:widowControl/>
      </w:pPr>
      <w:r w:rsidRPr="008061D2">
        <w:t>Source: Table 3-2</w:t>
      </w:r>
      <w:r w:rsidR="008061D2" w:rsidRPr="008061D2">
        <w:t>6</w:t>
      </w:r>
      <w:r w:rsidRPr="008061D2">
        <w:t xml:space="preserve">, p. </w:t>
      </w:r>
      <w:r w:rsidR="008061D2" w:rsidRPr="008061D2">
        <w:t>204</w:t>
      </w:r>
      <w:r w:rsidRPr="008061D2">
        <w:t xml:space="preserve"> of the </w:t>
      </w:r>
      <w:r w:rsidR="008061D2" w:rsidRPr="008061D2">
        <w:t>re</w:t>
      </w:r>
      <w:r w:rsidRPr="008061D2">
        <w:t>submission.</w:t>
      </w:r>
    </w:p>
    <w:p w:rsidR="00A02D9C" w:rsidRPr="0085137D" w:rsidRDefault="00D15FB0" w:rsidP="00687778">
      <w:pPr>
        <w:pStyle w:val="TableFooter"/>
        <w:widowControl/>
      </w:pPr>
      <w:r w:rsidRPr="008061D2">
        <w:t>Abbreviations: BSC= best supportive care; ICER= incremental cost effectiveness ratio</w:t>
      </w:r>
      <w:r w:rsidR="00A02D9C">
        <w:t>.</w:t>
      </w:r>
    </w:p>
    <w:p w:rsidR="00EB6A8B" w:rsidRPr="0040436F" w:rsidRDefault="00D15FB0" w:rsidP="00687778">
      <w:pPr>
        <w:pStyle w:val="ListParagraph"/>
        <w:widowControl/>
        <w:numPr>
          <w:ilvl w:val="1"/>
          <w:numId w:val="3"/>
        </w:numPr>
        <w:spacing w:before="120"/>
        <w:rPr>
          <w:bCs/>
          <w:i/>
        </w:rPr>
      </w:pPr>
      <w:r w:rsidRPr="0040436F">
        <w:rPr>
          <w:bCs/>
        </w:rPr>
        <w:t>In</w:t>
      </w:r>
      <w:r w:rsidR="002942A3" w:rsidRPr="0040436F">
        <w:rPr>
          <w:bCs/>
        </w:rPr>
        <w:t xml:space="preserve"> line</w:t>
      </w:r>
      <w:r w:rsidRPr="0040436F">
        <w:rPr>
          <w:bCs/>
        </w:rPr>
        <w:t xml:space="preserve"> with the proposed restriction, patients in the trial could continue receiving treatment after progression was established if, in the opinion of the investigator, the treatment was still providing clinical benefit. </w:t>
      </w:r>
      <w:r w:rsidR="000F585D" w:rsidRPr="0040436F">
        <w:rPr>
          <w:bCs/>
        </w:rPr>
        <w:t xml:space="preserve">The </w:t>
      </w:r>
      <w:r w:rsidR="00EB6A8B" w:rsidRPr="0040436F">
        <w:rPr>
          <w:bCs/>
        </w:rPr>
        <w:t>PBAC had requested that the proposed PBS listing should not permit use in patient</w:t>
      </w:r>
      <w:r w:rsidR="0085137D">
        <w:rPr>
          <w:bCs/>
        </w:rPr>
        <w:t>s beyond disease progression (paragraph</w:t>
      </w:r>
      <w:r w:rsidR="00EB6A8B" w:rsidRPr="0040436F">
        <w:rPr>
          <w:bCs/>
        </w:rPr>
        <w:t xml:space="preserve"> 7.3 </w:t>
      </w:r>
      <w:r w:rsidR="0085137D">
        <w:rPr>
          <w:bCs/>
        </w:rPr>
        <w:t>regorafenib</w:t>
      </w:r>
      <w:r w:rsidR="00EB6A8B" w:rsidRPr="0040436F">
        <w:rPr>
          <w:bCs/>
        </w:rPr>
        <w:t xml:space="preserve"> PSD</w:t>
      </w:r>
      <w:r w:rsidR="0085137D">
        <w:rPr>
          <w:bCs/>
        </w:rPr>
        <w:t>, March 2018 meeting</w:t>
      </w:r>
      <w:r w:rsidR="00EB6A8B" w:rsidRPr="0040436F">
        <w:rPr>
          <w:bCs/>
        </w:rPr>
        <w:t xml:space="preserve">). Adopting such a restriction criterion </w:t>
      </w:r>
      <w:r w:rsidR="00314F79" w:rsidRPr="0040436F">
        <w:rPr>
          <w:bCs/>
        </w:rPr>
        <w:t xml:space="preserve">may </w:t>
      </w:r>
      <w:r w:rsidR="00EB6A8B" w:rsidRPr="0040436F">
        <w:rPr>
          <w:bCs/>
        </w:rPr>
        <w:t xml:space="preserve">result in survival outcomes that are less than those observed in </w:t>
      </w:r>
      <w:r w:rsidR="00EB6A8B" w:rsidRPr="0040436F">
        <w:rPr>
          <w:bCs/>
        </w:rPr>
        <w:lastRenderedPageBreak/>
        <w:t>RESORCE</w:t>
      </w:r>
      <w:r w:rsidR="00826C46" w:rsidRPr="0040436F">
        <w:rPr>
          <w:bCs/>
        </w:rPr>
        <w:t>; the PBAC has previously considered that use beyond progression is unlikely to be cost-effective (paragraph 2.3</w:t>
      </w:r>
      <w:r w:rsidR="00DC5B94">
        <w:rPr>
          <w:bCs/>
        </w:rPr>
        <w:t xml:space="preserve"> regorafenib</w:t>
      </w:r>
      <w:r w:rsidR="00DC5B94" w:rsidRPr="0040436F">
        <w:rPr>
          <w:bCs/>
        </w:rPr>
        <w:t xml:space="preserve"> PSD</w:t>
      </w:r>
      <w:r w:rsidR="00DC5B94">
        <w:rPr>
          <w:bCs/>
        </w:rPr>
        <w:t>, March 2018 meeting</w:t>
      </w:r>
      <w:r w:rsidR="00826C46" w:rsidRPr="00D31E2F">
        <w:rPr>
          <w:bCs/>
        </w:rPr>
        <w:t>)</w:t>
      </w:r>
      <w:r w:rsidR="00826C46" w:rsidRPr="00C50122">
        <w:rPr>
          <w:bCs/>
        </w:rPr>
        <w:t>.</w:t>
      </w:r>
      <w:r w:rsidR="002F61ED" w:rsidRPr="00C50122">
        <w:rPr>
          <w:bCs/>
        </w:rPr>
        <w:t xml:space="preserve"> </w:t>
      </w:r>
      <w:r w:rsidR="00C50122" w:rsidRPr="00C50122">
        <w:rPr>
          <w:rFonts w:asciiTheme="minorHAnsi" w:hAnsiTheme="minorHAnsi" w:cstheme="minorHAnsi"/>
        </w:rPr>
        <w:t xml:space="preserve">The resubmission utilised the observed outcomes and health care use from the RESORCE trial without adjusting for use beyond progression. </w:t>
      </w:r>
      <w:r w:rsidR="00865BFD" w:rsidRPr="00D31E2F">
        <w:rPr>
          <w:bCs/>
        </w:rPr>
        <w:t xml:space="preserve">The ESC noted that use beyond disease progression in the RESORCE trial has implications for the applicability of the clinical data in the economic modelling. The PSCR </w:t>
      </w:r>
      <w:r w:rsidR="0040436F" w:rsidRPr="00D31E2F">
        <w:rPr>
          <w:bCs/>
        </w:rPr>
        <w:t>stated</w:t>
      </w:r>
      <w:r w:rsidR="00865BFD" w:rsidRPr="00D31E2F">
        <w:rPr>
          <w:bCs/>
        </w:rPr>
        <w:t xml:space="preserve"> that </w:t>
      </w:r>
      <w:r w:rsidR="0023363C">
        <w:rPr>
          <w:bCs/>
        </w:rPr>
        <w:t>it was not possible</w:t>
      </w:r>
      <w:r w:rsidR="0040436F" w:rsidRPr="00D31E2F">
        <w:rPr>
          <w:bCs/>
        </w:rPr>
        <w:t xml:space="preserve"> to ‘adjust’ the economic analysis or corresponding financial impact to reflect this restriction wording because the economic and finical impact </w:t>
      </w:r>
      <w:r w:rsidR="0023363C">
        <w:rPr>
          <w:bCs/>
        </w:rPr>
        <w:t>were</w:t>
      </w:r>
      <w:r w:rsidR="0023363C" w:rsidRPr="00D31E2F">
        <w:rPr>
          <w:bCs/>
        </w:rPr>
        <w:t xml:space="preserve"> </w:t>
      </w:r>
      <w:r w:rsidR="0040436F" w:rsidRPr="00D31E2F">
        <w:rPr>
          <w:bCs/>
        </w:rPr>
        <w:t xml:space="preserve">aligned with the evidence base of the RESORCE trial. </w:t>
      </w:r>
      <w:r w:rsidR="00FE79B1" w:rsidRPr="00D31E2F">
        <w:rPr>
          <w:rFonts w:asciiTheme="minorHAnsi" w:hAnsiTheme="minorHAnsi" w:cstheme="minorHAnsi"/>
        </w:rPr>
        <w:t>The ESC considered that if use beyond progression is not cost-effective, using the observed outcomes and healthcare use from the RESORCE trial in the model may give an appropriately conservative estimate of the ICER for regorafenib in Australian practice where used to progression only.</w:t>
      </w:r>
    </w:p>
    <w:p w:rsidR="00483BAF" w:rsidRPr="00D31E2F" w:rsidRDefault="006C3278" w:rsidP="00687778">
      <w:pPr>
        <w:pStyle w:val="ListParagraph"/>
        <w:widowControl/>
        <w:numPr>
          <w:ilvl w:val="1"/>
          <w:numId w:val="3"/>
        </w:numPr>
        <w:spacing w:before="120"/>
        <w:rPr>
          <w:bCs/>
        </w:rPr>
      </w:pPr>
      <w:r>
        <w:rPr>
          <w:bCs/>
        </w:rPr>
        <w:t xml:space="preserve">In the economic model presented previously, only the regorafenib arm was extrapolated. </w:t>
      </w:r>
      <w:r w:rsidRPr="00D31E2F">
        <w:rPr>
          <w:bCs/>
        </w:rPr>
        <w:t xml:space="preserve">The ESC noted that both the regorafenib and BSC arms were </w:t>
      </w:r>
      <w:r>
        <w:rPr>
          <w:bCs/>
        </w:rPr>
        <w:t xml:space="preserve">now </w:t>
      </w:r>
      <w:r w:rsidRPr="00D31E2F">
        <w:rPr>
          <w:bCs/>
        </w:rPr>
        <w:t xml:space="preserve">extrapolated as requested by the PBAC. </w:t>
      </w:r>
      <w:r w:rsidR="00483BAF" w:rsidRPr="00CE69A9">
        <w:rPr>
          <w:bCs/>
        </w:rPr>
        <w:t>The base case model extrapolated OS and PFS for both regorafenib and BSC from the median OS and PFS points</w:t>
      </w:r>
      <w:r w:rsidR="00AA4DDE" w:rsidRPr="00CE69A9">
        <w:rPr>
          <w:bCs/>
        </w:rPr>
        <w:t xml:space="preserve">. </w:t>
      </w:r>
      <w:r w:rsidR="00483BAF" w:rsidRPr="00CE69A9">
        <w:rPr>
          <w:bCs/>
        </w:rPr>
        <w:t xml:space="preserve">This was inconsistent with the claim made in the resubmission that ‘extrapolation was applied from the median points of follow-up’. The PBAC </w:t>
      </w:r>
      <w:r w:rsidR="0023363C">
        <w:rPr>
          <w:bCs/>
        </w:rPr>
        <w:t xml:space="preserve">previously </w:t>
      </w:r>
      <w:r w:rsidR="00483BAF" w:rsidRPr="00CE69A9">
        <w:rPr>
          <w:bCs/>
        </w:rPr>
        <w:t xml:space="preserve">requested extrapolation from the median </w:t>
      </w:r>
      <w:r w:rsidR="00875D7E">
        <w:rPr>
          <w:bCs/>
        </w:rPr>
        <w:t>point of follow-up (p</w:t>
      </w:r>
      <w:r w:rsidR="0085137D">
        <w:rPr>
          <w:bCs/>
        </w:rPr>
        <w:t>aragraph</w:t>
      </w:r>
      <w:r w:rsidR="00875D7E">
        <w:rPr>
          <w:bCs/>
        </w:rPr>
        <w:t xml:space="preserve"> 6.43, </w:t>
      </w:r>
      <w:r w:rsidR="0085137D">
        <w:rPr>
          <w:bCs/>
        </w:rPr>
        <w:t>regorafenib</w:t>
      </w:r>
      <w:r w:rsidR="0085137D" w:rsidRPr="0040436F">
        <w:rPr>
          <w:bCs/>
        </w:rPr>
        <w:t xml:space="preserve"> PSD</w:t>
      </w:r>
      <w:r w:rsidR="0085137D">
        <w:rPr>
          <w:bCs/>
        </w:rPr>
        <w:t>, March 2018 meeting</w:t>
      </w:r>
      <w:r w:rsidR="00483BAF" w:rsidRPr="00CE69A9">
        <w:rPr>
          <w:bCs/>
        </w:rPr>
        <w:t>), so the extrapolation points used in the resubmission model were inappropriate. PFS was extrapolated using an independent model with a generalised-gamma distribution for regorafenib and a log-logistic distribution for BSC treatment arms. OS was extrapolated using a dependent (no-piecewise) generalised-gamma survival model</w:t>
      </w:r>
      <w:r w:rsidR="00483BAF" w:rsidRPr="00D31E2F">
        <w:rPr>
          <w:bCs/>
        </w:rPr>
        <w:t xml:space="preserve">. </w:t>
      </w:r>
      <w:r w:rsidR="00CE69A9" w:rsidRPr="00D31E2F">
        <w:rPr>
          <w:bCs/>
        </w:rPr>
        <w:t>The PSCR clarified that the median points of follow-up for BSC and regorafenib arms in the R</w:t>
      </w:r>
      <w:r w:rsidR="00875D7E" w:rsidRPr="00D31E2F">
        <w:rPr>
          <w:bCs/>
        </w:rPr>
        <w:t>ESORCE trial were 229 days (7.5 </w:t>
      </w:r>
      <w:r w:rsidR="00CE69A9" w:rsidRPr="00D31E2F">
        <w:rPr>
          <w:bCs/>
        </w:rPr>
        <w:t xml:space="preserve">months) and 313 days (10.3 months) respectively. The PSCR reported that the use of these data as the basis for extrapolation resulted in an ICER of </w:t>
      </w:r>
      <w:r w:rsidR="00DC5B94">
        <w:rPr>
          <w:bCs/>
        </w:rPr>
        <w:t xml:space="preserve">$45,000 - $75,000 </w:t>
      </w:r>
      <w:r w:rsidR="00CE69A9" w:rsidRPr="00D31E2F">
        <w:rPr>
          <w:bCs/>
        </w:rPr>
        <w:t xml:space="preserve">per QALY (2.1% increase from the resubmission base case). The ESC noted that this estimate could not be replicated, but that </w:t>
      </w:r>
      <w:r w:rsidR="00FB5345" w:rsidRPr="00D31E2F">
        <w:rPr>
          <w:bCs/>
        </w:rPr>
        <w:t xml:space="preserve">this different point </w:t>
      </w:r>
      <w:r w:rsidR="00EE4B9C" w:rsidRPr="00D31E2F">
        <w:rPr>
          <w:bCs/>
        </w:rPr>
        <w:t>for</w:t>
      </w:r>
      <w:r w:rsidR="00FB5345" w:rsidRPr="00D31E2F">
        <w:rPr>
          <w:bCs/>
        </w:rPr>
        <w:t xml:space="preserve"> extrapolation had little impact </w:t>
      </w:r>
      <w:r w:rsidR="00CE69A9" w:rsidRPr="00D31E2F">
        <w:rPr>
          <w:bCs/>
        </w:rPr>
        <w:t>on the ICER</w:t>
      </w:r>
      <w:r w:rsidR="00FE79B1" w:rsidRPr="00D31E2F">
        <w:rPr>
          <w:bCs/>
        </w:rPr>
        <w:t xml:space="preserve">. The ESC noted that the choice of extrapolation approach </w:t>
      </w:r>
      <w:r w:rsidR="00EE4B9C" w:rsidRPr="00D31E2F">
        <w:rPr>
          <w:bCs/>
        </w:rPr>
        <w:t xml:space="preserve">does not have a large impact on the ICER </w:t>
      </w:r>
      <w:r w:rsidR="00FE79B1" w:rsidRPr="00D31E2F">
        <w:rPr>
          <w:bCs/>
        </w:rPr>
        <w:t xml:space="preserve">as data from RESORCE </w:t>
      </w:r>
      <w:r w:rsidR="00450C5B" w:rsidRPr="00D31E2F">
        <w:rPr>
          <w:bCs/>
        </w:rPr>
        <w:t>are</w:t>
      </w:r>
      <w:r w:rsidR="00FE79B1" w:rsidRPr="00D31E2F">
        <w:rPr>
          <w:bCs/>
        </w:rPr>
        <w:t xml:space="preserve"> almost complete</w:t>
      </w:r>
      <w:r w:rsidR="00450C5B" w:rsidRPr="00D31E2F">
        <w:rPr>
          <w:bCs/>
        </w:rPr>
        <w:t xml:space="preserve"> with death events in 77% of patients in the regorafenib arm and in 87% of patients in the placebo arm</w:t>
      </w:r>
      <w:r w:rsidR="00FE79B1" w:rsidRPr="00D31E2F">
        <w:rPr>
          <w:bCs/>
        </w:rPr>
        <w:t>.</w:t>
      </w:r>
    </w:p>
    <w:p w:rsidR="0034109D" w:rsidRPr="002B24E7" w:rsidRDefault="0034109D" w:rsidP="00687778">
      <w:pPr>
        <w:pStyle w:val="ListParagraph"/>
        <w:widowControl/>
        <w:numPr>
          <w:ilvl w:val="1"/>
          <w:numId w:val="3"/>
        </w:numPr>
        <w:spacing w:before="120"/>
      </w:pPr>
      <w:r w:rsidRPr="002B24E7">
        <w:rPr>
          <w:bCs/>
        </w:rPr>
        <w:t xml:space="preserve">At the end of study follow-up, the updated Kaplan-Meier analysis (cut-off 23 January 2017) for PFS </w:t>
      </w:r>
      <w:r w:rsidR="00450C5B">
        <w:rPr>
          <w:bCs/>
        </w:rPr>
        <w:t>estimated</w:t>
      </w:r>
      <w:r w:rsidR="00450C5B" w:rsidRPr="002B24E7">
        <w:rPr>
          <w:bCs/>
        </w:rPr>
        <w:t xml:space="preserve"> </w:t>
      </w:r>
      <w:r w:rsidRPr="002B24E7">
        <w:rPr>
          <w:bCs/>
        </w:rPr>
        <w:t>that only 1% and 3%</w:t>
      </w:r>
      <w:r w:rsidR="00894925" w:rsidRPr="002B24E7">
        <w:rPr>
          <w:bCs/>
        </w:rPr>
        <w:t xml:space="preserve"> of</w:t>
      </w:r>
      <w:r w:rsidRPr="002B24E7">
        <w:rPr>
          <w:bCs/>
        </w:rPr>
        <w:t xml:space="preserve"> patients treated with BSC and regorafenib were free of disease progression and still alive at 30 and 39 months respectively. With respect to OS, the Kaplan-Meier analysis </w:t>
      </w:r>
      <w:r w:rsidR="00450C5B">
        <w:rPr>
          <w:bCs/>
        </w:rPr>
        <w:t>estimated</w:t>
      </w:r>
      <w:r w:rsidR="00450C5B" w:rsidRPr="002B24E7">
        <w:rPr>
          <w:bCs/>
        </w:rPr>
        <w:t xml:space="preserve"> </w:t>
      </w:r>
      <w:r w:rsidRPr="002B24E7">
        <w:rPr>
          <w:bCs/>
        </w:rPr>
        <w:t xml:space="preserve">that 3% </w:t>
      </w:r>
      <w:r w:rsidR="006161B6">
        <w:rPr>
          <w:bCs/>
        </w:rPr>
        <w:t xml:space="preserve">of patients treated with BSC survived beyond 40 months </w:t>
      </w:r>
      <w:r w:rsidRPr="002B24E7">
        <w:rPr>
          <w:bCs/>
        </w:rPr>
        <w:t>and 6%</w:t>
      </w:r>
      <w:r w:rsidR="00314F79" w:rsidRPr="002B24E7">
        <w:rPr>
          <w:bCs/>
        </w:rPr>
        <w:t xml:space="preserve"> of</w:t>
      </w:r>
      <w:r w:rsidRPr="002B24E7">
        <w:rPr>
          <w:bCs/>
        </w:rPr>
        <w:t xml:space="preserve"> patients </w:t>
      </w:r>
      <w:r w:rsidR="006161B6">
        <w:rPr>
          <w:bCs/>
        </w:rPr>
        <w:t xml:space="preserve">treated with regorafenib </w:t>
      </w:r>
      <w:r w:rsidRPr="002B24E7">
        <w:rPr>
          <w:bCs/>
        </w:rPr>
        <w:t>survived beyond 46 months. The low proportion of patients still alive by the end of trial follow-up was</w:t>
      </w:r>
      <w:r w:rsidR="00314F79" w:rsidRPr="002B24E7">
        <w:rPr>
          <w:bCs/>
        </w:rPr>
        <w:t xml:space="preserve"> given as the</w:t>
      </w:r>
      <w:r w:rsidRPr="002B24E7">
        <w:rPr>
          <w:bCs/>
        </w:rPr>
        <w:t xml:space="preserve"> reason for the time h</w:t>
      </w:r>
      <w:r w:rsidR="00875D7E">
        <w:rPr>
          <w:bCs/>
        </w:rPr>
        <w:t>orizon of 5 </w:t>
      </w:r>
      <w:r w:rsidRPr="002B24E7">
        <w:rPr>
          <w:bCs/>
        </w:rPr>
        <w:t>years. ESC ha</w:t>
      </w:r>
      <w:r w:rsidR="00887D1F">
        <w:rPr>
          <w:bCs/>
        </w:rPr>
        <w:t>d</w:t>
      </w:r>
      <w:r w:rsidRPr="002B24E7">
        <w:rPr>
          <w:bCs/>
        </w:rPr>
        <w:t xml:space="preserve"> stated this was reasonable</w:t>
      </w:r>
      <w:r w:rsidR="00887D1F">
        <w:rPr>
          <w:bCs/>
        </w:rPr>
        <w:t xml:space="preserve"> in its consideration of the March 18 submission</w:t>
      </w:r>
      <w:r w:rsidR="0085137D">
        <w:rPr>
          <w:bCs/>
        </w:rPr>
        <w:t xml:space="preserve"> (paragraph</w:t>
      </w:r>
      <w:r w:rsidRPr="002B24E7">
        <w:rPr>
          <w:bCs/>
        </w:rPr>
        <w:t xml:space="preserve"> 6.35, </w:t>
      </w:r>
      <w:r w:rsidR="0085137D">
        <w:rPr>
          <w:bCs/>
        </w:rPr>
        <w:t>regorafenib</w:t>
      </w:r>
      <w:r w:rsidR="0085137D" w:rsidRPr="0040436F">
        <w:rPr>
          <w:bCs/>
        </w:rPr>
        <w:t xml:space="preserve"> PSD</w:t>
      </w:r>
      <w:r w:rsidR="0085137D">
        <w:rPr>
          <w:bCs/>
        </w:rPr>
        <w:t>, March 2018 meeting</w:t>
      </w:r>
      <w:r w:rsidRPr="002B24E7">
        <w:rPr>
          <w:bCs/>
        </w:rPr>
        <w:t xml:space="preserve">). </w:t>
      </w:r>
    </w:p>
    <w:p w:rsidR="00411123" w:rsidRPr="006C3187" w:rsidRDefault="00411123" w:rsidP="00687778">
      <w:pPr>
        <w:pStyle w:val="ListParagraph"/>
        <w:widowControl/>
        <w:numPr>
          <w:ilvl w:val="1"/>
          <w:numId w:val="3"/>
        </w:numPr>
        <w:spacing w:before="120"/>
      </w:pPr>
      <w:r w:rsidRPr="006C3187">
        <w:lastRenderedPageBreak/>
        <w:t xml:space="preserve">The modelled results for OS and PFS and the source Kaplan-Meier estimates are presented in Figure 2 and </w:t>
      </w:r>
      <w:r>
        <w:t xml:space="preserve">Figure </w:t>
      </w:r>
      <w:r w:rsidRPr="006C3187">
        <w:t>3.</w:t>
      </w:r>
      <w:r w:rsidRPr="006C3187">
        <w:rPr>
          <w:i/>
        </w:rPr>
        <w:t xml:space="preserve"> </w:t>
      </w:r>
    </w:p>
    <w:p w:rsidR="00411123" w:rsidRPr="00127F42" w:rsidRDefault="00411123" w:rsidP="00687778">
      <w:pPr>
        <w:keepNext/>
        <w:keepLines/>
        <w:widowControl/>
        <w:rPr>
          <w:rStyle w:val="CommentReference"/>
          <w:szCs w:val="20"/>
        </w:rPr>
      </w:pPr>
      <w:r w:rsidRPr="002B24E7">
        <w:rPr>
          <w:rStyle w:val="CommentReference"/>
          <w:szCs w:val="20"/>
        </w:rPr>
        <w:t>Figure 2: Decomposition of Kaplan-Meier and extrapolated values: progression free survival</w:t>
      </w:r>
    </w:p>
    <w:p w:rsidR="00411123" w:rsidRPr="00127F42" w:rsidRDefault="00411123" w:rsidP="00687778">
      <w:pPr>
        <w:widowControl/>
      </w:pPr>
      <w:r w:rsidRPr="00127F42">
        <w:rPr>
          <w:noProof/>
          <w:snapToGrid/>
          <w:lang w:eastAsia="en-AU"/>
        </w:rPr>
        <w:drawing>
          <wp:inline distT="0" distB="0" distL="0" distR="0" wp14:anchorId="0071A17D" wp14:editId="224CE00D">
            <wp:extent cx="5732145" cy="3503295"/>
            <wp:effectExtent l="0" t="0" r="1905"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3503295"/>
                    </a:xfrm>
                    <a:prstGeom prst="rect">
                      <a:avLst/>
                    </a:prstGeom>
                  </pic:spPr>
                </pic:pic>
              </a:graphicData>
            </a:graphic>
          </wp:inline>
        </w:drawing>
      </w:r>
    </w:p>
    <w:p w:rsidR="00411123" w:rsidRDefault="00411123" w:rsidP="00687778">
      <w:pPr>
        <w:pStyle w:val="TableFooter"/>
        <w:widowControl/>
      </w:pPr>
      <w:r w:rsidRPr="008260ED">
        <w:t>Source: Figure 3-15, p. 193 of the resubmission.</w:t>
      </w:r>
    </w:p>
    <w:p w:rsidR="00251777" w:rsidRPr="00C47D29" w:rsidRDefault="00251777" w:rsidP="00687778">
      <w:pPr>
        <w:pStyle w:val="TableFooter"/>
        <w:widowControl/>
      </w:pPr>
      <w:r w:rsidRPr="00C47D29">
        <w:t xml:space="preserve">Note: The broken line represents extrapolation beyond the trial follow-up however extrapolation is </w:t>
      </w:r>
      <w:r w:rsidR="00F047F7" w:rsidRPr="00C47D29">
        <w:t xml:space="preserve">actually </w:t>
      </w:r>
      <w:r w:rsidRPr="00C47D29">
        <w:t xml:space="preserve">applied from </w:t>
      </w:r>
      <w:r w:rsidR="000D5B54" w:rsidRPr="00C47D29">
        <w:t>median PFS.</w:t>
      </w:r>
      <w:r w:rsidRPr="00C47D29">
        <w:t xml:space="preserve"> </w:t>
      </w:r>
    </w:p>
    <w:p w:rsidR="00411123" w:rsidRPr="00D15FB0" w:rsidRDefault="00411123" w:rsidP="00687778">
      <w:pPr>
        <w:pStyle w:val="TableFooter"/>
        <w:widowControl/>
        <w:rPr>
          <w:color w:val="0070C0"/>
        </w:rPr>
      </w:pPr>
    </w:p>
    <w:p w:rsidR="00411123" w:rsidRPr="008260ED" w:rsidRDefault="00411123" w:rsidP="00687778">
      <w:pPr>
        <w:keepNext/>
        <w:keepLines/>
        <w:widowControl/>
      </w:pPr>
      <w:r w:rsidRPr="002B24E7">
        <w:rPr>
          <w:rStyle w:val="CommentReference"/>
        </w:rPr>
        <w:lastRenderedPageBreak/>
        <w:t>Figure 3: Decomposition of Kaplan-Meier and extrapolated values: overall survival</w:t>
      </w:r>
    </w:p>
    <w:p w:rsidR="00411123" w:rsidRPr="008260ED" w:rsidRDefault="00411123" w:rsidP="00687778">
      <w:pPr>
        <w:widowControl/>
      </w:pPr>
      <w:r w:rsidRPr="008260ED">
        <w:rPr>
          <w:noProof/>
          <w:lang w:eastAsia="en-AU"/>
        </w:rPr>
        <w:drawing>
          <wp:inline distT="0" distB="0" distL="0" distR="0" wp14:anchorId="7A3C0991" wp14:editId="6C4809E1">
            <wp:extent cx="5732145" cy="3505200"/>
            <wp:effectExtent l="0" t="0" r="190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2145" cy="3505200"/>
                    </a:xfrm>
                    <a:prstGeom prst="rect">
                      <a:avLst/>
                    </a:prstGeom>
                  </pic:spPr>
                </pic:pic>
              </a:graphicData>
            </a:graphic>
          </wp:inline>
        </w:drawing>
      </w:r>
    </w:p>
    <w:p w:rsidR="00411123" w:rsidRPr="008260ED" w:rsidRDefault="00411123" w:rsidP="00687778">
      <w:pPr>
        <w:pStyle w:val="TableFooter"/>
        <w:widowControl/>
      </w:pPr>
      <w:r w:rsidRPr="008260ED">
        <w:t>Source: Figure 3-14, p. 191 of the resubmission.</w:t>
      </w:r>
    </w:p>
    <w:p w:rsidR="000D5B54" w:rsidRPr="00C47D29" w:rsidRDefault="000D5B54" w:rsidP="00687778">
      <w:pPr>
        <w:pStyle w:val="TableFooter"/>
        <w:widowControl/>
      </w:pPr>
      <w:r w:rsidRPr="00C47D29">
        <w:t xml:space="preserve">Note: The broken line represents extrapolation beyond the trial follow-up however extrapolation is </w:t>
      </w:r>
      <w:r w:rsidR="00F047F7" w:rsidRPr="00C47D29">
        <w:t xml:space="preserve">actually </w:t>
      </w:r>
      <w:r w:rsidRPr="00C47D29">
        <w:t xml:space="preserve">applied from median OS. </w:t>
      </w:r>
    </w:p>
    <w:p w:rsidR="00411123" w:rsidRPr="00D15FB0" w:rsidRDefault="00411123" w:rsidP="00687778">
      <w:pPr>
        <w:pStyle w:val="TableFooter"/>
        <w:widowControl/>
        <w:rPr>
          <w:color w:val="0070C0"/>
        </w:rPr>
      </w:pPr>
    </w:p>
    <w:p w:rsidR="00CB1DDF" w:rsidRPr="00D31E2F" w:rsidRDefault="00875D7E" w:rsidP="00687778">
      <w:pPr>
        <w:pStyle w:val="ListParagraph"/>
        <w:widowControl/>
        <w:numPr>
          <w:ilvl w:val="1"/>
          <w:numId w:val="3"/>
        </w:numPr>
        <w:spacing w:before="120"/>
      </w:pPr>
      <w:r w:rsidRPr="00D31E2F">
        <w:t>The ESC noted that in F</w:t>
      </w:r>
      <w:r w:rsidR="00CB1DDF" w:rsidRPr="00D31E2F">
        <w:t xml:space="preserve">igures 2 and 3 above, the broken line </w:t>
      </w:r>
      <w:r w:rsidR="00533EE5" w:rsidRPr="00D31E2F">
        <w:t>shows</w:t>
      </w:r>
      <w:r w:rsidR="00CB1DDF" w:rsidRPr="00D31E2F">
        <w:t xml:space="preserve"> extrapolation beyond the trial follow up. </w:t>
      </w:r>
      <w:r w:rsidR="00533EE5" w:rsidRPr="00D31E2F">
        <w:t>However, a</w:t>
      </w:r>
      <w:r w:rsidR="00CB1DDF" w:rsidRPr="00D31E2F">
        <w:t>s noted in paragraph 6.</w:t>
      </w:r>
      <w:r w:rsidR="006417D8">
        <w:t>22</w:t>
      </w:r>
      <w:r w:rsidR="00CB1DDF" w:rsidRPr="00D31E2F">
        <w:t xml:space="preserve"> t</w:t>
      </w:r>
      <w:r w:rsidR="00CB1DDF" w:rsidRPr="00D31E2F">
        <w:rPr>
          <w:bCs/>
        </w:rPr>
        <w:t xml:space="preserve">he model extrapolated for regorafenib and BSC from the </w:t>
      </w:r>
      <w:r w:rsidR="00533EE5" w:rsidRPr="00D31E2F">
        <w:rPr>
          <w:bCs/>
        </w:rPr>
        <w:t xml:space="preserve">points </w:t>
      </w:r>
      <w:r w:rsidR="00F047F7" w:rsidRPr="00D31E2F">
        <w:rPr>
          <w:bCs/>
        </w:rPr>
        <w:t xml:space="preserve">of </w:t>
      </w:r>
      <w:r w:rsidR="00CB1DDF" w:rsidRPr="00D31E2F">
        <w:rPr>
          <w:bCs/>
        </w:rPr>
        <w:t xml:space="preserve">median OS </w:t>
      </w:r>
      <w:r w:rsidR="00774C91" w:rsidRPr="00D31E2F">
        <w:rPr>
          <w:bCs/>
        </w:rPr>
        <w:t>(</w:t>
      </w:r>
      <w:r w:rsidR="00533EE5" w:rsidRPr="00D31E2F">
        <w:rPr>
          <w:bCs/>
        </w:rPr>
        <w:t xml:space="preserve">10.7 months and 7.9 months, respectively) </w:t>
      </w:r>
      <w:r w:rsidR="00CB1DDF" w:rsidRPr="00D31E2F">
        <w:rPr>
          <w:bCs/>
        </w:rPr>
        <w:t xml:space="preserve">and PFS </w:t>
      </w:r>
      <w:r w:rsidR="00533EE5" w:rsidRPr="00D31E2F">
        <w:rPr>
          <w:bCs/>
        </w:rPr>
        <w:t>(3.1 months and 1.5 months).</w:t>
      </w:r>
      <w:r w:rsidR="00F047F7" w:rsidRPr="00D31E2F">
        <w:rPr>
          <w:bCs/>
        </w:rPr>
        <w:t xml:space="preserve"> As such extrapolation is from a much earlier point than is indicated in the figures above.</w:t>
      </w:r>
    </w:p>
    <w:p w:rsidR="00D15FB0" w:rsidRPr="007618A6" w:rsidRDefault="00D15FB0" w:rsidP="00687778">
      <w:pPr>
        <w:pStyle w:val="ListParagraph"/>
        <w:widowControl/>
        <w:numPr>
          <w:ilvl w:val="1"/>
          <w:numId w:val="3"/>
        </w:numPr>
        <w:spacing w:before="120"/>
      </w:pPr>
      <w:r w:rsidRPr="007618A6">
        <w:t>A stepped economic evaluation was presented (see Table 1</w:t>
      </w:r>
      <w:r w:rsidR="00774C91">
        <w:t>2</w:t>
      </w:r>
      <w:r w:rsidRPr="007618A6">
        <w:t xml:space="preserve">). Step 1 was a trial-based economic evaluation with only the costs of primary treatment (medicines) considered. Step 2 extrapolated results to a 5-year time horizon. </w:t>
      </w:r>
      <w:r w:rsidR="007618A6" w:rsidRPr="007618A6">
        <w:t xml:space="preserve">Step </w:t>
      </w:r>
      <w:r w:rsidRPr="007618A6">
        <w:t>3 in the</w:t>
      </w:r>
      <w:r w:rsidR="00950607">
        <w:t xml:space="preserve"> resubmission</w:t>
      </w:r>
      <w:r w:rsidRPr="007618A6">
        <w:t xml:space="preserve"> included all resource use in addition to the drug price. Finally, Step 4 transformed the </w:t>
      </w:r>
      <w:r w:rsidR="007C6114">
        <w:t xml:space="preserve">trial </w:t>
      </w:r>
      <w:r w:rsidRPr="007618A6">
        <w:t xml:space="preserve">outcome </w:t>
      </w:r>
      <w:r w:rsidR="00DC4FAE">
        <w:t>(</w:t>
      </w:r>
      <w:r w:rsidRPr="007618A6">
        <w:t>LYG</w:t>
      </w:r>
      <w:r w:rsidR="00DC4FAE">
        <w:t>)</w:t>
      </w:r>
      <w:r w:rsidRPr="007618A6">
        <w:t xml:space="preserve"> to QALYs. </w:t>
      </w:r>
    </w:p>
    <w:p w:rsidR="00D15FB0" w:rsidRPr="00EA747D" w:rsidRDefault="00D15FB0" w:rsidP="00207B77">
      <w:pPr>
        <w:keepNext/>
        <w:widowControl/>
        <w:rPr>
          <w:rStyle w:val="CommentReference"/>
        </w:rPr>
      </w:pPr>
      <w:r w:rsidRPr="002B24E7">
        <w:rPr>
          <w:rStyle w:val="CommentReference"/>
        </w:rPr>
        <w:lastRenderedPageBreak/>
        <w:t>Table 1</w:t>
      </w:r>
      <w:r w:rsidR="00774C91">
        <w:rPr>
          <w:rStyle w:val="CommentReference"/>
        </w:rPr>
        <w:t>2</w:t>
      </w:r>
      <w:r w:rsidRPr="002B24E7">
        <w:rPr>
          <w:rStyle w:val="CommentReference"/>
        </w:rPr>
        <w:t>:  Results of the stepped economic evaluation</w:t>
      </w:r>
    </w:p>
    <w:tbl>
      <w:tblPr>
        <w:tblStyle w:val="TableGrid"/>
        <w:tblW w:w="5000" w:type="pct"/>
        <w:tblLook w:val="04A0" w:firstRow="1" w:lastRow="0" w:firstColumn="1" w:lastColumn="0" w:noHBand="0" w:noVBand="1"/>
        <w:tblCaption w:val="Results of the stepped economic evaluation"/>
      </w:tblPr>
      <w:tblGrid>
        <w:gridCol w:w="2112"/>
        <w:gridCol w:w="983"/>
        <w:gridCol w:w="838"/>
        <w:gridCol w:w="1124"/>
        <w:gridCol w:w="841"/>
        <w:gridCol w:w="982"/>
        <w:gridCol w:w="874"/>
        <w:gridCol w:w="1263"/>
      </w:tblGrid>
      <w:tr w:rsidR="00EA747D" w:rsidRPr="002B24E7" w:rsidTr="002B24E7">
        <w:tc>
          <w:tcPr>
            <w:tcW w:w="1177" w:type="pct"/>
            <w:vMerge w:val="restart"/>
            <w:shd w:val="clear" w:color="auto" w:fill="auto"/>
            <w:vAlign w:val="center"/>
          </w:tcPr>
          <w:p w:rsidR="00EA747D" w:rsidRPr="002B24E7" w:rsidRDefault="00EA747D" w:rsidP="00207B77">
            <w:pPr>
              <w:keepNext/>
              <w:widowControl/>
              <w:spacing w:line="276" w:lineRule="auto"/>
              <w:jc w:val="left"/>
              <w:rPr>
                <w:rFonts w:ascii="Arial Narrow" w:hAnsi="Arial Narrow" w:cstheme="minorHAnsi"/>
                <w:b/>
                <w:sz w:val="20"/>
                <w:szCs w:val="20"/>
              </w:rPr>
            </w:pPr>
            <w:r w:rsidRPr="002B24E7">
              <w:rPr>
                <w:rFonts w:ascii="Arial Narrow" w:hAnsi="Arial Narrow" w:cstheme="minorHAnsi"/>
                <w:b/>
                <w:sz w:val="20"/>
                <w:szCs w:val="20"/>
              </w:rPr>
              <w:t>Step</w:t>
            </w:r>
          </w:p>
        </w:tc>
        <w:tc>
          <w:tcPr>
            <w:tcW w:w="1650" w:type="pct"/>
            <w:gridSpan w:val="3"/>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b/>
                <w:sz w:val="20"/>
                <w:szCs w:val="20"/>
              </w:rPr>
            </w:pPr>
            <w:r w:rsidRPr="002B24E7">
              <w:rPr>
                <w:rFonts w:ascii="Arial Narrow" w:hAnsi="Arial Narrow" w:cstheme="minorHAnsi"/>
                <w:b/>
                <w:sz w:val="20"/>
                <w:szCs w:val="20"/>
              </w:rPr>
              <w:t>Cost</w:t>
            </w:r>
          </w:p>
        </w:tc>
        <w:tc>
          <w:tcPr>
            <w:tcW w:w="1512" w:type="pct"/>
            <w:gridSpan w:val="3"/>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b/>
                <w:sz w:val="20"/>
                <w:szCs w:val="20"/>
              </w:rPr>
            </w:pPr>
            <w:r w:rsidRPr="002B24E7">
              <w:rPr>
                <w:rFonts w:ascii="Arial Narrow" w:hAnsi="Arial Narrow" w:cstheme="minorHAnsi"/>
                <w:b/>
                <w:sz w:val="20"/>
                <w:szCs w:val="20"/>
              </w:rPr>
              <w:t>Outcomes</w:t>
            </w:r>
          </w:p>
        </w:tc>
        <w:tc>
          <w:tcPr>
            <w:tcW w:w="661" w:type="pct"/>
            <w:vMerge w:val="restar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b/>
                <w:sz w:val="20"/>
                <w:szCs w:val="20"/>
              </w:rPr>
            </w:pPr>
            <w:r w:rsidRPr="002B24E7">
              <w:rPr>
                <w:rFonts w:ascii="Arial Narrow" w:hAnsi="Arial Narrow" w:cstheme="minorHAnsi"/>
                <w:b/>
                <w:sz w:val="20"/>
                <w:szCs w:val="20"/>
              </w:rPr>
              <w:t>ICER</w:t>
            </w:r>
          </w:p>
        </w:tc>
      </w:tr>
      <w:tr w:rsidR="00EA747D" w:rsidRPr="002B24E7" w:rsidTr="002B24E7">
        <w:tc>
          <w:tcPr>
            <w:tcW w:w="1177" w:type="pct"/>
            <w:vMerge/>
            <w:shd w:val="clear" w:color="auto" w:fill="auto"/>
            <w:vAlign w:val="center"/>
          </w:tcPr>
          <w:p w:rsidR="00EA747D" w:rsidRPr="002B24E7" w:rsidRDefault="00EA747D" w:rsidP="00207B77">
            <w:pPr>
              <w:keepNext/>
              <w:widowControl/>
              <w:spacing w:line="276" w:lineRule="auto"/>
              <w:jc w:val="left"/>
              <w:rPr>
                <w:rFonts w:ascii="Arial Narrow" w:hAnsi="Arial Narrow" w:cstheme="minorHAnsi"/>
                <w:b/>
                <w:sz w:val="20"/>
                <w:szCs w:val="20"/>
              </w:rPr>
            </w:pPr>
          </w:p>
        </w:tc>
        <w:tc>
          <w:tcPr>
            <w:tcW w:w="551"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b/>
                <w:sz w:val="20"/>
                <w:szCs w:val="20"/>
              </w:rPr>
            </w:pPr>
            <w:proofErr w:type="spellStart"/>
            <w:r w:rsidRPr="002B24E7">
              <w:rPr>
                <w:rFonts w:ascii="Arial Narrow" w:hAnsi="Arial Narrow" w:cstheme="minorHAnsi"/>
                <w:b/>
                <w:sz w:val="20"/>
                <w:szCs w:val="20"/>
              </w:rPr>
              <w:t>Reg</w:t>
            </w:r>
            <w:proofErr w:type="spellEnd"/>
          </w:p>
        </w:tc>
        <w:tc>
          <w:tcPr>
            <w:tcW w:w="471"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b/>
                <w:sz w:val="20"/>
                <w:szCs w:val="20"/>
              </w:rPr>
            </w:pPr>
            <w:r w:rsidRPr="002B24E7">
              <w:rPr>
                <w:rFonts w:ascii="Arial Narrow" w:hAnsi="Arial Narrow" w:cstheme="minorHAnsi"/>
                <w:b/>
                <w:sz w:val="20"/>
                <w:szCs w:val="20"/>
              </w:rPr>
              <w:t>BSC</w:t>
            </w:r>
          </w:p>
        </w:tc>
        <w:tc>
          <w:tcPr>
            <w:tcW w:w="629"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b/>
                <w:sz w:val="20"/>
                <w:szCs w:val="20"/>
              </w:rPr>
            </w:pPr>
            <w:proofErr w:type="spellStart"/>
            <w:r w:rsidRPr="002B24E7">
              <w:rPr>
                <w:rFonts w:ascii="Arial Narrow" w:hAnsi="Arial Narrow" w:cstheme="minorHAnsi"/>
                <w:b/>
                <w:sz w:val="20"/>
                <w:szCs w:val="20"/>
              </w:rPr>
              <w:t>Inc</w:t>
            </w:r>
            <w:proofErr w:type="spellEnd"/>
          </w:p>
        </w:tc>
        <w:tc>
          <w:tcPr>
            <w:tcW w:w="472"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b/>
                <w:sz w:val="20"/>
                <w:szCs w:val="20"/>
              </w:rPr>
            </w:pPr>
            <w:proofErr w:type="spellStart"/>
            <w:r w:rsidRPr="002B24E7">
              <w:rPr>
                <w:rFonts w:ascii="Arial Narrow" w:hAnsi="Arial Narrow" w:cstheme="minorHAnsi"/>
                <w:b/>
                <w:sz w:val="20"/>
                <w:szCs w:val="20"/>
              </w:rPr>
              <w:t>Reg</w:t>
            </w:r>
            <w:proofErr w:type="spellEnd"/>
          </w:p>
        </w:tc>
        <w:tc>
          <w:tcPr>
            <w:tcW w:w="550"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b/>
                <w:sz w:val="20"/>
                <w:szCs w:val="20"/>
              </w:rPr>
            </w:pPr>
            <w:r w:rsidRPr="002B24E7">
              <w:rPr>
                <w:rFonts w:ascii="Arial Narrow" w:hAnsi="Arial Narrow" w:cstheme="minorHAnsi"/>
                <w:b/>
                <w:sz w:val="20"/>
                <w:szCs w:val="20"/>
              </w:rPr>
              <w:t>BSC</w:t>
            </w:r>
          </w:p>
        </w:tc>
        <w:tc>
          <w:tcPr>
            <w:tcW w:w="490"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b/>
                <w:sz w:val="20"/>
                <w:szCs w:val="20"/>
              </w:rPr>
            </w:pPr>
            <w:proofErr w:type="spellStart"/>
            <w:r w:rsidRPr="002B24E7">
              <w:rPr>
                <w:rFonts w:ascii="Arial Narrow" w:hAnsi="Arial Narrow" w:cstheme="minorHAnsi"/>
                <w:b/>
                <w:sz w:val="20"/>
                <w:szCs w:val="20"/>
              </w:rPr>
              <w:t>Inc</w:t>
            </w:r>
            <w:proofErr w:type="spellEnd"/>
          </w:p>
        </w:tc>
        <w:tc>
          <w:tcPr>
            <w:tcW w:w="661" w:type="pct"/>
            <w:vMerge/>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b/>
                <w:sz w:val="20"/>
                <w:szCs w:val="20"/>
              </w:rPr>
            </w:pPr>
          </w:p>
        </w:tc>
      </w:tr>
      <w:tr w:rsidR="00EA747D" w:rsidRPr="002B24E7" w:rsidTr="002B24E7">
        <w:tc>
          <w:tcPr>
            <w:tcW w:w="1177" w:type="pct"/>
            <w:shd w:val="clear" w:color="auto" w:fill="auto"/>
            <w:vAlign w:val="center"/>
          </w:tcPr>
          <w:p w:rsidR="00EA747D" w:rsidRPr="002B24E7" w:rsidRDefault="00EA747D" w:rsidP="00207B77">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Step 1. RESORCE trial (time horizon 46 months)</w:t>
            </w:r>
          </w:p>
        </w:tc>
        <w:tc>
          <w:tcPr>
            <w:tcW w:w="551"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w:t>
            </w:r>
          </w:p>
        </w:tc>
        <w:tc>
          <w:tcPr>
            <w:tcW w:w="471"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$0</w:t>
            </w:r>
          </w:p>
        </w:tc>
        <w:tc>
          <w:tcPr>
            <w:tcW w:w="629"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w:t>
            </w:r>
          </w:p>
        </w:tc>
        <w:tc>
          <w:tcPr>
            <w:tcW w:w="472"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1.18</w:t>
            </w:r>
          </w:p>
        </w:tc>
        <w:tc>
          <w:tcPr>
            <w:tcW w:w="550"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0.90</w:t>
            </w:r>
          </w:p>
        </w:tc>
        <w:tc>
          <w:tcPr>
            <w:tcW w:w="490"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0.28</w:t>
            </w:r>
          </w:p>
        </w:tc>
        <w:tc>
          <w:tcPr>
            <w:tcW w:w="661"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w:t>
            </w:r>
            <w:r w:rsidRPr="002B24E7">
              <w:rPr>
                <w:rFonts w:ascii="Arial Narrow" w:hAnsi="Arial Narrow" w:cstheme="minorHAnsi"/>
                <w:sz w:val="20"/>
                <w:szCs w:val="20"/>
                <w:lang w:val="en-GB"/>
              </w:rPr>
              <w:t>/LYG</w:t>
            </w:r>
          </w:p>
        </w:tc>
      </w:tr>
      <w:tr w:rsidR="00EA747D" w:rsidRPr="00EA747D" w:rsidTr="002B24E7">
        <w:tc>
          <w:tcPr>
            <w:tcW w:w="1177" w:type="pct"/>
            <w:shd w:val="clear" w:color="auto" w:fill="auto"/>
            <w:vAlign w:val="center"/>
          </w:tcPr>
          <w:p w:rsidR="00EA747D" w:rsidRPr="002B24E7" w:rsidRDefault="00EA747D" w:rsidP="00207B77">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Step 2.  RESORCE trial extrapolated to 5 years</w:t>
            </w:r>
          </w:p>
        </w:tc>
        <w:tc>
          <w:tcPr>
            <w:tcW w:w="551"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 ''''''''''</w:t>
            </w:r>
          </w:p>
        </w:tc>
        <w:tc>
          <w:tcPr>
            <w:tcW w:w="471"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$0</w:t>
            </w:r>
          </w:p>
        </w:tc>
        <w:tc>
          <w:tcPr>
            <w:tcW w:w="629"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w:t>
            </w:r>
          </w:p>
        </w:tc>
        <w:tc>
          <w:tcPr>
            <w:tcW w:w="472"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1.23</w:t>
            </w:r>
          </w:p>
        </w:tc>
        <w:tc>
          <w:tcPr>
            <w:tcW w:w="550"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0.92</w:t>
            </w:r>
          </w:p>
        </w:tc>
        <w:tc>
          <w:tcPr>
            <w:tcW w:w="490" w:type="pct"/>
            <w:shd w:val="clear" w:color="auto" w:fill="auto"/>
            <w:vAlign w:val="center"/>
          </w:tcPr>
          <w:p w:rsidR="00EA747D" w:rsidRPr="002B24E7"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0.31</w:t>
            </w:r>
          </w:p>
        </w:tc>
        <w:tc>
          <w:tcPr>
            <w:tcW w:w="661"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w:t>
            </w:r>
            <w:r w:rsidRPr="002B24E7">
              <w:rPr>
                <w:rFonts w:ascii="Arial Narrow" w:hAnsi="Arial Narrow" w:cstheme="minorHAnsi"/>
                <w:sz w:val="20"/>
                <w:szCs w:val="20"/>
                <w:lang w:val="en-GB"/>
              </w:rPr>
              <w:t>/LYG</w:t>
            </w:r>
          </w:p>
        </w:tc>
      </w:tr>
      <w:tr w:rsidR="00EA747D" w:rsidRPr="00EA747D" w:rsidTr="002B24E7">
        <w:tc>
          <w:tcPr>
            <w:tcW w:w="1177" w:type="pct"/>
            <w:shd w:val="clear" w:color="auto" w:fill="auto"/>
            <w:vAlign w:val="center"/>
          </w:tcPr>
          <w:p w:rsidR="00EA747D" w:rsidRPr="00BF39CA" w:rsidRDefault="00EA747D" w:rsidP="00207B77">
            <w:pPr>
              <w:keepNext/>
              <w:widowControl/>
              <w:spacing w:line="276" w:lineRule="auto"/>
              <w:jc w:val="left"/>
              <w:rPr>
                <w:rFonts w:ascii="Arial Narrow" w:hAnsi="Arial Narrow" w:cstheme="minorHAnsi"/>
                <w:sz w:val="20"/>
                <w:szCs w:val="20"/>
              </w:rPr>
            </w:pPr>
            <w:r w:rsidRPr="00BF39CA">
              <w:rPr>
                <w:rFonts w:ascii="Arial Narrow" w:hAnsi="Arial Narrow" w:cstheme="minorHAnsi"/>
                <w:sz w:val="20"/>
                <w:szCs w:val="20"/>
              </w:rPr>
              <w:t>Step 3. RESORCE trial extrapolated to 5 years including all resource use</w:t>
            </w:r>
          </w:p>
        </w:tc>
        <w:tc>
          <w:tcPr>
            <w:tcW w:w="551"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w:t>
            </w:r>
          </w:p>
        </w:tc>
        <w:tc>
          <w:tcPr>
            <w:tcW w:w="471"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$5,941</w:t>
            </w:r>
          </w:p>
        </w:tc>
        <w:tc>
          <w:tcPr>
            <w:tcW w:w="629"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w:t>
            </w:r>
          </w:p>
        </w:tc>
        <w:tc>
          <w:tcPr>
            <w:tcW w:w="472"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1.23</w:t>
            </w:r>
          </w:p>
        </w:tc>
        <w:tc>
          <w:tcPr>
            <w:tcW w:w="550"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0.92</w:t>
            </w:r>
          </w:p>
        </w:tc>
        <w:tc>
          <w:tcPr>
            <w:tcW w:w="490"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0.31</w:t>
            </w:r>
          </w:p>
        </w:tc>
        <w:tc>
          <w:tcPr>
            <w:tcW w:w="661"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w:t>
            </w:r>
            <w:r w:rsidRPr="00BF39CA">
              <w:rPr>
                <w:rFonts w:ascii="Arial Narrow" w:hAnsi="Arial Narrow" w:cstheme="minorHAnsi"/>
                <w:sz w:val="20"/>
                <w:szCs w:val="20"/>
                <w:lang w:val="en-GB"/>
              </w:rPr>
              <w:t>/LYG</w:t>
            </w:r>
          </w:p>
        </w:tc>
      </w:tr>
      <w:tr w:rsidR="00EA747D" w:rsidRPr="00EA747D" w:rsidTr="002B24E7">
        <w:tc>
          <w:tcPr>
            <w:tcW w:w="1177" w:type="pct"/>
            <w:shd w:val="clear" w:color="auto" w:fill="auto"/>
            <w:vAlign w:val="center"/>
          </w:tcPr>
          <w:p w:rsidR="00EA747D" w:rsidRPr="00BF39CA" w:rsidRDefault="00EA747D" w:rsidP="00207B77">
            <w:pPr>
              <w:keepNext/>
              <w:widowControl/>
              <w:spacing w:line="276" w:lineRule="auto"/>
              <w:jc w:val="left"/>
              <w:rPr>
                <w:rFonts w:ascii="Arial Narrow" w:hAnsi="Arial Narrow" w:cstheme="minorHAnsi"/>
                <w:sz w:val="20"/>
                <w:szCs w:val="20"/>
              </w:rPr>
            </w:pPr>
            <w:r w:rsidRPr="00BF39CA">
              <w:rPr>
                <w:rFonts w:ascii="Arial Narrow" w:hAnsi="Arial Narrow" w:cstheme="minorHAnsi"/>
                <w:sz w:val="20"/>
                <w:szCs w:val="20"/>
              </w:rPr>
              <w:t>Step 4. RESORCE trial extrapolated to 5 years including all resource use and transformed to QALY’s</w:t>
            </w:r>
          </w:p>
        </w:tc>
        <w:tc>
          <w:tcPr>
            <w:tcW w:w="551"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w:t>
            </w:r>
          </w:p>
        </w:tc>
        <w:tc>
          <w:tcPr>
            <w:tcW w:w="471"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$5,941</w:t>
            </w:r>
          </w:p>
        </w:tc>
        <w:tc>
          <w:tcPr>
            <w:tcW w:w="629"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w:t>
            </w:r>
          </w:p>
        </w:tc>
        <w:tc>
          <w:tcPr>
            <w:tcW w:w="472"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0.93</w:t>
            </w:r>
          </w:p>
        </w:tc>
        <w:tc>
          <w:tcPr>
            <w:tcW w:w="550"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0.69</w:t>
            </w:r>
          </w:p>
        </w:tc>
        <w:tc>
          <w:tcPr>
            <w:tcW w:w="490"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0.24</w:t>
            </w:r>
          </w:p>
        </w:tc>
        <w:tc>
          <w:tcPr>
            <w:tcW w:w="661" w:type="pct"/>
            <w:shd w:val="clear" w:color="auto" w:fill="auto"/>
            <w:vAlign w:val="center"/>
          </w:tcPr>
          <w:p w:rsidR="00EA747D" w:rsidRPr="00BF39CA" w:rsidRDefault="00EA747D" w:rsidP="00207B77">
            <w:pPr>
              <w:keepNext/>
              <w:widowControl/>
              <w:spacing w:line="276" w:lineRule="auto"/>
              <w:jc w:val="center"/>
              <w:rPr>
                <w:rFonts w:ascii="Arial Narrow" w:hAnsi="Arial Narrow" w:cstheme="minorHAnsi"/>
                <w:sz w:val="20"/>
                <w:szCs w:val="20"/>
              </w:rPr>
            </w:pPr>
            <w:r w:rsidRPr="00BF39CA">
              <w:rPr>
                <w:rFonts w:ascii="Arial Narrow" w:hAnsi="Arial Narrow" w:cstheme="minorHAnsi"/>
                <w:sz w:val="20"/>
                <w:szCs w:val="20"/>
                <w:lang w:val="en-GB"/>
              </w:rPr>
              <w:t>$</w:t>
            </w:r>
            <w:r w:rsidR="00D25498">
              <w:rPr>
                <w:rFonts w:ascii="Arial Narrow" w:hAnsi="Arial Narrow" w:cstheme="minorHAnsi"/>
                <w:noProof/>
                <w:color w:val="000000"/>
                <w:sz w:val="20"/>
                <w:szCs w:val="20"/>
                <w:highlight w:val="black"/>
                <w:lang w:val="en-GB"/>
              </w:rPr>
              <w:t>'''''''''''''''</w:t>
            </w:r>
            <w:r w:rsidRPr="00BF39CA">
              <w:rPr>
                <w:rFonts w:ascii="Arial Narrow" w:hAnsi="Arial Narrow" w:cstheme="minorHAnsi"/>
                <w:sz w:val="20"/>
                <w:szCs w:val="20"/>
                <w:lang w:val="en-GB"/>
              </w:rPr>
              <w:t>/QALY</w:t>
            </w:r>
          </w:p>
        </w:tc>
      </w:tr>
    </w:tbl>
    <w:p w:rsidR="00D15FB0" w:rsidRPr="00EA747D" w:rsidRDefault="00D15FB0" w:rsidP="00687778">
      <w:pPr>
        <w:pStyle w:val="TableFooter"/>
        <w:widowControl/>
      </w:pPr>
      <w:r w:rsidRPr="00EA747D">
        <w:t xml:space="preserve">Abbreviations: ICER= incremental cost effectiveness ratio; </w:t>
      </w:r>
      <w:proofErr w:type="spellStart"/>
      <w:r w:rsidRPr="00EA747D">
        <w:t>Inc</w:t>
      </w:r>
      <w:proofErr w:type="spellEnd"/>
      <w:r w:rsidRPr="00EA747D">
        <w:t xml:space="preserve">= incremental; LYG= life years gained; QALYs= quality adjusted life years; </w:t>
      </w:r>
      <w:proofErr w:type="spellStart"/>
      <w:r w:rsidRPr="00EA747D">
        <w:t>Reg</w:t>
      </w:r>
      <w:proofErr w:type="spellEnd"/>
      <w:r w:rsidRPr="00EA747D">
        <w:t>= regorafenib</w:t>
      </w:r>
    </w:p>
    <w:p w:rsidR="00D15FB0" w:rsidRPr="00EA747D" w:rsidRDefault="00D15FB0" w:rsidP="00687778">
      <w:pPr>
        <w:pStyle w:val="TableFooter"/>
        <w:widowControl/>
      </w:pPr>
      <w:r w:rsidRPr="00EA747D">
        <w:t>Source: Table 3-2</w:t>
      </w:r>
      <w:r w:rsidR="00EA747D" w:rsidRPr="00EA747D">
        <w:t>5</w:t>
      </w:r>
      <w:r w:rsidRPr="00EA747D">
        <w:t xml:space="preserve">, p. </w:t>
      </w:r>
      <w:r w:rsidR="00EA747D" w:rsidRPr="00EA747D">
        <w:t>203</w:t>
      </w:r>
      <w:r w:rsidRPr="00EA747D">
        <w:t xml:space="preserve"> of the </w:t>
      </w:r>
      <w:r w:rsidR="00EA747D" w:rsidRPr="00EA747D">
        <w:t>re</w:t>
      </w:r>
      <w:r w:rsidRPr="00EA747D">
        <w:t xml:space="preserve">submission. </w:t>
      </w:r>
    </w:p>
    <w:p w:rsidR="00D15FB0" w:rsidRPr="00761E46" w:rsidRDefault="00DC5B94" w:rsidP="00DC5B94">
      <w:pPr>
        <w:pStyle w:val="TableFooter"/>
        <w:spacing w:before="120" w:after="120"/>
        <w:rPr>
          <w:rFonts w:asciiTheme="minorHAnsi" w:hAnsiTheme="minorHAnsi" w:cstheme="minorHAnsi"/>
          <w:i/>
          <w:sz w:val="24"/>
          <w:szCs w:val="24"/>
        </w:rPr>
      </w:pPr>
      <w:r w:rsidRPr="00761E46">
        <w:rPr>
          <w:rFonts w:asciiTheme="minorHAnsi" w:hAnsiTheme="minorHAnsi" w:cstheme="minorHAnsi"/>
          <w:i/>
          <w:sz w:val="24"/>
          <w:szCs w:val="24"/>
        </w:rPr>
        <w:t>The redacted table shows ICERs in the range of $15,000 - $75,000 per LY or QALY gained</w:t>
      </w:r>
      <w:r w:rsidR="00761E46">
        <w:rPr>
          <w:rFonts w:asciiTheme="minorHAnsi" w:hAnsiTheme="minorHAnsi" w:cstheme="minorHAnsi"/>
          <w:i/>
          <w:sz w:val="24"/>
          <w:szCs w:val="24"/>
        </w:rPr>
        <w:t>.</w:t>
      </w:r>
    </w:p>
    <w:p w:rsidR="00293E8A" w:rsidRPr="00D31E2F" w:rsidRDefault="00293E8A" w:rsidP="00687778">
      <w:pPr>
        <w:pStyle w:val="ListParagraph"/>
        <w:widowControl/>
        <w:numPr>
          <w:ilvl w:val="1"/>
          <w:numId w:val="3"/>
        </w:numPr>
      </w:pPr>
      <w:r w:rsidRPr="002B24E7">
        <w:rPr>
          <w:rFonts w:asciiTheme="minorHAnsi" w:eastAsiaTheme="minorHAnsi" w:hAnsiTheme="minorHAnsi" w:cstheme="minorBidi"/>
          <w:snapToGrid/>
          <w:szCs w:val="24"/>
        </w:rPr>
        <w:t xml:space="preserve">In accordance with the advice provided by PBAC </w:t>
      </w:r>
      <w:r w:rsidRPr="002B24E7">
        <w:t>(</w:t>
      </w:r>
      <w:r w:rsidRPr="002B24E7">
        <w:rPr>
          <w:rFonts w:cs="Calibri"/>
          <w:snapToGrid/>
          <w:szCs w:val="24"/>
          <w:lang w:val="en-US" w:eastAsia="en-AU"/>
        </w:rPr>
        <w:t xml:space="preserve">paragraph 6.43, </w:t>
      </w:r>
      <w:r w:rsidR="0085137D">
        <w:rPr>
          <w:bCs/>
        </w:rPr>
        <w:t>regorafenib</w:t>
      </w:r>
      <w:r w:rsidR="0085137D" w:rsidRPr="0040436F">
        <w:rPr>
          <w:bCs/>
        </w:rPr>
        <w:t xml:space="preserve"> PSD</w:t>
      </w:r>
      <w:r w:rsidR="0085137D">
        <w:rPr>
          <w:bCs/>
        </w:rPr>
        <w:t>, March 2018 meeting</w:t>
      </w:r>
      <w:r w:rsidRPr="002B24E7">
        <w:rPr>
          <w:rFonts w:cs="Calibri"/>
          <w:snapToGrid/>
          <w:szCs w:val="24"/>
          <w:lang w:val="en-US" w:eastAsia="en-AU"/>
        </w:rPr>
        <w:t>)</w:t>
      </w:r>
      <w:r w:rsidRPr="002B24E7">
        <w:rPr>
          <w:rFonts w:asciiTheme="minorHAnsi" w:eastAsiaTheme="minorHAnsi" w:hAnsiTheme="minorHAnsi" w:cstheme="minorBidi"/>
          <w:snapToGrid/>
          <w:szCs w:val="24"/>
        </w:rPr>
        <w:t>, the utility values used in the resubmission base case model were based on those from the within treatment-arm values in RESORCE, instead of using an average utility per health state as in the March 2018 submission. The utility values for both treatment arms are directly used from the RESORCE clinical trial</w:t>
      </w:r>
      <w:r w:rsidRPr="00D31E2F">
        <w:rPr>
          <w:rFonts w:asciiTheme="minorHAnsi" w:eastAsiaTheme="minorHAnsi" w:hAnsiTheme="minorHAnsi" w:cstheme="minorBidi"/>
          <w:snapToGrid/>
          <w:szCs w:val="24"/>
        </w:rPr>
        <w:t xml:space="preserve">. </w:t>
      </w:r>
      <w:r w:rsidR="003B021D" w:rsidRPr="00D31E2F">
        <w:rPr>
          <w:rFonts w:asciiTheme="minorHAnsi" w:eastAsiaTheme="minorHAnsi" w:hAnsiTheme="minorHAnsi" w:cstheme="minorBidi"/>
          <w:snapToGrid/>
          <w:szCs w:val="24"/>
        </w:rPr>
        <w:t>The ESC considered this wa</w:t>
      </w:r>
      <w:r w:rsidRPr="00D31E2F">
        <w:rPr>
          <w:rFonts w:asciiTheme="minorHAnsi" w:eastAsiaTheme="minorHAnsi" w:hAnsiTheme="minorHAnsi" w:cstheme="minorBidi"/>
          <w:snapToGrid/>
          <w:szCs w:val="24"/>
        </w:rPr>
        <w:t>s appropriate</w:t>
      </w:r>
      <w:r w:rsidR="00DC4FAE" w:rsidRPr="00D31E2F">
        <w:rPr>
          <w:rFonts w:asciiTheme="minorHAnsi" w:eastAsiaTheme="minorHAnsi" w:hAnsiTheme="minorHAnsi" w:cstheme="minorBidi"/>
          <w:snapToGrid/>
          <w:szCs w:val="24"/>
        </w:rPr>
        <w:t>, and note</w:t>
      </w:r>
      <w:r w:rsidR="00823ADF" w:rsidRPr="00D31E2F">
        <w:rPr>
          <w:rFonts w:asciiTheme="minorHAnsi" w:eastAsiaTheme="minorHAnsi" w:hAnsiTheme="minorHAnsi" w:cstheme="minorBidi"/>
          <w:snapToGrid/>
          <w:szCs w:val="24"/>
        </w:rPr>
        <w:t>d</w:t>
      </w:r>
      <w:r w:rsidR="00DC4FAE" w:rsidRPr="00D31E2F">
        <w:rPr>
          <w:rFonts w:asciiTheme="minorHAnsi" w:eastAsiaTheme="minorHAnsi" w:hAnsiTheme="minorHAnsi" w:cstheme="minorBidi"/>
          <w:snapToGrid/>
          <w:szCs w:val="24"/>
        </w:rPr>
        <w:t xml:space="preserve"> that the impact of this was small</w:t>
      </w:r>
      <w:r w:rsidRPr="00D31E2F">
        <w:rPr>
          <w:rFonts w:asciiTheme="minorHAnsi" w:eastAsiaTheme="minorHAnsi" w:hAnsiTheme="minorHAnsi" w:cstheme="minorBidi"/>
          <w:snapToGrid/>
          <w:szCs w:val="24"/>
        </w:rPr>
        <w:t>.</w:t>
      </w:r>
    </w:p>
    <w:p w:rsidR="00D15FB0" w:rsidRPr="002B24E7" w:rsidRDefault="00D15FB0" w:rsidP="00687778">
      <w:pPr>
        <w:pStyle w:val="ListParagraph"/>
        <w:widowControl/>
        <w:numPr>
          <w:ilvl w:val="1"/>
          <w:numId w:val="3"/>
        </w:numPr>
      </w:pPr>
      <w:r w:rsidRPr="002B24E7">
        <w:rPr>
          <w:rFonts w:asciiTheme="minorHAnsi" w:eastAsiaTheme="minorHAnsi" w:hAnsiTheme="minorHAnsi" w:cstheme="minorBidi"/>
          <w:snapToGrid/>
          <w:szCs w:val="24"/>
        </w:rPr>
        <w:t xml:space="preserve">The transformation of the outcome from LYG to QALYs, had an important impact on the cost-effectiveness results, the ICER was increased from </w:t>
      </w:r>
      <w:r w:rsidR="00DC5B94">
        <w:rPr>
          <w:rFonts w:asciiTheme="minorHAnsi" w:eastAsiaTheme="minorHAnsi" w:hAnsiTheme="minorHAnsi" w:cstheme="minorBidi"/>
          <w:snapToGrid/>
          <w:szCs w:val="24"/>
        </w:rPr>
        <w:t>$45,000/LYG - $75,000</w:t>
      </w:r>
      <w:r w:rsidRPr="002B24E7">
        <w:rPr>
          <w:rFonts w:asciiTheme="minorHAnsi" w:eastAsiaTheme="minorHAnsi" w:hAnsiTheme="minorHAnsi" w:cstheme="minorBidi"/>
          <w:snapToGrid/>
          <w:szCs w:val="24"/>
        </w:rPr>
        <w:t xml:space="preserve">/LYG to </w:t>
      </w:r>
      <w:r w:rsidR="00DC5B94">
        <w:rPr>
          <w:rFonts w:asciiTheme="minorHAnsi" w:eastAsiaTheme="minorHAnsi" w:hAnsiTheme="minorHAnsi" w:cstheme="minorBidi"/>
          <w:snapToGrid/>
          <w:szCs w:val="24"/>
        </w:rPr>
        <w:t>$45,000/QALY - $75,000</w:t>
      </w:r>
      <w:r w:rsidRPr="002B24E7">
        <w:rPr>
          <w:rFonts w:asciiTheme="minorHAnsi" w:eastAsiaTheme="minorHAnsi" w:hAnsiTheme="minorHAnsi" w:cstheme="minorBidi"/>
          <w:snapToGrid/>
          <w:szCs w:val="24"/>
        </w:rPr>
        <w:t>/QALY (2</w:t>
      </w:r>
      <w:r w:rsidR="00EE6549" w:rsidRPr="002B24E7">
        <w:rPr>
          <w:rFonts w:asciiTheme="minorHAnsi" w:eastAsiaTheme="minorHAnsi" w:hAnsiTheme="minorHAnsi" w:cstheme="minorBidi"/>
          <w:snapToGrid/>
          <w:szCs w:val="24"/>
        </w:rPr>
        <w:t>4</w:t>
      </w:r>
      <w:r w:rsidRPr="002B24E7">
        <w:rPr>
          <w:rFonts w:asciiTheme="minorHAnsi" w:eastAsiaTheme="minorHAnsi" w:hAnsiTheme="minorHAnsi" w:cstheme="minorBidi"/>
          <w:snapToGrid/>
          <w:szCs w:val="24"/>
        </w:rPr>
        <w:t>%).</w:t>
      </w:r>
      <w:r w:rsidRPr="002B24E7">
        <w:t xml:space="preserve"> </w:t>
      </w:r>
    </w:p>
    <w:p w:rsidR="00D15FB0" w:rsidRPr="002B24E7" w:rsidRDefault="00D15FB0" w:rsidP="00687778">
      <w:pPr>
        <w:pStyle w:val="ListParagraph"/>
        <w:widowControl/>
        <w:numPr>
          <w:ilvl w:val="1"/>
          <w:numId w:val="3"/>
        </w:numPr>
      </w:pPr>
      <w:r w:rsidRPr="002B24E7">
        <w:t>The</w:t>
      </w:r>
      <w:r w:rsidR="00950607" w:rsidRPr="002B24E7">
        <w:t xml:space="preserve"> resubmission</w:t>
      </w:r>
      <w:r w:rsidRPr="002B24E7">
        <w:t xml:space="preserve"> applied appropriate methodology to estimate the total expected costs. The sources for valuing health resources were appropriate. The cost of a hospital admission for each TEAE was derived from the relevant AR-DRG. This was appropriate.</w:t>
      </w:r>
    </w:p>
    <w:p w:rsidR="00D15FB0" w:rsidRPr="005D04A3" w:rsidRDefault="00D15FB0" w:rsidP="00687778">
      <w:pPr>
        <w:keepNext/>
        <w:widowControl/>
        <w:rPr>
          <w:rStyle w:val="CommentReference"/>
        </w:rPr>
      </w:pPr>
      <w:r w:rsidRPr="002B24E7">
        <w:rPr>
          <w:rStyle w:val="CommentReference"/>
        </w:rPr>
        <w:lastRenderedPageBreak/>
        <w:t>Table 1</w:t>
      </w:r>
      <w:r w:rsidR="00774C91">
        <w:rPr>
          <w:rStyle w:val="CommentReference"/>
        </w:rPr>
        <w:t>3</w:t>
      </w:r>
      <w:r w:rsidRPr="002B24E7">
        <w:rPr>
          <w:rStyle w:val="CommentReference"/>
        </w:rPr>
        <w:t>:  Results of sensitivity analyses</w:t>
      </w:r>
    </w:p>
    <w:tbl>
      <w:tblPr>
        <w:tblStyle w:val="TableGrid"/>
        <w:tblW w:w="5001" w:type="pct"/>
        <w:tblLook w:val="04A0" w:firstRow="1" w:lastRow="0" w:firstColumn="1" w:lastColumn="0" w:noHBand="0" w:noVBand="1"/>
        <w:tblCaption w:val="Results of sensitivity analyses"/>
      </w:tblPr>
      <w:tblGrid>
        <w:gridCol w:w="3415"/>
        <w:gridCol w:w="2166"/>
        <w:gridCol w:w="2148"/>
        <w:gridCol w:w="1290"/>
      </w:tblGrid>
      <w:tr w:rsidR="005D04A3" w:rsidRPr="002B24E7" w:rsidTr="002B24E7">
        <w:trPr>
          <w:trHeight w:val="270"/>
          <w:tblHeader/>
        </w:trPr>
        <w:tc>
          <w:tcPr>
            <w:tcW w:w="1893" w:type="pct"/>
            <w:vMerge w:val="restar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b/>
                <w:sz w:val="20"/>
                <w:szCs w:val="20"/>
              </w:rPr>
            </w:pPr>
          </w:p>
        </w:tc>
        <w:tc>
          <w:tcPr>
            <w:tcW w:w="1201" w:type="pct"/>
            <w:shd w:val="clear" w:color="auto" w:fill="auto"/>
            <w:vAlign w:val="center"/>
          </w:tcPr>
          <w:p w:rsidR="003F2AD9" w:rsidRPr="002B24E7" w:rsidRDefault="003F2AD9" w:rsidP="00687778">
            <w:pPr>
              <w:keepNext/>
              <w:widowControl/>
              <w:spacing w:line="276" w:lineRule="auto"/>
              <w:jc w:val="center"/>
              <w:rPr>
                <w:rFonts w:ascii="Arial Narrow" w:hAnsi="Arial Narrow" w:cstheme="minorHAnsi"/>
                <w:b/>
                <w:sz w:val="20"/>
                <w:szCs w:val="20"/>
              </w:rPr>
            </w:pPr>
            <w:r w:rsidRPr="002B24E7">
              <w:rPr>
                <w:rFonts w:ascii="Arial Narrow" w:hAnsi="Arial Narrow" w:cstheme="minorHAnsi"/>
                <w:b/>
                <w:sz w:val="20"/>
                <w:szCs w:val="20"/>
              </w:rPr>
              <w:t>Cost</w:t>
            </w:r>
          </w:p>
        </w:tc>
        <w:tc>
          <w:tcPr>
            <w:tcW w:w="1191" w:type="pct"/>
            <w:shd w:val="clear" w:color="auto" w:fill="auto"/>
            <w:vAlign w:val="center"/>
          </w:tcPr>
          <w:p w:rsidR="003F2AD9" w:rsidRPr="002B24E7" w:rsidRDefault="003F2AD9" w:rsidP="00687778">
            <w:pPr>
              <w:keepNext/>
              <w:widowControl/>
              <w:spacing w:line="276" w:lineRule="auto"/>
              <w:jc w:val="center"/>
              <w:rPr>
                <w:rFonts w:ascii="Arial Narrow" w:hAnsi="Arial Narrow" w:cstheme="minorHAnsi"/>
                <w:b/>
                <w:sz w:val="20"/>
                <w:szCs w:val="20"/>
              </w:rPr>
            </w:pPr>
            <w:r w:rsidRPr="002B24E7">
              <w:rPr>
                <w:rFonts w:ascii="Arial Narrow" w:hAnsi="Arial Narrow" w:cstheme="minorHAnsi"/>
                <w:b/>
                <w:sz w:val="20"/>
                <w:szCs w:val="20"/>
              </w:rPr>
              <w:t>Outcomes</w:t>
            </w:r>
          </w:p>
        </w:tc>
        <w:tc>
          <w:tcPr>
            <w:tcW w:w="715" w:type="pct"/>
            <w:vMerge w:val="restart"/>
            <w:shd w:val="clear" w:color="auto" w:fill="auto"/>
            <w:vAlign w:val="center"/>
          </w:tcPr>
          <w:p w:rsidR="003F2AD9" w:rsidRPr="002B24E7" w:rsidRDefault="003F2AD9" w:rsidP="00687778">
            <w:pPr>
              <w:keepNext/>
              <w:widowControl/>
              <w:spacing w:line="276" w:lineRule="auto"/>
              <w:jc w:val="center"/>
              <w:rPr>
                <w:rFonts w:ascii="Arial Narrow" w:hAnsi="Arial Narrow" w:cstheme="minorHAnsi"/>
                <w:b/>
                <w:sz w:val="20"/>
                <w:szCs w:val="20"/>
              </w:rPr>
            </w:pPr>
            <w:r w:rsidRPr="002B24E7">
              <w:rPr>
                <w:rFonts w:ascii="Arial Narrow" w:hAnsi="Arial Narrow" w:cstheme="minorHAnsi"/>
                <w:b/>
                <w:sz w:val="20"/>
                <w:szCs w:val="20"/>
              </w:rPr>
              <w:t>ICER ($/QALY)</w:t>
            </w:r>
          </w:p>
        </w:tc>
      </w:tr>
      <w:tr w:rsidR="005D04A3" w:rsidRPr="002B24E7" w:rsidTr="002B24E7">
        <w:trPr>
          <w:trHeight w:val="270"/>
          <w:tblHeader/>
        </w:trPr>
        <w:tc>
          <w:tcPr>
            <w:tcW w:w="1893" w:type="pct"/>
            <w:vMerge/>
            <w:shd w:val="clear" w:color="auto" w:fill="auto"/>
            <w:vAlign w:val="center"/>
          </w:tcPr>
          <w:p w:rsidR="003F2AD9" w:rsidRPr="002B24E7" w:rsidRDefault="003F2AD9" w:rsidP="00687778">
            <w:pPr>
              <w:keepNext/>
              <w:widowControl/>
              <w:spacing w:line="276" w:lineRule="auto"/>
              <w:jc w:val="left"/>
              <w:rPr>
                <w:rFonts w:ascii="Arial Narrow" w:hAnsi="Arial Narrow" w:cstheme="minorHAnsi"/>
                <w:b/>
                <w:sz w:val="20"/>
                <w:szCs w:val="20"/>
              </w:rPr>
            </w:pPr>
          </w:p>
        </w:tc>
        <w:tc>
          <w:tcPr>
            <w:tcW w:w="1201" w:type="pct"/>
            <w:shd w:val="clear" w:color="auto" w:fill="auto"/>
            <w:vAlign w:val="center"/>
          </w:tcPr>
          <w:p w:rsidR="003F2AD9" w:rsidRPr="002B24E7" w:rsidRDefault="003F2AD9" w:rsidP="00687778">
            <w:pPr>
              <w:keepNext/>
              <w:widowControl/>
              <w:spacing w:line="276" w:lineRule="auto"/>
              <w:jc w:val="center"/>
              <w:rPr>
                <w:rFonts w:ascii="Arial Narrow" w:hAnsi="Arial Narrow" w:cstheme="minorHAnsi"/>
                <w:b/>
                <w:sz w:val="20"/>
                <w:szCs w:val="20"/>
              </w:rPr>
            </w:pPr>
            <w:r w:rsidRPr="002B24E7">
              <w:rPr>
                <w:rFonts w:ascii="Arial Narrow" w:hAnsi="Arial Narrow" w:cstheme="minorHAnsi"/>
                <w:b/>
                <w:sz w:val="20"/>
                <w:szCs w:val="20"/>
              </w:rPr>
              <w:t xml:space="preserve">Incremental </w:t>
            </w:r>
            <w:proofErr w:type="spellStart"/>
            <w:r w:rsidRPr="002B24E7">
              <w:rPr>
                <w:rFonts w:ascii="Arial Narrow" w:hAnsi="Arial Narrow" w:cstheme="minorHAnsi"/>
                <w:b/>
                <w:sz w:val="20"/>
                <w:szCs w:val="20"/>
              </w:rPr>
              <w:t>Reg</w:t>
            </w:r>
            <w:proofErr w:type="spellEnd"/>
            <w:r w:rsidRPr="002B24E7">
              <w:rPr>
                <w:rFonts w:ascii="Arial Narrow" w:hAnsi="Arial Narrow" w:cstheme="minorHAnsi"/>
                <w:b/>
                <w:sz w:val="20"/>
                <w:szCs w:val="20"/>
              </w:rPr>
              <w:t xml:space="preserve"> vs BSC</w:t>
            </w:r>
          </w:p>
        </w:tc>
        <w:tc>
          <w:tcPr>
            <w:tcW w:w="1191" w:type="pct"/>
            <w:shd w:val="clear" w:color="auto" w:fill="auto"/>
            <w:vAlign w:val="center"/>
          </w:tcPr>
          <w:p w:rsidR="003F2AD9" w:rsidRPr="002B24E7" w:rsidRDefault="003F2AD9" w:rsidP="00687778">
            <w:pPr>
              <w:keepNext/>
              <w:widowControl/>
              <w:spacing w:line="276" w:lineRule="auto"/>
              <w:jc w:val="center"/>
              <w:rPr>
                <w:rFonts w:ascii="Arial Narrow" w:hAnsi="Arial Narrow" w:cstheme="minorHAnsi"/>
                <w:b/>
                <w:sz w:val="20"/>
                <w:szCs w:val="20"/>
              </w:rPr>
            </w:pPr>
            <w:r w:rsidRPr="002B24E7">
              <w:rPr>
                <w:rFonts w:ascii="Arial Narrow" w:hAnsi="Arial Narrow" w:cstheme="minorHAnsi"/>
                <w:b/>
                <w:sz w:val="20"/>
                <w:szCs w:val="20"/>
              </w:rPr>
              <w:t xml:space="preserve">Incremental </w:t>
            </w:r>
            <w:proofErr w:type="spellStart"/>
            <w:r w:rsidRPr="002B24E7">
              <w:rPr>
                <w:rFonts w:ascii="Arial Narrow" w:hAnsi="Arial Narrow" w:cstheme="minorHAnsi"/>
                <w:b/>
                <w:sz w:val="20"/>
                <w:szCs w:val="20"/>
              </w:rPr>
              <w:t>Reg</w:t>
            </w:r>
            <w:proofErr w:type="spellEnd"/>
            <w:r w:rsidRPr="002B24E7">
              <w:rPr>
                <w:rFonts w:ascii="Arial Narrow" w:hAnsi="Arial Narrow" w:cstheme="minorHAnsi"/>
                <w:b/>
                <w:sz w:val="20"/>
                <w:szCs w:val="20"/>
              </w:rPr>
              <w:t xml:space="preserve"> vs BSC</w:t>
            </w:r>
          </w:p>
        </w:tc>
        <w:tc>
          <w:tcPr>
            <w:tcW w:w="715" w:type="pct"/>
            <w:vMerge/>
            <w:shd w:val="clear" w:color="auto" w:fill="auto"/>
            <w:vAlign w:val="center"/>
          </w:tcPr>
          <w:p w:rsidR="003F2AD9" w:rsidRPr="002B24E7" w:rsidRDefault="003F2AD9" w:rsidP="00687778">
            <w:pPr>
              <w:keepNext/>
              <w:widowControl/>
              <w:spacing w:line="276" w:lineRule="auto"/>
              <w:jc w:val="center"/>
              <w:rPr>
                <w:rFonts w:ascii="Arial Narrow" w:hAnsi="Arial Narrow" w:cstheme="minorHAnsi"/>
                <w:b/>
                <w:sz w:val="20"/>
                <w:szCs w:val="20"/>
              </w:rPr>
            </w:pPr>
          </w:p>
        </w:tc>
      </w:tr>
      <w:tr w:rsidR="005D04A3" w:rsidRPr="002B24E7" w:rsidTr="00D3601B">
        <w:trPr>
          <w:trHeight w:val="321"/>
        </w:trPr>
        <w:tc>
          <w:tcPr>
            <w:tcW w:w="5000" w:type="pct"/>
            <w:gridSpan w:val="4"/>
            <w:shd w:val="clear" w:color="auto" w:fill="auto"/>
            <w:vAlign w:val="center"/>
          </w:tcPr>
          <w:p w:rsidR="003F2AD9" w:rsidRPr="002B24E7" w:rsidRDefault="003F2AD9" w:rsidP="00687778">
            <w:pPr>
              <w:keepNext/>
              <w:widowControl/>
              <w:spacing w:line="276" w:lineRule="auto"/>
              <w:jc w:val="left"/>
              <w:rPr>
                <w:rFonts w:ascii="Arial Narrow" w:hAnsi="Arial Narrow" w:cstheme="minorHAnsi"/>
                <w:b/>
                <w:sz w:val="20"/>
                <w:szCs w:val="20"/>
              </w:rPr>
            </w:pPr>
            <w:r w:rsidRPr="002B24E7">
              <w:rPr>
                <w:rFonts w:ascii="Arial Narrow" w:hAnsi="Arial Narrow" w:cstheme="minorHAnsi"/>
                <w:b/>
                <w:sz w:val="20"/>
                <w:szCs w:val="20"/>
              </w:rPr>
              <w:t>Base case</w:t>
            </w:r>
          </w:p>
        </w:tc>
      </w:tr>
      <w:tr w:rsidR="005D04A3" w:rsidRPr="002B24E7" w:rsidTr="002B24E7">
        <w:trPr>
          <w:trHeight w:val="270"/>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Base case</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0.24</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239"/>
        </w:trPr>
        <w:tc>
          <w:tcPr>
            <w:tcW w:w="5000" w:type="pct"/>
            <w:gridSpan w:val="4"/>
            <w:shd w:val="clear" w:color="auto" w:fill="auto"/>
            <w:vAlign w:val="center"/>
          </w:tcPr>
          <w:p w:rsidR="003F2AD9" w:rsidRPr="002B24E7" w:rsidRDefault="003F2AD9" w:rsidP="00687778">
            <w:pPr>
              <w:keepNext/>
              <w:widowControl/>
              <w:spacing w:line="276" w:lineRule="auto"/>
              <w:jc w:val="left"/>
              <w:rPr>
                <w:rFonts w:ascii="Arial Narrow" w:hAnsi="Arial Narrow" w:cstheme="minorHAnsi"/>
                <w:b/>
                <w:sz w:val="20"/>
                <w:szCs w:val="20"/>
              </w:rPr>
            </w:pPr>
            <w:r w:rsidRPr="002B24E7">
              <w:rPr>
                <w:rFonts w:ascii="Arial Narrow" w:hAnsi="Arial Narrow" w:cstheme="minorHAnsi"/>
                <w:b/>
                <w:sz w:val="20"/>
                <w:szCs w:val="20"/>
              </w:rPr>
              <w:t>One Way Sensitivity analysis</w:t>
            </w:r>
          </w:p>
        </w:tc>
      </w:tr>
      <w:tr w:rsidR="005D04A3" w:rsidRPr="002B24E7" w:rsidTr="002B24E7">
        <w:trPr>
          <w:trHeight w:val="105"/>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OS – </w:t>
            </w:r>
            <w:proofErr w:type="spellStart"/>
            <w:r w:rsidRPr="002B24E7">
              <w:rPr>
                <w:rFonts w:ascii="Arial Narrow" w:hAnsi="Arial Narrow" w:cstheme="minorHAnsi"/>
                <w:sz w:val="20"/>
                <w:szCs w:val="20"/>
              </w:rPr>
              <w:t>Loglogistic</w:t>
            </w:r>
            <w:proofErr w:type="spellEnd"/>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0.22</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270"/>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OS – Weibull</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0.25</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7"/>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OS – </w:t>
            </w:r>
            <w:proofErr w:type="spellStart"/>
            <w:r w:rsidRPr="002B24E7">
              <w:rPr>
                <w:rFonts w:ascii="Arial Narrow" w:hAnsi="Arial Narrow" w:cstheme="minorHAnsi"/>
                <w:sz w:val="20"/>
                <w:szCs w:val="20"/>
              </w:rPr>
              <w:t>LogNormal</w:t>
            </w:r>
            <w:proofErr w:type="spellEnd"/>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0.23</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183"/>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OS – </w:t>
            </w:r>
            <w:proofErr w:type="spellStart"/>
            <w:r w:rsidRPr="002B24E7">
              <w:rPr>
                <w:rFonts w:ascii="Arial Narrow" w:hAnsi="Arial Narrow" w:cstheme="minorHAnsi"/>
                <w:sz w:val="20"/>
                <w:szCs w:val="20"/>
              </w:rPr>
              <w:t>Gompertz</w:t>
            </w:r>
            <w:proofErr w:type="spellEnd"/>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0.25</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270"/>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OS – Exponential </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0.26</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7"/>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Regorafenib PFS – </w:t>
            </w:r>
            <w:proofErr w:type="spellStart"/>
            <w:r w:rsidRPr="002B24E7">
              <w:rPr>
                <w:rFonts w:ascii="Arial Narrow" w:hAnsi="Arial Narrow" w:cstheme="minorHAnsi"/>
                <w:sz w:val="20"/>
                <w:szCs w:val="20"/>
              </w:rPr>
              <w:t>Loglogistic</w:t>
            </w:r>
            <w:proofErr w:type="spellEnd"/>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0.23</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61"/>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Regorafenib PFS – Weibull</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0.23</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133"/>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Regorafenib PFS – </w:t>
            </w:r>
            <w:proofErr w:type="spellStart"/>
            <w:r w:rsidRPr="002B24E7">
              <w:rPr>
                <w:rFonts w:ascii="Arial Narrow" w:hAnsi="Arial Narrow" w:cstheme="minorHAnsi"/>
                <w:sz w:val="20"/>
                <w:szCs w:val="20"/>
              </w:rPr>
              <w:t>LogNormal</w:t>
            </w:r>
            <w:proofErr w:type="spellEnd"/>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0.23</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152"/>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Regorafenib PFS – </w:t>
            </w:r>
            <w:proofErr w:type="spellStart"/>
            <w:r w:rsidRPr="002B24E7">
              <w:rPr>
                <w:rFonts w:ascii="Arial Narrow" w:hAnsi="Arial Narrow" w:cstheme="minorHAnsi"/>
                <w:sz w:val="20"/>
                <w:szCs w:val="20"/>
              </w:rPr>
              <w:t>Gompertz</w:t>
            </w:r>
            <w:proofErr w:type="spellEnd"/>
            <w:r w:rsidRPr="002B24E7">
              <w:rPr>
                <w:rFonts w:ascii="Arial Narrow" w:hAnsi="Arial Narrow" w:cstheme="minorHAnsi"/>
                <w:sz w:val="20"/>
                <w:szCs w:val="20"/>
              </w:rPr>
              <w:t xml:space="preserve"> </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0.24</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270"/>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Regorafenib PFS – Exponential </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0.23</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7"/>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BSC PFS – Weibull</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0.23</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165"/>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BSC PFS – </w:t>
            </w:r>
            <w:proofErr w:type="spellStart"/>
            <w:r w:rsidRPr="002B24E7">
              <w:rPr>
                <w:rFonts w:ascii="Arial Narrow" w:hAnsi="Arial Narrow" w:cstheme="minorHAnsi"/>
                <w:sz w:val="20"/>
                <w:szCs w:val="20"/>
              </w:rPr>
              <w:t>LogNormal</w:t>
            </w:r>
            <w:proofErr w:type="spellEnd"/>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0.23</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7"/>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BSC PFS – </w:t>
            </w:r>
            <w:proofErr w:type="spellStart"/>
            <w:r w:rsidRPr="002B24E7">
              <w:rPr>
                <w:rFonts w:ascii="Arial Narrow" w:hAnsi="Arial Narrow" w:cstheme="minorHAnsi"/>
                <w:sz w:val="20"/>
                <w:szCs w:val="20"/>
              </w:rPr>
              <w:t>Gompertz</w:t>
            </w:r>
            <w:proofErr w:type="spellEnd"/>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0.23</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7"/>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BSC PFS – Exponential </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0.23</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7"/>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BSC PFS – Gamma </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0.23</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9"/>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Disease monitoring (MBS Benefit)</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0.24</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9"/>
        </w:trPr>
        <w:tc>
          <w:tcPr>
            <w:tcW w:w="1893" w:type="pct"/>
            <w:shd w:val="clear" w:color="auto" w:fill="auto"/>
            <w:vAlign w:val="center"/>
          </w:tcPr>
          <w:p w:rsidR="003F2AD9" w:rsidRPr="002B24E7" w:rsidRDefault="00B872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Exclude </w:t>
            </w:r>
            <w:r w:rsidR="003F2AD9" w:rsidRPr="002B24E7">
              <w:rPr>
                <w:rFonts w:ascii="Arial Narrow" w:hAnsi="Arial Narrow" w:cstheme="minorHAnsi"/>
                <w:sz w:val="20"/>
                <w:szCs w:val="20"/>
              </w:rPr>
              <w:t>disease monitoring</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0.24</w:t>
            </w:r>
          </w:p>
        </w:tc>
        <w:tc>
          <w:tcPr>
            <w:tcW w:w="715" w:type="pct"/>
            <w:shd w:val="clear" w:color="auto" w:fill="auto"/>
          </w:tcPr>
          <w:p w:rsidR="003F2AD9" w:rsidRPr="002B24E7" w:rsidRDefault="00B872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9"/>
        </w:trPr>
        <w:tc>
          <w:tcPr>
            <w:tcW w:w="1893" w:type="pct"/>
            <w:shd w:val="clear" w:color="auto" w:fill="auto"/>
            <w:vAlign w:val="center"/>
          </w:tcPr>
          <w:p w:rsidR="003F2AD9" w:rsidRPr="002B24E7" w:rsidRDefault="00B872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 xml:space="preserve">Exclude </w:t>
            </w:r>
            <w:r w:rsidR="003F2AD9" w:rsidRPr="002B24E7">
              <w:rPr>
                <w:rFonts w:ascii="Arial Narrow" w:hAnsi="Arial Narrow" w:cstheme="minorHAnsi"/>
                <w:sz w:val="20"/>
                <w:szCs w:val="20"/>
              </w:rPr>
              <w:t>TEAEs</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0.24</w:t>
            </w:r>
          </w:p>
        </w:tc>
        <w:tc>
          <w:tcPr>
            <w:tcW w:w="715" w:type="pct"/>
            <w:shd w:val="clear" w:color="auto" w:fill="auto"/>
          </w:tcPr>
          <w:p w:rsidR="003F2AD9" w:rsidRPr="002B24E7" w:rsidRDefault="00B872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9"/>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Utility (Literature-PFS: 0.76; PD: 0.68)</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0.23</w:t>
            </w:r>
          </w:p>
        </w:tc>
        <w:tc>
          <w:tcPr>
            <w:tcW w:w="715" w:type="pct"/>
            <w:shd w:val="clear" w:color="auto" w:fill="auto"/>
          </w:tcPr>
          <w:p w:rsidR="003F2AD9" w:rsidRPr="002B24E7" w:rsidRDefault="003F2AD9" w:rsidP="00687778">
            <w:pPr>
              <w:keepNext/>
              <w:widowControl/>
              <w:jc w:val="center"/>
              <w:rPr>
                <w:rFonts w:ascii="Arial Narrow" w:hAnsi="Arial Narrow" w:cstheme="minorHAnsi"/>
                <w:sz w:val="20"/>
                <w:szCs w:val="20"/>
              </w:rPr>
            </w:pPr>
            <w:r w:rsidRPr="00D3601B">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9"/>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Utility (IPD PFS: 0.778; PD: 0.720)</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0.24</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9"/>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Time horizon 3 years</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0.19</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9"/>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Time horizon 4 years</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0.22</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9"/>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Discount rate: 0%</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0.26</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9"/>
        </w:trPr>
        <w:tc>
          <w:tcPr>
            <w:tcW w:w="1893" w:type="pct"/>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sz w:val="20"/>
                <w:szCs w:val="20"/>
              </w:rPr>
              <w:t>Discount rate: 3.5%</w:t>
            </w:r>
          </w:p>
        </w:tc>
        <w:tc>
          <w:tcPr>
            <w:tcW w:w="120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0.24</w:t>
            </w:r>
          </w:p>
        </w:tc>
        <w:tc>
          <w:tcPr>
            <w:tcW w:w="715" w:type="pct"/>
            <w:shd w:val="clear" w:color="auto" w:fill="auto"/>
          </w:tcPr>
          <w:p w:rsidR="003F2AD9" w:rsidRPr="002B24E7" w:rsidRDefault="003F2AD9" w:rsidP="00687778">
            <w:pPr>
              <w:keepNext/>
              <w:widowControl/>
              <w:spacing w:line="276" w:lineRule="auto"/>
              <w:jc w:val="center"/>
              <w:rPr>
                <w:rFonts w:ascii="Arial Narrow" w:hAnsi="Arial Narrow" w:cstheme="minorHAnsi"/>
                <w:sz w:val="20"/>
                <w:szCs w:val="20"/>
              </w:rPr>
            </w:pPr>
            <w:r w:rsidRPr="002B24E7">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r w:rsidR="005D04A3" w:rsidRPr="002B24E7" w:rsidTr="002B24E7">
        <w:trPr>
          <w:trHeight w:val="59"/>
        </w:trPr>
        <w:tc>
          <w:tcPr>
            <w:tcW w:w="5000" w:type="pct"/>
            <w:gridSpan w:val="4"/>
            <w:shd w:val="clear" w:color="auto" w:fill="auto"/>
            <w:vAlign w:val="center"/>
          </w:tcPr>
          <w:p w:rsidR="003F2AD9" w:rsidRPr="002B24E7" w:rsidRDefault="003F2AD9" w:rsidP="00687778">
            <w:pPr>
              <w:keepNext/>
              <w:widowControl/>
              <w:spacing w:line="276" w:lineRule="auto"/>
              <w:jc w:val="left"/>
              <w:rPr>
                <w:rFonts w:ascii="Arial Narrow" w:hAnsi="Arial Narrow" w:cstheme="minorHAnsi"/>
                <w:sz w:val="20"/>
                <w:szCs w:val="20"/>
              </w:rPr>
            </w:pPr>
            <w:r w:rsidRPr="002B24E7">
              <w:rPr>
                <w:rFonts w:ascii="Arial Narrow" w:hAnsi="Arial Narrow" w:cstheme="minorHAnsi"/>
                <w:b/>
                <w:sz w:val="20"/>
                <w:szCs w:val="20"/>
              </w:rPr>
              <w:t>Additional sensitivity analysis</w:t>
            </w:r>
          </w:p>
        </w:tc>
      </w:tr>
      <w:tr w:rsidR="002C2CD6" w:rsidRPr="002B24E7" w:rsidTr="002B24E7">
        <w:trPr>
          <w:trHeight w:val="59"/>
        </w:trPr>
        <w:tc>
          <w:tcPr>
            <w:tcW w:w="1893" w:type="pct"/>
            <w:shd w:val="clear" w:color="auto" w:fill="auto"/>
            <w:vAlign w:val="center"/>
          </w:tcPr>
          <w:p w:rsidR="002C2CD6" w:rsidRPr="00105456" w:rsidRDefault="002C2CD6" w:rsidP="00687778">
            <w:pPr>
              <w:keepNext/>
              <w:widowControl/>
              <w:spacing w:line="276" w:lineRule="auto"/>
              <w:jc w:val="left"/>
              <w:rPr>
                <w:rFonts w:ascii="Arial Narrow" w:hAnsi="Arial Narrow" w:cstheme="minorHAnsi"/>
                <w:sz w:val="20"/>
                <w:szCs w:val="20"/>
              </w:rPr>
            </w:pPr>
            <w:r w:rsidRPr="00105456">
              <w:rPr>
                <w:rFonts w:ascii="Arial Narrow" w:hAnsi="Arial Narrow" w:cstheme="minorHAnsi"/>
                <w:sz w:val="20"/>
                <w:szCs w:val="20"/>
              </w:rPr>
              <w:t>ICER=$</w:t>
            </w:r>
            <w:r w:rsidR="00D25498">
              <w:rPr>
                <w:rFonts w:ascii="Arial Narrow" w:hAnsi="Arial Narrow" w:cstheme="minorHAnsi"/>
                <w:noProof/>
                <w:color w:val="000000"/>
                <w:sz w:val="20"/>
                <w:szCs w:val="20"/>
                <w:highlight w:val="black"/>
              </w:rPr>
              <w:t>'''''''''''''''</w:t>
            </w:r>
            <w:r w:rsidRPr="00105456">
              <w:rPr>
                <w:rFonts w:ascii="Arial Narrow" w:hAnsi="Arial Narrow" w:cstheme="minorHAnsi"/>
                <w:sz w:val="20"/>
                <w:szCs w:val="20"/>
              </w:rPr>
              <w:t>/QALY (effective DPMQ of $</w:t>
            </w:r>
            <w:r w:rsidR="00D25498">
              <w:rPr>
                <w:rFonts w:ascii="Arial Narrow" w:hAnsi="Arial Narrow" w:cstheme="minorHAnsi"/>
                <w:noProof/>
                <w:color w:val="000000"/>
                <w:sz w:val="20"/>
                <w:szCs w:val="20"/>
                <w:highlight w:val="black"/>
              </w:rPr>
              <w:t>'''''''''''''''''''''''</w:t>
            </w:r>
            <w:r w:rsidRPr="00105456">
              <w:rPr>
                <w:rFonts w:ascii="Arial Narrow" w:hAnsi="Arial Narrow" w:cstheme="minorHAnsi"/>
                <w:sz w:val="20"/>
                <w:szCs w:val="20"/>
              </w:rPr>
              <w:t>)</w:t>
            </w:r>
          </w:p>
        </w:tc>
        <w:tc>
          <w:tcPr>
            <w:tcW w:w="1201" w:type="pct"/>
            <w:shd w:val="clear" w:color="auto" w:fill="auto"/>
          </w:tcPr>
          <w:p w:rsidR="002C2CD6" w:rsidRPr="00105456" w:rsidRDefault="002C2CD6" w:rsidP="00687778">
            <w:pPr>
              <w:keepNext/>
              <w:widowControl/>
              <w:spacing w:line="276" w:lineRule="auto"/>
              <w:jc w:val="center"/>
              <w:rPr>
                <w:rFonts w:ascii="Arial Narrow" w:hAnsi="Arial Narrow" w:cstheme="minorHAnsi"/>
                <w:sz w:val="20"/>
                <w:szCs w:val="20"/>
              </w:rPr>
            </w:pPr>
            <w:r w:rsidRPr="00105456">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c>
          <w:tcPr>
            <w:tcW w:w="1191" w:type="pct"/>
            <w:shd w:val="clear" w:color="auto" w:fill="auto"/>
          </w:tcPr>
          <w:p w:rsidR="002C2CD6" w:rsidRPr="00105456" w:rsidRDefault="002C2CD6" w:rsidP="00687778">
            <w:pPr>
              <w:keepNext/>
              <w:widowControl/>
              <w:spacing w:line="276" w:lineRule="auto"/>
              <w:jc w:val="center"/>
              <w:rPr>
                <w:rFonts w:ascii="Arial Narrow" w:hAnsi="Arial Narrow" w:cstheme="minorHAnsi"/>
                <w:sz w:val="20"/>
                <w:szCs w:val="20"/>
              </w:rPr>
            </w:pPr>
            <w:r w:rsidRPr="00105456">
              <w:rPr>
                <w:rFonts w:ascii="Arial Narrow" w:hAnsi="Arial Narrow" w:cstheme="minorHAnsi"/>
                <w:sz w:val="20"/>
                <w:szCs w:val="20"/>
              </w:rPr>
              <w:t>0.24</w:t>
            </w:r>
          </w:p>
        </w:tc>
        <w:tc>
          <w:tcPr>
            <w:tcW w:w="715" w:type="pct"/>
            <w:shd w:val="clear" w:color="auto" w:fill="auto"/>
          </w:tcPr>
          <w:p w:rsidR="002C2CD6" w:rsidRPr="00105456" w:rsidRDefault="002C2CD6" w:rsidP="00687778">
            <w:pPr>
              <w:keepNext/>
              <w:widowControl/>
              <w:spacing w:line="276" w:lineRule="auto"/>
              <w:jc w:val="center"/>
              <w:rPr>
                <w:rFonts w:ascii="Arial Narrow" w:hAnsi="Arial Narrow" w:cstheme="minorHAnsi"/>
                <w:sz w:val="20"/>
                <w:szCs w:val="20"/>
              </w:rPr>
            </w:pPr>
            <w:r w:rsidRPr="00105456">
              <w:rPr>
                <w:rFonts w:ascii="Arial Narrow" w:hAnsi="Arial Narrow" w:cstheme="minorHAnsi"/>
                <w:sz w:val="20"/>
                <w:szCs w:val="20"/>
              </w:rPr>
              <w:t>$</w:t>
            </w:r>
            <w:r w:rsidR="00D25498">
              <w:rPr>
                <w:rFonts w:ascii="Arial Narrow" w:hAnsi="Arial Narrow" w:cstheme="minorHAnsi"/>
                <w:noProof/>
                <w:color w:val="000000"/>
                <w:sz w:val="20"/>
                <w:szCs w:val="20"/>
                <w:highlight w:val="black"/>
              </w:rPr>
              <w:t>'''''''''''''''''</w:t>
            </w:r>
          </w:p>
        </w:tc>
      </w:tr>
    </w:tbl>
    <w:p w:rsidR="00D15FB0" w:rsidRPr="00BF39CA" w:rsidRDefault="00D15FB0" w:rsidP="00687778">
      <w:pPr>
        <w:pStyle w:val="TableFooter"/>
        <w:widowControl/>
      </w:pPr>
      <w:r w:rsidRPr="005D04A3">
        <w:t xml:space="preserve">Abbreviations: AE= adverse event; BSC= best supportive care; ICER= incremental cost effectiveness ratio; OS= overall survival; PD= progressive disease; PFS= progression free survival; QALYs= quality adjusted life years; </w:t>
      </w:r>
      <w:proofErr w:type="spellStart"/>
      <w:r w:rsidRPr="005D04A3">
        <w:t>Reg</w:t>
      </w:r>
      <w:proofErr w:type="spellEnd"/>
      <w:r w:rsidRPr="005D04A3">
        <w:t>= regorafenib; SPA= special price agreement; TEAEs= tr</w:t>
      </w:r>
      <w:r w:rsidRPr="00BF39CA">
        <w:t>eatment emergent adverse event.</w:t>
      </w:r>
    </w:p>
    <w:p w:rsidR="00062EDC" w:rsidRPr="009D1469" w:rsidRDefault="00D15FB0" w:rsidP="00687778">
      <w:pPr>
        <w:pStyle w:val="TableFooter"/>
        <w:widowControl/>
      </w:pPr>
      <w:r w:rsidRPr="00BF39CA">
        <w:t xml:space="preserve">Source: Table </w:t>
      </w:r>
      <w:r w:rsidR="005D04A3" w:rsidRPr="00BF39CA">
        <w:t>3-28</w:t>
      </w:r>
      <w:r w:rsidRPr="00BF39CA">
        <w:t xml:space="preserve">, p. </w:t>
      </w:r>
      <w:r w:rsidR="005D04A3" w:rsidRPr="00BF39CA">
        <w:t>207</w:t>
      </w:r>
      <w:r w:rsidRPr="00BF39CA">
        <w:t xml:space="preserve"> of the </w:t>
      </w:r>
      <w:r w:rsidR="005D04A3" w:rsidRPr="00BF39CA">
        <w:t>re</w:t>
      </w:r>
      <w:r w:rsidRPr="00BF39CA">
        <w:t xml:space="preserve">submission. </w:t>
      </w:r>
    </w:p>
    <w:p w:rsidR="00C657A9" w:rsidRPr="00761E46" w:rsidRDefault="00D3601B" w:rsidP="00D3601B">
      <w:pPr>
        <w:pStyle w:val="TableFooter"/>
        <w:spacing w:before="120" w:after="120"/>
        <w:rPr>
          <w:rFonts w:asciiTheme="minorHAnsi" w:hAnsiTheme="minorHAnsi" w:cstheme="minorHAnsi"/>
          <w:i/>
          <w:sz w:val="24"/>
          <w:szCs w:val="24"/>
        </w:rPr>
      </w:pPr>
      <w:r w:rsidRPr="00761E46">
        <w:rPr>
          <w:rFonts w:asciiTheme="minorHAnsi" w:hAnsiTheme="minorHAnsi" w:cstheme="minorHAnsi"/>
          <w:i/>
          <w:sz w:val="24"/>
          <w:szCs w:val="24"/>
        </w:rPr>
        <w:t>The redacted table shows ICERs in the range of $15,000/QALY - $75,000/QALY.</w:t>
      </w:r>
    </w:p>
    <w:p w:rsidR="00105456" w:rsidRDefault="00105456" w:rsidP="00687778">
      <w:pPr>
        <w:pStyle w:val="ListParagraph"/>
        <w:keepNext/>
        <w:widowControl/>
        <w:numPr>
          <w:ilvl w:val="1"/>
          <w:numId w:val="3"/>
        </w:numPr>
        <w:snapToGrid w:val="0"/>
      </w:pPr>
      <w:r w:rsidRPr="006161B6">
        <w:t>The results from the sensitivity analyses provided in the resubmission, showed that the ICER estimates were most sensitive to variations in the type of extrapolation function adopted and in the manner in which ongoing treatment and AE costs were included.</w:t>
      </w:r>
    </w:p>
    <w:p w:rsidR="00411123" w:rsidRPr="00D31E2F" w:rsidRDefault="00411123" w:rsidP="00687778">
      <w:pPr>
        <w:pStyle w:val="ListParagraph"/>
        <w:keepNext/>
        <w:widowControl/>
        <w:numPr>
          <w:ilvl w:val="1"/>
          <w:numId w:val="3"/>
        </w:numPr>
        <w:snapToGrid w:val="0"/>
      </w:pPr>
      <w:r w:rsidRPr="002B24E7">
        <w:t xml:space="preserve">The PBAC had requested that the base case ICER should be </w:t>
      </w:r>
      <w:r w:rsidR="00CB4C8A">
        <w:t xml:space="preserve">$15,000 - $45,000 per QALY gained </w:t>
      </w:r>
      <w:r w:rsidRPr="002B24E7">
        <w:t>to reflect the substantial toxicity of the drug (Section 7.12</w:t>
      </w:r>
      <w:r w:rsidR="00DC5B94" w:rsidRPr="00DC5B94">
        <w:rPr>
          <w:bCs/>
        </w:rPr>
        <w:t xml:space="preserve"> </w:t>
      </w:r>
      <w:r w:rsidR="00DC5B94">
        <w:rPr>
          <w:bCs/>
        </w:rPr>
        <w:t>regorafenib</w:t>
      </w:r>
      <w:r w:rsidR="00DC5B94" w:rsidRPr="0040436F">
        <w:rPr>
          <w:bCs/>
        </w:rPr>
        <w:t xml:space="preserve"> PSD</w:t>
      </w:r>
      <w:r w:rsidR="00DC5B94">
        <w:rPr>
          <w:bCs/>
        </w:rPr>
        <w:t>, March 2018 meeting</w:t>
      </w:r>
      <w:r w:rsidRPr="002B24E7">
        <w:t xml:space="preserve">). A </w:t>
      </w:r>
      <w:r w:rsidR="00DC4FAE" w:rsidRPr="00C47D29">
        <w:t>further</w:t>
      </w:r>
      <w:r w:rsidR="00DC4FAE">
        <w:t xml:space="preserve"> </w:t>
      </w:r>
      <w:r w:rsidRPr="005C7FD3">
        <w:t>42</w:t>
      </w:r>
      <w:r w:rsidRPr="002B24E7">
        <w:t xml:space="preserve">% price reduction </w:t>
      </w:r>
      <w:r w:rsidR="003C7641" w:rsidRPr="002B24E7">
        <w:t xml:space="preserve">from the effective price </w:t>
      </w:r>
      <w:r w:rsidR="003C7641" w:rsidRPr="002B24E7">
        <w:lastRenderedPageBreak/>
        <w:t xml:space="preserve">requested in the resubmission </w:t>
      </w:r>
      <w:r w:rsidRPr="002B24E7">
        <w:t xml:space="preserve">would result in an ICER of </w:t>
      </w:r>
      <w:r w:rsidR="00B13C4B">
        <w:t xml:space="preserve">$15,000 - $45,000 per QALY gained </w:t>
      </w:r>
      <w:r w:rsidRPr="002B24E7">
        <w:t>(effective DPMQ of $</w:t>
      </w:r>
      <w:r w:rsidR="00D25498">
        <w:rPr>
          <w:noProof/>
          <w:color w:val="000000"/>
          <w:highlight w:val="black"/>
        </w:rPr>
        <w:t>''''''''''''''''</w:t>
      </w:r>
      <w:r w:rsidR="003B021D">
        <w:t xml:space="preserve"> </w:t>
      </w:r>
      <w:r w:rsidRPr="002B24E7">
        <w:t>compared to $</w:t>
      </w:r>
      <w:r w:rsidR="00D25498">
        <w:rPr>
          <w:noProof/>
          <w:color w:val="000000"/>
          <w:highlight w:val="black"/>
        </w:rPr>
        <w:t>''''''''''''''''</w:t>
      </w:r>
      <w:r w:rsidRPr="00D31E2F">
        <w:t>).</w:t>
      </w:r>
      <w:r w:rsidR="003B021D" w:rsidRPr="00D31E2F">
        <w:t xml:space="preserve"> </w:t>
      </w:r>
      <w:r w:rsidR="00FB5345" w:rsidRPr="00D31E2F">
        <w:t xml:space="preserve">The PSCR </w:t>
      </w:r>
      <w:r w:rsidR="00105456" w:rsidRPr="00D31E2F">
        <w:t>stated</w:t>
      </w:r>
      <w:r w:rsidR="00FB5345" w:rsidRPr="00D31E2F">
        <w:t xml:space="preserve"> that the sponsor was unable to reduce the price </w:t>
      </w:r>
      <w:r w:rsidR="00FE79B1" w:rsidRPr="00D31E2F">
        <w:t xml:space="preserve">sufficiently </w:t>
      </w:r>
      <w:r w:rsidR="00FB5345" w:rsidRPr="00D31E2F">
        <w:t xml:space="preserve">to achieve the ICER of </w:t>
      </w:r>
      <w:r w:rsidR="00B13C4B">
        <w:t>$15,000 - $45,000</w:t>
      </w:r>
      <w:r w:rsidR="00FB5345" w:rsidRPr="00D31E2F">
        <w:t xml:space="preserve">using the </w:t>
      </w:r>
      <w:r w:rsidR="006567E2" w:rsidRPr="00D31E2F">
        <w:t xml:space="preserve">model inputs previously considered appropriate by the PBAC. Figure </w:t>
      </w:r>
      <w:r w:rsidR="00875D7E" w:rsidRPr="00D31E2F">
        <w:t>4</w:t>
      </w:r>
      <w:r w:rsidR="006567E2" w:rsidRPr="00D31E2F">
        <w:t xml:space="preserve"> shows the relationship between the effective DPMQ and the ICER.</w:t>
      </w:r>
      <w:r w:rsidR="00C47D29">
        <w:t xml:space="preserve"> </w:t>
      </w:r>
      <w:r w:rsidR="00674ADF">
        <w:t>In t</w:t>
      </w:r>
      <w:r w:rsidR="006117DE">
        <w:t xml:space="preserve">he pre-PBAC response </w:t>
      </w:r>
      <w:r w:rsidR="00674ADF">
        <w:t xml:space="preserve">the sponsor </w:t>
      </w:r>
      <w:r w:rsidR="006117DE">
        <w:t xml:space="preserve">reiterated that it was unable to reduce the price of regorafenib to the extent required to </w:t>
      </w:r>
      <w:r w:rsidR="003364F4">
        <w:t>decrease</w:t>
      </w:r>
      <w:r w:rsidR="006117DE">
        <w:t xml:space="preserve"> the ICER to </w:t>
      </w:r>
      <w:r w:rsidR="00B13C4B">
        <w:t>$15,000 - $45,000</w:t>
      </w:r>
      <w:r w:rsidR="006117DE">
        <w:t>per QALY. Instead</w:t>
      </w:r>
      <w:r w:rsidR="003364F4">
        <w:t>,</w:t>
      </w:r>
      <w:r w:rsidR="006117DE">
        <w:t xml:space="preserve"> the sponsor offered an approximate </w:t>
      </w:r>
      <w:r w:rsidR="006117DE" w:rsidRPr="005C7FD3">
        <w:t>10</w:t>
      </w:r>
      <w:r w:rsidR="006117DE">
        <w:t xml:space="preserve">% discount on the effective price for sorafenib in first line advanced HCC, contingent on recommendation of regorafenib and acceptance of the proposed restriction that regorafenib initiation is subsequent to sorafenib treatment.   </w:t>
      </w:r>
    </w:p>
    <w:p w:rsidR="006567E2" w:rsidRPr="006567E2" w:rsidRDefault="006567E2" w:rsidP="00687778">
      <w:pPr>
        <w:keepNext/>
        <w:keepLines/>
        <w:widowControl/>
        <w:rPr>
          <w:rFonts w:ascii="Arial Narrow" w:hAnsi="Arial Narrow"/>
          <w:b/>
          <w:sz w:val="20"/>
        </w:rPr>
      </w:pPr>
      <w:r>
        <w:rPr>
          <w:rFonts w:ascii="Arial Narrow" w:hAnsi="Arial Narrow"/>
          <w:b/>
          <w:sz w:val="20"/>
        </w:rPr>
        <w:t xml:space="preserve">Figure </w:t>
      </w:r>
      <w:r w:rsidR="00774C91">
        <w:rPr>
          <w:rFonts w:ascii="Arial Narrow" w:hAnsi="Arial Narrow"/>
          <w:b/>
          <w:sz w:val="20"/>
        </w:rPr>
        <w:t>4</w:t>
      </w:r>
      <w:r w:rsidR="00687778">
        <w:rPr>
          <w:rFonts w:ascii="Arial Narrow" w:hAnsi="Arial Narrow"/>
          <w:b/>
          <w:sz w:val="20"/>
        </w:rPr>
        <w:t>:</w:t>
      </w:r>
      <w:r w:rsidRPr="006567E2">
        <w:rPr>
          <w:rFonts w:ascii="Arial Narrow" w:hAnsi="Arial Narrow"/>
          <w:b/>
          <w:sz w:val="20"/>
        </w:rPr>
        <w:t xml:space="preserve"> </w:t>
      </w:r>
      <w:r>
        <w:rPr>
          <w:rFonts w:ascii="Arial Narrow" w:hAnsi="Arial Narrow"/>
          <w:b/>
          <w:sz w:val="20"/>
        </w:rPr>
        <w:t>Relationship between the effective DPMQ and incremental cost-effectiveness ratio</w:t>
      </w:r>
      <w:r w:rsidR="00761E46">
        <w:rPr>
          <w:rFonts w:ascii="Arial Narrow" w:hAnsi="Arial Narrow"/>
          <w:b/>
          <w:sz w:val="20"/>
        </w:rPr>
        <w:t>.</w:t>
      </w:r>
    </w:p>
    <w:p w:rsidR="006567E2" w:rsidRPr="00D25498" w:rsidRDefault="00D25498" w:rsidP="00761E46">
      <w:pPr>
        <w:pStyle w:val="PBACHeading1"/>
        <w:numPr>
          <w:ilvl w:val="0"/>
          <w:numId w:val="0"/>
        </w:numPr>
        <w:jc w:val="center"/>
      </w:pPr>
      <w:r>
        <w:rPr>
          <w:noProof/>
          <w:snapToGrid/>
          <w:lang w:eastAsia="en-AU"/>
        </w:rPr>
        <w:drawing>
          <wp:inline distT="0" distB="0" distL="0" distR="0">
            <wp:extent cx="4068445" cy="2604770"/>
            <wp:effectExtent l="0" t="0" r="8255" b="508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068445" cy="2604770"/>
                    </a:xfrm>
                    <a:prstGeom prst="rect">
                      <a:avLst/>
                    </a:prstGeom>
                  </pic:spPr>
                </pic:pic>
              </a:graphicData>
            </a:graphic>
          </wp:inline>
        </w:drawing>
      </w:r>
    </w:p>
    <w:p w:rsidR="00C25D9C" w:rsidRPr="00BF39CA" w:rsidRDefault="00C25D9C" w:rsidP="00067969">
      <w:pPr>
        <w:pStyle w:val="Heading2"/>
      </w:pPr>
      <w:bookmarkStart w:id="14" w:name="_Toc523405679"/>
      <w:r w:rsidRPr="00BF39CA">
        <w:t>Drug cost/patient/course</w:t>
      </w:r>
      <w:bookmarkEnd w:id="14"/>
    </w:p>
    <w:p w:rsidR="0056253A" w:rsidRPr="002B24E7" w:rsidRDefault="0056253A" w:rsidP="00687778">
      <w:pPr>
        <w:pStyle w:val="ListParagraph"/>
        <w:keepNext/>
        <w:widowControl/>
        <w:numPr>
          <w:ilvl w:val="1"/>
          <w:numId w:val="3"/>
        </w:numPr>
        <w:snapToGrid w:val="0"/>
        <w:rPr>
          <w:snapToGrid/>
        </w:rPr>
      </w:pPr>
      <w:r w:rsidRPr="002B24E7">
        <w:t>Based on the estimated treatment exposure (5.41 packs) from the RESORCE trial, the expected cost per patient course was $</w:t>
      </w:r>
      <w:r w:rsidR="00D25498">
        <w:rPr>
          <w:noProof/>
          <w:color w:val="000000"/>
          <w:highlight w:val="black"/>
        </w:rPr>
        <w:t>''''''''''''</w:t>
      </w:r>
      <w:r w:rsidRPr="002B24E7">
        <w:t xml:space="preserve">. </w:t>
      </w:r>
    </w:p>
    <w:p w:rsidR="00B60939" w:rsidRPr="00882085" w:rsidRDefault="00B60939" w:rsidP="00067969">
      <w:pPr>
        <w:pStyle w:val="Heading2"/>
      </w:pPr>
      <w:bookmarkStart w:id="15" w:name="_Toc523405680"/>
      <w:r w:rsidRPr="00C9624D">
        <w:t>Estimated PBS usage &amp; financial implications</w:t>
      </w:r>
      <w:bookmarkEnd w:id="15"/>
    </w:p>
    <w:p w:rsidR="00411123" w:rsidRPr="00544E50" w:rsidRDefault="002B24E7" w:rsidP="00687778">
      <w:pPr>
        <w:pStyle w:val="ListParagraph"/>
        <w:keepNext/>
        <w:widowControl/>
        <w:numPr>
          <w:ilvl w:val="1"/>
          <w:numId w:val="3"/>
        </w:numPr>
        <w:snapToGrid w:val="0"/>
      </w:pPr>
      <w:r w:rsidRPr="007A533D">
        <w:rPr>
          <w:rFonts w:eastAsia="Calibri"/>
        </w:rPr>
        <w:t>This submission was not considered by DUSC</w:t>
      </w:r>
      <w:r>
        <w:rPr>
          <w:rFonts w:ascii="Arial" w:hAnsi="Arial"/>
          <w:bCs/>
          <w:sz w:val="22"/>
        </w:rPr>
        <w:t xml:space="preserve">. </w:t>
      </w:r>
      <w:r w:rsidR="007B29D6">
        <w:t>T</w:t>
      </w:r>
      <w:r w:rsidR="009D759E" w:rsidRPr="009D759E">
        <w:t xml:space="preserve">he </w:t>
      </w:r>
      <w:r w:rsidR="009D759E" w:rsidRPr="00544E50">
        <w:t>predicted use of regorafenib was estimated using an epidemiological approach. The</w:t>
      </w:r>
      <w:r w:rsidR="00950607">
        <w:t xml:space="preserve"> resubmission</w:t>
      </w:r>
      <w:r w:rsidR="009D759E" w:rsidRPr="00544E50">
        <w:t xml:space="preserve"> used an analysis based on the 10% Medicare sample to estimate the rate of regorafenib uptake after sorafenib progression for the six years following listing. </w:t>
      </w:r>
    </w:p>
    <w:p w:rsidR="00411123" w:rsidRPr="000B301A" w:rsidRDefault="009D759E" w:rsidP="00687778">
      <w:pPr>
        <w:pStyle w:val="ListParagraph"/>
        <w:keepNext/>
        <w:widowControl/>
        <w:numPr>
          <w:ilvl w:val="1"/>
          <w:numId w:val="3"/>
        </w:numPr>
        <w:snapToGrid w:val="0"/>
      </w:pPr>
      <w:r w:rsidRPr="00D70BF9">
        <w:t xml:space="preserve">Since the nominated comparator for this condition was BSC, there are no PBS-listed medicines substituted by the proposed medicine, noting that administration of </w:t>
      </w:r>
      <w:r w:rsidRPr="00FB5345">
        <w:t>BSC needs to be maintained while on regorafenib treatment.</w:t>
      </w:r>
    </w:p>
    <w:p w:rsidR="00411123" w:rsidRPr="00D31E2F" w:rsidRDefault="006C3278" w:rsidP="00687778">
      <w:pPr>
        <w:pStyle w:val="ListParagraph"/>
        <w:keepNext/>
        <w:widowControl/>
        <w:numPr>
          <w:ilvl w:val="1"/>
          <w:numId w:val="3"/>
        </w:numPr>
        <w:snapToGrid w:val="0"/>
      </w:pPr>
      <w:r>
        <w:t xml:space="preserve">If </w:t>
      </w:r>
      <w:r w:rsidR="000B301A" w:rsidRPr="002B24E7">
        <w:t xml:space="preserve">lenvatinib </w:t>
      </w:r>
      <w:r>
        <w:t>is PBS listed in this indication</w:t>
      </w:r>
      <w:r w:rsidR="000B301A" w:rsidRPr="002B24E7">
        <w:t xml:space="preserve"> </w:t>
      </w:r>
      <w:r>
        <w:t xml:space="preserve">this </w:t>
      </w:r>
      <w:r w:rsidR="000B301A" w:rsidRPr="002B24E7">
        <w:t xml:space="preserve">would significantly decrease the patient utilisation numbers for its comparator, sorafenib, and this </w:t>
      </w:r>
      <w:r>
        <w:t>would be</w:t>
      </w:r>
      <w:r w:rsidRPr="002B24E7">
        <w:t xml:space="preserve"> </w:t>
      </w:r>
      <w:r w:rsidR="000B301A" w:rsidRPr="002B24E7">
        <w:t xml:space="preserve">expected to </w:t>
      </w:r>
      <w:r w:rsidR="000B301A" w:rsidRPr="002B24E7">
        <w:lastRenderedPageBreak/>
        <w:t>decrease the potential patient utilisation of regorafenib</w:t>
      </w:r>
      <w:r w:rsidR="009D44B4">
        <w:t xml:space="preserve"> if listed after first line sorafenib treatment</w:t>
      </w:r>
      <w:r w:rsidR="000B301A" w:rsidRPr="002B24E7">
        <w:t>.</w:t>
      </w:r>
      <w:r w:rsidR="00F76620" w:rsidRPr="002B24E7">
        <w:t xml:space="preserve"> This </w:t>
      </w:r>
      <w:r w:rsidR="001E51A3">
        <w:t>was not</w:t>
      </w:r>
      <w:r w:rsidR="00F76620" w:rsidRPr="002B24E7">
        <w:t xml:space="preserve"> accounted for in the estimates presented in the resubmission</w:t>
      </w:r>
      <w:r w:rsidR="00F76620" w:rsidRPr="00D31E2F">
        <w:t xml:space="preserve">. </w:t>
      </w:r>
      <w:r w:rsidR="005775F5" w:rsidRPr="00D31E2F">
        <w:t xml:space="preserve">The PSCR presented a scenario in which lenvatinib assumes 20% of the market share. In this scenario </w:t>
      </w:r>
      <w:r w:rsidR="00FC2906" w:rsidRPr="00D31E2F">
        <w:t xml:space="preserve">the total cost to the government health budget is reduced to </w:t>
      </w:r>
      <w:r w:rsidR="00573F0C">
        <w:t xml:space="preserve">less than $100 million </w:t>
      </w:r>
      <w:r w:rsidR="00086F4A" w:rsidRPr="00D31E2F">
        <w:t xml:space="preserve">in 2019 </w:t>
      </w:r>
      <w:r w:rsidR="00FC2906" w:rsidRPr="00D31E2F">
        <w:t xml:space="preserve">to </w:t>
      </w:r>
      <w:r w:rsidR="00573F0C">
        <w:t>less than $10</w:t>
      </w:r>
      <w:r w:rsidR="00FC2906" w:rsidRPr="00D31E2F">
        <w:t xml:space="preserve"> million </w:t>
      </w:r>
      <w:r w:rsidR="00086F4A" w:rsidRPr="00D31E2F">
        <w:t>in year 2024</w:t>
      </w:r>
      <w:r w:rsidR="00FC2906" w:rsidRPr="00D31E2F">
        <w:t>. The ESC noted that</w:t>
      </w:r>
      <w:r w:rsidR="0005740E" w:rsidRPr="00D31E2F">
        <w:t xml:space="preserve"> there was no basis for the 20% </w:t>
      </w:r>
      <w:r w:rsidR="00086F4A" w:rsidRPr="00D31E2F">
        <w:t>market share and</w:t>
      </w:r>
      <w:r w:rsidR="00FC2906" w:rsidRPr="00D31E2F">
        <w:t xml:space="preserve"> </w:t>
      </w:r>
      <w:r w:rsidR="0005740E" w:rsidRPr="00D31E2F">
        <w:t xml:space="preserve">it was unclear how these estimates </w:t>
      </w:r>
      <w:r w:rsidR="00086F4A" w:rsidRPr="00D31E2F">
        <w:t>were calculated as the net cost to the Government in these estimates was reduced by more than 20%</w:t>
      </w:r>
      <w:r w:rsidR="00FC2906" w:rsidRPr="00D31E2F">
        <w:t xml:space="preserve">.  </w:t>
      </w:r>
    </w:p>
    <w:p w:rsidR="009D759E" w:rsidRPr="002B24E7" w:rsidRDefault="009D759E" w:rsidP="00207B77">
      <w:pPr>
        <w:pStyle w:val="ListParagraph"/>
        <w:widowControl/>
        <w:numPr>
          <w:ilvl w:val="1"/>
          <w:numId w:val="3"/>
        </w:numPr>
        <w:snapToGrid w:val="0"/>
      </w:pPr>
      <w:r w:rsidRPr="002B24E7">
        <w:t xml:space="preserve">Overall, a listing for regorafenib is expected to result in an incremental cost to the PBS/RPBS of </w:t>
      </w:r>
      <w:r w:rsidR="00573F0C">
        <w:t xml:space="preserve">less than $10 million </w:t>
      </w:r>
      <w:r w:rsidRPr="002B24E7">
        <w:t>in 201</w:t>
      </w:r>
      <w:r w:rsidR="00D70BF9" w:rsidRPr="002B24E7">
        <w:t>9</w:t>
      </w:r>
      <w:r w:rsidRPr="002B24E7">
        <w:t xml:space="preserve"> (Year 1), increasing to </w:t>
      </w:r>
      <w:r w:rsidR="00573F0C">
        <w:t xml:space="preserve">less than $10 million </w:t>
      </w:r>
      <w:r w:rsidRPr="002B24E7">
        <w:t>in 202</w:t>
      </w:r>
      <w:r w:rsidR="00D70BF9" w:rsidRPr="002B24E7">
        <w:t>4</w:t>
      </w:r>
      <w:r w:rsidRPr="002B24E7">
        <w:t xml:space="preserve"> (Year 6). </w:t>
      </w:r>
      <w:r w:rsidR="00D70BF9" w:rsidRPr="002B24E7">
        <w:t xml:space="preserve">The total financial implications to the PBS over 6 years of subsidising regorafenib were </w:t>
      </w:r>
      <w:r w:rsidR="00573F0C">
        <w:t>$10 - $20 million</w:t>
      </w:r>
      <w:r w:rsidR="00D70BF9" w:rsidRPr="002B24E7">
        <w:t>. This has decreased by 39% since the March-2018 submission (</w:t>
      </w:r>
      <w:r w:rsidR="00573F0C">
        <w:t>$30 - $60 million</w:t>
      </w:r>
      <w:r w:rsidR="00D70BF9" w:rsidRPr="002B24E7">
        <w:t xml:space="preserve">). </w:t>
      </w:r>
      <w:r w:rsidRPr="002B24E7">
        <w:t>The total financial implication to the government health budget over 6 years of subsidising regorafenib</w:t>
      </w:r>
      <w:r w:rsidR="00D70BF9" w:rsidRPr="002B24E7">
        <w:t xml:space="preserve"> was</w:t>
      </w:r>
      <w:r w:rsidR="00761E46">
        <w:t xml:space="preserve"> </w:t>
      </w:r>
      <w:r w:rsidR="00573F0C">
        <w:t>$20 - $30 million</w:t>
      </w:r>
      <w:r w:rsidRPr="002B24E7">
        <w:t>.</w:t>
      </w:r>
    </w:p>
    <w:p w:rsidR="009D759E" w:rsidRPr="00432BC2" w:rsidRDefault="009D759E" w:rsidP="00207B77">
      <w:pPr>
        <w:keepNext/>
      </w:pPr>
      <w:r w:rsidRPr="002B24E7">
        <w:rPr>
          <w:rStyle w:val="CommentReference"/>
        </w:rPr>
        <w:t>Table 1</w:t>
      </w:r>
      <w:r w:rsidR="00774C91">
        <w:rPr>
          <w:rStyle w:val="CommentReference"/>
        </w:rPr>
        <w:t>4</w:t>
      </w:r>
      <w:r w:rsidRPr="002B24E7">
        <w:rPr>
          <w:rStyle w:val="CommentReference"/>
        </w:rPr>
        <w:t>: Estimated use and financial implications</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4"/>
        <w:gridCol w:w="1273"/>
        <w:gridCol w:w="1132"/>
        <w:gridCol w:w="1132"/>
        <w:gridCol w:w="1132"/>
        <w:gridCol w:w="1414"/>
        <w:gridCol w:w="1430"/>
      </w:tblGrid>
      <w:tr w:rsidR="00432BC2" w:rsidRPr="00432BC2" w:rsidTr="00233636">
        <w:trPr>
          <w:tblHeader/>
        </w:trPr>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9D759E" w:rsidRPr="00432BC2" w:rsidRDefault="009D759E" w:rsidP="00207B77">
            <w:pPr>
              <w:pStyle w:val="Tabletext"/>
              <w:keepNext/>
              <w:keepLines/>
              <w:widowControl w:val="0"/>
            </w:pPr>
          </w:p>
        </w:tc>
        <w:tc>
          <w:tcPr>
            <w:tcW w:w="4208"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9D759E" w:rsidRPr="00432BC2" w:rsidRDefault="009D759E" w:rsidP="00207B77">
            <w:pPr>
              <w:pStyle w:val="Tabletext"/>
              <w:keepNext/>
              <w:keepLines/>
              <w:widowControl w:val="0"/>
              <w:jc w:val="center"/>
              <w:rPr>
                <w:b/>
              </w:rPr>
            </w:pPr>
            <w:r w:rsidRPr="00432BC2">
              <w:rPr>
                <w:rFonts w:cstheme="minorHAnsi"/>
                <w:b/>
                <w:bCs/>
                <w:szCs w:val="20"/>
                <w:lang w:val="en-US"/>
              </w:rPr>
              <w:t>6-year time horizon considering SPA</w:t>
            </w:r>
          </w:p>
        </w:tc>
      </w:tr>
      <w:tr w:rsidR="00432BC2" w:rsidRPr="00432BC2" w:rsidTr="00233636">
        <w:trPr>
          <w:tblHeader/>
        </w:trPr>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544E50" w:rsidRPr="00432BC2" w:rsidRDefault="00544E50" w:rsidP="00207B77">
            <w:pPr>
              <w:pStyle w:val="Tabletext"/>
              <w:keepNext/>
              <w:keepLines/>
              <w:widowControl w:val="0"/>
            </w:pP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rFonts w:cstheme="minorHAnsi"/>
                <w:b/>
                <w:bCs/>
                <w:szCs w:val="20"/>
              </w:rPr>
            </w:pPr>
            <w:r w:rsidRPr="00432BC2">
              <w:rPr>
                <w:b/>
                <w:szCs w:val="20"/>
              </w:rPr>
              <w:t>2019</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rFonts w:cstheme="minorHAnsi"/>
                <w:b/>
                <w:bCs/>
                <w:szCs w:val="20"/>
              </w:rPr>
            </w:pPr>
            <w:r w:rsidRPr="00432BC2">
              <w:rPr>
                <w:b/>
                <w:szCs w:val="20"/>
              </w:rPr>
              <w:t>2020</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rFonts w:cstheme="minorHAnsi"/>
                <w:b/>
                <w:bCs/>
                <w:szCs w:val="20"/>
              </w:rPr>
            </w:pPr>
            <w:r w:rsidRPr="00432BC2">
              <w:rPr>
                <w:b/>
                <w:szCs w:val="20"/>
              </w:rPr>
              <w:t>2021</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rFonts w:cstheme="minorHAnsi"/>
                <w:b/>
                <w:bCs/>
                <w:szCs w:val="20"/>
              </w:rPr>
            </w:pPr>
            <w:r w:rsidRPr="00432BC2">
              <w:rPr>
                <w:b/>
                <w:szCs w:val="20"/>
              </w:rPr>
              <w:t>2022</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rFonts w:cstheme="minorHAnsi"/>
                <w:b/>
                <w:bCs/>
                <w:szCs w:val="20"/>
              </w:rPr>
            </w:pPr>
            <w:r w:rsidRPr="00432BC2">
              <w:rPr>
                <w:b/>
                <w:szCs w:val="20"/>
              </w:rPr>
              <w:t>2023</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rFonts w:cstheme="minorHAnsi"/>
                <w:b/>
                <w:bCs/>
                <w:szCs w:val="20"/>
              </w:rPr>
            </w:pPr>
            <w:r w:rsidRPr="00432BC2">
              <w:rPr>
                <w:b/>
                <w:szCs w:val="20"/>
              </w:rPr>
              <w:t>2024</w:t>
            </w:r>
          </w:p>
        </w:tc>
      </w:tr>
      <w:tr w:rsidR="00432BC2" w:rsidRPr="00432BC2" w:rsidTr="002B24E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D759E" w:rsidRPr="00432BC2" w:rsidRDefault="009D759E" w:rsidP="00207B77">
            <w:pPr>
              <w:pStyle w:val="Tabletext"/>
              <w:keepNext/>
              <w:keepLines/>
              <w:widowControl w:val="0"/>
              <w:rPr>
                <w:b/>
                <w:bCs/>
              </w:rPr>
            </w:pPr>
            <w:r w:rsidRPr="00432BC2">
              <w:rPr>
                <w:b/>
                <w:bCs/>
              </w:rPr>
              <w:t>Estimated extent of use</w:t>
            </w:r>
          </w:p>
        </w:tc>
      </w:tr>
      <w:tr w:rsidR="00432BC2" w:rsidRPr="00432BC2" w:rsidTr="00233636">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rPr>
                <w:rFonts w:ascii="Times" w:hAnsi="Times"/>
              </w:rPr>
            </w:pPr>
            <w:r w:rsidRPr="00432BC2">
              <w:t>Number of patients treated</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bCs/>
                <w:noProof/>
                <w:color w:val="000000"/>
                <w:szCs w:val="20"/>
                <w:highlight w:val="black"/>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bCs/>
                <w:noProof/>
                <w:color w:val="000000"/>
                <w:szCs w:val="20"/>
                <w:highlight w:val="black"/>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bCs/>
                <w:noProof/>
                <w:color w:val="000000"/>
                <w:szCs w:val="20"/>
                <w:highlight w:val="black"/>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bCs/>
                <w:noProof/>
                <w:color w:val="000000"/>
                <w:szCs w:val="20"/>
                <w:highlight w:val="black"/>
              </w:rPr>
              <w:t>''''''''</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bCs/>
                <w:noProof/>
                <w:color w:val="000000"/>
                <w:szCs w:val="20"/>
                <w:highlight w:val="black"/>
              </w:rPr>
              <w:t>''''''''''</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bCs/>
                <w:noProof/>
                <w:color w:val="000000"/>
                <w:szCs w:val="20"/>
                <w:highlight w:val="black"/>
              </w:rPr>
              <w:t>'''''''''</w:t>
            </w:r>
          </w:p>
        </w:tc>
      </w:tr>
      <w:tr w:rsidR="00432BC2" w:rsidRPr="00432BC2" w:rsidTr="00233636">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rPr>
                <w:rFonts w:ascii="Times" w:hAnsi="Times"/>
              </w:rPr>
            </w:pPr>
            <w:r w:rsidRPr="00432BC2">
              <w:t xml:space="preserve">Number of scripts </w:t>
            </w:r>
            <w:proofErr w:type="spellStart"/>
            <w:r w:rsidRPr="00432BC2">
              <w:t>dispensed</w:t>
            </w:r>
            <w:r w:rsidRPr="00432BC2">
              <w:rPr>
                <w:vertAlign w:val="superscript"/>
              </w:rPr>
              <w:t>a</w:t>
            </w:r>
            <w:proofErr w:type="spellEnd"/>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noProof/>
                <w:color w:val="000000"/>
                <w:szCs w:val="20"/>
                <w:highlight w:val="black"/>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noProof/>
                <w:color w:val="000000"/>
                <w:szCs w:val="20"/>
                <w:highlight w:val="black"/>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noProof/>
                <w:color w:val="000000"/>
                <w:szCs w:val="20"/>
                <w:highlight w:val="black"/>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noProof/>
                <w:color w:val="000000"/>
                <w:szCs w:val="20"/>
                <w:highlight w:val="black"/>
              </w:rPr>
              <w:t>'''''''''''''</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noProof/>
                <w:color w:val="000000"/>
                <w:szCs w:val="20"/>
                <w:highlight w:val="black"/>
              </w:rPr>
              <w:t>'''''''''''''</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D25498" w:rsidRDefault="00D25498" w:rsidP="00207B77">
            <w:pPr>
              <w:pStyle w:val="Tabletext"/>
              <w:keepNext/>
              <w:keepLines/>
              <w:widowControl w:val="0"/>
              <w:jc w:val="center"/>
              <w:rPr>
                <w:bCs/>
                <w:highlight w:val="black"/>
              </w:rPr>
            </w:pPr>
            <w:r>
              <w:rPr>
                <w:rFonts w:cstheme="minorHAnsi"/>
                <w:noProof/>
                <w:color w:val="000000"/>
                <w:szCs w:val="20"/>
                <w:highlight w:val="black"/>
              </w:rPr>
              <w:t>''''''''''''''</w:t>
            </w:r>
          </w:p>
        </w:tc>
      </w:tr>
      <w:tr w:rsidR="00432BC2" w:rsidRPr="00432BC2" w:rsidTr="002B24E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D759E" w:rsidRPr="00432BC2" w:rsidRDefault="009D759E" w:rsidP="00207B77">
            <w:pPr>
              <w:pStyle w:val="Tabletext"/>
              <w:keepNext/>
              <w:keepLines/>
              <w:widowControl w:val="0"/>
              <w:rPr>
                <w:b/>
                <w:bCs/>
              </w:rPr>
            </w:pPr>
            <w:r w:rsidRPr="00432BC2">
              <w:rPr>
                <w:b/>
                <w:bCs/>
              </w:rPr>
              <w:t>Estimated financial implications of regorafenib</w:t>
            </w:r>
          </w:p>
        </w:tc>
      </w:tr>
      <w:tr w:rsidR="00432BC2" w:rsidRPr="00432BC2" w:rsidTr="00233636">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rPr>
                <w:rFonts w:ascii="Times" w:hAnsi="Times"/>
              </w:rPr>
            </w:pPr>
            <w:r w:rsidRPr="00432BC2">
              <w:rPr>
                <w:sz w:val="19"/>
                <w:szCs w:val="19"/>
              </w:rPr>
              <w:t>Cost to PBS/RPBS</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theme="minorHAnsi"/>
                <w:szCs w:val="20"/>
                <w:lang w:val="en-US"/>
              </w:rPr>
              <w:t>$</w:t>
            </w:r>
            <w:r w:rsidR="00D25498">
              <w:rPr>
                <w:rFonts w:cstheme="minorHAns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theme="minorHAnsi"/>
                <w:szCs w:val="20"/>
                <w:lang w:val="en-US"/>
              </w:rPr>
              <w:t>$</w:t>
            </w:r>
            <w:r w:rsidR="00D25498">
              <w:rPr>
                <w:rFonts w:cstheme="minorHAns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theme="minorHAnsi"/>
                <w:szCs w:val="20"/>
                <w:lang w:val="en-US"/>
              </w:rPr>
              <w:t>$</w:t>
            </w:r>
            <w:r w:rsidR="00D25498">
              <w:rPr>
                <w:rFonts w:cstheme="minorHAns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theme="minorHAnsi"/>
                <w:szCs w:val="20"/>
                <w:lang w:val="en-US"/>
              </w:rPr>
              <w:t>$</w:t>
            </w:r>
            <w:r w:rsidR="00D25498">
              <w:rPr>
                <w:rFonts w:cstheme="minorHAnsi"/>
                <w:noProof/>
                <w:color w:val="000000"/>
                <w:szCs w:val="20"/>
                <w:highlight w:val="black"/>
                <w:lang w:val="en-US"/>
              </w:rPr>
              <w:t>'''''''''''''''''''''''</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573F0C">
              <w:rPr>
                <w:rFonts w:cstheme="minorHAnsi"/>
                <w:szCs w:val="20"/>
                <w:lang w:val="en-US"/>
              </w:rPr>
              <w:t>$</w:t>
            </w:r>
            <w:r w:rsidR="00D25498">
              <w:rPr>
                <w:rFonts w:cstheme="minorHAnsi"/>
                <w:noProof/>
                <w:color w:val="000000"/>
                <w:szCs w:val="20"/>
                <w:highlight w:val="black"/>
                <w:lang w:val="en-US"/>
              </w:rPr>
              <w:t>''''''''''''''''''''''</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theme="minorHAnsi"/>
                <w:szCs w:val="20"/>
                <w:lang w:val="en-US"/>
              </w:rPr>
              <w:t>$</w:t>
            </w:r>
            <w:r w:rsidR="00D25498">
              <w:rPr>
                <w:rFonts w:cstheme="minorHAnsi"/>
                <w:noProof/>
                <w:color w:val="000000"/>
                <w:szCs w:val="20"/>
                <w:highlight w:val="black"/>
                <w:lang w:val="en-US"/>
              </w:rPr>
              <w:t>'''''''''''''''''''''''</w:t>
            </w:r>
          </w:p>
        </w:tc>
      </w:tr>
      <w:tr w:rsidR="00432BC2" w:rsidRPr="00432BC2" w:rsidTr="00233636">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rPr>
                <w:sz w:val="19"/>
                <w:szCs w:val="19"/>
              </w:rPr>
            </w:pPr>
            <w:r w:rsidRPr="00432BC2">
              <w:rPr>
                <w:sz w:val="19"/>
                <w:szCs w:val="19"/>
              </w:rPr>
              <w:t>Co-payments</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theme="minorHAnsi"/>
                <w:szCs w:val="20"/>
                <w:lang w:val="en-US"/>
              </w:rPr>
              <w:t>$</w:t>
            </w:r>
            <w:r w:rsidR="00D25498">
              <w:rPr>
                <w:rFonts w:cstheme="minorHAns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theme="minorHAnsi"/>
                <w:szCs w:val="20"/>
                <w:lang w:val="en-US"/>
              </w:rPr>
              <w:t>$</w:t>
            </w:r>
            <w:r w:rsidR="00D25498">
              <w:rPr>
                <w:rFonts w:cstheme="minorHAns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theme="minorHAnsi"/>
                <w:szCs w:val="20"/>
                <w:lang w:val="en-US"/>
              </w:rPr>
              <w:t>$</w:t>
            </w:r>
            <w:r w:rsidR="00D25498">
              <w:rPr>
                <w:rFonts w:cstheme="minorHAns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theme="minorHAnsi"/>
                <w:szCs w:val="20"/>
                <w:lang w:val="en-US"/>
              </w:rPr>
              <w:t>$</w:t>
            </w:r>
            <w:r w:rsidR="00D25498">
              <w:rPr>
                <w:rFonts w:cstheme="minorHAnsi"/>
                <w:noProof/>
                <w:color w:val="000000"/>
                <w:szCs w:val="20"/>
                <w:highlight w:val="black"/>
                <w:lang w:val="en-US"/>
              </w:rPr>
              <w:t>''''''''''''''''''</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theme="minorHAnsi"/>
                <w:szCs w:val="20"/>
                <w:lang w:val="en-US"/>
              </w:rPr>
              <w:t>$</w:t>
            </w:r>
            <w:r w:rsidR="00D25498">
              <w:rPr>
                <w:rFonts w:cstheme="minorHAnsi"/>
                <w:noProof/>
                <w:color w:val="000000"/>
                <w:szCs w:val="20"/>
                <w:highlight w:val="black"/>
                <w:lang w:val="en-US"/>
              </w:rPr>
              <w:t>'''''''''''''''''</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theme="minorHAnsi"/>
                <w:szCs w:val="20"/>
                <w:lang w:val="en-US"/>
              </w:rPr>
              <w:t>$</w:t>
            </w:r>
            <w:r w:rsidR="00D25498">
              <w:rPr>
                <w:rFonts w:cstheme="minorHAnsi"/>
                <w:noProof/>
                <w:color w:val="000000"/>
                <w:szCs w:val="20"/>
                <w:highlight w:val="black"/>
                <w:lang w:val="en-US"/>
              </w:rPr>
              <w:t>'''''''''''''''''</w:t>
            </w:r>
          </w:p>
        </w:tc>
      </w:tr>
      <w:tr w:rsidR="00432BC2" w:rsidRPr="00432BC2" w:rsidTr="002B24E7">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D759E" w:rsidRPr="00432BC2" w:rsidRDefault="009D759E" w:rsidP="00207B77">
            <w:pPr>
              <w:pStyle w:val="Tabletext"/>
              <w:keepNext/>
              <w:keepLines/>
              <w:widowControl w:val="0"/>
              <w:rPr>
                <w:b/>
                <w:bCs/>
              </w:rPr>
            </w:pPr>
            <w:r w:rsidRPr="00432BC2">
              <w:rPr>
                <w:b/>
                <w:bCs/>
              </w:rPr>
              <w:t>Net financial implications</w:t>
            </w:r>
          </w:p>
        </w:tc>
      </w:tr>
      <w:tr w:rsidR="00432BC2" w:rsidRPr="00432BC2" w:rsidTr="00233636">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rPr>
                <w:sz w:val="19"/>
                <w:szCs w:val="19"/>
              </w:rPr>
            </w:pPr>
            <w:r w:rsidRPr="00432BC2">
              <w:rPr>
                <w:sz w:val="19"/>
                <w:szCs w:val="19"/>
              </w:rPr>
              <w:t>Net cost to PBS/RPBS</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Calibri"/>
                <w:szCs w:val="20"/>
                <w:lang w:val="en-US"/>
              </w:rPr>
              <w:t>$</w:t>
            </w:r>
            <w:r w:rsidR="00D25498">
              <w:rPr>
                <w:rFonts w:cs="Calibr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Calibri"/>
                <w:szCs w:val="20"/>
                <w:lang w:val="en-US"/>
              </w:rPr>
              <w:t>$</w:t>
            </w:r>
            <w:r w:rsidR="00D25498">
              <w:rPr>
                <w:rFonts w:cs="Calibr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Calibri"/>
                <w:szCs w:val="20"/>
                <w:lang w:val="en-US"/>
              </w:rPr>
              <w:t>$</w:t>
            </w:r>
            <w:r w:rsidR="00D25498">
              <w:rPr>
                <w:rFonts w:cs="Calibr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Calibri"/>
                <w:szCs w:val="20"/>
                <w:lang w:val="en-US"/>
              </w:rPr>
              <w:t>$</w:t>
            </w:r>
            <w:r w:rsidR="00D25498">
              <w:rPr>
                <w:rFonts w:cs="Calibri"/>
                <w:noProof/>
                <w:color w:val="000000"/>
                <w:szCs w:val="20"/>
                <w:highlight w:val="black"/>
                <w:lang w:val="en-US"/>
              </w:rPr>
              <w:t>'''''''''''''''''''''''</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Calibri"/>
                <w:szCs w:val="20"/>
                <w:lang w:val="en-US"/>
              </w:rPr>
              <w:t>$</w:t>
            </w:r>
            <w:r w:rsidR="00D25498">
              <w:rPr>
                <w:rFonts w:cs="Calibri"/>
                <w:noProof/>
                <w:color w:val="000000"/>
                <w:szCs w:val="20"/>
                <w:highlight w:val="black"/>
                <w:lang w:val="en-US"/>
              </w:rPr>
              <w:t>'''''''''''''''''''''</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bCs/>
              </w:rPr>
            </w:pPr>
            <w:r w:rsidRPr="00432BC2">
              <w:rPr>
                <w:rFonts w:cs="Calibri"/>
                <w:szCs w:val="20"/>
                <w:lang w:val="en-US"/>
              </w:rPr>
              <w:t>$</w:t>
            </w:r>
            <w:r w:rsidR="00D25498">
              <w:rPr>
                <w:rFonts w:cs="Calibri"/>
                <w:noProof/>
                <w:color w:val="000000"/>
                <w:szCs w:val="20"/>
                <w:highlight w:val="black"/>
                <w:lang w:val="en-US"/>
              </w:rPr>
              <w:t>'''''''''''''''''''''''</w:t>
            </w:r>
          </w:p>
        </w:tc>
      </w:tr>
      <w:tr w:rsidR="00432BC2" w:rsidRPr="00432BC2" w:rsidTr="00233636">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rPr>
                <w:sz w:val="19"/>
                <w:szCs w:val="19"/>
              </w:rPr>
            </w:pPr>
            <w:r w:rsidRPr="00432BC2">
              <w:rPr>
                <w:rFonts w:cs="Calibri"/>
                <w:bCs/>
                <w:szCs w:val="20"/>
                <w:lang w:val="en-US"/>
              </w:rPr>
              <w:t>Net cost to State and Territory Governments</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rFonts w:cs="Calibri"/>
                <w:szCs w:val="20"/>
                <w:lang w:val="en-US"/>
              </w:rPr>
            </w:pPr>
            <w:r w:rsidRPr="00432BC2">
              <w:rPr>
                <w:rFonts w:cs="Calibri"/>
                <w:szCs w:val="20"/>
                <w:lang w:val="en-US"/>
              </w:rPr>
              <w:t>$</w:t>
            </w:r>
            <w:r w:rsidR="00D25498">
              <w:rPr>
                <w:rFonts w:cs="Calibr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rFonts w:cs="Calibri"/>
                <w:szCs w:val="20"/>
                <w:lang w:val="en-US"/>
              </w:rPr>
            </w:pPr>
            <w:r w:rsidRPr="00432BC2">
              <w:rPr>
                <w:rFonts w:cs="Calibri"/>
                <w:szCs w:val="20"/>
                <w:lang w:val="en-US"/>
              </w:rPr>
              <w:t>$</w:t>
            </w:r>
            <w:r w:rsidR="00D25498">
              <w:rPr>
                <w:rFonts w:cs="Calibr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rFonts w:cs="Calibri"/>
                <w:szCs w:val="20"/>
                <w:lang w:val="en-US"/>
              </w:rPr>
            </w:pPr>
            <w:r w:rsidRPr="00432BC2">
              <w:rPr>
                <w:rFonts w:cs="Calibri"/>
                <w:szCs w:val="20"/>
                <w:lang w:val="en-US"/>
              </w:rPr>
              <w:t>$</w:t>
            </w:r>
            <w:r w:rsidR="00D25498">
              <w:rPr>
                <w:rFonts w:cs="Calibri"/>
                <w:noProof/>
                <w:color w:val="00000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rFonts w:cs="Calibri"/>
                <w:szCs w:val="20"/>
                <w:lang w:val="en-US"/>
              </w:rPr>
            </w:pPr>
            <w:r w:rsidRPr="00432BC2">
              <w:rPr>
                <w:rFonts w:cs="Calibri"/>
                <w:szCs w:val="20"/>
                <w:lang w:val="en-US"/>
              </w:rPr>
              <w:t>$</w:t>
            </w:r>
            <w:r w:rsidR="00D25498">
              <w:rPr>
                <w:rFonts w:cs="Calibri"/>
                <w:noProof/>
                <w:color w:val="000000"/>
                <w:szCs w:val="20"/>
                <w:highlight w:val="black"/>
                <w:lang w:val="en-US"/>
              </w:rPr>
              <w:t>'''''''''''''''''''''</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432BC2" w:rsidRDefault="00544E50" w:rsidP="00207B77">
            <w:pPr>
              <w:pStyle w:val="Tabletext"/>
              <w:keepNext/>
              <w:keepLines/>
              <w:widowControl w:val="0"/>
              <w:jc w:val="center"/>
              <w:rPr>
                <w:rFonts w:cs="Calibri"/>
                <w:szCs w:val="20"/>
                <w:lang w:val="en-US"/>
              </w:rPr>
            </w:pPr>
            <w:r w:rsidRPr="00432BC2">
              <w:rPr>
                <w:rFonts w:cs="Calibri"/>
                <w:szCs w:val="20"/>
                <w:lang w:val="en-US"/>
              </w:rPr>
              <w:t>$</w:t>
            </w:r>
            <w:r w:rsidR="00D25498">
              <w:rPr>
                <w:rFonts w:cs="Calibri"/>
                <w:noProof/>
                <w:color w:val="000000"/>
                <w:szCs w:val="20"/>
                <w:highlight w:val="black"/>
                <w:lang w:val="en-US"/>
              </w:rPr>
              <w:t>'''''''''''''''''</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5834" w:rsidRPr="00B270A8" w:rsidRDefault="00F85834" w:rsidP="00207B77">
            <w:pPr>
              <w:pStyle w:val="Tabletext"/>
              <w:keepNext/>
              <w:keepLines/>
              <w:widowControl w:val="0"/>
              <w:jc w:val="center"/>
              <w:rPr>
                <w:rFonts w:cs="Calibri"/>
                <w:szCs w:val="20"/>
                <w:lang w:val="en-US"/>
              </w:rPr>
            </w:pPr>
            <w:r w:rsidRPr="00B270A8">
              <w:rPr>
                <w:rFonts w:cs="Calibri"/>
                <w:szCs w:val="20"/>
                <w:lang w:val="en-US"/>
              </w:rPr>
              <w:t>$</w:t>
            </w:r>
            <w:r w:rsidR="00D25498">
              <w:rPr>
                <w:rFonts w:cs="Calibri"/>
                <w:noProof/>
                <w:color w:val="000000"/>
                <w:szCs w:val="20"/>
                <w:highlight w:val="black"/>
                <w:lang w:val="en-US"/>
              </w:rPr>
              <w:t>'''''''''''''''''</w:t>
            </w:r>
            <w:r w:rsidR="007D66D1" w:rsidRPr="00B270A8">
              <w:rPr>
                <w:rFonts w:cs="Calibri"/>
                <w:szCs w:val="20"/>
                <w:lang w:val="en-US"/>
              </w:rPr>
              <w:t>^</w:t>
            </w:r>
          </w:p>
        </w:tc>
      </w:tr>
      <w:tr w:rsidR="00432BC2" w:rsidRPr="007D66D1" w:rsidTr="00233636">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7D66D1" w:rsidRDefault="00544E50" w:rsidP="00207B77">
            <w:pPr>
              <w:pStyle w:val="Tabletext"/>
              <w:keepNext/>
              <w:keepLines/>
              <w:widowControl w:val="0"/>
              <w:rPr>
                <w:sz w:val="19"/>
                <w:szCs w:val="19"/>
              </w:rPr>
            </w:pPr>
            <w:r w:rsidRPr="007D66D1">
              <w:rPr>
                <w:rFonts w:cs="Calibri"/>
                <w:bCs/>
                <w:szCs w:val="20"/>
                <w:lang w:val="en-US"/>
              </w:rPr>
              <w:t>Overall net cost to Government Health Budget</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7D66D1" w:rsidRDefault="00544E50" w:rsidP="00207B77">
            <w:pPr>
              <w:keepNext/>
              <w:keepLines/>
              <w:jc w:val="center"/>
              <w:rPr>
                <w:lang w:val="en-US"/>
              </w:rPr>
            </w:pPr>
            <w:r w:rsidRPr="007D66D1">
              <w:rPr>
                <w:rFonts w:ascii="Arial Narrow" w:hAnsi="Arial Narrow" w:cs="Calibri"/>
                <w:sz w:val="20"/>
                <w:szCs w:val="20"/>
                <w:lang w:val="en-US"/>
              </w:rPr>
              <w:t>$</w:t>
            </w:r>
            <w:r w:rsidR="00D25498">
              <w:rPr>
                <w:rFonts w:ascii="Arial Narrow" w:hAnsi="Arial Narrow" w:cs="Calibri"/>
                <w:noProof/>
                <w:color w:val="000000"/>
                <w:sz w:val="2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7D66D1" w:rsidRDefault="00544E50" w:rsidP="00207B77">
            <w:pPr>
              <w:keepNext/>
              <w:keepLines/>
              <w:jc w:val="center"/>
              <w:rPr>
                <w:lang w:val="en-US"/>
              </w:rPr>
            </w:pPr>
            <w:r w:rsidRPr="007D66D1">
              <w:rPr>
                <w:rFonts w:ascii="Arial Narrow" w:hAnsi="Arial Narrow" w:cs="Calibri"/>
                <w:sz w:val="20"/>
                <w:szCs w:val="20"/>
                <w:lang w:val="en-US"/>
              </w:rPr>
              <w:t>$</w:t>
            </w:r>
            <w:r w:rsidR="00D25498">
              <w:rPr>
                <w:rFonts w:ascii="Arial Narrow" w:hAnsi="Arial Narrow" w:cs="Calibri"/>
                <w:noProof/>
                <w:color w:val="000000"/>
                <w:sz w:val="2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7D66D1" w:rsidRDefault="00544E50" w:rsidP="00207B77">
            <w:pPr>
              <w:keepNext/>
              <w:keepLines/>
              <w:jc w:val="center"/>
              <w:rPr>
                <w:lang w:val="en-US"/>
              </w:rPr>
            </w:pPr>
            <w:r w:rsidRPr="007D66D1">
              <w:rPr>
                <w:rFonts w:ascii="Arial Narrow" w:hAnsi="Arial Narrow" w:cs="Calibri"/>
                <w:sz w:val="20"/>
                <w:szCs w:val="20"/>
                <w:lang w:val="en-US"/>
              </w:rPr>
              <w:t>$</w:t>
            </w:r>
            <w:r w:rsidR="00D25498">
              <w:rPr>
                <w:rFonts w:ascii="Arial Narrow" w:hAnsi="Arial Narrow" w:cs="Calibri"/>
                <w:noProof/>
                <w:color w:val="000000"/>
                <w:sz w:val="20"/>
                <w:szCs w:val="20"/>
                <w:highlight w:val="black"/>
                <w:lang w:val="en-US"/>
              </w:rPr>
              <w:t>'''''''''''''''''''''</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7D66D1" w:rsidRDefault="00544E50" w:rsidP="00207B77">
            <w:pPr>
              <w:keepNext/>
              <w:keepLines/>
              <w:jc w:val="center"/>
              <w:rPr>
                <w:lang w:val="en-US"/>
              </w:rPr>
            </w:pPr>
            <w:r w:rsidRPr="007D66D1">
              <w:rPr>
                <w:rFonts w:ascii="Arial Narrow" w:hAnsi="Arial Narrow" w:cs="Calibri"/>
                <w:sz w:val="20"/>
                <w:szCs w:val="20"/>
                <w:lang w:val="en-US"/>
              </w:rPr>
              <w:t>$</w:t>
            </w:r>
            <w:r w:rsidR="00D25498">
              <w:rPr>
                <w:rFonts w:ascii="Arial Narrow" w:hAnsi="Arial Narrow" w:cs="Calibri"/>
                <w:noProof/>
                <w:color w:val="000000"/>
                <w:sz w:val="20"/>
                <w:szCs w:val="20"/>
                <w:highlight w:val="black"/>
                <w:lang w:val="en-US"/>
              </w:rPr>
              <w:t>'''''''''''''''''''''''</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44E50" w:rsidRPr="007D66D1" w:rsidRDefault="00544E50" w:rsidP="00207B77">
            <w:pPr>
              <w:keepNext/>
              <w:keepLines/>
              <w:jc w:val="center"/>
              <w:rPr>
                <w:lang w:val="en-US"/>
              </w:rPr>
            </w:pPr>
            <w:r w:rsidRPr="007D66D1">
              <w:rPr>
                <w:rFonts w:ascii="Arial Narrow" w:hAnsi="Arial Narrow" w:cs="Calibri"/>
                <w:sz w:val="20"/>
                <w:szCs w:val="20"/>
                <w:lang w:val="en-US"/>
              </w:rPr>
              <w:t>$</w:t>
            </w:r>
            <w:r w:rsidR="00D25498">
              <w:rPr>
                <w:rFonts w:ascii="Arial Narrow" w:hAnsi="Arial Narrow" w:cs="Calibri"/>
                <w:noProof/>
                <w:color w:val="000000"/>
                <w:sz w:val="20"/>
                <w:szCs w:val="20"/>
                <w:highlight w:val="black"/>
                <w:lang w:val="en-US"/>
              </w:rPr>
              <w:t>''''''''''''''''''''''</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85834" w:rsidRPr="00B270A8" w:rsidRDefault="007D66D1" w:rsidP="00207B77">
            <w:pPr>
              <w:keepNext/>
              <w:keepLines/>
              <w:jc w:val="center"/>
              <w:rPr>
                <w:lang w:val="en-US"/>
              </w:rPr>
            </w:pPr>
            <w:r w:rsidRPr="00B270A8">
              <w:rPr>
                <w:rFonts w:ascii="Arial Narrow" w:hAnsi="Arial Narrow" w:cs="Calibri"/>
                <w:sz w:val="20"/>
                <w:szCs w:val="20"/>
                <w:lang w:val="en-US"/>
              </w:rPr>
              <w:t>$</w:t>
            </w:r>
            <w:r w:rsidR="00D25498">
              <w:rPr>
                <w:rFonts w:ascii="Arial Narrow" w:hAnsi="Arial Narrow" w:cs="Calibri"/>
                <w:noProof/>
                <w:color w:val="000000"/>
                <w:sz w:val="20"/>
                <w:szCs w:val="20"/>
                <w:highlight w:val="black"/>
                <w:lang w:val="en-US"/>
              </w:rPr>
              <w:t>''''''''''''''''''''''''</w:t>
            </w:r>
            <w:r w:rsidRPr="00B270A8">
              <w:rPr>
                <w:rFonts w:ascii="Arial Narrow" w:hAnsi="Arial Narrow" w:cs="Calibri"/>
                <w:sz w:val="20"/>
                <w:szCs w:val="20"/>
                <w:lang w:val="en-US"/>
              </w:rPr>
              <w:t>^</w:t>
            </w:r>
          </w:p>
        </w:tc>
      </w:tr>
    </w:tbl>
    <w:p w:rsidR="009D759E" w:rsidRPr="007D66D1" w:rsidRDefault="009D759E" w:rsidP="00687778">
      <w:pPr>
        <w:pStyle w:val="TableFooter"/>
        <w:widowControl/>
      </w:pPr>
      <w:r w:rsidRPr="007D66D1">
        <w:t xml:space="preserve">Note: </w:t>
      </w:r>
      <w:proofErr w:type="spellStart"/>
      <w:r w:rsidRPr="007D66D1">
        <w:rPr>
          <w:vertAlign w:val="superscript"/>
        </w:rPr>
        <w:t>a</w:t>
      </w:r>
      <w:r w:rsidRPr="007D66D1">
        <w:t>Assuming</w:t>
      </w:r>
      <w:proofErr w:type="spellEnd"/>
      <w:r w:rsidRPr="007D66D1">
        <w:t xml:space="preserve"> 5.41 packs per year as estimated by the</w:t>
      </w:r>
      <w:r w:rsidR="00950607" w:rsidRPr="007D66D1">
        <w:t xml:space="preserve"> resubmission</w:t>
      </w:r>
      <w:r w:rsidRPr="007D66D1">
        <w:t>.</w:t>
      </w:r>
      <w:r w:rsidR="00F85834" w:rsidRPr="007D66D1">
        <w:t xml:space="preserve"> ^</w:t>
      </w:r>
      <w:r w:rsidR="007D66D1" w:rsidRPr="007D66D1">
        <w:t xml:space="preserve">Correct value reported here due to an error made in the </w:t>
      </w:r>
      <w:r w:rsidR="00F85834" w:rsidRPr="007D66D1">
        <w:t>Cost Model ‘AE’s management tab’ of the resubmission.</w:t>
      </w:r>
    </w:p>
    <w:p w:rsidR="009D759E" w:rsidRPr="00432BC2" w:rsidRDefault="009D759E" w:rsidP="00687778">
      <w:pPr>
        <w:pStyle w:val="TableFooter"/>
        <w:widowControl/>
      </w:pPr>
      <w:r w:rsidRPr="007D66D1">
        <w:t>Abbreviation: SPA= special price agreement.</w:t>
      </w:r>
    </w:p>
    <w:p w:rsidR="009D759E" w:rsidRPr="00457F84" w:rsidRDefault="009D759E" w:rsidP="00687778">
      <w:pPr>
        <w:pStyle w:val="TableFooter"/>
        <w:widowControl/>
      </w:pPr>
      <w:r w:rsidRPr="00457F84">
        <w:t xml:space="preserve">Source: </w:t>
      </w:r>
      <w:r w:rsidR="00544E50" w:rsidRPr="00457F84">
        <w:t xml:space="preserve">Table 4-11, 4-14 and 4-15, p. 225 </w:t>
      </w:r>
      <w:r w:rsidR="006403D5">
        <w:t>–</w:t>
      </w:r>
      <w:r w:rsidR="00544E50" w:rsidRPr="00457F84">
        <w:t xml:space="preserve"> 229</w:t>
      </w:r>
      <w:r w:rsidR="006403D5">
        <w:t xml:space="preserve"> and cost model</w:t>
      </w:r>
      <w:r w:rsidR="00544E50" w:rsidRPr="00457F84">
        <w:t xml:space="preserve"> of the resubmission.</w:t>
      </w:r>
    </w:p>
    <w:p w:rsidR="00544E50" w:rsidRPr="00761E46" w:rsidRDefault="00573F0C" w:rsidP="00573F0C">
      <w:pPr>
        <w:pStyle w:val="TableFooter"/>
        <w:widowControl/>
        <w:spacing w:before="120" w:after="120"/>
        <w:rPr>
          <w:rFonts w:asciiTheme="minorHAnsi" w:hAnsiTheme="minorHAnsi" w:cstheme="minorHAnsi"/>
          <w:i/>
          <w:sz w:val="24"/>
          <w:szCs w:val="24"/>
        </w:rPr>
      </w:pPr>
      <w:r w:rsidRPr="00761E46">
        <w:rPr>
          <w:rFonts w:asciiTheme="minorHAnsi" w:hAnsiTheme="minorHAnsi" w:cstheme="minorHAnsi"/>
          <w:i/>
          <w:sz w:val="24"/>
          <w:szCs w:val="24"/>
        </w:rPr>
        <w:t xml:space="preserve">The redacted table shows that at Year 6, the estimated number of patients was less than 10,000 per year. </w:t>
      </w:r>
    </w:p>
    <w:p w:rsidR="00411123" w:rsidRPr="002B24E7" w:rsidRDefault="009D759E" w:rsidP="00687778">
      <w:pPr>
        <w:pStyle w:val="ListParagraph"/>
        <w:keepNext/>
        <w:widowControl/>
        <w:numPr>
          <w:ilvl w:val="1"/>
          <w:numId w:val="3"/>
        </w:numPr>
        <w:snapToGrid w:val="0"/>
      </w:pPr>
      <w:bookmarkStart w:id="16" w:name="_Hlk501104547"/>
      <w:r w:rsidRPr="002B24E7">
        <w:t xml:space="preserve">A 100% PBS sample of patients receiving sorafenib was </w:t>
      </w:r>
      <w:r w:rsidR="00F85834" w:rsidRPr="002B24E7">
        <w:t xml:space="preserve">made </w:t>
      </w:r>
      <w:r w:rsidRPr="002B24E7">
        <w:t xml:space="preserve">available </w:t>
      </w:r>
      <w:r w:rsidR="00F85834" w:rsidRPr="002B24E7">
        <w:t xml:space="preserve">by </w:t>
      </w:r>
      <w:r w:rsidR="000664A8">
        <w:t xml:space="preserve">the </w:t>
      </w:r>
      <w:r w:rsidR="00411123" w:rsidRPr="002B24E7">
        <w:t xml:space="preserve">DUSC </w:t>
      </w:r>
      <w:r w:rsidR="000664A8">
        <w:t xml:space="preserve">Secretariat </w:t>
      </w:r>
      <w:r w:rsidRPr="002B24E7">
        <w:t>for analysis during the evaluation</w:t>
      </w:r>
      <w:r w:rsidR="00F85834" w:rsidRPr="002B24E7">
        <w:t xml:space="preserve"> of the March</w:t>
      </w:r>
      <w:r w:rsidR="001C1116" w:rsidRPr="002B24E7">
        <w:t xml:space="preserve"> </w:t>
      </w:r>
      <w:r w:rsidR="00F85834" w:rsidRPr="002B24E7">
        <w:t>2018 submission</w:t>
      </w:r>
      <w:r w:rsidRPr="002B24E7">
        <w:t>. The estimated number of patients was similar in the early years (2010-2013) to those presented in the</w:t>
      </w:r>
      <w:r w:rsidR="00950607" w:rsidRPr="002B24E7">
        <w:t xml:space="preserve"> resubmission</w:t>
      </w:r>
      <w:r w:rsidRPr="002B24E7">
        <w:t xml:space="preserve"> (based on 10% PBS sample). A difference was observed </w:t>
      </w:r>
      <w:r w:rsidRPr="002B24E7">
        <w:lastRenderedPageBreak/>
        <w:t>in later years where use reported for sorafenib in the 100% PBS sample from 2015 to 2016 was lower than that from the 10% sample.</w:t>
      </w:r>
    </w:p>
    <w:bookmarkEnd w:id="16"/>
    <w:p w:rsidR="00411123" w:rsidRPr="002B24E7" w:rsidRDefault="009D759E" w:rsidP="00687778">
      <w:pPr>
        <w:pStyle w:val="ListParagraph"/>
        <w:keepNext/>
        <w:widowControl/>
        <w:numPr>
          <w:ilvl w:val="1"/>
          <w:numId w:val="3"/>
        </w:numPr>
        <w:snapToGrid w:val="0"/>
      </w:pPr>
      <w:r w:rsidRPr="002B24E7">
        <w:t xml:space="preserve">The proposed restriction is for use in patients with ECOG </w:t>
      </w:r>
      <w:r w:rsidR="00411123" w:rsidRPr="002B24E7">
        <w:rPr>
          <w:rFonts w:cs="Calibri"/>
        </w:rPr>
        <w:t>≤</w:t>
      </w:r>
      <w:r w:rsidRPr="002B24E7">
        <w:t xml:space="preserve"> </w:t>
      </w:r>
      <w:r w:rsidR="00411123" w:rsidRPr="002B24E7">
        <w:t>1</w:t>
      </w:r>
      <w:r w:rsidRPr="002B24E7">
        <w:t xml:space="preserve"> (in accordance with the RESORCE trial). However, the estimates presented in the </w:t>
      </w:r>
      <w:r w:rsidR="00291088" w:rsidRPr="002B24E7">
        <w:t>re</w:t>
      </w:r>
      <w:r w:rsidRPr="002B24E7">
        <w:t>submission allow</w:t>
      </w:r>
      <w:r w:rsidR="00291088" w:rsidRPr="002B24E7">
        <w:t>ed</w:t>
      </w:r>
      <w:r w:rsidRPr="002B24E7">
        <w:t xml:space="preserve"> for a proportion of patients with worsened performance status to access treatment with regorafenib. </w:t>
      </w:r>
      <w:r w:rsidR="00291088" w:rsidRPr="002B24E7">
        <w:t>The sponsor has attempted to address the potential discrepancies and uncertainties in the differences between the patient populations in the RESORCE trial and in the Australian clinical setting by reducing the proportion of eligible patients from 70% (Mar-18 submission) to 60% in the resubmission.</w:t>
      </w:r>
      <w:r w:rsidR="00291088" w:rsidRPr="00D31E2F">
        <w:t xml:space="preserve"> </w:t>
      </w:r>
      <w:r w:rsidR="00B4414C" w:rsidRPr="00D31E2F">
        <w:t>The ESC considered that this was appropriate.</w:t>
      </w:r>
    </w:p>
    <w:p w:rsidR="00B0777E" w:rsidRPr="002B24E7" w:rsidRDefault="0067142D" w:rsidP="00687778">
      <w:pPr>
        <w:pStyle w:val="ListParagraph"/>
        <w:keepNext/>
        <w:widowControl/>
        <w:numPr>
          <w:ilvl w:val="1"/>
          <w:numId w:val="3"/>
        </w:numPr>
        <w:snapToGrid w:val="0"/>
      </w:pPr>
      <w:r w:rsidRPr="002B24E7">
        <w:t xml:space="preserve">The financial estimates were based on treatment exposure in RESORCE, which included some patients continuing treatment with regorafenib beyond progression. Regorafenib use on the PBS may thus be overestimated </w:t>
      </w:r>
      <w:r w:rsidR="00B270A8">
        <w:t>given</w:t>
      </w:r>
      <w:r w:rsidR="00B270A8" w:rsidRPr="002B24E7">
        <w:t xml:space="preserve"> </w:t>
      </w:r>
      <w:r w:rsidRPr="002B24E7">
        <w:t xml:space="preserve">the </w:t>
      </w:r>
      <w:r w:rsidR="003F3522" w:rsidRPr="002B24E7">
        <w:t xml:space="preserve">PBAC’s </w:t>
      </w:r>
      <w:r w:rsidRPr="002B24E7">
        <w:t xml:space="preserve">proposed restriction limiting access to those without treatment progression. </w:t>
      </w:r>
    </w:p>
    <w:p w:rsidR="00594330" w:rsidRPr="005775F5" w:rsidRDefault="00290958" w:rsidP="00687778">
      <w:pPr>
        <w:pStyle w:val="ListParagraph"/>
        <w:keepNext/>
        <w:widowControl/>
        <w:numPr>
          <w:ilvl w:val="1"/>
          <w:numId w:val="3"/>
        </w:numPr>
        <w:snapToGrid w:val="0"/>
        <w:rPr>
          <w:i/>
        </w:rPr>
      </w:pPr>
      <w:bookmarkStart w:id="17" w:name="_Hlk521443496"/>
      <w:r w:rsidRPr="002B24E7">
        <w:t>The PBAC</w:t>
      </w:r>
      <w:r w:rsidR="00594330" w:rsidRPr="002B24E7">
        <w:t xml:space="preserve"> had requested that </w:t>
      </w:r>
      <w:r w:rsidRPr="002B24E7">
        <w:t>treatment</w:t>
      </w:r>
      <w:r w:rsidR="003F3522" w:rsidRPr="002B24E7">
        <w:t>-</w:t>
      </w:r>
      <w:r w:rsidRPr="002B24E7">
        <w:t xml:space="preserve">related </w:t>
      </w:r>
      <w:r w:rsidR="00594330" w:rsidRPr="002B24E7">
        <w:t xml:space="preserve">MBS </w:t>
      </w:r>
      <w:r w:rsidRPr="002B24E7">
        <w:t xml:space="preserve">costs for medical visits, pathology, diagnostics and AEs </w:t>
      </w:r>
      <w:r w:rsidR="00594330" w:rsidRPr="002B24E7">
        <w:t xml:space="preserve">should be </w:t>
      </w:r>
      <w:r w:rsidRPr="002B24E7">
        <w:t>included in the financial estimates</w:t>
      </w:r>
      <w:r w:rsidR="00594330" w:rsidRPr="002B24E7">
        <w:t xml:space="preserve"> (p</w:t>
      </w:r>
      <w:r w:rsidR="0085137D">
        <w:t>aragraph</w:t>
      </w:r>
      <w:r w:rsidR="00594330" w:rsidRPr="002B24E7">
        <w:t xml:space="preserve"> 6.58 </w:t>
      </w:r>
      <w:r w:rsidR="0085137D">
        <w:rPr>
          <w:bCs/>
        </w:rPr>
        <w:t>regorafenib</w:t>
      </w:r>
      <w:r w:rsidR="0085137D" w:rsidRPr="0040436F">
        <w:rPr>
          <w:bCs/>
        </w:rPr>
        <w:t xml:space="preserve"> PSD</w:t>
      </w:r>
      <w:r w:rsidR="0085137D">
        <w:rPr>
          <w:bCs/>
        </w:rPr>
        <w:t>, March 2018 meeting</w:t>
      </w:r>
      <w:r w:rsidR="00594330" w:rsidRPr="002B24E7">
        <w:t>)</w:t>
      </w:r>
      <w:r w:rsidRPr="002B24E7">
        <w:t xml:space="preserve">. </w:t>
      </w:r>
      <w:r w:rsidR="00594330" w:rsidRPr="002B24E7">
        <w:t xml:space="preserve">The resubmission claimed </w:t>
      </w:r>
      <w:r w:rsidR="003C0419" w:rsidRPr="002B24E7">
        <w:t xml:space="preserve">that </w:t>
      </w:r>
      <w:r w:rsidR="00594330" w:rsidRPr="002B24E7">
        <w:t>drug related TEAEs (grade 3 and 4) were assumed to require hospitalisation and included these</w:t>
      </w:r>
      <w:r w:rsidR="00E075EF" w:rsidRPr="002B24E7">
        <w:t xml:space="preserve"> in its costs to Government</w:t>
      </w:r>
      <w:r w:rsidR="00594330" w:rsidRPr="002B24E7">
        <w:t xml:space="preserve">. </w:t>
      </w:r>
      <w:r w:rsidR="003C0419" w:rsidRPr="002B24E7">
        <w:t>However, o</w:t>
      </w:r>
      <w:r w:rsidR="00594330" w:rsidRPr="002B24E7">
        <w:t xml:space="preserve">ther MBS costs were not included and </w:t>
      </w:r>
      <w:r w:rsidR="003C0419" w:rsidRPr="002B24E7">
        <w:t>given the assumed longer</w:t>
      </w:r>
      <w:r w:rsidR="00826C46" w:rsidRPr="002B24E7">
        <w:t>-</w:t>
      </w:r>
      <w:r w:rsidR="003C0419" w:rsidRPr="002B24E7">
        <w:t xml:space="preserve">term survival of regorafenib treated HCC patients, it is reasonable that they would incur additional medical service use (e.g. specialist and diagnostic services) and </w:t>
      </w:r>
      <w:r w:rsidR="00594330" w:rsidRPr="002B24E7">
        <w:t>therefore that</w:t>
      </w:r>
      <w:r w:rsidR="003C0419" w:rsidRPr="002B24E7">
        <w:t xml:space="preserve"> the</w:t>
      </w:r>
      <w:r w:rsidR="00594330" w:rsidRPr="002B24E7">
        <w:t xml:space="preserve"> financial estimates were underestimated. </w:t>
      </w:r>
      <w:r w:rsidR="005775F5" w:rsidRPr="00D31E2F">
        <w:t>The PSCR provided estimates of the MBS costs associated with the incremental OS. The PSCR stated that the impact on the MBS costs would be minimal, ranging from $</w:t>
      </w:r>
      <w:r w:rsidR="00D25498">
        <w:rPr>
          <w:noProof/>
          <w:color w:val="000000"/>
          <w:highlight w:val="black"/>
        </w:rPr>
        <w:t>'''''''''''''''</w:t>
      </w:r>
      <w:r w:rsidR="005775F5" w:rsidRPr="00D31E2F">
        <w:t xml:space="preserve"> in 2019 to $</w:t>
      </w:r>
      <w:r w:rsidR="00D25498">
        <w:rPr>
          <w:noProof/>
          <w:color w:val="000000"/>
          <w:highlight w:val="black"/>
        </w:rPr>
        <w:t>''''''''''''''</w:t>
      </w:r>
      <w:r w:rsidR="005775F5" w:rsidRPr="00D31E2F">
        <w:t xml:space="preserve"> in 2024.</w:t>
      </w:r>
    </w:p>
    <w:p w:rsidR="00576972" w:rsidRPr="00C9624D" w:rsidRDefault="00576972" w:rsidP="00067969">
      <w:pPr>
        <w:pStyle w:val="Heading2"/>
      </w:pPr>
      <w:bookmarkStart w:id="18" w:name="_Toc523405681"/>
      <w:bookmarkEnd w:id="17"/>
      <w:r w:rsidRPr="00C9624D">
        <w:t>Quality Use of Medicines</w:t>
      </w:r>
      <w:bookmarkEnd w:id="18"/>
    </w:p>
    <w:p w:rsidR="00D31E2F" w:rsidRPr="00D31E2F" w:rsidRDefault="001F0024" w:rsidP="00D31E2F">
      <w:pPr>
        <w:pStyle w:val="ListParagraph"/>
        <w:widowControl/>
        <w:numPr>
          <w:ilvl w:val="1"/>
          <w:numId w:val="3"/>
        </w:numPr>
        <w:snapToGrid w:val="0"/>
        <w:rPr>
          <w:rFonts w:asciiTheme="minorHAnsi" w:hAnsiTheme="minorHAnsi" w:cstheme="minorHAnsi"/>
          <w:snapToGrid/>
        </w:rPr>
      </w:pPr>
      <w:r w:rsidRPr="00D31E2F">
        <w:rPr>
          <w:rFonts w:asciiTheme="minorHAnsi" w:hAnsiTheme="minorHAnsi" w:cstheme="minorHAnsi"/>
          <w:snapToGrid/>
        </w:rPr>
        <w:t>The most common and/or important adverse events in the RESORCE trial were hypertension, hand–foot skin reaction (HFSR), fatigue, and diarrhoea. Although common, most were manageable by dose modification. Detailed advice, warnings and recommendations are provided in the Product Information. The</w:t>
      </w:r>
      <w:r w:rsidR="00950607" w:rsidRPr="00D31E2F">
        <w:rPr>
          <w:rFonts w:asciiTheme="minorHAnsi" w:hAnsiTheme="minorHAnsi" w:cstheme="minorHAnsi"/>
          <w:snapToGrid/>
        </w:rPr>
        <w:t xml:space="preserve"> resubmission</w:t>
      </w:r>
      <w:r w:rsidRPr="00D31E2F">
        <w:rPr>
          <w:rFonts w:asciiTheme="minorHAnsi" w:hAnsiTheme="minorHAnsi" w:cstheme="minorHAnsi"/>
          <w:snapToGrid/>
        </w:rPr>
        <w:t xml:space="preserve"> presented a QUM plan focused on the management of HFSR directed to patients and training sessions for nurses and physicians.</w:t>
      </w:r>
      <w:r w:rsidR="00D31E2F" w:rsidRPr="00D31E2F">
        <w:rPr>
          <w:rFonts w:asciiTheme="minorHAnsi" w:hAnsiTheme="minorHAnsi" w:cstheme="minorHAnsi"/>
          <w:snapToGrid/>
        </w:rPr>
        <w:t xml:space="preserve"> </w:t>
      </w:r>
    </w:p>
    <w:p w:rsidR="00871FA9" w:rsidRDefault="00D31E2F" w:rsidP="00D31E2F">
      <w:pPr>
        <w:pStyle w:val="ListParagraph"/>
        <w:ind w:left="709"/>
        <w:rPr>
          <w:rFonts w:asciiTheme="minorHAnsi" w:hAnsiTheme="minorHAnsi"/>
          <w:i/>
        </w:rPr>
      </w:pPr>
      <w:r w:rsidRPr="00525B39">
        <w:rPr>
          <w:rFonts w:asciiTheme="minorHAnsi" w:hAnsiTheme="minorHAnsi"/>
          <w:i/>
        </w:rPr>
        <w:t xml:space="preserve">For more detail on </w:t>
      </w:r>
      <w:r>
        <w:rPr>
          <w:rFonts w:asciiTheme="minorHAnsi" w:hAnsiTheme="minorHAnsi"/>
          <w:i/>
        </w:rPr>
        <w:t xml:space="preserve">the </w:t>
      </w:r>
      <w:r w:rsidRPr="00525B39">
        <w:rPr>
          <w:rFonts w:asciiTheme="minorHAnsi" w:hAnsiTheme="minorHAnsi"/>
          <w:i/>
        </w:rPr>
        <w:t>PBAC’s view, see section 7 PBAC outcome.</w:t>
      </w:r>
    </w:p>
    <w:p w:rsidR="004B7362" w:rsidRPr="00525B39" w:rsidRDefault="004B7362" w:rsidP="00067969">
      <w:pPr>
        <w:pStyle w:val="Heading1"/>
      </w:pPr>
      <w:r w:rsidRPr="00525B39">
        <w:t>PBAC Outcome</w:t>
      </w:r>
    </w:p>
    <w:p w:rsidR="003364F4" w:rsidRPr="003364F4" w:rsidRDefault="003364F4" w:rsidP="003364F4">
      <w:pPr>
        <w:numPr>
          <w:ilvl w:val="1"/>
          <w:numId w:val="3"/>
        </w:numPr>
        <w:spacing w:after="120"/>
        <w:rPr>
          <w:rFonts w:asciiTheme="minorHAnsi" w:hAnsiTheme="minorHAnsi"/>
          <w:bCs/>
          <w:lang w:val="en-GB"/>
        </w:rPr>
      </w:pPr>
      <w:r w:rsidRPr="003364F4">
        <w:rPr>
          <w:rFonts w:asciiTheme="minorHAnsi" w:hAnsiTheme="minorHAnsi"/>
          <w:bCs/>
          <w:lang w:val="en-GB"/>
        </w:rPr>
        <w:t xml:space="preserve">The PBAC did not recommend the listing of regorafenib for the treatment of hepatocellular carcinoma </w:t>
      </w:r>
      <w:r>
        <w:rPr>
          <w:rFonts w:asciiTheme="minorHAnsi" w:hAnsiTheme="minorHAnsi"/>
          <w:bCs/>
          <w:lang w:val="en-GB"/>
        </w:rPr>
        <w:t xml:space="preserve">for patients </w:t>
      </w:r>
      <w:r w:rsidRPr="003364F4">
        <w:rPr>
          <w:rFonts w:asciiTheme="minorHAnsi" w:hAnsiTheme="minorHAnsi"/>
          <w:bCs/>
          <w:lang w:val="en-GB"/>
        </w:rPr>
        <w:t xml:space="preserve">who have progressed on first line treatment with a </w:t>
      </w:r>
      <w:r w:rsidR="00056DDC">
        <w:rPr>
          <w:rFonts w:asciiTheme="minorHAnsi" w:hAnsiTheme="minorHAnsi"/>
          <w:bCs/>
          <w:lang w:val="en-GB"/>
        </w:rPr>
        <w:t>sorafenib</w:t>
      </w:r>
      <w:r w:rsidRPr="003364F4">
        <w:rPr>
          <w:rFonts w:asciiTheme="minorHAnsi" w:hAnsiTheme="minorHAnsi"/>
          <w:bCs/>
          <w:lang w:val="en-GB"/>
        </w:rPr>
        <w:t xml:space="preserve">. The PBAC considered that regorafenib provided a </w:t>
      </w:r>
      <w:r w:rsidR="00E83391">
        <w:rPr>
          <w:rFonts w:asciiTheme="minorHAnsi" w:hAnsiTheme="minorHAnsi"/>
          <w:bCs/>
          <w:lang w:val="en-GB"/>
        </w:rPr>
        <w:t>modest</w:t>
      </w:r>
      <w:r w:rsidR="00E83391" w:rsidRPr="003364F4">
        <w:rPr>
          <w:rFonts w:asciiTheme="minorHAnsi" w:hAnsiTheme="minorHAnsi"/>
          <w:bCs/>
          <w:lang w:val="en-GB"/>
        </w:rPr>
        <w:t xml:space="preserve"> </w:t>
      </w:r>
      <w:r w:rsidRPr="003364F4">
        <w:rPr>
          <w:rFonts w:asciiTheme="minorHAnsi" w:hAnsiTheme="minorHAnsi"/>
          <w:bCs/>
          <w:lang w:val="en-GB"/>
        </w:rPr>
        <w:t>survival benefit in some patients</w:t>
      </w:r>
      <w:r w:rsidR="00CE6A5B">
        <w:rPr>
          <w:rFonts w:asciiTheme="minorHAnsi" w:hAnsiTheme="minorHAnsi"/>
          <w:bCs/>
          <w:lang w:val="en-GB"/>
        </w:rPr>
        <w:t>, however treatment was also associated with</w:t>
      </w:r>
      <w:r w:rsidRPr="003364F4">
        <w:rPr>
          <w:rFonts w:asciiTheme="minorHAnsi" w:hAnsiTheme="minorHAnsi"/>
          <w:bCs/>
          <w:lang w:val="en-GB"/>
        </w:rPr>
        <w:t xml:space="preserve"> substantial </w:t>
      </w:r>
      <w:r w:rsidRPr="003364F4">
        <w:rPr>
          <w:rFonts w:asciiTheme="minorHAnsi" w:hAnsiTheme="minorHAnsi"/>
          <w:bCs/>
          <w:lang w:val="en-GB"/>
        </w:rPr>
        <w:lastRenderedPageBreak/>
        <w:t>toxicity. The PBAC considered that at the proposed price, the incremental cost-effectiveness ratio for regorafenib was unacceptably high.</w:t>
      </w:r>
    </w:p>
    <w:p w:rsidR="004B7362" w:rsidRDefault="00361CE7" w:rsidP="009C1B0C">
      <w:pPr>
        <w:numPr>
          <w:ilvl w:val="1"/>
          <w:numId w:val="3"/>
        </w:numPr>
        <w:spacing w:after="120"/>
        <w:rPr>
          <w:rFonts w:asciiTheme="minorHAnsi" w:hAnsiTheme="minorHAnsi"/>
          <w:bCs/>
          <w:lang w:val="en-GB"/>
        </w:rPr>
      </w:pPr>
      <w:r>
        <w:rPr>
          <w:rFonts w:asciiTheme="minorHAnsi" w:hAnsiTheme="minorHAnsi"/>
          <w:bCs/>
          <w:lang w:val="en-GB"/>
        </w:rPr>
        <w:t xml:space="preserve">The PBAC </w:t>
      </w:r>
      <w:r w:rsidR="00CE6A5B">
        <w:rPr>
          <w:rFonts w:asciiTheme="minorHAnsi" w:hAnsiTheme="minorHAnsi"/>
          <w:bCs/>
          <w:lang w:val="en-GB"/>
        </w:rPr>
        <w:t>reiterated</w:t>
      </w:r>
      <w:r>
        <w:rPr>
          <w:rFonts w:asciiTheme="minorHAnsi" w:hAnsiTheme="minorHAnsi"/>
          <w:bCs/>
          <w:lang w:val="en-GB"/>
        </w:rPr>
        <w:t xml:space="preserve"> patients should only be treated with regorafenib until disease progression and the restriction criteria should not allow treatment beyond disease progression. </w:t>
      </w:r>
      <w:r w:rsidR="009C1B0C">
        <w:rPr>
          <w:rFonts w:asciiTheme="minorHAnsi" w:hAnsiTheme="minorHAnsi"/>
          <w:bCs/>
          <w:lang w:val="en-GB"/>
        </w:rPr>
        <w:t xml:space="preserve">The PBAC noted that in the pre-PBAC response </w:t>
      </w:r>
      <w:r w:rsidR="009C1B0C" w:rsidRPr="009C1B0C">
        <w:rPr>
          <w:rFonts w:asciiTheme="minorHAnsi" w:hAnsiTheme="minorHAnsi"/>
          <w:bCs/>
          <w:lang w:val="en-GB"/>
        </w:rPr>
        <w:t xml:space="preserve">the sponsor indicated </w:t>
      </w:r>
      <w:r w:rsidR="009C1B0C">
        <w:rPr>
          <w:rFonts w:asciiTheme="minorHAnsi" w:hAnsiTheme="minorHAnsi"/>
          <w:bCs/>
          <w:lang w:val="en-GB"/>
        </w:rPr>
        <w:t xml:space="preserve">it would accept inclusion of this criterion. </w:t>
      </w:r>
      <w:r w:rsidR="00A02991">
        <w:rPr>
          <w:rFonts w:asciiTheme="minorHAnsi" w:hAnsiTheme="minorHAnsi"/>
          <w:bCs/>
          <w:lang w:val="en-GB"/>
        </w:rPr>
        <w:t xml:space="preserve">The PBAC noted that </w:t>
      </w:r>
      <w:r w:rsidR="00514426">
        <w:rPr>
          <w:rFonts w:asciiTheme="minorHAnsi" w:hAnsiTheme="minorHAnsi"/>
          <w:bCs/>
          <w:lang w:val="en-GB"/>
        </w:rPr>
        <w:t xml:space="preserve">the requested listing was for </w:t>
      </w:r>
      <w:r w:rsidR="00A02991">
        <w:rPr>
          <w:rFonts w:asciiTheme="minorHAnsi" w:hAnsiTheme="minorHAnsi"/>
          <w:bCs/>
          <w:lang w:val="en-GB"/>
        </w:rPr>
        <w:t xml:space="preserve">patients with BCLC stage </w:t>
      </w:r>
      <w:r w:rsidR="00514426">
        <w:rPr>
          <w:rFonts w:asciiTheme="minorHAnsi" w:hAnsiTheme="minorHAnsi"/>
          <w:bCs/>
          <w:lang w:val="en-GB"/>
        </w:rPr>
        <w:t>C, however the RESORCE trial also included patients with BCLC stage B. The P</w:t>
      </w:r>
      <w:r w:rsidR="00A02991">
        <w:rPr>
          <w:rFonts w:asciiTheme="minorHAnsi" w:hAnsiTheme="minorHAnsi"/>
          <w:bCs/>
          <w:lang w:val="en-GB"/>
        </w:rPr>
        <w:t>B</w:t>
      </w:r>
      <w:r w:rsidR="00514426">
        <w:rPr>
          <w:rFonts w:asciiTheme="minorHAnsi" w:hAnsiTheme="minorHAnsi"/>
          <w:bCs/>
          <w:lang w:val="en-GB"/>
        </w:rPr>
        <w:t>AC considered that it would be appropriate to include patients with BCLC stage B and C in the listing for regorafenib</w:t>
      </w:r>
      <w:r w:rsidR="009E1D58">
        <w:rPr>
          <w:rFonts w:asciiTheme="minorHAnsi" w:hAnsiTheme="minorHAnsi"/>
          <w:bCs/>
          <w:lang w:val="en-GB"/>
        </w:rPr>
        <w:t xml:space="preserve"> consistent with the population in the RESORCE trial. </w:t>
      </w:r>
      <w:r w:rsidR="00514426">
        <w:rPr>
          <w:rFonts w:asciiTheme="minorHAnsi" w:hAnsiTheme="minorHAnsi"/>
          <w:bCs/>
          <w:lang w:val="en-GB"/>
        </w:rPr>
        <w:t xml:space="preserve"> </w:t>
      </w:r>
      <w:r w:rsidR="009E1D58">
        <w:rPr>
          <w:rFonts w:asciiTheme="minorHAnsi" w:hAnsiTheme="minorHAnsi"/>
          <w:bCs/>
          <w:lang w:val="en-GB"/>
        </w:rPr>
        <w:t>The PBAC considered that it would not be clinically appropriate to include an eligibility criterion excluding patients who are HIV immunocompromised</w:t>
      </w:r>
      <w:r w:rsidR="00462A6B">
        <w:rPr>
          <w:rFonts w:asciiTheme="minorHAnsi" w:hAnsiTheme="minorHAnsi"/>
          <w:bCs/>
          <w:lang w:val="en-GB"/>
        </w:rPr>
        <w:t xml:space="preserve"> as clinicians should be allowed to make </w:t>
      </w:r>
      <w:r w:rsidR="00436192">
        <w:rPr>
          <w:rFonts w:asciiTheme="minorHAnsi" w:hAnsiTheme="minorHAnsi"/>
          <w:bCs/>
          <w:lang w:val="en-GB"/>
        </w:rPr>
        <w:t xml:space="preserve">individual </w:t>
      </w:r>
      <w:r w:rsidR="00462A6B">
        <w:rPr>
          <w:rFonts w:asciiTheme="minorHAnsi" w:hAnsiTheme="minorHAnsi"/>
          <w:bCs/>
          <w:lang w:val="en-GB"/>
        </w:rPr>
        <w:t>treatment decisions</w:t>
      </w:r>
      <w:r w:rsidR="009E1D58">
        <w:rPr>
          <w:rFonts w:asciiTheme="minorHAnsi" w:hAnsiTheme="minorHAnsi"/>
          <w:bCs/>
          <w:lang w:val="en-GB"/>
        </w:rPr>
        <w:t xml:space="preserve"> </w:t>
      </w:r>
      <w:r w:rsidR="00436192">
        <w:rPr>
          <w:rFonts w:asciiTheme="minorHAnsi" w:hAnsiTheme="minorHAnsi"/>
          <w:bCs/>
          <w:lang w:val="en-GB"/>
        </w:rPr>
        <w:t xml:space="preserve">for </w:t>
      </w:r>
      <w:r w:rsidR="00462A6B">
        <w:rPr>
          <w:rFonts w:asciiTheme="minorHAnsi" w:hAnsiTheme="minorHAnsi"/>
          <w:bCs/>
          <w:lang w:val="en-GB"/>
        </w:rPr>
        <w:t xml:space="preserve">these patients. </w:t>
      </w:r>
    </w:p>
    <w:p w:rsidR="00462A6B" w:rsidRPr="00761302" w:rsidRDefault="00462A6B" w:rsidP="0070428A">
      <w:pPr>
        <w:pStyle w:val="ListParagraph"/>
        <w:widowControl/>
        <w:numPr>
          <w:ilvl w:val="1"/>
          <w:numId w:val="3"/>
        </w:numPr>
      </w:pPr>
      <w:r>
        <w:t xml:space="preserve">The PBAC noted that lenvatinib was considered for first line treatment </w:t>
      </w:r>
      <w:r w:rsidR="0070428A">
        <w:t xml:space="preserve">of HCC at the November 2018 meeting. </w:t>
      </w:r>
      <w:r>
        <w:t xml:space="preserve">The proposed listing for regorafenib would </w:t>
      </w:r>
      <w:r w:rsidR="00612A98">
        <w:t xml:space="preserve">not </w:t>
      </w:r>
      <w:r>
        <w:t>allow patients treated with lenvatinib</w:t>
      </w:r>
      <w:r w:rsidR="0070428A">
        <w:t xml:space="preserve"> </w:t>
      </w:r>
      <w:r>
        <w:t>to access second line regorafenib and this may create an incentive for patients to preferentially be treated with sorafenib in the first line setting</w:t>
      </w:r>
      <w:r w:rsidR="0070428A">
        <w:t xml:space="preserve">. </w:t>
      </w:r>
      <w:r>
        <w:t xml:space="preserve">The PBAC considered that it was not </w:t>
      </w:r>
      <w:r w:rsidR="00D91366">
        <w:t xml:space="preserve">clinically </w:t>
      </w:r>
      <w:r>
        <w:t xml:space="preserve">appropriate </w:t>
      </w:r>
      <w:r w:rsidR="00CE54A2">
        <w:t xml:space="preserve">for </w:t>
      </w:r>
      <w:r>
        <w:t xml:space="preserve">the availability of regorafenib </w:t>
      </w:r>
      <w:r w:rsidR="00612A98">
        <w:t>as</w:t>
      </w:r>
      <w:r>
        <w:t xml:space="preserve"> </w:t>
      </w:r>
      <w:r w:rsidR="00CE54A2">
        <w:t xml:space="preserve">a </w:t>
      </w:r>
      <w:r>
        <w:t xml:space="preserve">second line treatment </w:t>
      </w:r>
      <w:r w:rsidR="00CE54A2">
        <w:t>to</w:t>
      </w:r>
      <w:r>
        <w:t xml:space="preserve"> </w:t>
      </w:r>
      <w:r w:rsidR="0070428A">
        <w:t xml:space="preserve">impact on the choice of </w:t>
      </w:r>
      <w:r w:rsidR="00CE54A2">
        <w:t xml:space="preserve">the </w:t>
      </w:r>
      <w:r w:rsidR="0070428A">
        <w:t xml:space="preserve">first line treatment </w:t>
      </w:r>
      <w:r w:rsidR="00CE54A2">
        <w:t>for HCC</w:t>
      </w:r>
      <w:r w:rsidR="0070428A">
        <w:t>. The PBAC noted that NCCN guidelines recommend sorafenib or lenvatinib as the prefe</w:t>
      </w:r>
      <w:r w:rsidR="004549B2">
        <w:t>rred first line systemic therapies</w:t>
      </w:r>
      <w:r w:rsidR="0070428A">
        <w:t xml:space="preserve"> and regorafenib, cabozantinib, ramucirumab, nivolumab, sorafenib (after first line lenvatinib) or pembrolizumab for subsequent therapy </w:t>
      </w:r>
      <w:r w:rsidR="00612A98">
        <w:t xml:space="preserve">after </w:t>
      </w:r>
      <w:r w:rsidR="0070428A">
        <w:t xml:space="preserve">disease progression. </w:t>
      </w:r>
      <w:r w:rsidRPr="00D31E2F">
        <w:t>The</w:t>
      </w:r>
      <w:r w:rsidR="0070428A">
        <w:t xml:space="preserve"> PBAC agreed with the </w:t>
      </w:r>
      <w:r w:rsidRPr="00D31E2F">
        <w:t xml:space="preserve">ESC that </w:t>
      </w:r>
      <w:r w:rsidR="00056DDC">
        <w:t xml:space="preserve">if it were </w:t>
      </w:r>
      <w:r w:rsidR="00D5219D">
        <w:t xml:space="preserve">to be </w:t>
      </w:r>
      <w:r w:rsidR="00056DDC">
        <w:t xml:space="preserve">listed </w:t>
      </w:r>
      <w:r w:rsidRPr="00D31E2F">
        <w:t xml:space="preserve">the </w:t>
      </w:r>
      <w:r w:rsidR="00056DDC">
        <w:t>restriction for</w:t>
      </w:r>
      <w:r w:rsidRPr="00D31E2F">
        <w:t xml:space="preserve"> regorafenib should be revised to allow use following</w:t>
      </w:r>
      <w:r w:rsidR="0070428A">
        <w:t xml:space="preserve"> </w:t>
      </w:r>
      <w:r w:rsidR="002652E7">
        <w:t xml:space="preserve">treatment with a TKI. Currently this would </w:t>
      </w:r>
      <w:r w:rsidR="00056DDC">
        <w:t xml:space="preserve">only </w:t>
      </w:r>
      <w:r w:rsidR="002652E7">
        <w:t xml:space="preserve">include </w:t>
      </w:r>
      <w:r w:rsidR="0070428A">
        <w:t>sorafenib</w:t>
      </w:r>
      <w:r w:rsidR="00056DDC">
        <w:t>, however if lenvatinib is PBS listed this restriction would allow for regorafenib to be used following treatment with either sorafenib or lenvatinib</w:t>
      </w:r>
      <w:r w:rsidR="00A87CB3">
        <w:t>.</w:t>
      </w:r>
    </w:p>
    <w:p w:rsidR="004B7362" w:rsidRPr="00525B39" w:rsidRDefault="00A87CB3" w:rsidP="004B7362">
      <w:pPr>
        <w:numPr>
          <w:ilvl w:val="1"/>
          <w:numId w:val="3"/>
        </w:numPr>
        <w:spacing w:after="120"/>
        <w:rPr>
          <w:rFonts w:asciiTheme="minorHAnsi" w:hAnsiTheme="minorHAnsi"/>
          <w:bCs/>
          <w:lang w:val="en-GB"/>
        </w:rPr>
      </w:pPr>
      <w:r>
        <w:rPr>
          <w:rFonts w:asciiTheme="minorHAnsi" w:hAnsiTheme="minorHAnsi"/>
          <w:bCs/>
          <w:lang w:val="en-GB"/>
        </w:rPr>
        <w:t xml:space="preserve">The PBAC considered that the comparator of BSC, as previously accepted, remained appropriate for the resubmission. </w:t>
      </w:r>
    </w:p>
    <w:p w:rsidR="004B7362" w:rsidRDefault="00A87CB3" w:rsidP="004B7362">
      <w:pPr>
        <w:numPr>
          <w:ilvl w:val="1"/>
          <w:numId w:val="3"/>
        </w:numPr>
        <w:spacing w:after="120"/>
        <w:rPr>
          <w:rFonts w:asciiTheme="minorHAnsi" w:hAnsiTheme="minorHAnsi"/>
          <w:bCs/>
          <w:lang w:val="en-GB"/>
        </w:rPr>
      </w:pPr>
      <w:r>
        <w:rPr>
          <w:rFonts w:asciiTheme="minorHAnsi" w:hAnsiTheme="minorHAnsi"/>
          <w:bCs/>
          <w:lang w:val="en-GB"/>
        </w:rPr>
        <w:t xml:space="preserve">The PBAC noted that the resubmission presented an updated data set from the RESORCE trial </w:t>
      </w:r>
      <w:r w:rsidR="00970EBF">
        <w:rPr>
          <w:rFonts w:asciiTheme="minorHAnsi" w:hAnsiTheme="minorHAnsi"/>
          <w:bCs/>
          <w:lang w:val="en-GB"/>
        </w:rPr>
        <w:t xml:space="preserve">(cut-off date Jan 23, 2017) </w:t>
      </w:r>
      <w:r>
        <w:rPr>
          <w:rFonts w:asciiTheme="minorHAnsi" w:hAnsiTheme="minorHAnsi"/>
          <w:bCs/>
          <w:lang w:val="en-GB"/>
        </w:rPr>
        <w:t xml:space="preserve">with an additional 11 months follow-up. The PBAC noted that the </w:t>
      </w:r>
      <w:r w:rsidR="00D71377">
        <w:rPr>
          <w:rFonts w:asciiTheme="minorHAnsi" w:hAnsiTheme="minorHAnsi"/>
          <w:bCs/>
          <w:lang w:val="en-GB"/>
        </w:rPr>
        <w:t xml:space="preserve">magnitude of the </w:t>
      </w:r>
      <w:r>
        <w:rPr>
          <w:rFonts w:asciiTheme="minorHAnsi" w:hAnsiTheme="minorHAnsi"/>
          <w:bCs/>
          <w:lang w:val="en-GB"/>
        </w:rPr>
        <w:t>OS and PFS benefit remained the same as presented in the March 2018 submission</w:t>
      </w:r>
      <w:r w:rsidR="00D71377">
        <w:rPr>
          <w:rFonts w:asciiTheme="minorHAnsi" w:hAnsiTheme="minorHAnsi"/>
          <w:bCs/>
          <w:lang w:val="en-GB"/>
        </w:rPr>
        <w:t xml:space="preserve"> based on the earlier data cut</w:t>
      </w:r>
      <w:r w:rsidR="00612A98">
        <w:rPr>
          <w:rFonts w:asciiTheme="minorHAnsi" w:hAnsiTheme="minorHAnsi"/>
          <w:bCs/>
          <w:lang w:val="en-GB"/>
        </w:rPr>
        <w:t>,</w:t>
      </w:r>
      <w:r w:rsidR="00970EBF">
        <w:rPr>
          <w:rFonts w:asciiTheme="minorHAnsi" w:hAnsiTheme="minorHAnsi"/>
          <w:bCs/>
          <w:lang w:val="en-GB"/>
        </w:rPr>
        <w:t xml:space="preserve"> </w:t>
      </w:r>
      <w:r w:rsidR="00D71377">
        <w:rPr>
          <w:rFonts w:asciiTheme="minorHAnsi" w:hAnsiTheme="minorHAnsi"/>
          <w:bCs/>
          <w:lang w:val="en-GB"/>
        </w:rPr>
        <w:t>with</w:t>
      </w:r>
      <w:r w:rsidR="00970EBF">
        <w:rPr>
          <w:rFonts w:asciiTheme="minorHAnsi" w:hAnsiTheme="minorHAnsi"/>
          <w:bCs/>
          <w:lang w:val="en-GB"/>
        </w:rPr>
        <w:t xml:space="preserve"> a </w:t>
      </w:r>
      <w:r w:rsidR="00970EBF" w:rsidRPr="00633A9B">
        <w:rPr>
          <w:rFonts w:asciiTheme="minorHAnsi" w:hAnsiTheme="minorHAnsi"/>
          <w:szCs w:val="20"/>
        </w:rPr>
        <w:t>2.8 month</w:t>
      </w:r>
      <w:r w:rsidR="00970EBF">
        <w:rPr>
          <w:rFonts w:asciiTheme="minorHAnsi" w:hAnsiTheme="minorHAnsi"/>
          <w:szCs w:val="20"/>
        </w:rPr>
        <w:t xml:space="preserve"> improvement in median </w:t>
      </w:r>
      <w:r w:rsidR="00D71377">
        <w:rPr>
          <w:rFonts w:asciiTheme="minorHAnsi" w:hAnsiTheme="minorHAnsi"/>
          <w:szCs w:val="20"/>
        </w:rPr>
        <w:t xml:space="preserve">overall </w:t>
      </w:r>
      <w:r w:rsidR="00970EBF">
        <w:rPr>
          <w:rFonts w:asciiTheme="minorHAnsi" w:hAnsiTheme="minorHAnsi"/>
          <w:szCs w:val="20"/>
        </w:rPr>
        <w:t>survival and</w:t>
      </w:r>
      <w:r w:rsidR="00970EBF" w:rsidRPr="00633A9B">
        <w:rPr>
          <w:rFonts w:asciiTheme="minorHAnsi" w:hAnsiTheme="minorHAnsi"/>
          <w:szCs w:val="20"/>
        </w:rPr>
        <w:t xml:space="preserve"> a 1.6 month improvement in </w:t>
      </w:r>
      <w:r w:rsidR="00BA526F">
        <w:rPr>
          <w:rFonts w:asciiTheme="minorHAnsi" w:hAnsiTheme="minorHAnsi"/>
          <w:szCs w:val="20"/>
        </w:rPr>
        <w:t xml:space="preserve">median </w:t>
      </w:r>
      <w:r w:rsidR="00970EBF" w:rsidRPr="00633A9B">
        <w:rPr>
          <w:rFonts w:asciiTheme="minorHAnsi" w:hAnsiTheme="minorHAnsi"/>
          <w:szCs w:val="20"/>
        </w:rPr>
        <w:t>PFS</w:t>
      </w:r>
      <w:r>
        <w:rPr>
          <w:rFonts w:asciiTheme="minorHAnsi" w:hAnsiTheme="minorHAnsi"/>
          <w:bCs/>
          <w:lang w:val="en-GB"/>
        </w:rPr>
        <w:t xml:space="preserve">. </w:t>
      </w:r>
      <w:r w:rsidR="00970EBF">
        <w:rPr>
          <w:rFonts w:asciiTheme="minorHAnsi" w:hAnsiTheme="minorHAnsi"/>
          <w:bCs/>
          <w:lang w:val="en-GB"/>
        </w:rPr>
        <w:t xml:space="preserve">PBAC maintained that the claim of superior comparative effectiveness was reasonable and that regorafenib showed </w:t>
      </w:r>
      <w:r w:rsidR="00E83391">
        <w:rPr>
          <w:rFonts w:asciiTheme="minorHAnsi" w:hAnsiTheme="minorHAnsi"/>
          <w:bCs/>
          <w:lang w:val="en-GB"/>
        </w:rPr>
        <w:t xml:space="preserve">modest </w:t>
      </w:r>
      <w:r w:rsidR="00970EBF">
        <w:rPr>
          <w:rFonts w:asciiTheme="minorHAnsi" w:hAnsiTheme="minorHAnsi"/>
          <w:bCs/>
          <w:lang w:val="en-GB"/>
        </w:rPr>
        <w:t xml:space="preserve">clinical benefit, though it was associated with substantial toxicity and no improvement in quality of life. </w:t>
      </w:r>
      <w:r>
        <w:rPr>
          <w:rFonts w:asciiTheme="minorHAnsi" w:hAnsiTheme="minorHAnsi"/>
          <w:bCs/>
          <w:lang w:val="en-GB"/>
        </w:rPr>
        <w:t xml:space="preserve"> </w:t>
      </w:r>
    </w:p>
    <w:p w:rsidR="00970EBF" w:rsidRPr="002C3B8A" w:rsidRDefault="00970EBF" w:rsidP="004B7362">
      <w:pPr>
        <w:numPr>
          <w:ilvl w:val="1"/>
          <w:numId w:val="3"/>
        </w:numPr>
        <w:spacing w:after="120"/>
        <w:rPr>
          <w:rFonts w:asciiTheme="minorHAnsi" w:hAnsiTheme="minorHAnsi"/>
          <w:bCs/>
          <w:lang w:val="en-GB"/>
        </w:rPr>
      </w:pPr>
      <w:r>
        <w:rPr>
          <w:rFonts w:asciiTheme="minorHAnsi" w:hAnsiTheme="minorHAnsi"/>
          <w:bCs/>
          <w:lang w:val="en-GB"/>
        </w:rPr>
        <w:t xml:space="preserve">The PBAC noted that patients treated with regorafenib were 3 times more likely to </w:t>
      </w:r>
      <w:r w:rsidRPr="002C3B8A">
        <w:rPr>
          <w:rFonts w:asciiTheme="minorHAnsi" w:hAnsiTheme="minorHAnsi"/>
          <w:bCs/>
          <w:lang w:val="en-GB"/>
        </w:rPr>
        <w:t xml:space="preserve">suffer any grade 3 or 4 adverse event compared with </w:t>
      </w:r>
      <w:r w:rsidRPr="00C407FA">
        <w:rPr>
          <w:rFonts w:asciiTheme="minorHAnsi" w:hAnsiTheme="minorHAnsi"/>
          <w:bCs/>
          <w:lang w:val="en-GB"/>
        </w:rPr>
        <w:t>BSC</w:t>
      </w:r>
      <w:r w:rsidR="00727199" w:rsidRPr="00C407FA">
        <w:t xml:space="preserve">. </w:t>
      </w:r>
      <w:r w:rsidR="00727199" w:rsidRPr="002C3B8A">
        <w:t xml:space="preserve">The submission acknowledged that patients on regorafenib are more likely to experience significant toxicity and the PSCR </w:t>
      </w:r>
      <w:r w:rsidR="00436192" w:rsidRPr="002C3B8A">
        <w:t xml:space="preserve">revised </w:t>
      </w:r>
      <w:r w:rsidR="00727199" w:rsidRPr="002C3B8A">
        <w:t xml:space="preserve">the clinical claim </w:t>
      </w:r>
      <w:r w:rsidR="00436192" w:rsidRPr="002C3B8A">
        <w:t>to inferior safety</w:t>
      </w:r>
      <w:r w:rsidR="00727199" w:rsidRPr="002C3B8A">
        <w:t xml:space="preserve"> compared with </w:t>
      </w:r>
      <w:r w:rsidR="00436192" w:rsidRPr="002C3B8A">
        <w:t>BSC</w:t>
      </w:r>
      <w:r w:rsidR="00727199" w:rsidRPr="002C3B8A">
        <w:t xml:space="preserve">. </w:t>
      </w:r>
      <w:r w:rsidR="00727199" w:rsidRPr="002C3B8A">
        <w:lastRenderedPageBreak/>
        <w:t xml:space="preserve">The PBAC agreed with </w:t>
      </w:r>
      <w:r w:rsidR="00C407FA">
        <w:t xml:space="preserve">the </w:t>
      </w:r>
      <w:r w:rsidR="00727199" w:rsidRPr="002C3B8A">
        <w:t>ESC and maintained that the clinical claim of inferior safety compared with BSC was appropriate.</w:t>
      </w:r>
    </w:p>
    <w:p w:rsidR="00BF7AB7" w:rsidRPr="002C3B8A" w:rsidRDefault="00727199" w:rsidP="00727199">
      <w:pPr>
        <w:numPr>
          <w:ilvl w:val="1"/>
          <w:numId w:val="3"/>
        </w:numPr>
        <w:spacing w:after="120"/>
        <w:rPr>
          <w:rFonts w:asciiTheme="minorHAnsi" w:hAnsiTheme="minorHAnsi" w:cstheme="minorHAnsi"/>
        </w:rPr>
      </w:pPr>
      <w:r w:rsidRPr="002C3B8A">
        <w:rPr>
          <w:rFonts w:asciiTheme="minorHAnsi" w:hAnsiTheme="minorHAnsi"/>
          <w:bCs/>
          <w:lang w:val="en-GB"/>
        </w:rPr>
        <w:t xml:space="preserve">The PBAC noted that the economic analysis presented in the resubmission addressed the majority of </w:t>
      </w:r>
      <w:r w:rsidR="00612A98" w:rsidRPr="002C3B8A">
        <w:rPr>
          <w:rFonts w:asciiTheme="minorHAnsi" w:hAnsiTheme="minorHAnsi"/>
          <w:bCs/>
          <w:lang w:val="en-GB"/>
        </w:rPr>
        <w:t xml:space="preserve">the </w:t>
      </w:r>
      <w:r w:rsidRPr="002C3B8A">
        <w:rPr>
          <w:rFonts w:asciiTheme="minorHAnsi" w:hAnsiTheme="minorHAnsi"/>
          <w:bCs/>
          <w:lang w:val="en-GB"/>
        </w:rPr>
        <w:t>PBAC concerns</w:t>
      </w:r>
      <w:r w:rsidR="00D5219D">
        <w:rPr>
          <w:rFonts w:asciiTheme="minorHAnsi" w:hAnsiTheme="minorHAnsi"/>
          <w:bCs/>
          <w:lang w:val="en-GB"/>
        </w:rPr>
        <w:t>, with the exception of the point of extrapolation being the median PFS rather than the median follow-up. T</w:t>
      </w:r>
      <w:r w:rsidRPr="002C3B8A">
        <w:rPr>
          <w:rFonts w:asciiTheme="minorHAnsi" w:hAnsiTheme="minorHAnsi"/>
          <w:bCs/>
          <w:lang w:val="en-GB"/>
        </w:rPr>
        <w:t>he PSCR</w:t>
      </w:r>
      <w:r w:rsidR="00BF7AB7" w:rsidRPr="002C3B8A">
        <w:rPr>
          <w:rFonts w:asciiTheme="minorHAnsi" w:hAnsiTheme="minorHAnsi"/>
          <w:bCs/>
          <w:lang w:val="en-GB"/>
        </w:rPr>
        <w:t xml:space="preserve"> provided an estimate of the ICER using the median points of follow-up which showed that this factor had little impact on the ICER. The PBAC considered that the model inputs and structure of the economic analysis presented in the resubmission were appropriate. </w:t>
      </w:r>
    </w:p>
    <w:p w:rsidR="00C025E0" w:rsidRPr="00F521EC" w:rsidRDefault="00BF7AB7" w:rsidP="00BF7AB7">
      <w:pPr>
        <w:numPr>
          <w:ilvl w:val="1"/>
          <w:numId w:val="3"/>
        </w:numPr>
        <w:spacing w:after="120"/>
        <w:rPr>
          <w:rFonts w:asciiTheme="minorHAnsi" w:hAnsiTheme="minorHAnsi" w:cstheme="minorHAnsi"/>
        </w:rPr>
      </w:pPr>
      <w:r w:rsidRPr="002C3B8A">
        <w:rPr>
          <w:rFonts w:asciiTheme="minorHAnsi" w:hAnsiTheme="minorHAnsi" w:cstheme="minorHAnsi"/>
        </w:rPr>
        <w:t>In March 2018 t</w:t>
      </w:r>
      <w:r w:rsidR="00C50122" w:rsidRPr="002C3B8A">
        <w:rPr>
          <w:rFonts w:asciiTheme="minorHAnsi" w:hAnsiTheme="minorHAnsi" w:cstheme="minorHAnsi"/>
        </w:rPr>
        <w:t xml:space="preserve">he PBAC requested a revised economic analysis with a cost per </w:t>
      </w:r>
      <w:r w:rsidRPr="002C3B8A">
        <w:rPr>
          <w:rFonts w:asciiTheme="minorHAnsi" w:hAnsiTheme="minorHAnsi" w:cstheme="minorHAnsi"/>
        </w:rPr>
        <w:t>QALY</w:t>
      </w:r>
      <w:r w:rsidR="00C50122" w:rsidRPr="002C3B8A">
        <w:rPr>
          <w:rFonts w:asciiTheme="minorHAnsi" w:hAnsiTheme="minorHAnsi" w:cstheme="minorHAnsi"/>
        </w:rPr>
        <w:t xml:space="preserve"> </w:t>
      </w:r>
      <w:r w:rsidR="0094248D">
        <w:rPr>
          <w:rFonts w:asciiTheme="minorHAnsi" w:hAnsiTheme="minorHAnsi" w:cstheme="minorHAnsi"/>
        </w:rPr>
        <w:t>of $15,000 - $45,000</w:t>
      </w:r>
      <w:r w:rsidR="00612A98" w:rsidRPr="002C3B8A">
        <w:rPr>
          <w:rFonts w:asciiTheme="minorHAnsi" w:hAnsiTheme="minorHAnsi" w:cstheme="minorHAnsi"/>
        </w:rPr>
        <w:t xml:space="preserve"> to reflect the </w:t>
      </w:r>
      <w:r w:rsidR="00E83391">
        <w:rPr>
          <w:rFonts w:asciiTheme="minorHAnsi" w:hAnsiTheme="minorHAnsi" w:cstheme="minorHAnsi"/>
        </w:rPr>
        <w:t>modest</w:t>
      </w:r>
      <w:r w:rsidR="00E83391" w:rsidRPr="002C3B8A">
        <w:rPr>
          <w:rFonts w:asciiTheme="minorHAnsi" w:hAnsiTheme="minorHAnsi" w:cstheme="minorHAnsi"/>
        </w:rPr>
        <w:t xml:space="preserve"> </w:t>
      </w:r>
      <w:r w:rsidR="00612A98" w:rsidRPr="002C3B8A">
        <w:rPr>
          <w:rFonts w:asciiTheme="minorHAnsi" w:hAnsiTheme="minorHAnsi" w:cstheme="minorHAnsi"/>
        </w:rPr>
        <w:t>OS benefit and considerable toxicity associated with regorafenib</w:t>
      </w:r>
      <w:r w:rsidR="00C50122" w:rsidRPr="002C3B8A">
        <w:rPr>
          <w:rFonts w:asciiTheme="minorHAnsi" w:hAnsiTheme="minorHAnsi" w:cstheme="minorHAnsi"/>
        </w:rPr>
        <w:t xml:space="preserve">. While the resubmission addressed the majority of the PBAC and ESC concerns </w:t>
      </w:r>
      <w:r w:rsidR="00612A98" w:rsidRPr="002C3B8A">
        <w:rPr>
          <w:rFonts w:asciiTheme="minorHAnsi" w:hAnsiTheme="minorHAnsi" w:cstheme="minorHAnsi"/>
        </w:rPr>
        <w:t>in</w:t>
      </w:r>
      <w:r w:rsidR="00C50122" w:rsidRPr="002C3B8A">
        <w:rPr>
          <w:rFonts w:asciiTheme="minorHAnsi" w:hAnsiTheme="minorHAnsi" w:cstheme="minorHAnsi"/>
        </w:rPr>
        <w:t xml:space="preserve"> the approach to the economic model, the resulting ICER was </w:t>
      </w:r>
      <w:r w:rsidR="0094248D">
        <w:rPr>
          <w:rFonts w:asciiTheme="minorHAnsi" w:hAnsiTheme="minorHAnsi" w:cstheme="minorHAnsi"/>
        </w:rPr>
        <w:t>$45,000 - $75,000</w:t>
      </w:r>
      <w:r w:rsidR="00C50122" w:rsidRPr="002C3B8A">
        <w:rPr>
          <w:rFonts w:asciiTheme="minorHAnsi" w:hAnsiTheme="minorHAnsi" w:cstheme="minorHAnsi"/>
        </w:rPr>
        <w:t xml:space="preserve"> per QALY. </w:t>
      </w:r>
      <w:r w:rsidR="00C50122" w:rsidRPr="002C3B8A">
        <w:t xml:space="preserve">The resubmission offered a </w:t>
      </w:r>
      <w:r w:rsidR="00D25498">
        <w:rPr>
          <w:noProof/>
          <w:color w:val="000000"/>
          <w:highlight w:val="black"/>
        </w:rPr>
        <w:t>'''''</w:t>
      </w:r>
      <w:r w:rsidR="00C50122" w:rsidRPr="002C3B8A">
        <w:t>% discount in the DPMQ from the Mar</w:t>
      </w:r>
      <w:r w:rsidR="00612A98" w:rsidRPr="002C3B8A">
        <w:t>ch</w:t>
      </w:r>
      <w:r w:rsidR="00C50122" w:rsidRPr="002C3B8A">
        <w:t xml:space="preserve"> 2018 submission ($</w:t>
      </w:r>
      <w:r w:rsidR="00D25498">
        <w:rPr>
          <w:noProof/>
          <w:color w:val="000000"/>
          <w:highlight w:val="black"/>
        </w:rPr>
        <w:t>'''''''''''''''</w:t>
      </w:r>
      <w:r w:rsidR="00C50122" w:rsidRPr="002C3B8A">
        <w:t xml:space="preserve">). To achieve an ICER of </w:t>
      </w:r>
      <w:r w:rsidR="0094248D">
        <w:t>$15,000 - $45,000</w:t>
      </w:r>
      <w:r w:rsidR="00C50122" w:rsidRPr="002C3B8A">
        <w:t xml:space="preserve">, a further </w:t>
      </w:r>
      <w:r w:rsidR="00C50122" w:rsidRPr="005C7FD3">
        <w:t>42</w:t>
      </w:r>
      <w:r w:rsidR="00C50122" w:rsidRPr="002C3B8A">
        <w:t>% price reduction would be required (effective DPMQ of $</w:t>
      </w:r>
      <w:r w:rsidR="00D25498">
        <w:rPr>
          <w:noProof/>
          <w:color w:val="000000"/>
          <w:highlight w:val="black"/>
        </w:rPr>
        <w:t>''''''''''''''''</w:t>
      </w:r>
      <w:r w:rsidR="00C50122" w:rsidRPr="002C3B8A">
        <w:t xml:space="preserve"> compared to the proposed $</w:t>
      </w:r>
      <w:r w:rsidR="00D25498">
        <w:rPr>
          <w:noProof/>
          <w:color w:val="000000"/>
          <w:highlight w:val="black"/>
        </w:rPr>
        <w:t>''''''''''''''''''</w:t>
      </w:r>
      <w:r w:rsidR="00C50122" w:rsidRPr="002C3B8A">
        <w:t xml:space="preserve">). </w:t>
      </w:r>
      <w:r w:rsidR="00C025E0" w:rsidRPr="002C3B8A">
        <w:t>T</w:t>
      </w:r>
      <w:r w:rsidRPr="002C3B8A">
        <w:t xml:space="preserve">he sponsor </w:t>
      </w:r>
      <w:r w:rsidR="00C025E0" w:rsidRPr="002C3B8A">
        <w:t>indicated</w:t>
      </w:r>
      <w:r w:rsidRPr="002C3B8A">
        <w:t xml:space="preserve"> that it was unable to reduce the price of regorafenib to the extent required to decrease the ICER to </w:t>
      </w:r>
      <w:r w:rsidR="0094248D">
        <w:t>$15,000 - $45,000</w:t>
      </w:r>
      <w:r w:rsidRPr="002C3B8A">
        <w:t xml:space="preserve"> per QALY</w:t>
      </w:r>
      <w:r w:rsidR="00CD0456">
        <w:t xml:space="preserve"> gained</w:t>
      </w:r>
      <w:r w:rsidRPr="002C3B8A">
        <w:t xml:space="preserve">. Instead, the sponsor offered an approximate </w:t>
      </w:r>
      <w:r w:rsidRPr="005C7FD3">
        <w:t>10</w:t>
      </w:r>
      <w:r w:rsidRPr="002C3B8A">
        <w:t xml:space="preserve">% discount on the effective price for sorafenib </w:t>
      </w:r>
      <w:r w:rsidR="00CD0456">
        <w:t>for</w:t>
      </w:r>
      <w:r w:rsidR="00CD0456" w:rsidRPr="002C3B8A">
        <w:t xml:space="preserve"> </w:t>
      </w:r>
      <w:r w:rsidRPr="002C3B8A">
        <w:t xml:space="preserve">first line advanced HCC, contingent on recommendation of regorafenib and acceptance of the proposed restriction that regorafenib initiation is subsequent to sorafenib treatment. </w:t>
      </w:r>
      <w:r w:rsidR="004D6C96" w:rsidRPr="002C3B8A">
        <w:t>The PBAC considered that the proposed reduc</w:t>
      </w:r>
      <w:r w:rsidR="00C025E0" w:rsidRPr="002C3B8A">
        <w:t>tion in the effective sorafenib price did</w:t>
      </w:r>
      <w:r w:rsidR="004D6C96" w:rsidRPr="002C3B8A">
        <w:t xml:space="preserve"> not address </w:t>
      </w:r>
      <w:r w:rsidR="004D6C96" w:rsidRPr="00F521EC">
        <w:t xml:space="preserve">the requirement </w:t>
      </w:r>
      <w:r w:rsidR="00C025E0" w:rsidRPr="00F521EC">
        <w:t>to establish an acceptable level of</w:t>
      </w:r>
      <w:r w:rsidR="004D6C96" w:rsidRPr="00F521EC">
        <w:t xml:space="preserve"> </w:t>
      </w:r>
      <w:r w:rsidR="00C025E0" w:rsidRPr="00F521EC">
        <w:t>cost-effectiveness for regorafenib.</w:t>
      </w:r>
      <w:r w:rsidR="00D91366" w:rsidRPr="00F521EC">
        <w:t xml:space="preserve"> </w:t>
      </w:r>
    </w:p>
    <w:p w:rsidR="004B7362" w:rsidRPr="00F521EC" w:rsidRDefault="00C025E0" w:rsidP="00C025E0">
      <w:pPr>
        <w:numPr>
          <w:ilvl w:val="1"/>
          <w:numId w:val="3"/>
        </w:numPr>
        <w:spacing w:after="120"/>
        <w:rPr>
          <w:rFonts w:asciiTheme="minorHAnsi" w:hAnsiTheme="minorHAnsi" w:cstheme="minorHAnsi"/>
        </w:rPr>
      </w:pPr>
      <w:r w:rsidRPr="00F521EC">
        <w:t>The PBAC noted that the ICER</w:t>
      </w:r>
      <w:r w:rsidR="00D91366" w:rsidRPr="00F521EC">
        <w:t xml:space="preserve"> accepted as appropriate when sorafenib was listed </w:t>
      </w:r>
      <w:r w:rsidR="002C3B8A" w:rsidRPr="00F521EC">
        <w:t>(&gt;$75k per QALY</w:t>
      </w:r>
      <w:r w:rsidR="00F521EC">
        <w:t>, July 2008</w:t>
      </w:r>
      <w:r w:rsidR="00DC5B94">
        <w:t xml:space="preserve"> meeting,</w:t>
      </w:r>
      <w:r w:rsidR="00F521EC">
        <w:t xml:space="preserve"> sorafenib PSD</w:t>
      </w:r>
      <w:r w:rsidR="002C3B8A" w:rsidRPr="00F521EC">
        <w:t xml:space="preserve">) </w:t>
      </w:r>
      <w:r w:rsidR="00D91366" w:rsidRPr="00F521EC">
        <w:t xml:space="preserve">may no longer be appropriate given the </w:t>
      </w:r>
      <w:r w:rsidR="006C6732">
        <w:t xml:space="preserve">increasing </w:t>
      </w:r>
      <w:r w:rsidR="00D91366" w:rsidRPr="00F521EC">
        <w:t xml:space="preserve">availability of other treatments </w:t>
      </w:r>
      <w:r w:rsidR="006C6732">
        <w:t>for</w:t>
      </w:r>
      <w:r w:rsidR="00D91366" w:rsidRPr="00F521EC">
        <w:t xml:space="preserve"> </w:t>
      </w:r>
      <w:r w:rsidR="002C3B8A" w:rsidRPr="00F521EC">
        <w:t>HCC</w:t>
      </w:r>
      <w:r w:rsidR="00F521EC" w:rsidRPr="00F521EC">
        <w:t xml:space="preserve"> and the changing clinical algorithm</w:t>
      </w:r>
      <w:r w:rsidR="002C3B8A" w:rsidRPr="00F521EC">
        <w:t xml:space="preserve">. </w:t>
      </w:r>
    </w:p>
    <w:p w:rsidR="004B7362" w:rsidRPr="00525B39" w:rsidRDefault="001E51A3" w:rsidP="004B7362">
      <w:pPr>
        <w:numPr>
          <w:ilvl w:val="1"/>
          <w:numId w:val="3"/>
        </w:numPr>
        <w:spacing w:after="120"/>
        <w:rPr>
          <w:rFonts w:asciiTheme="minorHAnsi" w:hAnsiTheme="minorHAnsi"/>
          <w:bCs/>
          <w:lang w:val="en-GB"/>
        </w:rPr>
      </w:pPr>
      <w:r>
        <w:t xml:space="preserve">The PBAC noted that if </w:t>
      </w:r>
      <w:r w:rsidRPr="002B24E7">
        <w:t xml:space="preserve">lenvatinib </w:t>
      </w:r>
      <w:r>
        <w:t>is PBS listed in this indication</w:t>
      </w:r>
      <w:r w:rsidRPr="002B24E7">
        <w:t xml:space="preserve"> </w:t>
      </w:r>
      <w:r>
        <w:t xml:space="preserve">this </w:t>
      </w:r>
      <w:r w:rsidRPr="002B24E7">
        <w:t>would significantly decrease the patient utilisation numbers</w:t>
      </w:r>
      <w:r>
        <w:t xml:space="preserve"> for its comparator, sorafenib. </w:t>
      </w:r>
      <w:r w:rsidRPr="002B24E7">
        <w:t xml:space="preserve">This </w:t>
      </w:r>
      <w:r>
        <w:t>was not</w:t>
      </w:r>
      <w:r w:rsidRPr="002B24E7">
        <w:t xml:space="preserve"> accounted for in the estimates presented in the resubmission</w:t>
      </w:r>
      <w:r w:rsidRPr="00D31E2F">
        <w:t>. The PSCR presented a scenario in which lenvatinib assumes 20% of the market share</w:t>
      </w:r>
      <w:r>
        <w:t xml:space="preserve"> and patients treated with lenvatinib do not receive second line regorafenib, which was not consistent with the restriction considered appropriate by the PBAC</w:t>
      </w:r>
      <w:r w:rsidR="00BF1B3C">
        <w:t xml:space="preserve"> if lenvatinib is PBS listed</w:t>
      </w:r>
      <w:r w:rsidRPr="00D31E2F">
        <w:t xml:space="preserve">. </w:t>
      </w:r>
      <w:r w:rsidR="00EB610C">
        <w:rPr>
          <w:rFonts w:asciiTheme="minorHAnsi" w:hAnsiTheme="minorHAnsi"/>
          <w:bCs/>
          <w:lang w:val="en-GB"/>
        </w:rPr>
        <w:t xml:space="preserve">The PBAC </w:t>
      </w:r>
      <w:r w:rsidR="00BF1B3C">
        <w:rPr>
          <w:rFonts w:asciiTheme="minorHAnsi" w:hAnsiTheme="minorHAnsi"/>
          <w:bCs/>
          <w:lang w:val="en-GB"/>
        </w:rPr>
        <w:t xml:space="preserve">also </w:t>
      </w:r>
      <w:r w:rsidR="00EB610C">
        <w:rPr>
          <w:rFonts w:asciiTheme="minorHAnsi" w:hAnsiTheme="minorHAnsi"/>
          <w:bCs/>
          <w:lang w:val="en-GB"/>
        </w:rPr>
        <w:t xml:space="preserve">noted that the estimates should be adjusted to exclude use </w:t>
      </w:r>
      <w:r w:rsidR="00EB610C" w:rsidRPr="00D31E2F">
        <w:t>post-progression</w:t>
      </w:r>
      <w:r w:rsidR="00EB610C">
        <w:t xml:space="preserve">, consistent with the PBAC’s recommendation on the restriction. </w:t>
      </w:r>
      <w:r>
        <w:rPr>
          <w:rFonts w:asciiTheme="minorHAnsi" w:hAnsiTheme="minorHAnsi"/>
          <w:bCs/>
          <w:lang w:val="en-GB"/>
        </w:rPr>
        <w:t xml:space="preserve">The PBAC considered that the utilisation estimates presented in the submission and in the pre-PBAC response did not reflect the listing considered appropriate by the PBAC.  </w:t>
      </w:r>
    </w:p>
    <w:p w:rsidR="004B7362" w:rsidRPr="00525B39" w:rsidRDefault="00EB610C" w:rsidP="004B7362">
      <w:pPr>
        <w:numPr>
          <w:ilvl w:val="1"/>
          <w:numId w:val="3"/>
        </w:numPr>
        <w:spacing w:after="120"/>
        <w:rPr>
          <w:rFonts w:asciiTheme="minorHAnsi" w:hAnsiTheme="minorHAnsi"/>
          <w:bCs/>
          <w:lang w:val="en-GB"/>
        </w:rPr>
      </w:pPr>
      <w:r>
        <w:rPr>
          <w:rFonts w:asciiTheme="minorHAnsi" w:hAnsiTheme="minorHAnsi"/>
          <w:bCs/>
          <w:lang w:val="en-GB"/>
        </w:rPr>
        <w:t xml:space="preserve">The PBAC considered that, given the </w:t>
      </w:r>
      <w:r w:rsidRPr="002C3B8A">
        <w:rPr>
          <w:rFonts w:asciiTheme="minorHAnsi" w:hAnsiTheme="minorHAnsi"/>
          <w:bCs/>
          <w:lang w:val="en-GB"/>
        </w:rPr>
        <w:t>economic analysis presented in the resubmission addressed the majority of the PBAC concerns</w:t>
      </w:r>
      <w:r w:rsidR="004E619B">
        <w:rPr>
          <w:rFonts w:asciiTheme="minorHAnsi" w:hAnsiTheme="minorHAnsi"/>
          <w:bCs/>
          <w:lang w:val="en-GB"/>
        </w:rPr>
        <w:t xml:space="preserve">, the cost-effectiveness of regorafenib would be acceptable with a reduction in price that resulted in an ICER </w:t>
      </w:r>
      <w:r w:rsidR="00E82B16">
        <w:rPr>
          <w:rFonts w:asciiTheme="minorHAnsi" w:hAnsiTheme="minorHAnsi"/>
          <w:bCs/>
          <w:lang w:val="en-GB"/>
        </w:rPr>
        <w:t xml:space="preserve">consistent with </w:t>
      </w:r>
      <w:r w:rsidR="00E82B16">
        <w:rPr>
          <w:rFonts w:asciiTheme="minorHAnsi" w:hAnsiTheme="minorHAnsi"/>
          <w:bCs/>
          <w:lang w:val="en-GB"/>
        </w:rPr>
        <w:lastRenderedPageBreak/>
        <w:t xml:space="preserve">that previously advised by the PBAC, </w:t>
      </w:r>
      <w:r w:rsidR="004E619B">
        <w:rPr>
          <w:rFonts w:asciiTheme="minorHAnsi" w:hAnsiTheme="minorHAnsi"/>
          <w:bCs/>
          <w:lang w:val="en-GB"/>
        </w:rPr>
        <w:t xml:space="preserve">of </w:t>
      </w:r>
      <w:r w:rsidR="0094248D">
        <w:rPr>
          <w:rFonts w:asciiTheme="minorHAnsi" w:hAnsiTheme="minorHAnsi"/>
          <w:bCs/>
          <w:lang w:val="en-GB"/>
        </w:rPr>
        <w:t>$15,000 - $45,000</w:t>
      </w:r>
      <w:r w:rsidR="004E619B">
        <w:rPr>
          <w:rFonts w:asciiTheme="minorHAnsi" w:hAnsiTheme="minorHAnsi"/>
          <w:bCs/>
          <w:lang w:val="en-GB"/>
        </w:rPr>
        <w:t xml:space="preserve"> per QALY. The PBAC considered that </w:t>
      </w:r>
      <w:r w:rsidR="00AF3024">
        <w:rPr>
          <w:rFonts w:asciiTheme="minorHAnsi" w:hAnsiTheme="minorHAnsi"/>
          <w:bCs/>
          <w:lang w:val="en-GB"/>
        </w:rPr>
        <w:t xml:space="preserve">a resubmission addressing price only </w:t>
      </w:r>
      <w:r w:rsidR="004E619B">
        <w:rPr>
          <w:rFonts w:asciiTheme="minorHAnsi" w:hAnsiTheme="minorHAnsi"/>
          <w:bCs/>
          <w:lang w:val="en-GB"/>
        </w:rPr>
        <w:t xml:space="preserve">could be </w:t>
      </w:r>
      <w:r w:rsidR="00AF3024">
        <w:rPr>
          <w:rFonts w:asciiTheme="minorHAnsi" w:hAnsiTheme="minorHAnsi"/>
          <w:bCs/>
          <w:lang w:val="en-GB"/>
        </w:rPr>
        <w:t>submitted as</w:t>
      </w:r>
      <w:r w:rsidR="004E619B">
        <w:rPr>
          <w:rFonts w:asciiTheme="minorHAnsi" w:hAnsiTheme="minorHAnsi"/>
          <w:bCs/>
          <w:lang w:val="en-GB"/>
        </w:rPr>
        <w:t xml:space="preserve"> a minor submission. </w:t>
      </w:r>
    </w:p>
    <w:p w:rsidR="004B7362" w:rsidRPr="00525B39" w:rsidRDefault="004B7362" w:rsidP="00C025E0">
      <w:pPr>
        <w:numPr>
          <w:ilvl w:val="1"/>
          <w:numId w:val="3"/>
        </w:numPr>
        <w:spacing w:after="120"/>
        <w:rPr>
          <w:rFonts w:asciiTheme="minorHAnsi" w:hAnsiTheme="minorHAnsi"/>
          <w:bCs/>
          <w:i/>
          <w:lang w:val="en-GB"/>
        </w:rPr>
      </w:pPr>
      <w:r w:rsidRPr="00525B39">
        <w:rPr>
          <w:rFonts w:asciiTheme="minorHAnsi" w:hAnsiTheme="minorHAnsi"/>
          <w:bCs/>
          <w:lang w:val="en-GB"/>
        </w:rPr>
        <w:t xml:space="preserve">The PBAC noted that this submission is eligible for an Independent Review. </w:t>
      </w:r>
    </w:p>
    <w:p w:rsidR="004B7362" w:rsidRPr="00525B39" w:rsidRDefault="004B7362" w:rsidP="004B7362">
      <w:pPr>
        <w:spacing w:before="240"/>
        <w:rPr>
          <w:rFonts w:asciiTheme="minorHAnsi" w:hAnsiTheme="minorHAnsi"/>
          <w:b/>
          <w:bCs/>
          <w:lang w:val="en-GB"/>
        </w:rPr>
      </w:pPr>
      <w:r w:rsidRPr="00525B39">
        <w:rPr>
          <w:rFonts w:asciiTheme="minorHAnsi" w:hAnsiTheme="minorHAnsi"/>
          <w:b/>
          <w:bCs/>
          <w:lang w:val="en-GB"/>
        </w:rPr>
        <w:t>Outcome:</w:t>
      </w:r>
    </w:p>
    <w:p w:rsidR="004B7362" w:rsidRDefault="004B7362" w:rsidP="004B7362">
      <w:pPr>
        <w:rPr>
          <w:rFonts w:asciiTheme="minorHAnsi" w:hAnsiTheme="minorHAnsi"/>
          <w:bCs/>
          <w:lang w:val="en-GB"/>
        </w:rPr>
      </w:pPr>
      <w:r w:rsidRPr="00525B39">
        <w:rPr>
          <w:rFonts w:asciiTheme="minorHAnsi" w:hAnsiTheme="minorHAnsi"/>
          <w:bCs/>
          <w:lang w:val="en-GB"/>
        </w:rPr>
        <w:t xml:space="preserve">Rejected </w:t>
      </w:r>
    </w:p>
    <w:p w:rsidR="004A5AAC" w:rsidRPr="00C07617" w:rsidRDefault="004A5AAC" w:rsidP="004A5AAC">
      <w:pPr>
        <w:pStyle w:val="Heading1"/>
        <w:rPr>
          <w:rFonts w:asciiTheme="minorHAnsi" w:hAnsiTheme="minorHAnsi"/>
          <w:b w:val="0"/>
        </w:rPr>
      </w:pPr>
      <w:r w:rsidRPr="00C07617">
        <w:rPr>
          <w:rFonts w:asciiTheme="minorHAnsi" w:hAnsiTheme="minorHAnsi"/>
        </w:rPr>
        <w:t>Context for Decision</w:t>
      </w:r>
    </w:p>
    <w:p w:rsidR="004A5AAC" w:rsidRPr="004A5AAC" w:rsidRDefault="004A5AAC" w:rsidP="004A5AAC">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A5AAC" w:rsidRPr="00C07617" w:rsidRDefault="004A5AAC" w:rsidP="004A5AAC">
      <w:pPr>
        <w:pStyle w:val="Heading1"/>
        <w:rPr>
          <w:rFonts w:asciiTheme="minorHAnsi" w:hAnsiTheme="minorHAnsi"/>
          <w:b w:val="0"/>
        </w:rPr>
      </w:pPr>
      <w:r>
        <w:rPr>
          <w:rFonts w:asciiTheme="minorHAnsi" w:hAnsiTheme="minorHAnsi"/>
        </w:rPr>
        <w:t>Sponsor’s Comment</w:t>
      </w:r>
    </w:p>
    <w:p w:rsidR="006A52D4" w:rsidRPr="006A52D4" w:rsidRDefault="006A52D4" w:rsidP="00761E46">
      <w:pPr>
        <w:spacing w:after="120"/>
        <w:rPr>
          <w:rFonts w:asciiTheme="minorHAnsi" w:hAnsiTheme="minorHAnsi"/>
          <w:bCs/>
          <w:lang w:val="en-GB"/>
        </w:rPr>
      </w:pPr>
      <w:r w:rsidRPr="006A52D4">
        <w:rPr>
          <w:rFonts w:asciiTheme="minorHAnsi" w:hAnsiTheme="minorHAnsi"/>
          <w:bCs/>
          <w:lang w:val="en-GB"/>
        </w:rPr>
        <w:t xml:space="preserve">Bayer has proposed an ICER within the 45,000-75,000 ICER band, which we consider appropriate for an originally designated orphan population and recognized unmet need. Bayer also maintains its proposed restriction is consistent with the current available evidence and HTA principles. </w:t>
      </w:r>
    </w:p>
    <w:p w:rsidR="004B7362" w:rsidRPr="00525B39" w:rsidRDefault="006A52D4" w:rsidP="004B7362">
      <w:pPr>
        <w:rPr>
          <w:rFonts w:asciiTheme="minorHAnsi" w:hAnsiTheme="minorHAnsi"/>
          <w:b/>
          <w:bCs/>
        </w:rPr>
      </w:pPr>
      <w:r w:rsidRPr="006A52D4">
        <w:rPr>
          <w:rFonts w:asciiTheme="minorHAnsi" w:hAnsiTheme="minorHAnsi"/>
          <w:bCs/>
          <w:lang w:val="en-GB"/>
        </w:rPr>
        <w:t>Bayer is currently assessing the feasibility of re-submitting to PBAC for further consideration.</w:t>
      </w:r>
    </w:p>
    <w:sectPr w:rsidR="004B7362" w:rsidRPr="00525B39" w:rsidSect="00FF6D55">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9A8B2F" w16cid:durableId="1FAB9EC4"/>
  <w16cid:commentId w16cid:paraId="0BC57FE6" w16cid:durableId="1FABA2DD"/>
  <w16cid:commentId w16cid:paraId="1784B569" w16cid:durableId="1FABAFFB"/>
  <w16cid:commentId w16cid:paraId="4A1F1843" w16cid:durableId="1FAB9EC5"/>
  <w16cid:commentId w16cid:paraId="11263D86" w16cid:durableId="1FABA032"/>
  <w16cid:commentId w16cid:paraId="541E3607" w16cid:durableId="1FABAF2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498" w:rsidRDefault="00D25498" w:rsidP="00124A51">
      <w:r>
        <w:separator/>
      </w:r>
    </w:p>
    <w:p w:rsidR="00D25498" w:rsidRDefault="00D25498"/>
  </w:endnote>
  <w:endnote w:type="continuationSeparator" w:id="0">
    <w:p w:rsidR="00D25498" w:rsidRDefault="00D25498" w:rsidP="00124A51">
      <w:r>
        <w:continuationSeparator/>
      </w:r>
    </w:p>
    <w:p w:rsidR="00D25498" w:rsidRDefault="00D254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498" w:rsidRDefault="00D254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8FE" w:rsidRDefault="009D08FE" w:rsidP="002B24E7">
    <w:pPr>
      <w:ind w:left="709"/>
      <w:contextualSpacing/>
      <w:jc w:val="center"/>
      <w:rPr>
        <w:rFonts w:eastAsia="Calibri"/>
        <w:b/>
      </w:rPr>
    </w:pPr>
  </w:p>
  <w:p w:rsidR="009D08FE" w:rsidRPr="00207B77" w:rsidRDefault="009D08FE" w:rsidP="00D31E2F">
    <w:pPr>
      <w:contextualSpacing/>
      <w:jc w:val="center"/>
      <w:rPr>
        <w:rFonts w:ascii="Arial" w:hAnsi="Arial"/>
        <w:bCs/>
        <w:szCs w:val="24"/>
      </w:rPr>
    </w:pPr>
    <w:r w:rsidRPr="00207B77">
      <w:rPr>
        <w:rFonts w:eastAsia="Calibri"/>
        <w:szCs w:val="24"/>
      </w:rPr>
      <w:fldChar w:fldCharType="begin"/>
    </w:r>
    <w:r w:rsidRPr="00207B77">
      <w:rPr>
        <w:rFonts w:eastAsia="Calibri"/>
        <w:szCs w:val="24"/>
      </w:rPr>
      <w:instrText xml:space="preserve"> PAGE   \* MERGEFORMAT </w:instrText>
    </w:r>
    <w:r w:rsidRPr="00207B77">
      <w:rPr>
        <w:rFonts w:eastAsia="Calibri"/>
        <w:szCs w:val="24"/>
      </w:rPr>
      <w:fldChar w:fldCharType="separate"/>
    </w:r>
    <w:r w:rsidR="00545839">
      <w:rPr>
        <w:rFonts w:eastAsia="Calibri"/>
        <w:noProof/>
        <w:szCs w:val="24"/>
      </w:rPr>
      <w:t>21</w:t>
    </w:r>
    <w:r w:rsidRPr="00207B77">
      <w:rPr>
        <w:rFonts w:eastAsia="Calibri"/>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498" w:rsidRDefault="00D254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498" w:rsidRDefault="00D25498" w:rsidP="00124A51">
      <w:r>
        <w:separator/>
      </w:r>
    </w:p>
    <w:p w:rsidR="00D25498" w:rsidRDefault="00D25498"/>
  </w:footnote>
  <w:footnote w:type="continuationSeparator" w:id="0">
    <w:p w:rsidR="00D25498" w:rsidRDefault="00D25498" w:rsidP="00124A51">
      <w:r>
        <w:continuationSeparator/>
      </w:r>
    </w:p>
    <w:p w:rsidR="00D25498" w:rsidRDefault="00D25498"/>
  </w:footnote>
  <w:footnote w:id="1">
    <w:p w:rsidR="009D08FE" w:rsidRPr="00C97801" w:rsidRDefault="009D08FE" w:rsidP="005D110B">
      <w:pPr>
        <w:pStyle w:val="FootnoteText"/>
        <w:rPr>
          <w:sz w:val="18"/>
          <w:szCs w:val="18"/>
        </w:rPr>
      </w:pPr>
      <w:r w:rsidRPr="00C97801">
        <w:rPr>
          <w:rStyle w:val="FootnoteReference"/>
          <w:sz w:val="18"/>
          <w:szCs w:val="18"/>
        </w:rPr>
        <w:footnoteRef/>
      </w:r>
      <w:r w:rsidRPr="00C97801">
        <w:rPr>
          <w:sz w:val="18"/>
          <w:szCs w:val="18"/>
        </w:rPr>
        <w:t xml:space="preserve"> </w:t>
      </w:r>
      <w:proofErr w:type="spellStart"/>
      <w:r w:rsidRPr="00525B39">
        <w:rPr>
          <w:rFonts w:asciiTheme="minorHAnsi" w:hAnsiTheme="minorHAnsi" w:cs="Arial"/>
          <w:bCs/>
          <w:snapToGrid w:val="0"/>
          <w:sz w:val="16"/>
        </w:rPr>
        <w:t>Cherny</w:t>
      </w:r>
      <w:proofErr w:type="spellEnd"/>
      <w:r w:rsidRPr="00525B39">
        <w:rPr>
          <w:rFonts w:asciiTheme="minorHAnsi" w:hAnsiTheme="minorHAnsi" w:cs="Arial"/>
          <w:bCs/>
          <w:snapToGrid w:val="0"/>
          <w:sz w:val="16"/>
        </w:rPr>
        <w:t xml:space="preserve"> NI, Dafni U, </w:t>
      </w:r>
      <w:proofErr w:type="spellStart"/>
      <w:r w:rsidRPr="00525B39">
        <w:rPr>
          <w:rFonts w:asciiTheme="minorHAnsi" w:hAnsiTheme="minorHAnsi" w:cs="Arial"/>
          <w:bCs/>
          <w:snapToGrid w:val="0"/>
          <w:sz w:val="16"/>
        </w:rPr>
        <w:t>Bogaerts</w:t>
      </w:r>
      <w:proofErr w:type="spellEnd"/>
      <w:r w:rsidRPr="00525B39">
        <w:rPr>
          <w:rFonts w:asciiTheme="minorHAnsi" w:hAnsiTheme="minorHAnsi" w:cs="Arial"/>
          <w:bCs/>
          <w:snapToGrid w:val="0"/>
          <w:sz w:val="16"/>
        </w:rPr>
        <w:t xml:space="preserve">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498" w:rsidRDefault="00D254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8FE" w:rsidRPr="00207B77" w:rsidRDefault="009D08FE" w:rsidP="00D31E2F">
    <w:pPr>
      <w:tabs>
        <w:tab w:val="left" w:pos="142"/>
        <w:tab w:val="right" w:pos="9027"/>
      </w:tabs>
      <w:jc w:val="center"/>
      <w:rPr>
        <w:i/>
        <w:szCs w:val="24"/>
      </w:rPr>
    </w:pPr>
    <w:r>
      <w:rPr>
        <w:i/>
        <w:szCs w:val="24"/>
      </w:rPr>
      <w:t xml:space="preserve">Public Summary Document </w:t>
    </w:r>
    <w:r w:rsidRPr="00207B77">
      <w:rPr>
        <w:i/>
        <w:szCs w:val="24"/>
      </w:rPr>
      <w:t>– November 2018 PBAC Meeting</w:t>
    </w:r>
  </w:p>
  <w:p w:rsidR="009D08FE" w:rsidRDefault="009D08FE"/>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498" w:rsidRDefault="00D254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C0C8625E"/>
    <w:lvl w:ilvl="0">
      <w:start w:val="1"/>
      <w:numFmt w:val="decimal"/>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C93903"/>
    <w:multiLevelType w:val="hybridMultilevel"/>
    <w:tmpl w:val="499A0BC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4DB6EC1"/>
    <w:multiLevelType w:val="hybridMultilevel"/>
    <w:tmpl w:val="B8D2E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925D65"/>
    <w:multiLevelType w:val="hybridMultilevel"/>
    <w:tmpl w:val="60F2A1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1C67DD"/>
    <w:multiLevelType w:val="hybridMultilevel"/>
    <w:tmpl w:val="8A0EC80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09B8799A"/>
    <w:multiLevelType w:val="hybridMultilevel"/>
    <w:tmpl w:val="7FC2DBFC"/>
    <w:lvl w:ilvl="0" w:tplc="1076E014">
      <w:start w:val="1"/>
      <w:numFmt w:val="bullet"/>
      <w:lvlText w:val=""/>
      <w:lvlJc w:val="left"/>
      <w:pPr>
        <w:ind w:left="502" w:hanging="360"/>
      </w:pPr>
      <w:rPr>
        <w:rFonts w:ascii="Symbol" w:hAnsi="Symbol" w:hint="default"/>
        <w:color w:val="auto"/>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7" w15:restartNumberingAfterBreak="0">
    <w:nsid w:val="0A7D1F95"/>
    <w:multiLevelType w:val="multilevel"/>
    <w:tmpl w:val="D584B798"/>
    <w:lvl w:ilvl="0">
      <w:start w:val="1"/>
      <w:numFmt w:val="decimal"/>
      <w:lvlText w:val="%1."/>
      <w:lvlJc w:val="left"/>
      <w:pPr>
        <w:ind w:left="360" w:hanging="360"/>
      </w:pPr>
      <w:rPr>
        <w:rFonts w:hint="default"/>
      </w:rPr>
    </w:lvl>
    <w:lvl w:ilvl="1">
      <w:start w:val="1"/>
      <w:numFmt w:val="decimal"/>
      <w:lvlText w:val="6.%2."/>
      <w:lvlJc w:val="left"/>
      <w:pPr>
        <w:ind w:left="170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A86775"/>
    <w:multiLevelType w:val="multilevel"/>
    <w:tmpl w:val="71064CAC"/>
    <w:lvl w:ilvl="0">
      <w:numFmt w:val="decimal"/>
      <w:lvlText w:val="%1"/>
      <w:lvlJc w:val="left"/>
      <w:pPr>
        <w:ind w:left="360" w:hanging="360"/>
      </w:pPr>
      <w:rPr>
        <w:rFonts w:hint="default"/>
      </w:rPr>
    </w:lvl>
    <w:lvl w:ilvl="1">
      <w:start w:val="8"/>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8761203"/>
    <w:multiLevelType w:val="hybridMultilevel"/>
    <w:tmpl w:val="48AA3012"/>
    <w:lvl w:ilvl="0" w:tplc="6AC800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A94629"/>
    <w:multiLevelType w:val="hybridMultilevel"/>
    <w:tmpl w:val="B1AED5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B12563"/>
    <w:multiLevelType w:val="hybridMultilevel"/>
    <w:tmpl w:val="80CCAF90"/>
    <w:lvl w:ilvl="0" w:tplc="FFFFFFFF">
      <w:start w:val="1"/>
      <w:numFmt w:val="bullet"/>
      <w:pStyle w:val="Norm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3F51BF3"/>
    <w:multiLevelType w:val="hybridMultilevel"/>
    <w:tmpl w:val="921A5C64"/>
    <w:lvl w:ilvl="0" w:tplc="B2D2B364">
      <w:start w:val="6"/>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D2D14"/>
    <w:multiLevelType w:val="hybridMultilevel"/>
    <w:tmpl w:val="204697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E94143E"/>
    <w:multiLevelType w:val="hybridMultilevel"/>
    <w:tmpl w:val="734A5C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F406E42"/>
    <w:multiLevelType w:val="hybridMultilevel"/>
    <w:tmpl w:val="8D3CD14E"/>
    <w:lvl w:ilvl="0" w:tplc="ECEEE97A">
      <w:start w:val="1"/>
      <w:numFmt w:val="lowerRoman"/>
      <w:lvlText w:val="%1."/>
      <w:lvlJc w:val="lef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30417C90"/>
    <w:multiLevelType w:val="hybridMultilevel"/>
    <w:tmpl w:val="43A436E2"/>
    <w:lvl w:ilvl="0" w:tplc="8626EFC0">
      <w:start w:val="3"/>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A4699F"/>
    <w:multiLevelType w:val="multilevel"/>
    <w:tmpl w:val="816C7C4C"/>
    <w:lvl w:ilvl="0">
      <w:numFmt w:val="decimal"/>
      <w:lvlText w:val="%1"/>
      <w:lvlJc w:val="left"/>
      <w:pPr>
        <w:ind w:left="360" w:hanging="360"/>
      </w:pPr>
      <w:rPr>
        <w:rFonts w:hint="default"/>
      </w:rPr>
    </w:lvl>
    <w:lvl w:ilvl="1">
      <w:start w:val="2"/>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CE56B53"/>
    <w:multiLevelType w:val="hybridMultilevel"/>
    <w:tmpl w:val="647A389E"/>
    <w:lvl w:ilvl="0" w:tplc="7A720B8E">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2833E5"/>
    <w:multiLevelType w:val="hybridMultilevel"/>
    <w:tmpl w:val="2B2A45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43346C49"/>
    <w:multiLevelType w:val="hybridMultilevel"/>
    <w:tmpl w:val="DFDA4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442297"/>
    <w:multiLevelType w:val="hybridMultilevel"/>
    <w:tmpl w:val="A3BAB280"/>
    <w:lvl w:ilvl="0" w:tplc="C324F4F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5187F05"/>
    <w:multiLevelType w:val="hybridMultilevel"/>
    <w:tmpl w:val="C66CD934"/>
    <w:lvl w:ilvl="0" w:tplc="53BA6EA2">
      <w:start w:val="1"/>
      <w:numFmt w:val="decimal"/>
      <w:lvlText w:val="(%1)"/>
      <w:lvlJc w:val="left"/>
      <w:pPr>
        <w:ind w:left="1100" w:hanging="38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55A3E8C"/>
    <w:multiLevelType w:val="hybridMultilevel"/>
    <w:tmpl w:val="9F96C4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79E2DF6"/>
    <w:multiLevelType w:val="hybridMultilevel"/>
    <w:tmpl w:val="F6AE25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AE1693F"/>
    <w:multiLevelType w:val="hybridMultilevel"/>
    <w:tmpl w:val="B6B282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B2875A5"/>
    <w:multiLevelType w:val="hybridMultilevel"/>
    <w:tmpl w:val="4D8C6658"/>
    <w:lvl w:ilvl="0" w:tplc="CF184C6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3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8393965"/>
    <w:multiLevelType w:val="hybridMultilevel"/>
    <w:tmpl w:val="1D849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581BB4"/>
    <w:multiLevelType w:val="hybridMultilevel"/>
    <w:tmpl w:val="23B6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BC7FB0"/>
    <w:multiLevelType w:val="hybridMultilevel"/>
    <w:tmpl w:val="A7841A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140100F"/>
    <w:multiLevelType w:val="hybridMultilevel"/>
    <w:tmpl w:val="611C0D16"/>
    <w:lvl w:ilvl="0" w:tplc="CC68641E">
      <w:start w:val="7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2322910"/>
    <w:multiLevelType w:val="hybridMultilevel"/>
    <w:tmpl w:val="41BAE080"/>
    <w:lvl w:ilvl="0" w:tplc="94D42A88">
      <w:start w:val="1"/>
      <w:numFmt w:val="bullet"/>
      <w:lvlText w:val="-"/>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84D033C"/>
    <w:multiLevelType w:val="multilevel"/>
    <w:tmpl w:val="EF44C198"/>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CF81B32"/>
    <w:multiLevelType w:val="hybridMultilevel"/>
    <w:tmpl w:val="1F1CF04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42" w15:restartNumberingAfterBreak="0">
    <w:nsid w:val="7D410802"/>
    <w:multiLevelType w:val="hybridMultilevel"/>
    <w:tmpl w:val="BE2050BE"/>
    <w:lvl w:ilvl="0" w:tplc="90243F96">
      <w:numFmt w:val="bullet"/>
      <w:lvlText w:val="-"/>
      <w:lvlJc w:val="left"/>
      <w:pPr>
        <w:ind w:left="720" w:hanging="360"/>
      </w:pPr>
      <w:rPr>
        <w:rFonts w:ascii="Calibri" w:eastAsiaTheme="minorHAnsi" w:hAnsi="Calibri"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EF83B9D"/>
    <w:multiLevelType w:val="hybridMultilevel"/>
    <w:tmpl w:val="5FEAF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40"/>
  </w:num>
  <w:num w:numId="4">
    <w:abstractNumId w:val="43"/>
  </w:num>
  <w:num w:numId="5">
    <w:abstractNumId w:val="36"/>
  </w:num>
  <w:num w:numId="6">
    <w:abstractNumId w:val="32"/>
  </w:num>
  <w:num w:numId="7">
    <w:abstractNumId w:val="28"/>
  </w:num>
  <w:num w:numId="8">
    <w:abstractNumId w:val="19"/>
  </w:num>
  <w:num w:numId="9">
    <w:abstractNumId w:val="27"/>
  </w:num>
  <w:num w:numId="10">
    <w:abstractNumId w:val="29"/>
  </w:num>
  <w:num w:numId="11">
    <w:abstractNumId w:val="12"/>
  </w:num>
  <w:num w:numId="12">
    <w:abstractNumId w:val="2"/>
  </w:num>
  <w:num w:numId="13">
    <w:abstractNumId w:val="25"/>
  </w:num>
  <w:num w:numId="14">
    <w:abstractNumId w:val="38"/>
  </w:num>
  <w:num w:numId="15">
    <w:abstractNumId w:val="26"/>
  </w:num>
  <w:num w:numId="16">
    <w:abstractNumId w:val="37"/>
  </w:num>
  <w:num w:numId="17">
    <w:abstractNumId w:val="35"/>
  </w:num>
  <w:num w:numId="18">
    <w:abstractNumId w:val="4"/>
  </w:num>
  <w:num w:numId="19">
    <w:abstractNumId w:val="13"/>
  </w:num>
  <w:num w:numId="20">
    <w:abstractNumId w:val="39"/>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num>
  <w:num w:numId="24">
    <w:abstractNumId w:val="40"/>
    <w:lvlOverride w:ilvl="0"/>
    <w:lvlOverride w:ilvl="1">
      <w:startOverride w:val="44"/>
    </w:lvlOverride>
  </w:num>
  <w:num w:numId="25">
    <w:abstractNumId w:val="9"/>
  </w:num>
  <w:num w:numId="26">
    <w:abstractNumId w:val="31"/>
  </w:num>
  <w:num w:numId="27">
    <w:abstractNumId w:val="7"/>
  </w:num>
  <w:num w:numId="28">
    <w:abstractNumId w:val="6"/>
  </w:num>
  <w:num w:numId="29">
    <w:abstractNumId w:val="22"/>
  </w:num>
  <w:num w:numId="30">
    <w:abstractNumId w:val="42"/>
  </w:num>
  <w:num w:numId="31">
    <w:abstractNumId w:val="18"/>
  </w:num>
  <w:num w:numId="32">
    <w:abstractNumId w:val="10"/>
  </w:num>
  <w:num w:numId="33">
    <w:abstractNumId w:val="30"/>
  </w:num>
  <w:num w:numId="34">
    <w:abstractNumId w:val="5"/>
  </w:num>
  <w:num w:numId="35">
    <w:abstractNumId w:val="15"/>
  </w:num>
  <w:num w:numId="36">
    <w:abstractNumId w:val="4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num>
  <w:num w:numId="38">
    <w:abstractNumId w:val="6"/>
  </w:num>
  <w:num w:numId="39">
    <w:abstractNumId w:val="41"/>
  </w:num>
  <w:num w:numId="40">
    <w:abstractNumId w:val="24"/>
  </w:num>
  <w:num w:numId="41">
    <w:abstractNumId w:val="0"/>
  </w:num>
  <w:num w:numId="42">
    <w:abstractNumId w:val="11"/>
  </w:num>
  <w:num w:numId="43">
    <w:abstractNumId w:val="40"/>
  </w:num>
  <w:num w:numId="44">
    <w:abstractNumId w:val="33"/>
  </w:num>
  <w:num w:numId="45">
    <w:abstractNumId w:val="34"/>
  </w:num>
  <w:num w:numId="46">
    <w:abstractNumId w:val="8"/>
  </w:num>
  <w:num w:numId="47">
    <w:abstractNumId w:val="1"/>
  </w:num>
  <w:num w:numId="48">
    <w:abstractNumId w:val="14"/>
  </w:num>
  <w:num w:numId="49">
    <w:abstractNumId w:val="40"/>
  </w:num>
  <w:num w:numId="50">
    <w:abstractNumId w:val="4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s-CL" w:vendorID="64" w:dllVersion="6" w:nlCheck="1" w:checkStyle="1"/>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s-CL"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131078" w:nlCheck="1" w:checkStyle="1"/>
  <w:activeWritingStyle w:appName="MSWord" w:lang="en-AU" w:vendorID="64" w:dllVersion="131078" w:nlCheck="1" w:checkStyle="1"/>
  <w:activeWritingStyle w:appName="MSWord" w:lang="en-US" w:vendorID="64" w:dllVersion="131078" w:nlCheck="1" w:checkStyle="1"/>
  <w:proofState w:spelling="clean" w:grammar="clean"/>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ew England J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zfdawdvdrvr0esvr4xv2w1ap5eee0eaw0x&quot;&gt;regorafenib&lt;record-ids&gt;&lt;item&gt;154&lt;/item&gt;&lt;/record-ids&gt;&lt;/item&gt;&lt;/Libraries&gt;"/>
  </w:docVars>
  <w:rsids>
    <w:rsidRoot w:val="00E65E79"/>
    <w:rsid w:val="00000421"/>
    <w:rsid w:val="0000075A"/>
    <w:rsid w:val="00000790"/>
    <w:rsid w:val="0000099D"/>
    <w:rsid w:val="0000110B"/>
    <w:rsid w:val="00001B7E"/>
    <w:rsid w:val="00003499"/>
    <w:rsid w:val="000039B7"/>
    <w:rsid w:val="000108F9"/>
    <w:rsid w:val="000110C8"/>
    <w:rsid w:val="00013247"/>
    <w:rsid w:val="00015886"/>
    <w:rsid w:val="000162EF"/>
    <w:rsid w:val="00020118"/>
    <w:rsid w:val="000207F1"/>
    <w:rsid w:val="0002225F"/>
    <w:rsid w:val="00023763"/>
    <w:rsid w:val="00026B83"/>
    <w:rsid w:val="00027D64"/>
    <w:rsid w:val="00027E68"/>
    <w:rsid w:val="00031F7E"/>
    <w:rsid w:val="00033863"/>
    <w:rsid w:val="00035DC0"/>
    <w:rsid w:val="00036829"/>
    <w:rsid w:val="00037430"/>
    <w:rsid w:val="00040288"/>
    <w:rsid w:val="00040895"/>
    <w:rsid w:val="000411D2"/>
    <w:rsid w:val="00043C37"/>
    <w:rsid w:val="000444DC"/>
    <w:rsid w:val="00044D7C"/>
    <w:rsid w:val="00044FEE"/>
    <w:rsid w:val="00045017"/>
    <w:rsid w:val="00045A2B"/>
    <w:rsid w:val="0004698F"/>
    <w:rsid w:val="000469F4"/>
    <w:rsid w:val="00046AA5"/>
    <w:rsid w:val="00047CE0"/>
    <w:rsid w:val="00051FB3"/>
    <w:rsid w:val="00052726"/>
    <w:rsid w:val="000539D0"/>
    <w:rsid w:val="00054621"/>
    <w:rsid w:val="000546D7"/>
    <w:rsid w:val="00056DDC"/>
    <w:rsid w:val="0005740E"/>
    <w:rsid w:val="00062EDC"/>
    <w:rsid w:val="00066029"/>
    <w:rsid w:val="00066360"/>
    <w:rsid w:val="000664A8"/>
    <w:rsid w:val="00067969"/>
    <w:rsid w:val="00067F0C"/>
    <w:rsid w:val="00071248"/>
    <w:rsid w:val="000720B9"/>
    <w:rsid w:val="000737F7"/>
    <w:rsid w:val="0007672F"/>
    <w:rsid w:val="00076FC0"/>
    <w:rsid w:val="000774F0"/>
    <w:rsid w:val="00080290"/>
    <w:rsid w:val="00080909"/>
    <w:rsid w:val="000812CA"/>
    <w:rsid w:val="0008258D"/>
    <w:rsid w:val="00083E99"/>
    <w:rsid w:val="000848D2"/>
    <w:rsid w:val="00084F82"/>
    <w:rsid w:val="00085084"/>
    <w:rsid w:val="000856C5"/>
    <w:rsid w:val="000861F7"/>
    <w:rsid w:val="0008649F"/>
    <w:rsid w:val="00086F4A"/>
    <w:rsid w:val="000906BB"/>
    <w:rsid w:val="00090C7E"/>
    <w:rsid w:val="0009190B"/>
    <w:rsid w:val="00092600"/>
    <w:rsid w:val="0009262B"/>
    <w:rsid w:val="00093310"/>
    <w:rsid w:val="0009445C"/>
    <w:rsid w:val="00094D91"/>
    <w:rsid w:val="00095FE5"/>
    <w:rsid w:val="00096284"/>
    <w:rsid w:val="000976B1"/>
    <w:rsid w:val="000A0EFA"/>
    <w:rsid w:val="000A1C06"/>
    <w:rsid w:val="000A1F30"/>
    <w:rsid w:val="000A3566"/>
    <w:rsid w:val="000A5F6F"/>
    <w:rsid w:val="000A7D08"/>
    <w:rsid w:val="000B05C6"/>
    <w:rsid w:val="000B0670"/>
    <w:rsid w:val="000B0E75"/>
    <w:rsid w:val="000B0F5C"/>
    <w:rsid w:val="000B1268"/>
    <w:rsid w:val="000B301A"/>
    <w:rsid w:val="000B35BD"/>
    <w:rsid w:val="000B383E"/>
    <w:rsid w:val="000B3B1A"/>
    <w:rsid w:val="000B6CAC"/>
    <w:rsid w:val="000B7612"/>
    <w:rsid w:val="000B7DA8"/>
    <w:rsid w:val="000C26C8"/>
    <w:rsid w:val="000C3BF1"/>
    <w:rsid w:val="000C3DF9"/>
    <w:rsid w:val="000C560C"/>
    <w:rsid w:val="000C5D3D"/>
    <w:rsid w:val="000C6713"/>
    <w:rsid w:val="000C7456"/>
    <w:rsid w:val="000D008C"/>
    <w:rsid w:val="000D02F2"/>
    <w:rsid w:val="000D0535"/>
    <w:rsid w:val="000D14FB"/>
    <w:rsid w:val="000D1BFC"/>
    <w:rsid w:val="000D2586"/>
    <w:rsid w:val="000D281A"/>
    <w:rsid w:val="000D326A"/>
    <w:rsid w:val="000D51FB"/>
    <w:rsid w:val="000D5B54"/>
    <w:rsid w:val="000D62C5"/>
    <w:rsid w:val="000D7A3D"/>
    <w:rsid w:val="000D7A92"/>
    <w:rsid w:val="000E135D"/>
    <w:rsid w:val="000E13BE"/>
    <w:rsid w:val="000E1D55"/>
    <w:rsid w:val="000E349F"/>
    <w:rsid w:val="000E6141"/>
    <w:rsid w:val="000E621B"/>
    <w:rsid w:val="000E6936"/>
    <w:rsid w:val="000F00BA"/>
    <w:rsid w:val="000F316A"/>
    <w:rsid w:val="000F3C74"/>
    <w:rsid w:val="000F4908"/>
    <w:rsid w:val="000F4BB8"/>
    <w:rsid w:val="000F585D"/>
    <w:rsid w:val="000F5E5D"/>
    <w:rsid w:val="000F70C1"/>
    <w:rsid w:val="000F7127"/>
    <w:rsid w:val="00100188"/>
    <w:rsid w:val="001007BA"/>
    <w:rsid w:val="00100F8A"/>
    <w:rsid w:val="00103CF9"/>
    <w:rsid w:val="00104CCF"/>
    <w:rsid w:val="00104FF4"/>
    <w:rsid w:val="00105456"/>
    <w:rsid w:val="00105AE2"/>
    <w:rsid w:val="00105CCB"/>
    <w:rsid w:val="001063FD"/>
    <w:rsid w:val="0010690C"/>
    <w:rsid w:val="00106B80"/>
    <w:rsid w:val="001078C7"/>
    <w:rsid w:val="00107B66"/>
    <w:rsid w:val="00110240"/>
    <w:rsid w:val="0011032E"/>
    <w:rsid w:val="0011348B"/>
    <w:rsid w:val="00113912"/>
    <w:rsid w:val="0011427D"/>
    <w:rsid w:val="00114B87"/>
    <w:rsid w:val="00115982"/>
    <w:rsid w:val="00116C53"/>
    <w:rsid w:val="00120A7A"/>
    <w:rsid w:val="00121799"/>
    <w:rsid w:val="00121F7D"/>
    <w:rsid w:val="001222FC"/>
    <w:rsid w:val="001231ED"/>
    <w:rsid w:val="00124A51"/>
    <w:rsid w:val="0012589F"/>
    <w:rsid w:val="00126621"/>
    <w:rsid w:val="00126EB2"/>
    <w:rsid w:val="00127F42"/>
    <w:rsid w:val="00127FED"/>
    <w:rsid w:val="001301E9"/>
    <w:rsid w:val="001305E3"/>
    <w:rsid w:val="00131D82"/>
    <w:rsid w:val="00133D36"/>
    <w:rsid w:val="00136B91"/>
    <w:rsid w:val="0013751E"/>
    <w:rsid w:val="00137645"/>
    <w:rsid w:val="00137A69"/>
    <w:rsid w:val="0014015A"/>
    <w:rsid w:val="0014029E"/>
    <w:rsid w:val="00140E99"/>
    <w:rsid w:val="0014255F"/>
    <w:rsid w:val="001425B0"/>
    <w:rsid w:val="0014414C"/>
    <w:rsid w:val="001447EE"/>
    <w:rsid w:val="00145540"/>
    <w:rsid w:val="001456B0"/>
    <w:rsid w:val="00146BFC"/>
    <w:rsid w:val="00152767"/>
    <w:rsid w:val="00153686"/>
    <w:rsid w:val="00154583"/>
    <w:rsid w:val="0015640D"/>
    <w:rsid w:val="00156822"/>
    <w:rsid w:val="00157130"/>
    <w:rsid w:val="001573BA"/>
    <w:rsid w:val="001576B1"/>
    <w:rsid w:val="00160A4C"/>
    <w:rsid w:val="00162913"/>
    <w:rsid w:val="00163AEC"/>
    <w:rsid w:val="00163EFF"/>
    <w:rsid w:val="00165DBE"/>
    <w:rsid w:val="001661FB"/>
    <w:rsid w:val="001662C0"/>
    <w:rsid w:val="0016795E"/>
    <w:rsid w:val="00171E93"/>
    <w:rsid w:val="00173565"/>
    <w:rsid w:val="00173B07"/>
    <w:rsid w:val="001803FD"/>
    <w:rsid w:val="001810D1"/>
    <w:rsid w:val="00181485"/>
    <w:rsid w:val="00181711"/>
    <w:rsid w:val="00181D9C"/>
    <w:rsid w:val="001824FE"/>
    <w:rsid w:val="0018396B"/>
    <w:rsid w:val="001843C2"/>
    <w:rsid w:val="00185630"/>
    <w:rsid w:val="001865FF"/>
    <w:rsid w:val="0018752F"/>
    <w:rsid w:val="00187E9E"/>
    <w:rsid w:val="001919F3"/>
    <w:rsid w:val="00193435"/>
    <w:rsid w:val="00195222"/>
    <w:rsid w:val="00195B6A"/>
    <w:rsid w:val="001965CF"/>
    <w:rsid w:val="0019668A"/>
    <w:rsid w:val="00196EE4"/>
    <w:rsid w:val="001975D8"/>
    <w:rsid w:val="001A0AA5"/>
    <w:rsid w:val="001A0B30"/>
    <w:rsid w:val="001A119E"/>
    <w:rsid w:val="001A33AC"/>
    <w:rsid w:val="001A36B2"/>
    <w:rsid w:val="001A36D4"/>
    <w:rsid w:val="001A4064"/>
    <w:rsid w:val="001A43FA"/>
    <w:rsid w:val="001A46BD"/>
    <w:rsid w:val="001A59FB"/>
    <w:rsid w:val="001A5A61"/>
    <w:rsid w:val="001A6354"/>
    <w:rsid w:val="001A6910"/>
    <w:rsid w:val="001A7AE8"/>
    <w:rsid w:val="001A7BEC"/>
    <w:rsid w:val="001B0320"/>
    <w:rsid w:val="001B204E"/>
    <w:rsid w:val="001B2879"/>
    <w:rsid w:val="001B3443"/>
    <w:rsid w:val="001B3B23"/>
    <w:rsid w:val="001B428A"/>
    <w:rsid w:val="001B4D20"/>
    <w:rsid w:val="001B5B54"/>
    <w:rsid w:val="001B71A3"/>
    <w:rsid w:val="001B755E"/>
    <w:rsid w:val="001C1116"/>
    <w:rsid w:val="001C1EE8"/>
    <w:rsid w:val="001C2A9B"/>
    <w:rsid w:val="001C4299"/>
    <w:rsid w:val="001C5F94"/>
    <w:rsid w:val="001C6A53"/>
    <w:rsid w:val="001C6E66"/>
    <w:rsid w:val="001C70D6"/>
    <w:rsid w:val="001C76F5"/>
    <w:rsid w:val="001D05EE"/>
    <w:rsid w:val="001D09ED"/>
    <w:rsid w:val="001D28FB"/>
    <w:rsid w:val="001D31B0"/>
    <w:rsid w:val="001D7743"/>
    <w:rsid w:val="001D7EFA"/>
    <w:rsid w:val="001E2209"/>
    <w:rsid w:val="001E238E"/>
    <w:rsid w:val="001E2483"/>
    <w:rsid w:val="001E2B1E"/>
    <w:rsid w:val="001E30D4"/>
    <w:rsid w:val="001E412E"/>
    <w:rsid w:val="001E44DA"/>
    <w:rsid w:val="001E50D8"/>
    <w:rsid w:val="001E516A"/>
    <w:rsid w:val="001E51A3"/>
    <w:rsid w:val="001E5234"/>
    <w:rsid w:val="001E52EB"/>
    <w:rsid w:val="001E61D2"/>
    <w:rsid w:val="001E6306"/>
    <w:rsid w:val="001E63F2"/>
    <w:rsid w:val="001E740C"/>
    <w:rsid w:val="001E7763"/>
    <w:rsid w:val="001F0024"/>
    <w:rsid w:val="001F07AC"/>
    <w:rsid w:val="001F1235"/>
    <w:rsid w:val="001F1CB3"/>
    <w:rsid w:val="001F38B5"/>
    <w:rsid w:val="001F3F8A"/>
    <w:rsid w:val="001F4B7C"/>
    <w:rsid w:val="001F6F8F"/>
    <w:rsid w:val="001F718D"/>
    <w:rsid w:val="001F7361"/>
    <w:rsid w:val="00200C5B"/>
    <w:rsid w:val="002011B0"/>
    <w:rsid w:val="00203181"/>
    <w:rsid w:val="00203783"/>
    <w:rsid w:val="0020385F"/>
    <w:rsid w:val="00204783"/>
    <w:rsid w:val="00207021"/>
    <w:rsid w:val="0020732F"/>
    <w:rsid w:val="00207644"/>
    <w:rsid w:val="00207B77"/>
    <w:rsid w:val="00207D00"/>
    <w:rsid w:val="002105C1"/>
    <w:rsid w:val="00215175"/>
    <w:rsid w:val="0021570D"/>
    <w:rsid w:val="002224F8"/>
    <w:rsid w:val="00223096"/>
    <w:rsid w:val="00223B49"/>
    <w:rsid w:val="00224DD4"/>
    <w:rsid w:val="002273F1"/>
    <w:rsid w:val="00227D2E"/>
    <w:rsid w:val="0023047A"/>
    <w:rsid w:val="002309CC"/>
    <w:rsid w:val="00230AEB"/>
    <w:rsid w:val="0023209F"/>
    <w:rsid w:val="00233636"/>
    <w:rsid w:val="0023363C"/>
    <w:rsid w:val="00233B4C"/>
    <w:rsid w:val="0023629D"/>
    <w:rsid w:val="00237255"/>
    <w:rsid w:val="002404C1"/>
    <w:rsid w:val="00240B68"/>
    <w:rsid w:val="002424AF"/>
    <w:rsid w:val="002429EE"/>
    <w:rsid w:val="00242AE0"/>
    <w:rsid w:val="002439DC"/>
    <w:rsid w:val="00243E3F"/>
    <w:rsid w:val="00244DC8"/>
    <w:rsid w:val="002458BA"/>
    <w:rsid w:val="00246278"/>
    <w:rsid w:val="0024636C"/>
    <w:rsid w:val="00247925"/>
    <w:rsid w:val="00251777"/>
    <w:rsid w:val="002525DA"/>
    <w:rsid w:val="00254869"/>
    <w:rsid w:val="00254DCF"/>
    <w:rsid w:val="0025534B"/>
    <w:rsid w:val="00255439"/>
    <w:rsid w:val="00255BB7"/>
    <w:rsid w:val="002570A0"/>
    <w:rsid w:val="00257541"/>
    <w:rsid w:val="00261E14"/>
    <w:rsid w:val="00262A1A"/>
    <w:rsid w:val="00262A87"/>
    <w:rsid w:val="00262BF1"/>
    <w:rsid w:val="00263010"/>
    <w:rsid w:val="00264D26"/>
    <w:rsid w:val="002652E7"/>
    <w:rsid w:val="00266135"/>
    <w:rsid w:val="002666FA"/>
    <w:rsid w:val="00267642"/>
    <w:rsid w:val="00267AEA"/>
    <w:rsid w:val="002700E6"/>
    <w:rsid w:val="00270738"/>
    <w:rsid w:val="00272875"/>
    <w:rsid w:val="0027294B"/>
    <w:rsid w:val="0027513F"/>
    <w:rsid w:val="0027523A"/>
    <w:rsid w:val="00275C5A"/>
    <w:rsid w:val="00276761"/>
    <w:rsid w:val="0028054C"/>
    <w:rsid w:val="00280756"/>
    <w:rsid w:val="00280796"/>
    <w:rsid w:val="00281014"/>
    <w:rsid w:val="00282618"/>
    <w:rsid w:val="00282AA8"/>
    <w:rsid w:val="002830C7"/>
    <w:rsid w:val="002863D0"/>
    <w:rsid w:val="0028745C"/>
    <w:rsid w:val="00287FF7"/>
    <w:rsid w:val="0029047B"/>
    <w:rsid w:val="00290958"/>
    <w:rsid w:val="00291088"/>
    <w:rsid w:val="002928DF"/>
    <w:rsid w:val="00293410"/>
    <w:rsid w:val="00293531"/>
    <w:rsid w:val="00293E8A"/>
    <w:rsid w:val="002942A3"/>
    <w:rsid w:val="00294D39"/>
    <w:rsid w:val="0029622B"/>
    <w:rsid w:val="00296A41"/>
    <w:rsid w:val="00296B17"/>
    <w:rsid w:val="00296C0D"/>
    <w:rsid w:val="002A14AB"/>
    <w:rsid w:val="002A2F50"/>
    <w:rsid w:val="002A4BD8"/>
    <w:rsid w:val="002A4EF1"/>
    <w:rsid w:val="002A70E0"/>
    <w:rsid w:val="002B09A4"/>
    <w:rsid w:val="002B1C1F"/>
    <w:rsid w:val="002B1F7D"/>
    <w:rsid w:val="002B24E7"/>
    <w:rsid w:val="002B432F"/>
    <w:rsid w:val="002B46B6"/>
    <w:rsid w:val="002B5160"/>
    <w:rsid w:val="002B5DBE"/>
    <w:rsid w:val="002B62B3"/>
    <w:rsid w:val="002B6754"/>
    <w:rsid w:val="002B6CCE"/>
    <w:rsid w:val="002B6FDD"/>
    <w:rsid w:val="002C2510"/>
    <w:rsid w:val="002C2775"/>
    <w:rsid w:val="002C27C1"/>
    <w:rsid w:val="002C2CD6"/>
    <w:rsid w:val="002C3B8A"/>
    <w:rsid w:val="002C5099"/>
    <w:rsid w:val="002C5859"/>
    <w:rsid w:val="002C5889"/>
    <w:rsid w:val="002C597D"/>
    <w:rsid w:val="002C6198"/>
    <w:rsid w:val="002C71CE"/>
    <w:rsid w:val="002D057E"/>
    <w:rsid w:val="002D07E9"/>
    <w:rsid w:val="002D0F88"/>
    <w:rsid w:val="002D0FF0"/>
    <w:rsid w:val="002D1BC2"/>
    <w:rsid w:val="002D2DF0"/>
    <w:rsid w:val="002D389A"/>
    <w:rsid w:val="002D5383"/>
    <w:rsid w:val="002D577C"/>
    <w:rsid w:val="002D5FB2"/>
    <w:rsid w:val="002E15B9"/>
    <w:rsid w:val="002E1898"/>
    <w:rsid w:val="002E2158"/>
    <w:rsid w:val="002E46C1"/>
    <w:rsid w:val="002E50C6"/>
    <w:rsid w:val="002E7722"/>
    <w:rsid w:val="002E7B42"/>
    <w:rsid w:val="002F07BA"/>
    <w:rsid w:val="002F0DA9"/>
    <w:rsid w:val="002F0EEA"/>
    <w:rsid w:val="002F139D"/>
    <w:rsid w:val="002F4980"/>
    <w:rsid w:val="002F61ED"/>
    <w:rsid w:val="002F643C"/>
    <w:rsid w:val="002F71C0"/>
    <w:rsid w:val="00301017"/>
    <w:rsid w:val="0030155F"/>
    <w:rsid w:val="003019FC"/>
    <w:rsid w:val="003025D7"/>
    <w:rsid w:val="003032F8"/>
    <w:rsid w:val="00303C11"/>
    <w:rsid w:val="0030433B"/>
    <w:rsid w:val="00304DC0"/>
    <w:rsid w:val="0030587B"/>
    <w:rsid w:val="00306D98"/>
    <w:rsid w:val="003077DA"/>
    <w:rsid w:val="0030786C"/>
    <w:rsid w:val="0031031A"/>
    <w:rsid w:val="00310981"/>
    <w:rsid w:val="0031109A"/>
    <w:rsid w:val="00314F79"/>
    <w:rsid w:val="00315498"/>
    <w:rsid w:val="00320F67"/>
    <w:rsid w:val="00321E2A"/>
    <w:rsid w:val="00322107"/>
    <w:rsid w:val="00322846"/>
    <w:rsid w:val="0032551A"/>
    <w:rsid w:val="0032615D"/>
    <w:rsid w:val="00326DA7"/>
    <w:rsid w:val="003270E4"/>
    <w:rsid w:val="00327149"/>
    <w:rsid w:val="00330F5C"/>
    <w:rsid w:val="00333BA6"/>
    <w:rsid w:val="00333E74"/>
    <w:rsid w:val="00334E96"/>
    <w:rsid w:val="003364F4"/>
    <w:rsid w:val="003366C9"/>
    <w:rsid w:val="003371B0"/>
    <w:rsid w:val="003409C6"/>
    <w:rsid w:val="00340DF1"/>
    <w:rsid w:val="0034109D"/>
    <w:rsid w:val="0034115B"/>
    <w:rsid w:val="0034209C"/>
    <w:rsid w:val="003429D8"/>
    <w:rsid w:val="003442A9"/>
    <w:rsid w:val="00345A32"/>
    <w:rsid w:val="0035057D"/>
    <w:rsid w:val="0035157D"/>
    <w:rsid w:val="00351665"/>
    <w:rsid w:val="003517F9"/>
    <w:rsid w:val="00352F4E"/>
    <w:rsid w:val="0035478D"/>
    <w:rsid w:val="003552D3"/>
    <w:rsid w:val="0035620E"/>
    <w:rsid w:val="00356679"/>
    <w:rsid w:val="0036062B"/>
    <w:rsid w:val="00361CE7"/>
    <w:rsid w:val="0036201E"/>
    <w:rsid w:val="003624C4"/>
    <w:rsid w:val="003654AC"/>
    <w:rsid w:val="00366CEE"/>
    <w:rsid w:val="003700F6"/>
    <w:rsid w:val="003710CF"/>
    <w:rsid w:val="0037358A"/>
    <w:rsid w:val="003750F6"/>
    <w:rsid w:val="00375C91"/>
    <w:rsid w:val="003760FC"/>
    <w:rsid w:val="00380794"/>
    <w:rsid w:val="00382679"/>
    <w:rsid w:val="003833B6"/>
    <w:rsid w:val="0038365C"/>
    <w:rsid w:val="0038369B"/>
    <w:rsid w:val="00383B78"/>
    <w:rsid w:val="00385A9D"/>
    <w:rsid w:val="00386117"/>
    <w:rsid w:val="003872BA"/>
    <w:rsid w:val="003902B1"/>
    <w:rsid w:val="00392E10"/>
    <w:rsid w:val="003933D8"/>
    <w:rsid w:val="003936AB"/>
    <w:rsid w:val="00395DFA"/>
    <w:rsid w:val="00396896"/>
    <w:rsid w:val="00396FD0"/>
    <w:rsid w:val="0039757D"/>
    <w:rsid w:val="003A005A"/>
    <w:rsid w:val="003A11C0"/>
    <w:rsid w:val="003A1A7A"/>
    <w:rsid w:val="003A2392"/>
    <w:rsid w:val="003A273B"/>
    <w:rsid w:val="003A2831"/>
    <w:rsid w:val="003A34DD"/>
    <w:rsid w:val="003A3ED1"/>
    <w:rsid w:val="003A712C"/>
    <w:rsid w:val="003B021D"/>
    <w:rsid w:val="003B0CFF"/>
    <w:rsid w:val="003B0D71"/>
    <w:rsid w:val="003B1C52"/>
    <w:rsid w:val="003B1C74"/>
    <w:rsid w:val="003B549F"/>
    <w:rsid w:val="003B5B61"/>
    <w:rsid w:val="003B6C4B"/>
    <w:rsid w:val="003B6F68"/>
    <w:rsid w:val="003C02E3"/>
    <w:rsid w:val="003C0419"/>
    <w:rsid w:val="003C0EA4"/>
    <w:rsid w:val="003C1654"/>
    <w:rsid w:val="003C2FDB"/>
    <w:rsid w:val="003C3C9A"/>
    <w:rsid w:val="003C3F97"/>
    <w:rsid w:val="003C49AE"/>
    <w:rsid w:val="003C4BB2"/>
    <w:rsid w:val="003C6406"/>
    <w:rsid w:val="003C65C8"/>
    <w:rsid w:val="003C7641"/>
    <w:rsid w:val="003C7D19"/>
    <w:rsid w:val="003D14C3"/>
    <w:rsid w:val="003D1828"/>
    <w:rsid w:val="003D1DE4"/>
    <w:rsid w:val="003D2422"/>
    <w:rsid w:val="003D28DD"/>
    <w:rsid w:val="003D2931"/>
    <w:rsid w:val="003D2E51"/>
    <w:rsid w:val="003D39A1"/>
    <w:rsid w:val="003D3FBF"/>
    <w:rsid w:val="003D44C0"/>
    <w:rsid w:val="003D4A30"/>
    <w:rsid w:val="003D6383"/>
    <w:rsid w:val="003D64BC"/>
    <w:rsid w:val="003D79BB"/>
    <w:rsid w:val="003D7A76"/>
    <w:rsid w:val="003D7B7F"/>
    <w:rsid w:val="003D7C98"/>
    <w:rsid w:val="003E0543"/>
    <w:rsid w:val="003E0C27"/>
    <w:rsid w:val="003E0DF3"/>
    <w:rsid w:val="003E2AEA"/>
    <w:rsid w:val="003E443C"/>
    <w:rsid w:val="003E7663"/>
    <w:rsid w:val="003F01CB"/>
    <w:rsid w:val="003F2290"/>
    <w:rsid w:val="003F2AD9"/>
    <w:rsid w:val="003F3522"/>
    <w:rsid w:val="003F4156"/>
    <w:rsid w:val="003F4410"/>
    <w:rsid w:val="003F6856"/>
    <w:rsid w:val="004003AA"/>
    <w:rsid w:val="00400B29"/>
    <w:rsid w:val="0040436F"/>
    <w:rsid w:val="0040504B"/>
    <w:rsid w:val="00407C7C"/>
    <w:rsid w:val="00410708"/>
    <w:rsid w:val="00410EC7"/>
    <w:rsid w:val="00411123"/>
    <w:rsid w:val="00411285"/>
    <w:rsid w:val="004116B4"/>
    <w:rsid w:val="00411B39"/>
    <w:rsid w:val="004126D3"/>
    <w:rsid w:val="0041374B"/>
    <w:rsid w:val="00413A1E"/>
    <w:rsid w:val="00414476"/>
    <w:rsid w:val="00414C2E"/>
    <w:rsid w:val="004151CF"/>
    <w:rsid w:val="00416364"/>
    <w:rsid w:val="0041656B"/>
    <w:rsid w:val="00417B8E"/>
    <w:rsid w:val="0042052B"/>
    <w:rsid w:val="00420AA6"/>
    <w:rsid w:val="00420B9F"/>
    <w:rsid w:val="00422260"/>
    <w:rsid w:val="0042413F"/>
    <w:rsid w:val="00424A6F"/>
    <w:rsid w:val="00426284"/>
    <w:rsid w:val="004319F8"/>
    <w:rsid w:val="00431E55"/>
    <w:rsid w:val="00431FFB"/>
    <w:rsid w:val="004321F6"/>
    <w:rsid w:val="00432BC2"/>
    <w:rsid w:val="00433044"/>
    <w:rsid w:val="00436192"/>
    <w:rsid w:val="00436687"/>
    <w:rsid w:val="0043678E"/>
    <w:rsid w:val="004375B9"/>
    <w:rsid w:val="004428D0"/>
    <w:rsid w:val="00442E90"/>
    <w:rsid w:val="004443A7"/>
    <w:rsid w:val="004443F0"/>
    <w:rsid w:val="0044442C"/>
    <w:rsid w:val="004448D9"/>
    <w:rsid w:val="00444CD6"/>
    <w:rsid w:val="00445367"/>
    <w:rsid w:val="00445941"/>
    <w:rsid w:val="00445E52"/>
    <w:rsid w:val="004464EB"/>
    <w:rsid w:val="00447D26"/>
    <w:rsid w:val="00450C5B"/>
    <w:rsid w:val="004512CA"/>
    <w:rsid w:val="0045271F"/>
    <w:rsid w:val="00454272"/>
    <w:rsid w:val="0045455B"/>
    <w:rsid w:val="004549B2"/>
    <w:rsid w:val="0045544D"/>
    <w:rsid w:val="00455D45"/>
    <w:rsid w:val="00457F84"/>
    <w:rsid w:val="00462A6B"/>
    <w:rsid w:val="00463862"/>
    <w:rsid w:val="00464595"/>
    <w:rsid w:val="00466205"/>
    <w:rsid w:val="0046621B"/>
    <w:rsid w:val="00466C0F"/>
    <w:rsid w:val="00472801"/>
    <w:rsid w:val="00472A79"/>
    <w:rsid w:val="00473F19"/>
    <w:rsid w:val="00475E22"/>
    <w:rsid w:val="004776D2"/>
    <w:rsid w:val="00477CAE"/>
    <w:rsid w:val="0048088E"/>
    <w:rsid w:val="00482720"/>
    <w:rsid w:val="004835E7"/>
    <w:rsid w:val="00483BAF"/>
    <w:rsid w:val="004867E2"/>
    <w:rsid w:val="00490124"/>
    <w:rsid w:val="00491B3A"/>
    <w:rsid w:val="0049277B"/>
    <w:rsid w:val="00492CFD"/>
    <w:rsid w:val="00493C39"/>
    <w:rsid w:val="00494DD5"/>
    <w:rsid w:val="004961BA"/>
    <w:rsid w:val="004962D2"/>
    <w:rsid w:val="00496CCA"/>
    <w:rsid w:val="004A00F4"/>
    <w:rsid w:val="004A0DA1"/>
    <w:rsid w:val="004A219D"/>
    <w:rsid w:val="004A52E9"/>
    <w:rsid w:val="004A5AAC"/>
    <w:rsid w:val="004A6597"/>
    <w:rsid w:val="004A6CDB"/>
    <w:rsid w:val="004A7467"/>
    <w:rsid w:val="004A7848"/>
    <w:rsid w:val="004A7E67"/>
    <w:rsid w:val="004B0D40"/>
    <w:rsid w:val="004B1CB4"/>
    <w:rsid w:val="004B285D"/>
    <w:rsid w:val="004B2F18"/>
    <w:rsid w:val="004B33C3"/>
    <w:rsid w:val="004B3DDB"/>
    <w:rsid w:val="004B43B0"/>
    <w:rsid w:val="004B44FD"/>
    <w:rsid w:val="004B455E"/>
    <w:rsid w:val="004B5CF8"/>
    <w:rsid w:val="004B5CFC"/>
    <w:rsid w:val="004B614A"/>
    <w:rsid w:val="004B650D"/>
    <w:rsid w:val="004B7362"/>
    <w:rsid w:val="004B774D"/>
    <w:rsid w:val="004C1687"/>
    <w:rsid w:val="004C18EC"/>
    <w:rsid w:val="004C378C"/>
    <w:rsid w:val="004C4AED"/>
    <w:rsid w:val="004D01E8"/>
    <w:rsid w:val="004D27C8"/>
    <w:rsid w:val="004D2AA5"/>
    <w:rsid w:val="004D2C2D"/>
    <w:rsid w:val="004D52E5"/>
    <w:rsid w:val="004D6C96"/>
    <w:rsid w:val="004D70D5"/>
    <w:rsid w:val="004D7227"/>
    <w:rsid w:val="004E00E5"/>
    <w:rsid w:val="004E0E7F"/>
    <w:rsid w:val="004E0EB8"/>
    <w:rsid w:val="004E2ADC"/>
    <w:rsid w:val="004E2ED8"/>
    <w:rsid w:val="004E3FD5"/>
    <w:rsid w:val="004E43B2"/>
    <w:rsid w:val="004E619B"/>
    <w:rsid w:val="004E6FA4"/>
    <w:rsid w:val="004F09FC"/>
    <w:rsid w:val="004F1764"/>
    <w:rsid w:val="004F1D02"/>
    <w:rsid w:val="004F2679"/>
    <w:rsid w:val="004F2F21"/>
    <w:rsid w:val="004F6913"/>
    <w:rsid w:val="004F6CE6"/>
    <w:rsid w:val="004F74D2"/>
    <w:rsid w:val="004F7865"/>
    <w:rsid w:val="0050219B"/>
    <w:rsid w:val="00503A7E"/>
    <w:rsid w:val="00503F17"/>
    <w:rsid w:val="00504303"/>
    <w:rsid w:val="00504626"/>
    <w:rsid w:val="00505C04"/>
    <w:rsid w:val="00506928"/>
    <w:rsid w:val="00506A54"/>
    <w:rsid w:val="00507CF5"/>
    <w:rsid w:val="005120FD"/>
    <w:rsid w:val="00512BC3"/>
    <w:rsid w:val="00513AA0"/>
    <w:rsid w:val="00514426"/>
    <w:rsid w:val="005152B5"/>
    <w:rsid w:val="005169E8"/>
    <w:rsid w:val="00520A38"/>
    <w:rsid w:val="005210DA"/>
    <w:rsid w:val="00521319"/>
    <w:rsid w:val="00521FD0"/>
    <w:rsid w:val="00522063"/>
    <w:rsid w:val="00522958"/>
    <w:rsid w:val="00522BC8"/>
    <w:rsid w:val="00523C28"/>
    <w:rsid w:val="00524F44"/>
    <w:rsid w:val="00525AF3"/>
    <w:rsid w:val="0052611C"/>
    <w:rsid w:val="005312B4"/>
    <w:rsid w:val="005334F1"/>
    <w:rsid w:val="00533EE5"/>
    <w:rsid w:val="00535AE1"/>
    <w:rsid w:val="00536069"/>
    <w:rsid w:val="00536F42"/>
    <w:rsid w:val="00537182"/>
    <w:rsid w:val="0054171B"/>
    <w:rsid w:val="00541DB4"/>
    <w:rsid w:val="00542743"/>
    <w:rsid w:val="005427CD"/>
    <w:rsid w:val="00542C2D"/>
    <w:rsid w:val="00544C9D"/>
    <w:rsid w:val="00544E50"/>
    <w:rsid w:val="00545839"/>
    <w:rsid w:val="00546E6C"/>
    <w:rsid w:val="005513EC"/>
    <w:rsid w:val="00551985"/>
    <w:rsid w:val="00552909"/>
    <w:rsid w:val="00552B20"/>
    <w:rsid w:val="00552BD3"/>
    <w:rsid w:val="005534E7"/>
    <w:rsid w:val="0055485A"/>
    <w:rsid w:val="00555109"/>
    <w:rsid w:val="00555683"/>
    <w:rsid w:val="005556A1"/>
    <w:rsid w:val="00556395"/>
    <w:rsid w:val="0056253A"/>
    <w:rsid w:val="00563F65"/>
    <w:rsid w:val="00564F0D"/>
    <w:rsid w:val="0056696F"/>
    <w:rsid w:val="00567D34"/>
    <w:rsid w:val="005707E9"/>
    <w:rsid w:val="00570F83"/>
    <w:rsid w:val="00572269"/>
    <w:rsid w:val="0057244A"/>
    <w:rsid w:val="00572621"/>
    <w:rsid w:val="00572E3F"/>
    <w:rsid w:val="0057395A"/>
    <w:rsid w:val="00573F0C"/>
    <w:rsid w:val="00574AB1"/>
    <w:rsid w:val="00575938"/>
    <w:rsid w:val="00575D8D"/>
    <w:rsid w:val="00576972"/>
    <w:rsid w:val="005775F5"/>
    <w:rsid w:val="00580058"/>
    <w:rsid w:val="00580F51"/>
    <w:rsid w:val="00582039"/>
    <w:rsid w:val="00583699"/>
    <w:rsid w:val="00583EE6"/>
    <w:rsid w:val="00584403"/>
    <w:rsid w:val="00585656"/>
    <w:rsid w:val="00585CDD"/>
    <w:rsid w:val="00587058"/>
    <w:rsid w:val="00590369"/>
    <w:rsid w:val="0059080F"/>
    <w:rsid w:val="00591957"/>
    <w:rsid w:val="00594330"/>
    <w:rsid w:val="00595775"/>
    <w:rsid w:val="00597BF9"/>
    <w:rsid w:val="00597F3D"/>
    <w:rsid w:val="005A1E61"/>
    <w:rsid w:val="005A2148"/>
    <w:rsid w:val="005A2697"/>
    <w:rsid w:val="005A373D"/>
    <w:rsid w:val="005A37A3"/>
    <w:rsid w:val="005A571C"/>
    <w:rsid w:val="005A60C8"/>
    <w:rsid w:val="005A7F1E"/>
    <w:rsid w:val="005B0A47"/>
    <w:rsid w:val="005B3CB3"/>
    <w:rsid w:val="005B3E70"/>
    <w:rsid w:val="005B4378"/>
    <w:rsid w:val="005B4C95"/>
    <w:rsid w:val="005B504E"/>
    <w:rsid w:val="005B5857"/>
    <w:rsid w:val="005C093D"/>
    <w:rsid w:val="005C1B83"/>
    <w:rsid w:val="005C2AE9"/>
    <w:rsid w:val="005C2D55"/>
    <w:rsid w:val="005C346B"/>
    <w:rsid w:val="005C4DC5"/>
    <w:rsid w:val="005C5CD1"/>
    <w:rsid w:val="005C5EBC"/>
    <w:rsid w:val="005C7D3D"/>
    <w:rsid w:val="005C7FD3"/>
    <w:rsid w:val="005D044D"/>
    <w:rsid w:val="005D04A3"/>
    <w:rsid w:val="005D0578"/>
    <w:rsid w:val="005D0ABD"/>
    <w:rsid w:val="005D110B"/>
    <w:rsid w:val="005D18AD"/>
    <w:rsid w:val="005D26B4"/>
    <w:rsid w:val="005D4309"/>
    <w:rsid w:val="005D4A25"/>
    <w:rsid w:val="005D528B"/>
    <w:rsid w:val="005D5A34"/>
    <w:rsid w:val="005D737B"/>
    <w:rsid w:val="005D7BE1"/>
    <w:rsid w:val="005D7D00"/>
    <w:rsid w:val="005E0554"/>
    <w:rsid w:val="005E28F7"/>
    <w:rsid w:val="005E414E"/>
    <w:rsid w:val="005E4594"/>
    <w:rsid w:val="005E4ED3"/>
    <w:rsid w:val="005E5939"/>
    <w:rsid w:val="005E5D4B"/>
    <w:rsid w:val="005E6CBC"/>
    <w:rsid w:val="005E73C0"/>
    <w:rsid w:val="005F0534"/>
    <w:rsid w:val="005F05E0"/>
    <w:rsid w:val="005F065C"/>
    <w:rsid w:val="005F0FC9"/>
    <w:rsid w:val="005F1435"/>
    <w:rsid w:val="005F2706"/>
    <w:rsid w:val="005F2F36"/>
    <w:rsid w:val="005F5813"/>
    <w:rsid w:val="005F693F"/>
    <w:rsid w:val="005F6A8F"/>
    <w:rsid w:val="0060021F"/>
    <w:rsid w:val="006032ED"/>
    <w:rsid w:val="00603DB9"/>
    <w:rsid w:val="00607669"/>
    <w:rsid w:val="00607AFD"/>
    <w:rsid w:val="00611009"/>
    <w:rsid w:val="006117DE"/>
    <w:rsid w:val="00611C5D"/>
    <w:rsid w:val="00612532"/>
    <w:rsid w:val="00612A98"/>
    <w:rsid w:val="00612F97"/>
    <w:rsid w:val="0061345D"/>
    <w:rsid w:val="00614676"/>
    <w:rsid w:val="00615A0E"/>
    <w:rsid w:val="006161B6"/>
    <w:rsid w:val="00616802"/>
    <w:rsid w:val="00617E12"/>
    <w:rsid w:val="00621477"/>
    <w:rsid w:val="00622D6E"/>
    <w:rsid w:val="00623BF3"/>
    <w:rsid w:val="00626CDB"/>
    <w:rsid w:val="0063073F"/>
    <w:rsid w:val="0063158F"/>
    <w:rsid w:val="00631D6B"/>
    <w:rsid w:val="00632C03"/>
    <w:rsid w:val="006330A1"/>
    <w:rsid w:val="0063479F"/>
    <w:rsid w:val="006353F0"/>
    <w:rsid w:val="006364A1"/>
    <w:rsid w:val="006368B0"/>
    <w:rsid w:val="006371DD"/>
    <w:rsid w:val="00637BFD"/>
    <w:rsid w:val="006403D5"/>
    <w:rsid w:val="006417D8"/>
    <w:rsid w:val="00641C4E"/>
    <w:rsid w:val="0064453E"/>
    <w:rsid w:val="006471CC"/>
    <w:rsid w:val="00650522"/>
    <w:rsid w:val="0065079F"/>
    <w:rsid w:val="00650C9A"/>
    <w:rsid w:val="00653394"/>
    <w:rsid w:val="0065379F"/>
    <w:rsid w:val="00655C72"/>
    <w:rsid w:val="006567E2"/>
    <w:rsid w:val="00656C84"/>
    <w:rsid w:val="006603EC"/>
    <w:rsid w:val="006606F3"/>
    <w:rsid w:val="00661A9B"/>
    <w:rsid w:val="00661C6B"/>
    <w:rsid w:val="00663789"/>
    <w:rsid w:val="0066394F"/>
    <w:rsid w:val="00670F84"/>
    <w:rsid w:val="0067142D"/>
    <w:rsid w:val="00672B85"/>
    <w:rsid w:val="00672EF3"/>
    <w:rsid w:val="00673978"/>
    <w:rsid w:val="00673C28"/>
    <w:rsid w:val="00674ADF"/>
    <w:rsid w:val="00674E42"/>
    <w:rsid w:val="00676716"/>
    <w:rsid w:val="00677D51"/>
    <w:rsid w:val="00681A83"/>
    <w:rsid w:val="00682112"/>
    <w:rsid w:val="00682793"/>
    <w:rsid w:val="00683A8D"/>
    <w:rsid w:val="00685340"/>
    <w:rsid w:val="0068597C"/>
    <w:rsid w:val="006867D9"/>
    <w:rsid w:val="00686957"/>
    <w:rsid w:val="00686DD2"/>
    <w:rsid w:val="006872BA"/>
    <w:rsid w:val="00687778"/>
    <w:rsid w:val="00691648"/>
    <w:rsid w:val="006917D7"/>
    <w:rsid w:val="00691CC5"/>
    <w:rsid w:val="00694C17"/>
    <w:rsid w:val="00694F44"/>
    <w:rsid w:val="00694F67"/>
    <w:rsid w:val="00695DFA"/>
    <w:rsid w:val="00696D77"/>
    <w:rsid w:val="006979A9"/>
    <w:rsid w:val="006A1DF8"/>
    <w:rsid w:val="006A2F25"/>
    <w:rsid w:val="006A52D4"/>
    <w:rsid w:val="006A53B4"/>
    <w:rsid w:val="006A7E5F"/>
    <w:rsid w:val="006B01B1"/>
    <w:rsid w:val="006B0385"/>
    <w:rsid w:val="006B2070"/>
    <w:rsid w:val="006B261B"/>
    <w:rsid w:val="006B2C90"/>
    <w:rsid w:val="006B333B"/>
    <w:rsid w:val="006B415D"/>
    <w:rsid w:val="006B431B"/>
    <w:rsid w:val="006B48A1"/>
    <w:rsid w:val="006B49D2"/>
    <w:rsid w:val="006B54D7"/>
    <w:rsid w:val="006B5961"/>
    <w:rsid w:val="006B6DD0"/>
    <w:rsid w:val="006B753F"/>
    <w:rsid w:val="006C0436"/>
    <w:rsid w:val="006C0D16"/>
    <w:rsid w:val="006C2A8E"/>
    <w:rsid w:val="006C2B16"/>
    <w:rsid w:val="006C3187"/>
    <w:rsid w:val="006C3278"/>
    <w:rsid w:val="006C3875"/>
    <w:rsid w:val="006C3A0D"/>
    <w:rsid w:val="006C6240"/>
    <w:rsid w:val="006C6732"/>
    <w:rsid w:val="006D0365"/>
    <w:rsid w:val="006D13A7"/>
    <w:rsid w:val="006D1837"/>
    <w:rsid w:val="006D1C0D"/>
    <w:rsid w:val="006D336E"/>
    <w:rsid w:val="006D3C7D"/>
    <w:rsid w:val="006D448C"/>
    <w:rsid w:val="006D5D5F"/>
    <w:rsid w:val="006D70E7"/>
    <w:rsid w:val="006D7311"/>
    <w:rsid w:val="006D7631"/>
    <w:rsid w:val="006E1026"/>
    <w:rsid w:val="006E144D"/>
    <w:rsid w:val="006E259C"/>
    <w:rsid w:val="006E2E7E"/>
    <w:rsid w:val="006E4D7E"/>
    <w:rsid w:val="006E66B1"/>
    <w:rsid w:val="006F306C"/>
    <w:rsid w:val="006F5BC9"/>
    <w:rsid w:val="006F63A5"/>
    <w:rsid w:val="006F7678"/>
    <w:rsid w:val="007004F7"/>
    <w:rsid w:val="007013CD"/>
    <w:rsid w:val="0070142B"/>
    <w:rsid w:val="00701645"/>
    <w:rsid w:val="0070276E"/>
    <w:rsid w:val="00702F8F"/>
    <w:rsid w:val="00703171"/>
    <w:rsid w:val="0070428A"/>
    <w:rsid w:val="00705292"/>
    <w:rsid w:val="0071191F"/>
    <w:rsid w:val="00711A36"/>
    <w:rsid w:val="00712F66"/>
    <w:rsid w:val="00713AF5"/>
    <w:rsid w:val="0071529C"/>
    <w:rsid w:val="00716B1B"/>
    <w:rsid w:val="007172AD"/>
    <w:rsid w:val="007175A1"/>
    <w:rsid w:val="00720FD7"/>
    <w:rsid w:val="00722B1B"/>
    <w:rsid w:val="00722C06"/>
    <w:rsid w:val="00723B50"/>
    <w:rsid w:val="00724068"/>
    <w:rsid w:val="0072416F"/>
    <w:rsid w:val="00726EA9"/>
    <w:rsid w:val="00727199"/>
    <w:rsid w:val="00727C94"/>
    <w:rsid w:val="00731CE7"/>
    <w:rsid w:val="00731EAE"/>
    <w:rsid w:val="007329F7"/>
    <w:rsid w:val="00735033"/>
    <w:rsid w:val="00735328"/>
    <w:rsid w:val="00735412"/>
    <w:rsid w:val="00735D65"/>
    <w:rsid w:val="0073685B"/>
    <w:rsid w:val="00736CEA"/>
    <w:rsid w:val="00740841"/>
    <w:rsid w:val="00740D96"/>
    <w:rsid w:val="00741AF0"/>
    <w:rsid w:val="00742742"/>
    <w:rsid w:val="00742C1E"/>
    <w:rsid w:val="00744707"/>
    <w:rsid w:val="00745B3E"/>
    <w:rsid w:val="00747ECE"/>
    <w:rsid w:val="00751F45"/>
    <w:rsid w:val="00752142"/>
    <w:rsid w:val="007523F9"/>
    <w:rsid w:val="00752633"/>
    <w:rsid w:val="007526EC"/>
    <w:rsid w:val="007562FF"/>
    <w:rsid w:val="007573E8"/>
    <w:rsid w:val="00760C4E"/>
    <w:rsid w:val="00761302"/>
    <w:rsid w:val="007618A6"/>
    <w:rsid w:val="00761A3A"/>
    <w:rsid w:val="00761E46"/>
    <w:rsid w:val="00764B9E"/>
    <w:rsid w:val="00765B1A"/>
    <w:rsid w:val="00772C33"/>
    <w:rsid w:val="00774C91"/>
    <w:rsid w:val="00774F17"/>
    <w:rsid w:val="00775985"/>
    <w:rsid w:val="0077761E"/>
    <w:rsid w:val="007843F2"/>
    <w:rsid w:val="00786F32"/>
    <w:rsid w:val="00787906"/>
    <w:rsid w:val="00791481"/>
    <w:rsid w:val="00792A8C"/>
    <w:rsid w:val="00794276"/>
    <w:rsid w:val="00795E17"/>
    <w:rsid w:val="0079603B"/>
    <w:rsid w:val="007A0A12"/>
    <w:rsid w:val="007A132D"/>
    <w:rsid w:val="007A2050"/>
    <w:rsid w:val="007A3EF6"/>
    <w:rsid w:val="007A3F54"/>
    <w:rsid w:val="007A4FEE"/>
    <w:rsid w:val="007A582C"/>
    <w:rsid w:val="007A5B6C"/>
    <w:rsid w:val="007B00A6"/>
    <w:rsid w:val="007B0D68"/>
    <w:rsid w:val="007B251D"/>
    <w:rsid w:val="007B29D6"/>
    <w:rsid w:val="007B4D01"/>
    <w:rsid w:val="007B4F58"/>
    <w:rsid w:val="007B528D"/>
    <w:rsid w:val="007B534B"/>
    <w:rsid w:val="007B724F"/>
    <w:rsid w:val="007B77D1"/>
    <w:rsid w:val="007C006E"/>
    <w:rsid w:val="007C111B"/>
    <w:rsid w:val="007C1CD9"/>
    <w:rsid w:val="007C2176"/>
    <w:rsid w:val="007C2629"/>
    <w:rsid w:val="007C361D"/>
    <w:rsid w:val="007C4B84"/>
    <w:rsid w:val="007C6114"/>
    <w:rsid w:val="007C62AC"/>
    <w:rsid w:val="007C79BA"/>
    <w:rsid w:val="007D004F"/>
    <w:rsid w:val="007D0B38"/>
    <w:rsid w:val="007D0FCB"/>
    <w:rsid w:val="007D16BA"/>
    <w:rsid w:val="007D49AD"/>
    <w:rsid w:val="007D5440"/>
    <w:rsid w:val="007D5CAD"/>
    <w:rsid w:val="007D66D1"/>
    <w:rsid w:val="007E07E0"/>
    <w:rsid w:val="007E2B02"/>
    <w:rsid w:val="007E5227"/>
    <w:rsid w:val="007E62F0"/>
    <w:rsid w:val="007E6689"/>
    <w:rsid w:val="007F0429"/>
    <w:rsid w:val="007F1017"/>
    <w:rsid w:val="007F14A1"/>
    <w:rsid w:val="007F4A3F"/>
    <w:rsid w:val="007F4A61"/>
    <w:rsid w:val="007F61C2"/>
    <w:rsid w:val="00801907"/>
    <w:rsid w:val="008020B3"/>
    <w:rsid w:val="00804C57"/>
    <w:rsid w:val="00805142"/>
    <w:rsid w:val="008061D2"/>
    <w:rsid w:val="00807A8B"/>
    <w:rsid w:val="00807DF9"/>
    <w:rsid w:val="00807FDD"/>
    <w:rsid w:val="00810897"/>
    <w:rsid w:val="00811383"/>
    <w:rsid w:val="0081164C"/>
    <w:rsid w:val="008116C5"/>
    <w:rsid w:val="00812149"/>
    <w:rsid w:val="00812CAC"/>
    <w:rsid w:val="00812FD6"/>
    <w:rsid w:val="008149C8"/>
    <w:rsid w:val="00815A29"/>
    <w:rsid w:val="008166EF"/>
    <w:rsid w:val="00821D6B"/>
    <w:rsid w:val="0082225F"/>
    <w:rsid w:val="008230A4"/>
    <w:rsid w:val="00823936"/>
    <w:rsid w:val="00823ADF"/>
    <w:rsid w:val="0082415C"/>
    <w:rsid w:val="00825751"/>
    <w:rsid w:val="00825995"/>
    <w:rsid w:val="00825B07"/>
    <w:rsid w:val="008260ED"/>
    <w:rsid w:val="008264EB"/>
    <w:rsid w:val="00826C46"/>
    <w:rsid w:val="00827E95"/>
    <w:rsid w:val="00827FED"/>
    <w:rsid w:val="008318E7"/>
    <w:rsid w:val="008325B7"/>
    <w:rsid w:val="00833061"/>
    <w:rsid w:val="00833B05"/>
    <w:rsid w:val="0083435F"/>
    <w:rsid w:val="00835581"/>
    <w:rsid w:val="0083582D"/>
    <w:rsid w:val="008362B4"/>
    <w:rsid w:val="00840CA2"/>
    <w:rsid w:val="00841E9D"/>
    <w:rsid w:val="00842532"/>
    <w:rsid w:val="0084374F"/>
    <w:rsid w:val="00844B4E"/>
    <w:rsid w:val="00845CAD"/>
    <w:rsid w:val="00847A8B"/>
    <w:rsid w:val="00847DF5"/>
    <w:rsid w:val="00847E39"/>
    <w:rsid w:val="0085137D"/>
    <w:rsid w:val="00851F51"/>
    <w:rsid w:val="00852020"/>
    <w:rsid w:val="008524D1"/>
    <w:rsid w:val="0085309D"/>
    <w:rsid w:val="0085407D"/>
    <w:rsid w:val="008557EE"/>
    <w:rsid w:val="00856897"/>
    <w:rsid w:val="00856E9A"/>
    <w:rsid w:val="00857BE7"/>
    <w:rsid w:val="0086075D"/>
    <w:rsid w:val="00861309"/>
    <w:rsid w:val="00862502"/>
    <w:rsid w:val="00863879"/>
    <w:rsid w:val="00864BF5"/>
    <w:rsid w:val="00865894"/>
    <w:rsid w:val="00865BFD"/>
    <w:rsid w:val="008660D4"/>
    <w:rsid w:val="0086758F"/>
    <w:rsid w:val="00871FA9"/>
    <w:rsid w:val="008728E9"/>
    <w:rsid w:val="008743AE"/>
    <w:rsid w:val="008745D2"/>
    <w:rsid w:val="008747E5"/>
    <w:rsid w:val="0087498E"/>
    <w:rsid w:val="00875B11"/>
    <w:rsid w:val="00875D7E"/>
    <w:rsid w:val="00876747"/>
    <w:rsid w:val="00876D8A"/>
    <w:rsid w:val="00881C07"/>
    <w:rsid w:val="00882874"/>
    <w:rsid w:val="0088294F"/>
    <w:rsid w:val="00883787"/>
    <w:rsid w:val="00886CD2"/>
    <w:rsid w:val="00887118"/>
    <w:rsid w:val="00887D1F"/>
    <w:rsid w:val="00890546"/>
    <w:rsid w:val="00891FB5"/>
    <w:rsid w:val="00892A36"/>
    <w:rsid w:val="00893239"/>
    <w:rsid w:val="008936A3"/>
    <w:rsid w:val="00894489"/>
    <w:rsid w:val="00894925"/>
    <w:rsid w:val="008963A5"/>
    <w:rsid w:val="00896F9D"/>
    <w:rsid w:val="008A0760"/>
    <w:rsid w:val="008A0BCC"/>
    <w:rsid w:val="008A3363"/>
    <w:rsid w:val="008A3371"/>
    <w:rsid w:val="008A3BB4"/>
    <w:rsid w:val="008A3C3E"/>
    <w:rsid w:val="008A79DE"/>
    <w:rsid w:val="008B047F"/>
    <w:rsid w:val="008B1757"/>
    <w:rsid w:val="008B392E"/>
    <w:rsid w:val="008B5FD4"/>
    <w:rsid w:val="008B7D7E"/>
    <w:rsid w:val="008C17AD"/>
    <w:rsid w:val="008C31A3"/>
    <w:rsid w:val="008C6FD6"/>
    <w:rsid w:val="008C728C"/>
    <w:rsid w:val="008C7E77"/>
    <w:rsid w:val="008C7ECB"/>
    <w:rsid w:val="008D156D"/>
    <w:rsid w:val="008D1689"/>
    <w:rsid w:val="008D3714"/>
    <w:rsid w:val="008D38B1"/>
    <w:rsid w:val="008D3A72"/>
    <w:rsid w:val="008D4744"/>
    <w:rsid w:val="008D4755"/>
    <w:rsid w:val="008D4C3D"/>
    <w:rsid w:val="008D70C9"/>
    <w:rsid w:val="008D733F"/>
    <w:rsid w:val="008E019F"/>
    <w:rsid w:val="008E0D3C"/>
    <w:rsid w:val="008E1B9E"/>
    <w:rsid w:val="008E23BD"/>
    <w:rsid w:val="008E2FEB"/>
    <w:rsid w:val="008E3619"/>
    <w:rsid w:val="008E3919"/>
    <w:rsid w:val="008E4D37"/>
    <w:rsid w:val="008E4F61"/>
    <w:rsid w:val="008E55AB"/>
    <w:rsid w:val="008E62B9"/>
    <w:rsid w:val="008F120A"/>
    <w:rsid w:val="008F27E0"/>
    <w:rsid w:val="008F3A79"/>
    <w:rsid w:val="008F48EB"/>
    <w:rsid w:val="008F4F0B"/>
    <w:rsid w:val="008F60E3"/>
    <w:rsid w:val="008F62FB"/>
    <w:rsid w:val="008F67EB"/>
    <w:rsid w:val="009025B4"/>
    <w:rsid w:val="009032C9"/>
    <w:rsid w:val="009046C4"/>
    <w:rsid w:val="00905297"/>
    <w:rsid w:val="009062A5"/>
    <w:rsid w:val="00906FF5"/>
    <w:rsid w:val="00910B64"/>
    <w:rsid w:val="00911272"/>
    <w:rsid w:val="00912E08"/>
    <w:rsid w:val="009135D6"/>
    <w:rsid w:val="00914C77"/>
    <w:rsid w:val="00914FEF"/>
    <w:rsid w:val="00915296"/>
    <w:rsid w:val="0092369B"/>
    <w:rsid w:val="00930ED0"/>
    <w:rsid w:val="00935609"/>
    <w:rsid w:val="00937583"/>
    <w:rsid w:val="00937ACF"/>
    <w:rsid w:val="00937C35"/>
    <w:rsid w:val="00941A19"/>
    <w:rsid w:val="00942057"/>
    <w:rsid w:val="0094248D"/>
    <w:rsid w:val="0094320F"/>
    <w:rsid w:val="009451E0"/>
    <w:rsid w:val="00945C0C"/>
    <w:rsid w:val="00950234"/>
    <w:rsid w:val="00950607"/>
    <w:rsid w:val="009510A2"/>
    <w:rsid w:val="0095203C"/>
    <w:rsid w:val="00953257"/>
    <w:rsid w:val="00955794"/>
    <w:rsid w:val="00960390"/>
    <w:rsid w:val="00962300"/>
    <w:rsid w:val="00962CB9"/>
    <w:rsid w:val="00962D70"/>
    <w:rsid w:val="00964312"/>
    <w:rsid w:val="00964410"/>
    <w:rsid w:val="00965B8A"/>
    <w:rsid w:val="009666EE"/>
    <w:rsid w:val="00966853"/>
    <w:rsid w:val="00967433"/>
    <w:rsid w:val="00970EBF"/>
    <w:rsid w:val="009717AC"/>
    <w:rsid w:val="009721C6"/>
    <w:rsid w:val="00973C19"/>
    <w:rsid w:val="00973E45"/>
    <w:rsid w:val="00974E19"/>
    <w:rsid w:val="00976401"/>
    <w:rsid w:val="009766E3"/>
    <w:rsid w:val="00976B98"/>
    <w:rsid w:val="0097718F"/>
    <w:rsid w:val="009801C0"/>
    <w:rsid w:val="00980E38"/>
    <w:rsid w:val="00981351"/>
    <w:rsid w:val="0098219D"/>
    <w:rsid w:val="00983E57"/>
    <w:rsid w:val="0098675D"/>
    <w:rsid w:val="00986BA7"/>
    <w:rsid w:val="00987AAC"/>
    <w:rsid w:val="00987D6C"/>
    <w:rsid w:val="00992AE2"/>
    <w:rsid w:val="00996B1A"/>
    <w:rsid w:val="00997526"/>
    <w:rsid w:val="009A2432"/>
    <w:rsid w:val="009A52AE"/>
    <w:rsid w:val="009A734E"/>
    <w:rsid w:val="009A7F10"/>
    <w:rsid w:val="009B0A7A"/>
    <w:rsid w:val="009B2E7A"/>
    <w:rsid w:val="009B33A7"/>
    <w:rsid w:val="009B3737"/>
    <w:rsid w:val="009B3E26"/>
    <w:rsid w:val="009B4035"/>
    <w:rsid w:val="009B5CF8"/>
    <w:rsid w:val="009C1277"/>
    <w:rsid w:val="009C12BE"/>
    <w:rsid w:val="009C1A78"/>
    <w:rsid w:val="009C1B0C"/>
    <w:rsid w:val="009C32EB"/>
    <w:rsid w:val="009C6CEA"/>
    <w:rsid w:val="009C6EDC"/>
    <w:rsid w:val="009C78AA"/>
    <w:rsid w:val="009C7B85"/>
    <w:rsid w:val="009D08FE"/>
    <w:rsid w:val="009D1469"/>
    <w:rsid w:val="009D1907"/>
    <w:rsid w:val="009D1BBC"/>
    <w:rsid w:val="009D44B4"/>
    <w:rsid w:val="009D5B91"/>
    <w:rsid w:val="009D759E"/>
    <w:rsid w:val="009D792E"/>
    <w:rsid w:val="009D7E09"/>
    <w:rsid w:val="009E0DFE"/>
    <w:rsid w:val="009E1D58"/>
    <w:rsid w:val="009E3F03"/>
    <w:rsid w:val="009E46EC"/>
    <w:rsid w:val="009E4C07"/>
    <w:rsid w:val="009F1023"/>
    <w:rsid w:val="009F14A4"/>
    <w:rsid w:val="009F2003"/>
    <w:rsid w:val="009F4A3A"/>
    <w:rsid w:val="009F6CA9"/>
    <w:rsid w:val="009F77DD"/>
    <w:rsid w:val="00A0019B"/>
    <w:rsid w:val="00A010F6"/>
    <w:rsid w:val="00A01184"/>
    <w:rsid w:val="00A02991"/>
    <w:rsid w:val="00A02D9C"/>
    <w:rsid w:val="00A03D43"/>
    <w:rsid w:val="00A0405F"/>
    <w:rsid w:val="00A04380"/>
    <w:rsid w:val="00A05269"/>
    <w:rsid w:val="00A0782C"/>
    <w:rsid w:val="00A1039D"/>
    <w:rsid w:val="00A10D94"/>
    <w:rsid w:val="00A11CD0"/>
    <w:rsid w:val="00A11EE1"/>
    <w:rsid w:val="00A13948"/>
    <w:rsid w:val="00A139D2"/>
    <w:rsid w:val="00A1555B"/>
    <w:rsid w:val="00A155C5"/>
    <w:rsid w:val="00A15E7E"/>
    <w:rsid w:val="00A16364"/>
    <w:rsid w:val="00A16AD8"/>
    <w:rsid w:val="00A205DB"/>
    <w:rsid w:val="00A20939"/>
    <w:rsid w:val="00A20CF0"/>
    <w:rsid w:val="00A2145F"/>
    <w:rsid w:val="00A21CF3"/>
    <w:rsid w:val="00A220A7"/>
    <w:rsid w:val="00A2511A"/>
    <w:rsid w:val="00A27AEC"/>
    <w:rsid w:val="00A320DB"/>
    <w:rsid w:val="00A35D16"/>
    <w:rsid w:val="00A37BCD"/>
    <w:rsid w:val="00A37EB8"/>
    <w:rsid w:val="00A40B2D"/>
    <w:rsid w:val="00A4164F"/>
    <w:rsid w:val="00A43C59"/>
    <w:rsid w:val="00A4423C"/>
    <w:rsid w:val="00A50380"/>
    <w:rsid w:val="00A50A3E"/>
    <w:rsid w:val="00A50ECD"/>
    <w:rsid w:val="00A518F3"/>
    <w:rsid w:val="00A52729"/>
    <w:rsid w:val="00A52CE3"/>
    <w:rsid w:val="00A53062"/>
    <w:rsid w:val="00A53675"/>
    <w:rsid w:val="00A553C8"/>
    <w:rsid w:val="00A5575C"/>
    <w:rsid w:val="00A564D7"/>
    <w:rsid w:val="00A56B6A"/>
    <w:rsid w:val="00A578DC"/>
    <w:rsid w:val="00A62A4D"/>
    <w:rsid w:val="00A64561"/>
    <w:rsid w:val="00A6725B"/>
    <w:rsid w:val="00A701F8"/>
    <w:rsid w:val="00A70605"/>
    <w:rsid w:val="00A73134"/>
    <w:rsid w:val="00A743EF"/>
    <w:rsid w:val="00A74A7B"/>
    <w:rsid w:val="00A7666B"/>
    <w:rsid w:val="00A777B2"/>
    <w:rsid w:val="00A81113"/>
    <w:rsid w:val="00A83B29"/>
    <w:rsid w:val="00A861E6"/>
    <w:rsid w:val="00A86E8B"/>
    <w:rsid w:val="00A87164"/>
    <w:rsid w:val="00A87CB3"/>
    <w:rsid w:val="00A903FB"/>
    <w:rsid w:val="00A90B39"/>
    <w:rsid w:val="00A92DC9"/>
    <w:rsid w:val="00A93072"/>
    <w:rsid w:val="00A93306"/>
    <w:rsid w:val="00A93953"/>
    <w:rsid w:val="00A959D8"/>
    <w:rsid w:val="00A96559"/>
    <w:rsid w:val="00A97F63"/>
    <w:rsid w:val="00AA113D"/>
    <w:rsid w:val="00AA144F"/>
    <w:rsid w:val="00AA35DC"/>
    <w:rsid w:val="00AA4922"/>
    <w:rsid w:val="00AA4A56"/>
    <w:rsid w:val="00AA4DDE"/>
    <w:rsid w:val="00AA5306"/>
    <w:rsid w:val="00AA5585"/>
    <w:rsid w:val="00AA5E4B"/>
    <w:rsid w:val="00AA5ECA"/>
    <w:rsid w:val="00AA6103"/>
    <w:rsid w:val="00AA6C7D"/>
    <w:rsid w:val="00AA7FD6"/>
    <w:rsid w:val="00AB042A"/>
    <w:rsid w:val="00AB08FF"/>
    <w:rsid w:val="00AB174E"/>
    <w:rsid w:val="00AB186A"/>
    <w:rsid w:val="00AB1979"/>
    <w:rsid w:val="00AB2D34"/>
    <w:rsid w:val="00AB3430"/>
    <w:rsid w:val="00AB357A"/>
    <w:rsid w:val="00AB4071"/>
    <w:rsid w:val="00AB4AD1"/>
    <w:rsid w:val="00AB7CFA"/>
    <w:rsid w:val="00AC045F"/>
    <w:rsid w:val="00AC3F14"/>
    <w:rsid w:val="00AC5B48"/>
    <w:rsid w:val="00AD124A"/>
    <w:rsid w:val="00AD36FE"/>
    <w:rsid w:val="00AD53A4"/>
    <w:rsid w:val="00AD5C4F"/>
    <w:rsid w:val="00AD6502"/>
    <w:rsid w:val="00AD71CE"/>
    <w:rsid w:val="00AE0BD0"/>
    <w:rsid w:val="00AE224D"/>
    <w:rsid w:val="00AE22DC"/>
    <w:rsid w:val="00AF0320"/>
    <w:rsid w:val="00AF1315"/>
    <w:rsid w:val="00AF13D2"/>
    <w:rsid w:val="00AF19BF"/>
    <w:rsid w:val="00AF2DC3"/>
    <w:rsid w:val="00AF3024"/>
    <w:rsid w:val="00B00F7C"/>
    <w:rsid w:val="00B033E5"/>
    <w:rsid w:val="00B03A63"/>
    <w:rsid w:val="00B03ECA"/>
    <w:rsid w:val="00B04167"/>
    <w:rsid w:val="00B0489B"/>
    <w:rsid w:val="00B04BA8"/>
    <w:rsid w:val="00B05B6F"/>
    <w:rsid w:val="00B06EDD"/>
    <w:rsid w:val="00B074ED"/>
    <w:rsid w:val="00B0777E"/>
    <w:rsid w:val="00B13C4B"/>
    <w:rsid w:val="00B16C11"/>
    <w:rsid w:val="00B201A4"/>
    <w:rsid w:val="00B20A76"/>
    <w:rsid w:val="00B20FEC"/>
    <w:rsid w:val="00B213A6"/>
    <w:rsid w:val="00B24DF6"/>
    <w:rsid w:val="00B270A8"/>
    <w:rsid w:val="00B275EB"/>
    <w:rsid w:val="00B27969"/>
    <w:rsid w:val="00B30A9D"/>
    <w:rsid w:val="00B30C35"/>
    <w:rsid w:val="00B30CCC"/>
    <w:rsid w:val="00B31B96"/>
    <w:rsid w:val="00B3362D"/>
    <w:rsid w:val="00B339A9"/>
    <w:rsid w:val="00B34FE2"/>
    <w:rsid w:val="00B357D8"/>
    <w:rsid w:val="00B37133"/>
    <w:rsid w:val="00B37588"/>
    <w:rsid w:val="00B37646"/>
    <w:rsid w:val="00B376DE"/>
    <w:rsid w:val="00B37BFC"/>
    <w:rsid w:val="00B40358"/>
    <w:rsid w:val="00B41614"/>
    <w:rsid w:val="00B42851"/>
    <w:rsid w:val="00B42F80"/>
    <w:rsid w:val="00B43597"/>
    <w:rsid w:val="00B435CB"/>
    <w:rsid w:val="00B4414C"/>
    <w:rsid w:val="00B4492E"/>
    <w:rsid w:val="00B467A4"/>
    <w:rsid w:val="00B50DB8"/>
    <w:rsid w:val="00B53654"/>
    <w:rsid w:val="00B53905"/>
    <w:rsid w:val="00B5428F"/>
    <w:rsid w:val="00B54888"/>
    <w:rsid w:val="00B54B5B"/>
    <w:rsid w:val="00B5562E"/>
    <w:rsid w:val="00B557D5"/>
    <w:rsid w:val="00B56BEE"/>
    <w:rsid w:val="00B57000"/>
    <w:rsid w:val="00B57202"/>
    <w:rsid w:val="00B60939"/>
    <w:rsid w:val="00B60AFD"/>
    <w:rsid w:val="00B62715"/>
    <w:rsid w:val="00B63AEE"/>
    <w:rsid w:val="00B733D0"/>
    <w:rsid w:val="00B74B15"/>
    <w:rsid w:val="00B75078"/>
    <w:rsid w:val="00B75F08"/>
    <w:rsid w:val="00B807D9"/>
    <w:rsid w:val="00B818A4"/>
    <w:rsid w:val="00B825DA"/>
    <w:rsid w:val="00B84117"/>
    <w:rsid w:val="00B84377"/>
    <w:rsid w:val="00B85023"/>
    <w:rsid w:val="00B85AA2"/>
    <w:rsid w:val="00B8649C"/>
    <w:rsid w:val="00B872D9"/>
    <w:rsid w:val="00B874B5"/>
    <w:rsid w:val="00B87F0A"/>
    <w:rsid w:val="00B90715"/>
    <w:rsid w:val="00B910FF"/>
    <w:rsid w:val="00B92BCC"/>
    <w:rsid w:val="00B92BCF"/>
    <w:rsid w:val="00B92D0B"/>
    <w:rsid w:val="00B93477"/>
    <w:rsid w:val="00B94945"/>
    <w:rsid w:val="00BA0461"/>
    <w:rsid w:val="00BA115D"/>
    <w:rsid w:val="00BA1FE7"/>
    <w:rsid w:val="00BA2362"/>
    <w:rsid w:val="00BA322D"/>
    <w:rsid w:val="00BA526F"/>
    <w:rsid w:val="00BB0BDD"/>
    <w:rsid w:val="00BB1A12"/>
    <w:rsid w:val="00BB2A73"/>
    <w:rsid w:val="00BB4ACC"/>
    <w:rsid w:val="00BB5844"/>
    <w:rsid w:val="00BB6070"/>
    <w:rsid w:val="00BB703E"/>
    <w:rsid w:val="00BB7405"/>
    <w:rsid w:val="00BB7D4A"/>
    <w:rsid w:val="00BC1EFD"/>
    <w:rsid w:val="00BC3631"/>
    <w:rsid w:val="00BC4450"/>
    <w:rsid w:val="00BC4FC8"/>
    <w:rsid w:val="00BC554F"/>
    <w:rsid w:val="00BC6E4C"/>
    <w:rsid w:val="00BD00E4"/>
    <w:rsid w:val="00BD05B0"/>
    <w:rsid w:val="00BD06CA"/>
    <w:rsid w:val="00BD22A3"/>
    <w:rsid w:val="00BD252F"/>
    <w:rsid w:val="00BD45AC"/>
    <w:rsid w:val="00BD481C"/>
    <w:rsid w:val="00BD5FA9"/>
    <w:rsid w:val="00BD68A3"/>
    <w:rsid w:val="00BD6938"/>
    <w:rsid w:val="00BD6CF3"/>
    <w:rsid w:val="00BE0438"/>
    <w:rsid w:val="00BE0480"/>
    <w:rsid w:val="00BE12C1"/>
    <w:rsid w:val="00BE1A9D"/>
    <w:rsid w:val="00BE1DDC"/>
    <w:rsid w:val="00BE2180"/>
    <w:rsid w:val="00BE21F2"/>
    <w:rsid w:val="00BE327F"/>
    <w:rsid w:val="00BE4275"/>
    <w:rsid w:val="00BE56AD"/>
    <w:rsid w:val="00BE7DA9"/>
    <w:rsid w:val="00BF0F8B"/>
    <w:rsid w:val="00BF0F95"/>
    <w:rsid w:val="00BF16E1"/>
    <w:rsid w:val="00BF1A05"/>
    <w:rsid w:val="00BF1B3C"/>
    <w:rsid w:val="00BF2433"/>
    <w:rsid w:val="00BF2AF8"/>
    <w:rsid w:val="00BF39CA"/>
    <w:rsid w:val="00BF3CAB"/>
    <w:rsid w:val="00BF4943"/>
    <w:rsid w:val="00BF61C9"/>
    <w:rsid w:val="00BF6C94"/>
    <w:rsid w:val="00BF73C7"/>
    <w:rsid w:val="00BF7AB7"/>
    <w:rsid w:val="00BF7DAC"/>
    <w:rsid w:val="00C00424"/>
    <w:rsid w:val="00C01BC2"/>
    <w:rsid w:val="00C025E0"/>
    <w:rsid w:val="00C04196"/>
    <w:rsid w:val="00C0463C"/>
    <w:rsid w:val="00C04D38"/>
    <w:rsid w:val="00C068D6"/>
    <w:rsid w:val="00C06EB4"/>
    <w:rsid w:val="00C11896"/>
    <w:rsid w:val="00C12C14"/>
    <w:rsid w:val="00C13C3A"/>
    <w:rsid w:val="00C146CB"/>
    <w:rsid w:val="00C1741A"/>
    <w:rsid w:val="00C176D4"/>
    <w:rsid w:val="00C200AA"/>
    <w:rsid w:val="00C20657"/>
    <w:rsid w:val="00C237ED"/>
    <w:rsid w:val="00C23927"/>
    <w:rsid w:val="00C23E98"/>
    <w:rsid w:val="00C24632"/>
    <w:rsid w:val="00C25418"/>
    <w:rsid w:val="00C25D9C"/>
    <w:rsid w:val="00C26D16"/>
    <w:rsid w:val="00C2778B"/>
    <w:rsid w:val="00C27C34"/>
    <w:rsid w:val="00C31649"/>
    <w:rsid w:val="00C326C5"/>
    <w:rsid w:val="00C33A7F"/>
    <w:rsid w:val="00C33D0F"/>
    <w:rsid w:val="00C34284"/>
    <w:rsid w:val="00C346FB"/>
    <w:rsid w:val="00C40385"/>
    <w:rsid w:val="00C407FA"/>
    <w:rsid w:val="00C43939"/>
    <w:rsid w:val="00C47492"/>
    <w:rsid w:val="00C475AA"/>
    <w:rsid w:val="00C475AB"/>
    <w:rsid w:val="00C47D29"/>
    <w:rsid w:val="00C50122"/>
    <w:rsid w:val="00C5169E"/>
    <w:rsid w:val="00C5248E"/>
    <w:rsid w:val="00C52FC6"/>
    <w:rsid w:val="00C53492"/>
    <w:rsid w:val="00C54C5C"/>
    <w:rsid w:val="00C55B9F"/>
    <w:rsid w:val="00C55FC7"/>
    <w:rsid w:val="00C56162"/>
    <w:rsid w:val="00C562BA"/>
    <w:rsid w:val="00C5737E"/>
    <w:rsid w:val="00C60120"/>
    <w:rsid w:val="00C6067D"/>
    <w:rsid w:val="00C6138D"/>
    <w:rsid w:val="00C616DB"/>
    <w:rsid w:val="00C624B9"/>
    <w:rsid w:val="00C63206"/>
    <w:rsid w:val="00C6503F"/>
    <w:rsid w:val="00C652E3"/>
    <w:rsid w:val="00C65576"/>
    <w:rsid w:val="00C657A9"/>
    <w:rsid w:val="00C659C7"/>
    <w:rsid w:val="00C66165"/>
    <w:rsid w:val="00C671C5"/>
    <w:rsid w:val="00C7151A"/>
    <w:rsid w:val="00C71F60"/>
    <w:rsid w:val="00C72241"/>
    <w:rsid w:val="00C72DB1"/>
    <w:rsid w:val="00C73BFE"/>
    <w:rsid w:val="00C750C8"/>
    <w:rsid w:val="00C7560F"/>
    <w:rsid w:val="00C80A0E"/>
    <w:rsid w:val="00C80DDB"/>
    <w:rsid w:val="00C8213F"/>
    <w:rsid w:val="00C8317C"/>
    <w:rsid w:val="00C87662"/>
    <w:rsid w:val="00C8797A"/>
    <w:rsid w:val="00C879A2"/>
    <w:rsid w:val="00C900B8"/>
    <w:rsid w:val="00C90C71"/>
    <w:rsid w:val="00C91C99"/>
    <w:rsid w:val="00C922B9"/>
    <w:rsid w:val="00C92363"/>
    <w:rsid w:val="00C931CF"/>
    <w:rsid w:val="00C938CF"/>
    <w:rsid w:val="00C941EA"/>
    <w:rsid w:val="00C956C6"/>
    <w:rsid w:val="00C9577C"/>
    <w:rsid w:val="00C9624D"/>
    <w:rsid w:val="00C969DA"/>
    <w:rsid w:val="00C97051"/>
    <w:rsid w:val="00CA10D9"/>
    <w:rsid w:val="00CA2C77"/>
    <w:rsid w:val="00CA3268"/>
    <w:rsid w:val="00CA444F"/>
    <w:rsid w:val="00CA4DD8"/>
    <w:rsid w:val="00CA5245"/>
    <w:rsid w:val="00CA71F4"/>
    <w:rsid w:val="00CA74FA"/>
    <w:rsid w:val="00CA7B09"/>
    <w:rsid w:val="00CB1DDF"/>
    <w:rsid w:val="00CB2F2A"/>
    <w:rsid w:val="00CB3CC2"/>
    <w:rsid w:val="00CB4C8A"/>
    <w:rsid w:val="00CB56BF"/>
    <w:rsid w:val="00CB577D"/>
    <w:rsid w:val="00CB5B1A"/>
    <w:rsid w:val="00CB600D"/>
    <w:rsid w:val="00CB636D"/>
    <w:rsid w:val="00CB6B22"/>
    <w:rsid w:val="00CB7F5F"/>
    <w:rsid w:val="00CC09DB"/>
    <w:rsid w:val="00CC1B23"/>
    <w:rsid w:val="00CC1B39"/>
    <w:rsid w:val="00CC1FF5"/>
    <w:rsid w:val="00CC36E6"/>
    <w:rsid w:val="00CC4770"/>
    <w:rsid w:val="00CC671A"/>
    <w:rsid w:val="00CC6AD2"/>
    <w:rsid w:val="00CC7234"/>
    <w:rsid w:val="00CD0456"/>
    <w:rsid w:val="00CD0DEE"/>
    <w:rsid w:val="00CD230A"/>
    <w:rsid w:val="00CD464B"/>
    <w:rsid w:val="00CD6ADC"/>
    <w:rsid w:val="00CE0D12"/>
    <w:rsid w:val="00CE2583"/>
    <w:rsid w:val="00CE366B"/>
    <w:rsid w:val="00CE3881"/>
    <w:rsid w:val="00CE434D"/>
    <w:rsid w:val="00CE54A2"/>
    <w:rsid w:val="00CE6274"/>
    <w:rsid w:val="00CE69A9"/>
    <w:rsid w:val="00CE6A5B"/>
    <w:rsid w:val="00CF0983"/>
    <w:rsid w:val="00CF2B48"/>
    <w:rsid w:val="00CF2B8D"/>
    <w:rsid w:val="00CF3F42"/>
    <w:rsid w:val="00CF456B"/>
    <w:rsid w:val="00CF5348"/>
    <w:rsid w:val="00CF5A22"/>
    <w:rsid w:val="00CF6003"/>
    <w:rsid w:val="00D00B2C"/>
    <w:rsid w:val="00D021AB"/>
    <w:rsid w:val="00D0237D"/>
    <w:rsid w:val="00D0262E"/>
    <w:rsid w:val="00D0674A"/>
    <w:rsid w:val="00D110BD"/>
    <w:rsid w:val="00D13675"/>
    <w:rsid w:val="00D13AC4"/>
    <w:rsid w:val="00D141E1"/>
    <w:rsid w:val="00D14527"/>
    <w:rsid w:val="00D15FB0"/>
    <w:rsid w:val="00D16021"/>
    <w:rsid w:val="00D16789"/>
    <w:rsid w:val="00D17D6C"/>
    <w:rsid w:val="00D17DC4"/>
    <w:rsid w:val="00D2042D"/>
    <w:rsid w:val="00D22E81"/>
    <w:rsid w:val="00D24B0E"/>
    <w:rsid w:val="00D24DEF"/>
    <w:rsid w:val="00D25498"/>
    <w:rsid w:val="00D255B2"/>
    <w:rsid w:val="00D2599A"/>
    <w:rsid w:val="00D26C20"/>
    <w:rsid w:val="00D2754D"/>
    <w:rsid w:val="00D27B27"/>
    <w:rsid w:val="00D27E97"/>
    <w:rsid w:val="00D31E2F"/>
    <w:rsid w:val="00D33067"/>
    <w:rsid w:val="00D33BE9"/>
    <w:rsid w:val="00D3535E"/>
    <w:rsid w:val="00D357FF"/>
    <w:rsid w:val="00D3601B"/>
    <w:rsid w:val="00D36B9D"/>
    <w:rsid w:val="00D40AD0"/>
    <w:rsid w:val="00D424C7"/>
    <w:rsid w:val="00D4358B"/>
    <w:rsid w:val="00D43B14"/>
    <w:rsid w:val="00D43B2A"/>
    <w:rsid w:val="00D4527F"/>
    <w:rsid w:val="00D4689B"/>
    <w:rsid w:val="00D47575"/>
    <w:rsid w:val="00D50447"/>
    <w:rsid w:val="00D5219D"/>
    <w:rsid w:val="00D550AC"/>
    <w:rsid w:val="00D56119"/>
    <w:rsid w:val="00D56196"/>
    <w:rsid w:val="00D60267"/>
    <w:rsid w:val="00D636E9"/>
    <w:rsid w:val="00D655D2"/>
    <w:rsid w:val="00D65745"/>
    <w:rsid w:val="00D7057B"/>
    <w:rsid w:val="00D70BF9"/>
    <w:rsid w:val="00D70F16"/>
    <w:rsid w:val="00D71377"/>
    <w:rsid w:val="00D73A89"/>
    <w:rsid w:val="00D742E8"/>
    <w:rsid w:val="00D749D0"/>
    <w:rsid w:val="00D75418"/>
    <w:rsid w:val="00D7552C"/>
    <w:rsid w:val="00D76A44"/>
    <w:rsid w:val="00D7799E"/>
    <w:rsid w:val="00D80FFE"/>
    <w:rsid w:val="00D815EF"/>
    <w:rsid w:val="00D817C4"/>
    <w:rsid w:val="00D824A6"/>
    <w:rsid w:val="00D827E9"/>
    <w:rsid w:val="00D83271"/>
    <w:rsid w:val="00D8387F"/>
    <w:rsid w:val="00D83F09"/>
    <w:rsid w:val="00D87472"/>
    <w:rsid w:val="00D91366"/>
    <w:rsid w:val="00D91923"/>
    <w:rsid w:val="00D91B5E"/>
    <w:rsid w:val="00D93753"/>
    <w:rsid w:val="00D939DD"/>
    <w:rsid w:val="00D94F30"/>
    <w:rsid w:val="00D95722"/>
    <w:rsid w:val="00D95B63"/>
    <w:rsid w:val="00D960A2"/>
    <w:rsid w:val="00D96544"/>
    <w:rsid w:val="00DA11F3"/>
    <w:rsid w:val="00DA1FAC"/>
    <w:rsid w:val="00DA2814"/>
    <w:rsid w:val="00DA3167"/>
    <w:rsid w:val="00DA3ACD"/>
    <w:rsid w:val="00DA464A"/>
    <w:rsid w:val="00DA4DC3"/>
    <w:rsid w:val="00DA4DD1"/>
    <w:rsid w:val="00DA77A5"/>
    <w:rsid w:val="00DB07EE"/>
    <w:rsid w:val="00DB1192"/>
    <w:rsid w:val="00DB2A3D"/>
    <w:rsid w:val="00DB2DCD"/>
    <w:rsid w:val="00DB484F"/>
    <w:rsid w:val="00DB4B85"/>
    <w:rsid w:val="00DB5053"/>
    <w:rsid w:val="00DC04F6"/>
    <w:rsid w:val="00DC1CF1"/>
    <w:rsid w:val="00DC211D"/>
    <w:rsid w:val="00DC3C57"/>
    <w:rsid w:val="00DC3FFC"/>
    <w:rsid w:val="00DC4164"/>
    <w:rsid w:val="00DC4FAE"/>
    <w:rsid w:val="00DC5501"/>
    <w:rsid w:val="00DC5B94"/>
    <w:rsid w:val="00DD1A59"/>
    <w:rsid w:val="00DD266D"/>
    <w:rsid w:val="00DD273C"/>
    <w:rsid w:val="00DD3F28"/>
    <w:rsid w:val="00DD4537"/>
    <w:rsid w:val="00DD4E15"/>
    <w:rsid w:val="00DD6E9F"/>
    <w:rsid w:val="00DE00F8"/>
    <w:rsid w:val="00DE12D9"/>
    <w:rsid w:val="00DE1308"/>
    <w:rsid w:val="00DE2B60"/>
    <w:rsid w:val="00DE3138"/>
    <w:rsid w:val="00DE37F8"/>
    <w:rsid w:val="00DE439D"/>
    <w:rsid w:val="00DE4A6E"/>
    <w:rsid w:val="00DE4FCB"/>
    <w:rsid w:val="00DE7832"/>
    <w:rsid w:val="00DE7B88"/>
    <w:rsid w:val="00DF14E2"/>
    <w:rsid w:val="00DF15FF"/>
    <w:rsid w:val="00DF18FC"/>
    <w:rsid w:val="00DF3124"/>
    <w:rsid w:val="00DF5C6E"/>
    <w:rsid w:val="00DF5D2B"/>
    <w:rsid w:val="00DF728B"/>
    <w:rsid w:val="00E00E8E"/>
    <w:rsid w:val="00E01ECA"/>
    <w:rsid w:val="00E0266F"/>
    <w:rsid w:val="00E05630"/>
    <w:rsid w:val="00E05D71"/>
    <w:rsid w:val="00E06DBB"/>
    <w:rsid w:val="00E075EF"/>
    <w:rsid w:val="00E10149"/>
    <w:rsid w:val="00E104D2"/>
    <w:rsid w:val="00E16372"/>
    <w:rsid w:val="00E20E4D"/>
    <w:rsid w:val="00E20ED6"/>
    <w:rsid w:val="00E21358"/>
    <w:rsid w:val="00E2249B"/>
    <w:rsid w:val="00E22A0D"/>
    <w:rsid w:val="00E23661"/>
    <w:rsid w:val="00E23CF4"/>
    <w:rsid w:val="00E274CB"/>
    <w:rsid w:val="00E2771E"/>
    <w:rsid w:val="00E27AA0"/>
    <w:rsid w:val="00E30E46"/>
    <w:rsid w:val="00E31BB1"/>
    <w:rsid w:val="00E32820"/>
    <w:rsid w:val="00E34948"/>
    <w:rsid w:val="00E37569"/>
    <w:rsid w:val="00E40702"/>
    <w:rsid w:val="00E40912"/>
    <w:rsid w:val="00E41C80"/>
    <w:rsid w:val="00E41E30"/>
    <w:rsid w:val="00E4249B"/>
    <w:rsid w:val="00E43D70"/>
    <w:rsid w:val="00E45902"/>
    <w:rsid w:val="00E466F3"/>
    <w:rsid w:val="00E47B2C"/>
    <w:rsid w:val="00E51560"/>
    <w:rsid w:val="00E52263"/>
    <w:rsid w:val="00E54347"/>
    <w:rsid w:val="00E55424"/>
    <w:rsid w:val="00E55BB5"/>
    <w:rsid w:val="00E56543"/>
    <w:rsid w:val="00E57464"/>
    <w:rsid w:val="00E57466"/>
    <w:rsid w:val="00E6011C"/>
    <w:rsid w:val="00E61CDF"/>
    <w:rsid w:val="00E64FE5"/>
    <w:rsid w:val="00E65E79"/>
    <w:rsid w:val="00E66BA2"/>
    <w:rsid w:val="00E67179"/>
    <w:rsid w:val="00E67416"/>
    <w:rsid w:val="00E7009E"/>
    <w:rsid w:val="00E702D7"/>
    <w:rsid w:val="00E70960"/>
    <w:rsid w:val="00E70D67"/>
    <w:rsid w:val="00E718B6"/>
    <w:rsid w:val="00E71C45"/>
    <w:rsid w:val="00E723BA"/>
    <w:rsid w:val="00E72502"/>
    <w:rsid w:val="00E731EE"/>
    <w:rsid w:val="00E73581"/>
    <w:rsid w:val="00E74A90"/>
    <w:rsid w:val="00E75120"/>
    <w:rsid w:val="00E82726"/>
    <w:rsid w:val="00E82B16"/>
    <w:rsid w:val="00E83391"/>
    <w:rsid w:val="00E833F7"/>
    <w:rsid w:val="00E83BDF"/>
    <w:rsid w:val="00E83E99"/>
    <w:rsid w:val="00E850E0"/>
    <w:rsid w:val="00E85774"/>
    <w:rsid w:val="00E8684F"/>
    <w:rsid w:val="00E8697C"/>
    <w:rsid w:val="00E87A1D"/>
    <w:rsid w:val="00E91877"/>
    <w:rsid w:val="00E926A5"/>
    <w:rsid w:val="00E95CFB"/>
    <w:rsid w:val="00E96403"/>
    <w:rsid w:val="00E977A7"/>
    <w:rsid w:val="00EA07E6"/>
    <w:rsid w:val="00EA134C"/>
    <w:rsid w:val="00EA17C3"/>
    <w:rsid w:val="00EA2CAA"/>
    <w:rsid w:val="00EA2E7B"/>
    <w:rsid w:val="00EA307E"/>
    <w:rsid w:val="00EA3864"/>
    <w:rsid w:val="00EA747D"/>
    <w:rsid w:val="00EA7AA9"/>
    <w:rsid w:val="00EB0CB0"/>
    <w:rsid w:val="00EB149B"/>
    <w:rsid w:val="00EB15B6"/>
    <w:rsid w:val="00EB1B48"/>
    <w:rsid w:val="00EB3BD7"/>
    <w:rsid w:val="00EB4361"/>
    <w:rsid w:val="00EB4916"/>
    <w:rsid w:val="00EB610C"/>
    <w:rsid w:val="00EB6132"/>
    <w:rsid w:val="00EB6A8B"/>
    <w:rsid w:val="00EC00C9"/>
    <w:rsid w:val="00EC010A"/>
    <w:rsid w:val="00EC079A"/>
    <w:rsid w:val="00EC2649"/>
    <w:rsid w:val="00EC2B36"/>
    <w:rsid w:val="00EC3837"/>
    <w:rsid w:val="00EC52B6"/>
    <w:rsid w:val="00EC65AB"/>
    <w:rsid w:val="00EC7736"/>
    <w:rsid w:val="00ED0176"/>
    <w:rsid w:val="00ED06A2"/>
    <w:rsid w:val="00ED11B7"/>
    <w:rsid w:val="00ED16C9"/>
    <w:rsid w:val="00ED4438"/>
    <w:rsid w:val="00ED57EA"/>
    <w:rsid w:val="00ED6785"/>
    <w:rsid w:val="00ED7A8E"/>
    <w:rsid w:val="00EE07D3"/>
    <w:rsid w:val="00EE22AF"/>
    <w:rsid w:val="00EE365D"/>
    <w:rsid w:val="00EE4736"/>
    <w:rsid w:val="00EE4B9C"/>
    <w:rsid w:val="00EE6549"/>
    <w:rsid w:val="00EE7D7F"/>
    <w:rsid w:val="00EF0171"/>
    <w:rsid w:val="00EF0A86"/>
    <w:rsid w:val="00EF0C58"/>
    <w:rsid w:val="00EF1919"/>
    <w:rsid w:val="00EF1B25"/>
    <w:rsid w:val="00EF4747"/>
    <w:rsid w:val="00EF49A7"/>
    <w:rsid w:val="00EF4BF8"/>
    <w:rsid w:val="00EF5E95"/>
    <w:rsid w:val="00EF64CC"/>
    <w:rsid w:val="00EF6888"/>
    <w:rsid w:val="00EF6C9D"/>
    <w:rsid w:val="00EF794D"/>
    <w:rsid w:val="00F009B1"/>
    <w:rsid w:val="00F0154E"/>
    <w:rsid w:val="00F020DC"/>
    <w:rsid w:val="00F02253"/>
    <w:rsid w:val="00F03C2E"/>
    <w:rsid w:val="00F0406D"/>
    <w:rsid w:val="00F047F7"/>
    <w:rsid w:val="00F04A66"/>
    <w:rsid w:val="00F0516C"/>
    <w:rsid w:val="00F067A2"/>
    <w:rsid w:val="00F104F7"/>
    <w:rsid w:val="00F1263A"/>
    <w:rsid w:val="00F126A2"/>
    <w:rsid w:val="00F13F94"/>
    <w:rsid w:val="00F147EE"/>
    <w:rsid w:val="00F1576B"/>
    <w:rsid w:val="00F220E0"/>
    <w:rsid w:val="00F223D5"/>
    <w:rsid w:val="00F24385"/>
    <w:rsid w:val="00F24837"/>
    <w:rsid w:val="00F251E5"/>
    <w:rsid w:val="00F2575F"/>
    <w:rsid w:val="00F26B2E"/>
    <w:rsid w:val="00F26ED1"/>
    <w:rsid w:val="00F27565"/>
    <w:rsid w:val="00F2780D"/>
    <w:rsid w:val="00F30F41"/>
    <w:rsid w:val="00F310D4"/>
    <w:rsid w:val="00F31D5A"/>
    <w:rsid w:val="00F330C6"/>
    <w:rsid w:val="00F33B4D"/>
    <w:rsid w:val="00F33DE9"/>
    <w:rsid w:val="00F35ED1"/>
    <w:rsid w:val="00F3619A"/>
    <w:rsid w:val="00F36535"/>
    <w:rsid w:val="00F36537"/>
    <w:rsid w:val="00F409E6"/>
    <w:rsid w:val="00F40AAA"/>
    <w:rsid w:val="00F40BA7"/>
    <w:rsid w:val="00F40D7A"/>
    <w:rsid w:val="00F41966"/>
    <w:rsid w:val="00F42CB9"/>
    <w:rsid w:val="00F42FC8"/>
    <w:rsid w:val="00F4328B"/>
    <w:rsid w:val="00F46CB6"/>
    <w:rsid w:val="00F46EF8"/>
    <w:rsid w:val="00F47DE8"/>
    <w:rsid w:val="00F5115D"/>
    <w:rsid w:val="00F51FAA"/>
    <w:rsid w:val="00F52193"/>
    <w:rsid w:val="00F521C7"/>
    <w:rsid w:val="00F521EC"/>
    <w:rsid w:val="00F52796"/>
    <w:rsid w:val="00F53551"/>
    <w:rsid w:val="00F536CE"/>
    <w:rsid w:val="00F542C1"/>
    <w:rsid w:val="00F55227"/>
    <w:rsid w:val="00F55D84"/>
    <w:rsid w:val="00F55E73"/>
    <w:rsid w:val="00F55EDA"/>
    <w:rsid w:val="00F5641A"/>
    <w:rsid w:val="00F57730"/>
    <w:rsid w:val="00F5794E"/>
    <w:rsid w:val="00F60092"/>
    <w:rsid w:val="00F60CEF"/>
    <w:rsid w:val="00F612A6"/>
    <w:rsid w:val="00F62D1D"/>
    <w:rsid w:val="00F635B5"/>
    <w:rsid w:val="00F65239"/>
    <w:rsid w:val="00F65F4B"/>
    <w:rsid w:val="00F66286"/>
    <w:rsid w:val="00F66DE6"/>
    <w:rsid w:val="00F70010"/>
    <w:rsid w:val="00F704A0"/>
    <w:rsid w:val="00F704ED"/>
    <w:rsid w:val="00F70C9D"/>
    <w:rsid w:val="00F71DC2"/>
    <w:rsid w:val="00F7359F"/>
    <w:rsid w:val="00F74CD9"/>
    <w:rsid w:val="00F75995"/>
    <w:rsid w:val="00F76620"/>
    <w:rsid w:val="00F76949"/>
    <w:rsid w:val="00F80A7B"/>
    <w:rsid w:val="00F80E5D"/>
    <w:rsid w:val="00F83CAA"/>
    <w:rsid w:val="00F851CE"/>
    <w:rsid w:val="00F85656"/>
    <w:rsid w:val="00F85834"/>
    <w:rsid w:val="00F870CA"/>
    <w:rsid w:val="00F8734E"/>
    <w:rsid w:val="00F91219"/>
    <w:rsid w:val="00F9209D"/>
    <w:rsid w:val="00F95E34"/>
    <w:rsid w:val="00F963D0"/>
    <w:rsid w:val="00F97A78"/>
    <w:rsid w:val="00FA0B20"/>
    <w:rsid w:val="00FA1D40"/>
    <w:rsid w:val="00FA24E7"/>
    <w:rsid w:val="00FA2A0A"/>
    <w:rsid w:val="00FA3108"/>
    <w:rsid w:val="00FA7EA6"/>
    <w:rsid w:val="00FA7FD9"/>
    <w:rsid w:val="00FB12E5"/>
    <w:rsid w:val="00FB2138"/>
    <w:rsid w:val="00FB2FCB"/>
    <w:rsid w:val="00FB3DAB"/>
    <w:rsid w:val="00FB44A2"/>
    <w:rsid w:val="00FB5345"/>
    <w:rsid w:val="00FB5787"/>
    <w:rsid w:val="00FB59F7"/>
    <w:rsid w:val="00FB68E3"/>
    <w:rsid w:val="00FC1074"/>
    <w:rsid w:val="00FC1884"/>
    <w:rsid w:val="00FC2906"/>
    <w:rsid w:val="00FC3623"/>
    <w:rsid w:val="00FC371D"/>
    <w:rsid w:val="00FC3A91"/>
    <w:rsid w:val="00FC5C6D"/>
    <w:rsid w:val="00FC5DC4"/>
    <w:rsid w:val="00FC5F0B"/>
    <w:rsid w:val="00FC62E9"/>
    <w:rsid w:val="00FC792C"/>
    <w:rsid w:val="00FD1382"/>
    <w:rsid w:val="00FD2100"/>
    <w:rsid w:val="00FD39C1"/>
    <w:rsid w:val="00FD436C"/>
    <w:rsid w:val="00FD446D"/>
    <w:rsid w:val="00FD49D6"/>
    <w:rsid w:val="00FD4D73"/>
    <w:rsid w:val="00FD6394"/>
    <w:rsid w:val="00FE0C0B"/>
    <w:rsid w:val="00FE0E6C"/>
    <w:rsid w:val="00FE1B6A"/>
    <w:rsid w:val="00FE2C66"/>
    <w:rsid w:val="00FE3B5B"/>
    <w:rsid w:val="00FE70C3"/>
    <w:rsid w:val="00FE79B1"/>
    <w:rsid w:val="00FF2C8C"/>
    <w:rsid w:val="00FF3DCF"/>
    <w:rsid w:val="00FF492C"/>
    <w:rsid w:val="00FF4A21"/>
    <w:rsid w:val="00FF51AD"/>
    <w:rsid w:val="00FF598B"/>
    <w:rsid w:val="00FF5AA3"/>
    <w:rsid w:val="00FF5AD8"/>
    <w:rsid w:val="00FF6BA1"/>
    <w:rsid w:val="00FF6D55"/>
    <w:rsid w:val="00FF772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30E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BA7"/>
    <w:pPr>
      <w:widowControl w:val="0"/>
      <w:jc w:val="both"/>
    </w:pPr>
    <w:rPr>
      <w:rFonts w:ascii="Calibri" w:hAnsi="Calibri" w:cs="Arial"/>
      <w:snapToGrid w:val="0"/>
      <w:sz w:val="24"/>
      <w:szCs w:val="22"/>
      <w:lang w:eastAsia="en-US"/>
    </w:rPr>
  </w:style>
  <w:style w:type="paragraph" w:styleId="Heading1">
    <w:name w:val="heading 1"/>
    <w:basedOn w:val="PBACHeading1"/>
    <w:next w:val="Normal"/>
    <w:link w:val="Heading1Char"/>
    <w:qFormat/>
    <w:rsid w:val="00067969"/>
    <w:pPr>
      <w:keepNext/>
      <w:keepLines/>
      <w:spacing w:before="240"/>
      <w:outlineLvl w:val="0"/>
    </w:pPr>
  </w:style>
  <w:style w:type="paragraph" w:styleId="Heading2">
    <w:name w:val="heading 2"/>
    <w:basedOn w:val="Normal"/>
    <w:next w:val="Normal"/>
    <w:link w:val="Heading2Char"/>
    <w:qFormat/>
    <w:rsid w:val="00067969"/>
    <w:pPr>
      <w:keepNext/>
      <w:keepLines/>
      <w:widowControl/>
      <w:spacing w:before="120" w:after="120"/>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67969"/>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Bayer,Bayer Caption1,IB Caption1,Medical Caption1,Bayer Caption2,IB Caption2,Medical Caption2,Bayer Caption3,IB Caption3,Medical Caption3,Bayer Caption4"/>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Bayer Char,Bayer Caption1 Char,IB Caption1 Char,Medical Caption1 Char,Bayer Caption2 Char,IB Caption2 Char"/>
    <w:link w:val="Caption"/>
    <w:uiPriority w:val="35"/>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Bullet point,List Paragraph11,Recommendation"/>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Bullet point Char,List Paragraph11 Char,Recommendation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spacing w:after="0"/>
      <w:ind w:left="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A35DC"/>
    <w:pPr>
      <w:numPr>
        <w:numId w:val="3"/>
      </w:numPr>
      <w:spacing w:before="120" w:after="1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Default">
    <w:name w:val="Default"/>
    <w:rsid w:val="006D0365"/>
    <w:pPr>
      <w:autoSpaceDE w:val="0"/>
      <w:autoSpaceDN w:val="0"/>
      <w:adjustRightInd w:val="0"/>
    </w:pPr>
    <w:rPr>
      <w:color w:val="000000"/>
      <w:sz w:val="24"/>
      <w:szCs w:val="24"/>
      <w:lang w:val="en-US" w:eastAsia="en-US"/>
    </w:rPr>
  </w:style>
  <w:style w:type="paragraph" w:styleId="FootnoteText">
    <w:name w:val="footnote text"/>
    <w:basedOn w:val="Normal"/>
    <w:link w:val="FootnoteTextChar"/>
    <w:uiPriority w:val="99"/>
    <w:unhideWhenUsed/>
    <w:rsid w:val="00AB4071"/>
    <w:pPr>
      <w:widowControl/>
    </w:pPr>
    <w:rPr>
      <w:rFonts w:eastAsiaTheme="minorHAnsi" w:cstheme="minorBidi"/>
      <w:snapToGrid/>
      <w:sz w:val="20"/>
      <w:szCs w:val="20"/>
    </w:rPr>
  </w:style>
  <w:style w:type="character" w:customStyle="1" w:styleId="FootnoteTextChar">
    <w:name w:val="Footnote Text Char"/>
    <w:basedOn w:val="DefaultParagraphFont"/>
    <w:link w:val="FootnoteText"/>
    <w:uiPriority w:val="99"/>
    <w:rsid w:val="00AB4071"/>
    <w:rPr>
      <w:rFonts w:ascii="Calibri" w:eastAsiaTheme="minorHAnsi" w:hAnsi="Calibri" w:cstheme="minorBidi"/>
      <w:lang w:eastAsia="en-US"/>
    </w:rPr>
  </w:style>
  <w:style w:type="paragraph" w:customStyle="1" w:styleId="V50Instructions">
    <w:name w:val="V5.0 Instructions"/>
    <w:basedOn w:val="Normal"/>
    <w:link w:val="V50InstructionsChar"/>
    <w:qFormat/>
    <w:rsid w:val="00AB4071"/>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AB4071"/>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link w:val="TableTextChar0"/>
    <w:qFormat/>
    <w:rsid w:val="00AB4071"/>
    <w:pPr>
      <w:keepNext/>
      <w:widowControl/>
      <w:spacing w:before="40" w:after="40"/>
      <w:jc w:val="left"/>
    </w:pPr>
    <w:rPr>
      <w:rFonts w:ascii="Arial Narrow" w:eastAsiaTheme="minorHAnsi" w:hAnsi="Arial Narrow" w:cstheme="minorBidi"/>
      <w:snapToGrid/>
      <w:sz w:val="20"/>
    </w:rPr>
  </w:style>
  <w:style w:type="paragraph" w:customStyle="1" w:styleId="SyneviNormal">
    <w:name w:val="Synevi Normal"/>
    <w:basedOn w:val="Normal"/>
    <w:link w:val="SyneviNormalChar"/>
    <w:qFormat/>
    <w:rsid w:val="00AB4071"/>
    <w:pPr>
      <w:widowControl/>
      <w:spacing w:line="360" w:lineRule="auto"/>
    </w:pPr>
    <w:rPr>
      <w:rFonts w:asciiTheme="minorHAnsi" w:hAnsiTheme="minorHAnsi" w:cs="Times New Roman"/>
      <w:snapToGrid/>
      <w:sz w:val="22"/>
      <w:szCs w:val="20"/>
      <w:lang w:val="en-US"/>
    </w:rPr>
  </w:style>
  <w:style w:type="character" w:customStyle="1" w:styleId="SyneviNormalChar">
    <w:name w:val="Synevi Normal Char"/>
    <w:basedOn w:val="DefaultParagraphFont"/>
    <w:link w:val="SyneviNormal"/>
    <w:rsid w:val="00AB4071"/>
    <w:rPr>
      <w:rFonts w:asciiTheme="minorHAnsi" w:hAnsiTheme="minorHAnsi"/>
      <w:sz w:val="22"/>
      <w:lang w:val="en-US" w:eastAsia="en-US"/>
    </w:rPr>
  </w:style>
  <w:style w:type="paragraph" w:customStyle="1" w:styleId="Normalbullet">
    <w:name w:val="Normal bullet"/>
    <w:basedOn w:val="Normal"/>
    <w:rsid w:val="00AB4071"/>
    <w:pPr>
      <w:widowControl/>
      <w:numPr>
        <w:numId w:val="11"/>
      </w:numPr>
      <w:spacing w:line="360" w:lineRule="auto"/>
    </w:pPr>
    <w:rPr>
      <w:rFonts w:ascii="Arial" w:eastAsia="Calibri" w:hAnsi="Arial" w:cs="Times New Roman"/>
      <w:snapToGrid/>
      <w:sz w:val="22"/>
      <w:szCs w:val="24"/>
    </w:rPr>
  </w:style>
  <w:style w:type="paragraph" w:customStyle="1" w:styleId="V50InstructionsBullets">
    <w:name w:val="V5.0 Instructions Bullets"/>
    <w:basedOn w:val="V50Instructions"/>
    <w:qFormat/>
    <w:rsid w:val="00AB4071"/>
    <w:pPr>
      <w:spacing w:before="0" w:after="0"/>
      <w:ind w:left="714" w:hanging="357"/>
    </w:p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B4071"/>
    <w:pPr>
      <w:widowControl/>
      <w:spacing w:after="160" w:line="240" w:lineRule="exact"/>
      <w:jc w:val="left"/>
    </w:pPr>
    <w:rPr>
      <w:rFonts w:ascii="Verdana" w:eastAsia="MS Mincho" w:hAnsi="Verdana" w:cs="Verdana"/>
      <w:snapToGrid/>
      <w:sz w:val="20"/>
      <w:szCs w:val="20"/>
      <w:lang w:val="en-US"/>
    </w:rPr>
  </w:style>
  <w:style w:type="table" w:customStyle="1" w:styleId="Summarybox6">
    <w:name w:val="Summary box6"/>
    <w:basedOn w:val="TableNormal"/>
    <w:next w:val="TableGrid"/>
    <w:uiPriority w:val="59"/>
    <w:rsid w:val="00B907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67969"/>
    <w:rPr>
      <w:rFonts w:ascii="Calibri" w:hAnsi="Calibri" w:cs="Arial"/>
      <w:b/>
      <w:snapToGrid w:val="0"/>
      <w:sz w:val="32"/>
      <w:szCs w:val="22"/>
      <w:lang w:eastAsia="en-US"/>
    </w:rPr>
  </w:style>
  <w:style w:type="character" w:customStyle="1" w:styleId="Heading3Char">
    <w:name w:val="Heading 3 Char"/>
    <w:basedOn w:val="DefaultParagraphFont"/>
    <w:link w:val="Heading3"/>
    <w:rsid w:val="009D1469"/>
    <w:rPr>
      <w:rFonts w:ascii="Calibri" w:hAnsi="Calibri" w:cs="Arial"/>
      <w:snapToGrid w:val="0"/>
      <w:sz w:val="24"/>
      <w:szCs w:val="22"/>
      <w:u w:val="single"/>
      <w:lang w:eastAsia="en-US"/>
    </w:rPr>
  </w:style>
  <w:style w:type="character" w:customStyle="1" w:styleId="Heading4Char">
    <w:name w:val="Heading 4 Char"/>
    <w:basedOn w:val="DefaultParagraphFont"/>
    <w:link w:val="Heading4"/>
    <w:rsid w:val="009D1469"/>
    <w:rPr>
      <w:rFonts w:ascii="Calibri" w:hAnsi="Calibri" w:cs="Arial"/>
      <w:b/>
      <w:bCs/>
      <w:i/>
      <w:snapToGrid w:val="0"/>
      <w:sz w:val="26"/>
      <w:szCs w:val="28"/>
      <w:lang w:eastAsia="en-US"/>
    </w:rPr>
  </w:style>
  <w:style w:type="character" w:customStyle="1" w:styleId="Heading5Char">
    <w:name w:val="Heading 5 Char"/>
    <w:basedOn w:val="DefaultParagraphFont"/>
    <w:link w:val="Heading5"/>
    <w:rsid w:val="009D1469"/>
    <w:rPr>
      <w:rFonts w:ascii="Calibri" w:hAnsi="Calibri" w:cs="Arial"/>
      <w:b/>
      <w:bCs/>
      <w:iCs/>
      <w:snapToGrid w:val="0"/>
      <w:sz w:val="26"/>
      <w:szCs w:val="26"/>
      <w:lang w:eastAsia="en-US"/>
    </w:rPr>
  </w:style>
  <w:style w:type="character" w:customStyle="1" w:styleId="Heading6Char">
    <w:name w:val="Heading 6 Char"/>
    <w:basedOn w:val="DefaultParagraphFont"/>
    <w:link w:val="Heading6"/>
    <w:rsid w:val="009D1469"/>
    <w:rPr>
      <w:rFonts w:ascii="Calibri" w:hAnsi="Calibri" w:cs="Arial"/>
      <w:b/>
      <w:bCs/>
      <w:i/>
      <w:snapToGrid w:val="0"/>
      <w:sz w:val="24"/>
      <w:szCs w:val="22"/>
      <w:lang w:eastAsia="en-US"/>
    </w:rPr>
  </w:style>
  <w:style w:type="character" w:styleId="FootnoteReference">
    <w:name w:val="footnote reference"/>
    <w:basedOn w:val="DefaultParagraphFont"/>
    <w:uiPriority w:val="99"/>
    <w:semiHidden/>
    <w:unhideWhenUsed/>
    <w:rsid w:val="009D1469"/>
    <w:rPr>
      <w:vertAlign w:val="superscript"/>
    </w:rPr>
  </w:style>
  <w:style w:type="table" w:customStyle="1" w:styleId="TableGrid7">
    <w:name w:val="Table Grid7"/>
    <w:basedOn w:val="TableNormal"/>
    <w:next w:val="TableGrid"/>
    <w:uiPriority w:val="59"/>
    <w:rsid w:val="009D14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mmarybox2">
    <w:name w:val="Summary box2"/>
    <w:basedOn w:val="TableNormal"/>
    <w:uiPriority w:val="59"/>
    <w:rsid w:val="009D14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
    <w:name w:val="Char Char2 Char"/>
    <w:basedOn w:val="Normal"/>
    <w:rsid w:val="00E702D7"/>
    <w:pPr>
      <w:widowControl/>
      <w:spacing w:after="160" w:line="240" w:lineRule="exact"/>
      <w:jc w:val="left"/>
    </w:pPr>
    <w:rPr>
      <w:rFonts w:ascii="Verdana" w:eastAsia="SimSun" w:hAnsi="Verdana" w:cs="Verdana"/>
      <w:snapToGrid/>
      <w:sz w:val="20"/>
      <w:szCs w:val="20"/>
      <w:lang w:val="en-US"/>
    </w:rPr>
  </w:style>
  <w:style w:type="paragraph" w:customStyle="1" w:styleId="EndNoteBibliographyTitle">
    <w:name w:val="EndNote Bibliography Title"/>
    <w:basedOn w:val="Normal"/>
    <w:link w:val="EndNoteBibliographyTitleChar"/>
    <w:rsid w:val="00794276"/>
    <w:pPr>
      <w:jc w:val="center"/>
    </w:pPr>
    <w:rPr>
      <w:noProof/>
      <w:lang w:val="en-US"/>
    </w:rPr>
  </w:style>
  <w:style w:type="character" w:customStyle="1" w:styleId="EndNoteBibliographyTitleChar">
    <w:name w:val="EndNote Bibliography Title Char"/>
    <w:basedOn w:val="Heading2Char"/>
    <w:link w:val="EndNoteBibliographyTitle"/>
    <w:rsid w:val="00794276"/>
    <w:rPr>
      <w:rFonts w:ascii="Calibri" w:hAnsi="Calibri" w:cs="Arial"/>
      <w:b w:val="0"/>
      <w:i w:val="0"/>
      <w:noProof/>
      <w:snapToGrid w:val="0"/>
      <w:sz w:val="24"/>
      <w:szCs w:val="22"/>
      <w:lang w:val="en-US" w:eastAsia="en-US"/>
    </w:rPr>
  </w:style>
  <w:style w:type="paragraph" w:customStyle="1" w:styleId="EndNoteBibliography">
    <w:name w:val="EndNote Bibliography"/>
    <w:basedOn w:val="Normal"/>
    <w:link w:val="EndNoteBibliographyChar"/>
    <w:rsid w:val="00794276"/>
    <w:rPr>
      <w:noProof/>
      <w:lang w:val="en-US"/>
    </w:rPr>
  </w:style>
  <w:style w:type="character" w:customStyle="1" w:styleId="EndNoteBibliographyChar">
    <w:name w:val="EndNote Bibliography Char"/>
    <w:basedOn w:val="Heading2Char"/>
    <w:link w:val="EndNoteBibliography"/>
    <w:rsid w:val="00794276"/>
    <w:rPr>
      <w:rFonts w:ascii="Calibri" w:hAnsi="Calibri" w:cs="Arial"/>
      <w:b w:val="0"/>
      <w:i w:val="0"/>
      <w:noProof/>
      <w:snapToGrid w:val="0"/>
      <w:sz w:val="24"/>
      <w:szCs w:val="22"/>
      <w:lang w:val="en-US" w:eastAsia="en-US"/>
    </w:rPr>
  </w:style>
  <w:style w:type="paragraph" w:customStyle="1" w:styleId="TableHeading0">
    <w:name w:val="Table Heading"/>
    <w:basedOn w:val="Normal"/>
    <w:qFormat/>
    <w:rsid w:val="005D737B"/>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link w:val="TableText0"/>
    <w:rsid w:val="005D737B"/>
    <w:rPr>
      <w:rFonts w:ascii="Arial Narrow" w:eastAsiaTheme="minorHAnsi" w:hAnsi="Arial Narrow"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85269">
      <w:bodyDiv w:val="1"/>
      <w:marLeft w:val="0"/>
      <w:marRight w:val="0"/>
      <w:marTop w:val="0"/>
      <w:marBottom w:val="0"/>
      <w:divBdr>
        <w:top w:val="none" w:sz="0" w:space="0" w:color="auto"/>
        <w:left w:val="none" w:sz="0" w:space="0" w:color="auto"/>
        <w:bottom w:val="none" w:sz="0" w:space="0" w:color="auto"/>
        <w:right w:val="none" w:sz="0" w:space="0" w:color="auto"/>
      </w:divBdr>
    </w:div>
    <w:div w:id="199972626">
      <w:bodyDiv w:val="1"/>
      <w:marLeft w:val="0"/>
      <w:marRight w:val="0"/>
      <w:marTop w:val="0"/>
      <w:marBottom w:val="0"/>
      <w:divBdr>
        <w:top w:val="none" w:sz="0" w:space="0" w:color="auto"/>
        <w:left w:val="none" w:sz="0" w:space="0" w:color="auto"/>
        <w:bottom w:val="none" w:sz="0" w:space="0" w:color="auto"/>
        <w:right w:val="none" w:sz="0" w:space="0" w:color="auto"/>
      </w:divBdr>
    </w:div>
    <w:div w:id="327635991">
      <w:bodyDiv w:val="1"/>
      <w:marLeft w:val="0"/>
      <w:marRight w:val="0"/>
      <w:marTop w:val="0"/>
      <w:marBottom w:val="0"/>
      <w:divBdr>
        <w:top w:val="none" w:sz="0" w:space="0" w:color="auto"/>
        <w:left w:val="none" w:sz="0" w:space="0" w:color="auto"/>
        <w:bottom w:val="none" w:sz="0" w:space="0" w:color="auto"/>
        <w:right w:val="none" w:sz="0" w:space="0" w:color="auto"/>
      </w:divBdr>
    </w:div>
    <w:div w:id="576405080">
      <w:bodyDiv w:val="1"/>
      <w:marLeft w:val="0"/>
      <w:marRight w:val="0"/>
      <w:marTop w:val="0"/>
      <w:marBottom w:val="0"/>
      <w:divBdr>
        <w:top w:val="none" w:sz="0" w:space="0" w:color="auto"/>
        <w:left w:val="none" w:sz="0" w:space="0" w:color="auto"/>
        <w:bottom w:val="none" w:sz="0" w:space="0" w:color="auto"/>
        <w:right w:val="none" w:sz="0" w:space="0" w:color="auto"/>
      </w:divBdr>
    </w:div>
    <w:div w:id="617951084">
      <w:bodyDiv w:val="1"/>
      <w:marLeft w:val="0"/>
      <w:marRight w:val="0"/>
      <w:marTop w:val="0"/>
      <w:marBottom w:val="0"/>
      <w:divBdr>
        <w:top w:val="none" w:sz="0" w:space="0" w:color="auto"/>
        <w:left w:val="none" w:sz="0" w:space="0" w:color="auto"/>
        <w:bottom w:val="none" w:sz="0" w:space="0" w:color="auto"/>
        <w:right w:val="none" w:sz="0" w:space="0" w:color="auto"/>
      </w:divBdr>
    </w:div>
    <w:div w:id="787356407">
      <w:bodyDiv w:val="1"/>
      <w:marLeft w:val="0"/>
      <w:marRight w:val="0"/>
      <w:marTop w:val="0"/>
      <w:marBottom w:val="0"/>
      <w:divBdr>
        <w:top w:val="none" w:sz="0" w:space="0" w:color="auto"/>
        <w:left w:val="none" w:sz="0" w:space="0" w:color="auto"/>
        <w:bottom w:val="none" w:sz="0" w:space="0" w:color="auto"/>
        <w:right w:val="none" w:sz="0" w:space="0" w:color="auto"/>
      </w:divBdr>
    </w:div>
    <w:div w:id="1060522270">
      <w:bodyDiv w:val="1"/>
      <w:marLeft w:val="0"/>
      <w:marRight w:val="0"/>
      <w:marTop w:val="0"/>
      <w:marBottom w:val="0"/>
      <w:divBdr>
        <w:top w:val="none" w:sz="0" w:space="0" w:color="auto"/>
        <w:left w:val="none" w:sz="0" w:space="0" w:color="auto"/>
        <w:bottom w:val="none" w:sz="0" w:space="0" w:color="auto"/>
        <w:right w:val="none" w:sz="0" w:space="0" w:color="auto"/>
      </w:divBdr>
    </w:div>
    <w:div w:id="1184591061">
      <w:bodyDiv w:val="1"/>
      <w:marLeft w:val="0"/>
      <w:marRight w:val="0"/>
      <w:marTop w:val="0"/>
      <w:marBottom w:val="0"/>
      <w:divBdr>
        <w:top w:val="none" w:sz="0" w:space="0" w:color="auto"/>
        <w:left w:val="none" w:sz="0" w:space="0" w:color="auto"/>
        <w:bottom w:val="none" w:sz="0" w:space="0" w:color="auto"/>
        <w:right w:val="none" w:sz="0" w:space="0" w:color="auto"/>
      </w:divBdr>
    </w:div>
    <w:div w:id="1282414994">
      <w:bodyDiv w:val="1"/>
      <w:marLeft w:val="0"/>
      <w:marRight w:val="0"/>
      <w:marTop w:val="0"/>
      <w:marBottom w:val="0"/>
      <w:divBdr>
        <w:top w:val="none" w:sz="0" w:space="0" w:color="auto"/>
        <w:left w:val="none" w:sz="0" w:space="0" w:color="auto"/>
        <w:bottom w:val="none" w:sz="0" w:space="0" w:color="auto"/>
        <w:right w:val="none" w:sz="0" w:space="0" w:color="auto"/>
      </w:divBdr>
    </w:div>
    <w:div w:id="1334456504">
      <w:bodyDiv w:val="1"/>
      <w:marLeft w:val="0"/>
      <w:marRight w:val="0"/>
      <w:marTop w:val="0"/>
      <w:marBottom w:val="0"/>
      <w:divBdr>
        <w:top w:val="none" w:sz="0" w:space="0" w:color="auto"/>
        <w:left w:val="none" w:sz="0" w:space="0" w:color="auto"/>
        <w:bottom w:val="none" w:sz="0" w:space="0" w:color="auto"/>
        <w:right w:val="none" w:sz="0" w:space="0" w:color="auto"/>
      </w:divBdr>
    </w:div>
    <w:div w:id="1371997173">
      <w:bodyDiv w:val="1"/>
      <w:marLeft w:val="0"/>
      <w:marRight w:val="0"/>
      <w:marTop w:val="0"/>
      <w:marBottom w:val="0"/>
      <w:divBdr>
        <w:top w:val="none" w:sz="0" w:space="0" w:color="auto"/>
        <w:left w:val="none" w:sz="0" w:space="0" w:color="auto"/>
        <w:bottom w:val="none" w:sz="0" w:space="0" w:color="auto"/>
        <w:right w:val="none" w:sz="0" w:space="0" w:color="auto"/>
      </w:divBdr>
    </w:div>
    <w:div w:id="1408268398">
      <w:bodyDiv w:val="1"/>
      <w:marLeft w:val="0"/>
      <w:marRight w:val="0"/>
      <w:marTop w:val="0"/>
      <w:marBottom w:val="0"/>
      <w:divBdr>
        <w:top w:val="none" w:sz="0" w:space="0" w:color="auto"/>
        <w:left w:val="none" w:sz="0" w:space="0" w:color="auto"/>
        <w:bottom w:val="none" w:sz="0" w:space="0" w:color="auto"/>
        <w:right w:val="none" w:sz="0" w:space="0" w:color="auto"/>
      </w:divBdr>
    </w:div>
    <w:div w:id="1463495464">
      <w:bodyDiv w:val="1"/>
      <w:marLeft w:val="0"/>
      <w:marRight w:val="0"/>
      <w:marTop w:val="0"/>
      <w:marBottom w:val="0"/>
      <w:divBdr>
        <w:top w:val="none" w:sz="0" w:space="0" w:color="auto"/>
        <w:left w:val="none" w:sz="0" w:space="0" w:color="auto"/>
        <w:bottom w:val="none" w:sz="0" w:space="0" w:color="auto"/>
        <w:right w:val="none" w:sz="0" w:space="0" w:color="auto"/>
      </w:divBdr>
    </w:div>
    <w:div w:id="1709255453">
      <w:bodyDiv w:val="1"/>
      <w:marLeft w:val="0"/>
      <w:marRight w:val="0"/>
      <w:marTop w:val="0"/>
      <w:marBottom w:val="0"/>
      <w:divBdr>
        <w:top w:val="none" w:sz="0" w:space="0" w:color="auto"/>
        <w:left w:val="none" w:sz="0" w:space="0" w:color="auto"/>
        <w:bottom w:val="none" w:sz="0" w:space="0" w:color="auto"/>
        <w:right w:val="none" w:sz="0" w:space="0" w:color="auto"/>
      </w:divBdr>
    </w:div>
    <w:div w:id="1844465009">
      <w:bodyDiv w:val="1"/>
      <w:marLeft w:val="0"/>
      <w:marRight w:val="0"/>
      <w:marTop w:val="0"/>
      <w:marBottom w:val="0"/>
      <w:divBdr>
        <w:top w:val="none" w:sz="0" w:space="0" w:color="auto"/>
        <w:left w:val="none" w:sz="0" w:space="0" w:color="auto"/>
        <w:bottom w:val="none" w:sz="0" w:space="0" w:color="auto"/>
        <w:right w:val="none" w:sz="0" w:space="0" w:color="auto"/>
      </w:divBdr>
    </w:div>
    <w:div w:id="194086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mp"/><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B8099-6FD0-4335-95DD-E10BA4238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9235</Words>
  <Characters>51984</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2019-02-22T00:07:00Z</dcterms:created>
  <dcterms:modified xsi:type="dcterms:W3CDTF">2019-02-25T04:44:00Z</dcterms:modified>
</cp:coreProperties>
</file>