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498" w:rsidRDefault="005E468A" w:rsidP="00C12C14">
      <w:pPr>
        <w:rPr>
          <w:b/>
          <w:sz w:val="36"/>
          <w:szCs w:val="36"/>
        </w:rPr>
      </w:pPr>
      <w:bookmarkStart w:id="0" w:name="_GoBack"/>
      <w:bookmarkEnd w:id="0"/>
      <w:r>
        <w:rPr>
          <w:b/>
          <w:sz w:val="36"/>
          <w:szCs w:val="36"/>
        </w:rPr>
        <w:t>6.05</w:t>
      </w:r>
      <w:r w:rsidR="00B60939" w:rsidRPr="00C12C14">
        <w:rPr>
          <w:b/>
          <w:sz w:val="36"/>
          <w:szCs w:val="36"/>
        </w:rPr>
        <w:tab/>
      </w:r>
      <w:r w:rsidR="00894A6C">
        <w:rPr>
          <w:b/>
          <w:sz w:val="36"/>
          <w:szCs w:val="36"/>
        </w:rPr>
        <w:t>PEMBROLIZUMAB</w:t>
      </w:r>
      <w:r w:rsidR="00894A6C" w:rsidRPr="00C12C14">
        <w:rPr>
          <w:b/>
          <w:sz w:val="36"/>
          <w:szCs w:val="36"/>
        </w:rPr>
        <w:t xml:space="preserve">, </w:t>
      </w:r>
    </w:p>
    <w:p w:rsidR="003B5205" w:rsidRDefault="00052498" w:rsidP="00052498">
      <w:pPr>
        <w:ind w:left="720"/>
        <w:rPr>
          <w:b/>
          <w:sz w:val="36"/>
          <w:szCs w:val="36"/>
        </w:rPr>
      </w:pPr>
      <w:r>
        <w:rPr>
          <w:b/>
          <w:sz w:val="36"/>
          <w:szCs w:val="36"/>
        </w:rPr>
        <w:t>S</w:t>
      </w:r>
      <w:r w:rsidR="00894A6C">
        <w:rPr>
          <w:b/>
          <w:sz w:val="36"/>
          <w:szCs w:val="36"/>
        </w:rPr>
        <w:t>olution for I.V. infusion</w:t>
      </w:r>
      <w:r w:rsidR="00FD1A67">
        <w:rPr>
          <w:b/>
          <w:sz w:val="36"/>
          <w:szCs w:val="36"/>
        </w:rPr>
        <w:t>,</w:t>
      </w:r>
      <w:r w:rsidR="00894A6C">
        <w:rPr>
          <w:b/>
          <w:sz w:val="36"/>
          <w:szCs w:val="36"/>
        </w:rPr>
        <w:t xml:space="preserve"> 100</w:t>
      </w:r>
      <w:r w:rsidR="005E468A">
        <w:rPr>
          <w:b/>
          <w:sz w:val="36"/>
          <w:szCs w:val="36"/>
        </w:rPr>
        <w:t xml:space="preserve"> </w:t>
      </w:r>
      <w:r w:rsidR="00894A6C">
        <w:rPr>
          <w:b/>
          <w:sz w:val="36"/>
          <w:szCs w:val="36"/>
        </w:rPr>
        <w:t>mg in 4</w:t>
      </w:r>
      <w:r w:rsidR="005E468A">
        <w:rPr>
          <w:b/>
          <w:sz w:val="36"/>
          <w:szCs w:val="36"/>
        </w:rPr>
        <w:t xml:space="preserve"> </w:t>
      </w:r>
      <w:r w:rsidR="00894A6C">
        <w:rPr>
          <w:b/>
          <w:sz w:val="36"/>
          <w:szCs w:val="36"/>
        </w:rPr>
        <w:t xml:space="preserve">mL, </w:t>
      </w:r>
    </w:p>
    <w:p w:rsidR="00052498" w:rsidRDefault="00894A6C" w:rsidP="00052498">
      <w:pPr>
        <w:ind w:left="720"/>
        <w:rPr>
          <w:b/>
          <w:sz w:val="36"/>
          <w:szCs w:val="36"/>
        </w:rPr>
      </w:pPr>
      <w:proofErr w:type="spellStart"/>
      <w:r>
        <w:rPr>
          <w:b/>
          <w:sz w:val="36"/>
          <w:szCs w:val="36"/>
        </w:rPr>
        <w:t>Keytruda</w:t>
      </w:r>
      <w:proofErr w:type="spellEnd"/>
      <w:r>
        <w:rPr>
          <w:b/>
          <w:sz w:val="36"/>
          <w:szCs w:val="36"/>
        </w:rPr>
        <w:t xml:space="preserve">®, </w:t>
      </w:r>
    </w:p>
    <w:p w:rsidR="00B60939" w:rsidRPr="00C12C14" w:rsidRDefault="00894A6C" w:rsidP="00052498">
      <w:pPr>
        <w:ind w:left="720"/>
        <w:rPr>
          <w:b/>
          <w:sz w:val="36"/>
          <w:szCs w:val="36"/>
        </w:rPr>
      </w:pPr>
      <w:r>
        <w:rPr>
          <w:b/>
          <w:sz w:val="36"/>
          <w:szCs w:val="36"/>
        </w:rPr>
        <w:t xml:space="preserve">Merck Sharp &amp; </w:t>
      </w:r>
      <w:proofErr w:type="spellStart"/>
      <w:r>
        <w:rPr>
          <w:b/>
          <w:sz w:val="36"/>
          <w:szCs w:val="36"/>
        </w:rPr>
        <w:t>Dohme</w:t>
      </w:r>
      <w:proofErr w:type="spellEnd"/>
      <w:r>
        <w:rPr>
          <w:b/>
          <w:sz w:val="36"/>
          <w:szCs w:val="36"/>
        </w:rPr>
        <w:t xml:space="preserve"> (Australia) Pty Limited</w:t>
      </w:r>
    </w:p>
    <w:p w:rsidR="00675F6E" w:rsidRPr="00882085" w:rsidRDefault="00675F6E" w:rsidP="00EE432A">
      <w:pPr>
        <w:pStyle w:val="PBACHeading1"/>
        <w:spacing w:before="240" w:after="120"/>
        <w:ind w:left="720"/>
      </w:pPr>
      <w:bookmarkStart w:id="1" w:name="_Toc523840724"/>
      <w:r w:rsidRPr="00407F2D">
        <w:t>Purpose of Application</w:t>
      </w:r>
      <w:bookmarkEnd w:id="1"/>
    </w:p>
    <w:p w:rsidR="00675F6E" w:rsidRPr="008B1757" w:rsidRDefault="00675F6E" w:rsidP="00675F6E">
      <w:pPr>
        <w:pStyle w:val="ListParagraph"/>
        <w:widowControl/>
        <w:numPr>
          <w:ilvl w:val="1"/>
          <w:numId w:val="3"/>
        </w:numPr>
        <w:spacing w:after="160"/>
      </w:pPr>
      <w:r>
        <w:t xml:space="preserve">The submission requested a </w:t>
      </w:r>
      <w:r w:rsidRPr="004B3DDB">
        <w:t>Section 100</w:t>
      </w:r>
      <w:r>
        <w:t xml:space="preserve"> (Streamlined), Efficient Funding of Chemotherapy </w:t>
      </w:r>
      <w:r w:rsidRPr="004B3DDB">
        <w:t xml:space="preserve">listing for </w:t>
      </w:r>
      <w:proofErr w:type="spellStart"/>
      <w:r>
        <w:t>pembrolizumab</w:t>
      </w:r>
      <w:proofErr w:type="spellEnd"/>
      <w:r>
        <w:t xml:space="preserve"> as an adjuvant treatment for completely resected Stage III melanoma. </w:t>
      </w:r>
      <w:proofErr w:type="spellStart"/>
      <w:r>
        <w:t>Pembrolizumab</w:t>
      </w:r>
      <w:proofErr w:type="spellEnd"/>
      <w:r>
        <w:t xml:space="preserve"> has not been considered by the PBAC for this indication previously.</w:t>
      </w:r>
    </w:p>
    <w:p w:rsidR="00675F6E" w:rsidRDefault="00675F6E" w:rsidP="00675F6E">
      <w:pPr>
        <w:pStyle w:val="ListParagraph"/>
        <w:widowControl/>
        <w:numPr>
          <w:ilvl w:val="1"/>
          <w:numId w:val="3"/>
        </w:numPr>
        <w:spacing w:after="160"/>
      </w:pPr>
      <w:r>
        <w:t xml:space="preserve">The requested listing was based on a cost-utility analysis of </w:t>
      </w:r>
      <w:proofErr w:type="spellStart"/>
      <w:r>
        <w:t>pembrolizumab</w:t>
      </w:r>
      <w:proofErr w:type="spellEnd"/>
      <w:r>
        <w:t xml:space="preserve"> compared with observation (or placebo). The key components of the clinical issues addressed by the submission are summarised below.</w:t>
      </w:r>
    </w:p>
    <w:p w:rsidR="00675F6E" w:rsidRDefault="00675F6E" w:rsidP="003900F5">
      <w:pPr>
        <w:pStyle w:val="Caption"/>
        <w:rPr>
          <w:rStyle w:val="CommentReference"/>
          <w:b/>
        </w:rPr>
      </w:pPr>
      <w:r w:rsidRPr="0053298D">
        <w:rPr>
          <w:rStyle w:val="CommentReference"/>
          <w:b/>
        </w:rPr>
        <w:t xml:space="preserve">Table </w:t>
      </w:r>
      <w:r w:rsidR="0075422A">
        <w:rPr>
          <w:rStyle w:val="CommentReference"/>
          <w:b/>
          <w:noProof/>
        </w:rPr>
        <w:t>1</w:t>
      </w:r>
      <w:r w:rsidRPr="0053298D">
        <w:rPr>
          <w:rStyle w:val="CommentReference"/>
          <w:b/>
        </w:rPr>
        <w:t>:  Key components of the clinical issue addressed by the 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88"/>
      </w:tblGrid>
      <w:tr w:rsidR="00675F6E" w:rsidRPr="00A518F3" w:rsidTr="002F1BB8">
        <w:tc>
          <w:tcPr>
            <w:tcW w:w="1560" w:type="dxa"/>
            <w:vAlign w:val="center"/>
          </w:tcPr>
          <w:p w:rsidR="00675F6E" w:rsidRPr="00A518F3" w:rsidRDefault="00675F6E" w:rsidP="003900F5">
            <w:pPr>
              <w:pStyle w:val="Tabletext"/>
              <w:keepNext/>
              <w:rPr>
                <w:b/>
              </w:rPr>
            </w:pPr>
            <w:r w:rsidRPr="00A518F3">
              <w:rPr>
                <w:b/>
              </w:rPr>
              <w:t>Component</w:t>
            </w:r>
          </w:p>
        </w:tc>
        <w:tc>
          <w:tcPr>
            <w:tcW w:w="7488" w:type="dxa"/>
            <w:vAlign w:val="center"/>
          </w:tcPr>
          <w:p w:rsidR="00675F6E" w:rsidRPr="00A518F3" w:rsidRDefault="00675F6E" w:rsidP="003900F5">
            <w:pPr>
              <w:pStyle w:val="Tabletext"/>
              <w:keepNext/>
              <w:jc w:val="center"/>
              <w:rPr>
                <w:b/>
              </w:rPr>
            </w:pPr>
            <w:r w:rsidRPr="00A518F3">
              <w:rPr>
                <w:b/>
              </w:rPr>
              <w:t>Description</w:t>
            </w:r>
          </w:p>
        </w:tc>
      </w:tr>
      <w:tr w:rsidR="00675F6E" w:rsidTr="002F1BB8">
        <w:tc>
          <w:tcPr>
            <w:tcW w:w="1560" w:type="dxa"/>
            <w:vAlign w:val="center"/>
          </w:tcPr>
          <w:p w:rsidR="00675F6E" w:rsidRDefault="00675F6E" w:rsidP="003900F5">
            <w:pPr>
              <w:pStyle w:val="Tabletext"/>
              <w:keepNext/>
            </w:pPr>
            <w:r>
              <w:t>Population</w:t>
            </w:r>
          </w:p>
        </w:tc>
        <w:tc>
          <w:tcPr>
            <w:tcW w:w="7488" w:type="dxa"/>
            <w:vAlign w:val="center"/>
          </w:tcPr>
          <w:p w:rsidR="00675F6E" w:rsidRDefault="00675F6E" w:rsidP="003900F5">
            <w:pPr>
              <w:pStyle w:val="Tabletext"/>
              <w:keepNext/>
            </w:pPr>
            <w:r>
              <w:t>P</w:t>
            </w:r>
            <w:r w:rsidRPr="00B84B44">
              <w:t xml:space="preserve">atients with completely resected Stage III </w:t>
            </w:r>
            <w:r>
              <w:t xml:space="preserve">malignant </w:t>
            </w:r>
            <w:r w:rsidRPr="00B84B44">
              <w:t>melanoma</w:t>
            </w:r>
          </w:p>
        </w:tc>
      </w:tr>
      <w:tr w:rsidR="00675F6E" w:rsidTr="002F1BB8">
        <w:tc>
          <w:tcPr>
            <w:tcW w:w="1560" w:type="dxa"/>
            <w:vAlign w:val="center"/>
          </w:tcPr>
          <w:p w:rsidR="00675F6E" w:rsidRDefault="00675F6E" w:rsidP="003900F5">
            <w:pPr>
              <w:pStyle w:val="Tabletext"/>
              <w:keepNext/>
            </w:pPr>
            <w:r>
              <w:t>Intervention</w:t>
            </w:r>
          </w:p>
        </w:tc>
        <w:tc>
          <w:tcPr>
            <w:tcW w:w="7488" w:type="dxa"/>
            <w:vAlign w:val="center"/>
          </w:tcPr>
          <w:p w:rsidR="00675F6E" w:rsidRDefault="00675F6E" w:rsidP="003900F5">
            <w:pPr>
              <w:pStyle w:val="Tabletext"/>
              <w:keepNext/>
            </w:pPr>
            <w:proofErr w:type="spellStart"/>
            <w:r>
              <w:t>Pembrolizumab</w:t>
            </w:r>
            <w:proofErr w:type="spellEnd"/>
            <w:r>
              <w:t xml:space="preserve"> 200</w:t>
            </w:r>
            <w:r w:rsidR="00764779">
              <w:t xml:space="preserve"> </w:t>
            </w:r>
            <w:r>
              <w:t>mg intravenous infusion</w:t>
            </w:r>
            <w:r w:rsidRPr="00B84B44">
              <w:t xml:space="preserve"> every 3 weeks, maximum of 18 cycles</w:t>
            </w:r>
          </w:p>
        </w:tc>
      </w:tr>
      <w:tr w:rsidR="00675F6E" w:rsidTr="002F1BB8">
        <w:tc>
          <w:tcPr>
            <w:tcW w:w="1560" w:type="dxa"/>
            <w:vAlign w:val="center"/>
          </w:tcPr>
          <w:p w:rsidR="00675F6E" w:rsidRDefault="00675F6E" w:rsidP="003900F5">
            <w:pPr>
              <w:pStyle w:val="Tabletext"/>
              <w:keepNext/>
            </w:pPr>
            <w:r>
              <w:t>Comparator</w:t>
            </w:r>
          </w:p>
        </w:tc>
        <w:tc>
          <w:tcPr>
            <w:tcW w:w="7488" w:type="dxa"/>
            <w:vAlign w:val="center"/>
          </w:tcPr>
          <w:p w:rsidR="00675F6E" w:rsidRPr="00E3280A" w:rsidRDefault="00675F6E" w:rsidP="003900F5">
            <w:pPr>
              <w:pStyle w:val="Tabletext"/>
              <w:keepNext/>
            </w:pPr>
            <w:r>
              <w:t xml:space="preserve">Main comparator: </w:t>
            </w:r>
            <w:r w:rsidR="00A72CE3">
              <w:t>observation (or placebo</w:t>
            </w:r>
            <w:r>
              <w:t>)</w:t>
            </w:r>
          </w:p>
          <w:p w:rsidR="00675F6E" w:rsidRDefault="00FC5DC0" w:rsidP="003900F5">
            <w:pPr>
              <w:pStyle w:val="Tabletext"/>
              <w:keepNext/>
            </w:pPr>
            <w:r>
              <w:t>Near-</w:t>
            </w:r>
            <w:r w:rsidR="00F55EE9">
              <w:t xml:space="preserve">market </w:t>
            </w:r>
            <w:r w:rsidR="00675F6E">
              <w:t xml:space="preserve">comparators: </w:t>
            </w:r>
          </w:p>
          <w:p w:rsidR="00675F6E" w:rsidRDefault="00675F6E" w:rsidP="00C6669B">
            <w:pPr>
              <w:pStyle w:val="Tabletext"/>
              <w:keepNext/>
              <w:numPr>
                <w:ilvl w:val="0"/>
                <w:numId w:val="6"/>
              </w:numPr>
            </w:pPr>
            <w:proofErr w:type="spellStart"/>
            <w:r>
              <w:t>Nivolumab</w:t>
            </w:r>
            <w:proofErr w:type="spellEnd"/>
          </w:p>
          <w:p w:rsidR="00675F6E" w:rsidRDefault="006C63F7" w:rsidP="00C6669B">
            <w:pPr>
              <w:pStyle w:val="Tabletext"/>
              <w:keepNext/>
              <w:numPr>
                <w:ilvl w:val="0"/>
                <w:numId w:val="6"/>
              </w:numPr>
            </w:pPr>
            <w:proofErr w:type="spellStart"/>
            <w:r>
              <w:t>D</w:t>
            </w:r>
            <w:r w:rsidR="00675F6E">
              <w:t>abrafenib</w:t>
            </w:r>
            <w:r w:rsidR="004E4D3B">
              <w:t>+</w:t>
            </w:r>
            <w:r w:rsidR="00675F6E">
              <w:t>trametinib</w:t>
            </w:r>
            <w:proofErr w:type="spellEnd"/>
            <w:r w:rsidR="00675F6E">
              <w:t xml:space="preserve"> (for BRAF </w:t>
            </w:r>
            <w:r w:rsidR="00A3287D">
              <w:t>mutation positive</w:t>
            </w:r>
            <w:r w:rsidR="00675F6E">
              <w:t xml:space="preserve"> patients)</w:t>
            </w:r>
          </w:p>
        </w:tc>
      </w:tr>
      <w:tr w:rsidR="00675F6E" w:rsidTr="002F1BB8">
        <w:tc>
          <w:tcPr>
            <w:tcW w:w="1560" w:type="dxa"/>
            <w:vAlign w:val="center"/>
          </w:tcPr>
          <w:p w:rsidR="00675F6E" w:rsidRDefault="00675F6E" w:rsidP="003900F5">
            <w:pPr>
              <w:pStyle w:val="Tabletext"/>
              <w:keepNext/>
            </w:pPr>
            <w:r>
              <w:t>Outcomes</w:t>
            </w:r>
          </w:p>
        </w:tc>
        <w:tc>
          <w:tcPr>
            <w:tcW w:w="7488" w:type="dxa"/>
            <w:vAlign w:val="center"/>
          </w:tcPr>
          <w:p w:rsidR="009B5FCF" w:rsidRDefault="00675F6E" w:rsidP="009B5FCF">
            <w:pPr>
              <w:pStyle w:val="Tabletext"/>
              <w:keepNext/>
            </w:pPr>
            <w:r>
              <w:t>Primary out</w:t>
            </w:r>
            <w:r w:rsidR="009B5FCF">
              <w:t xml:space="preserve">come: recurrence-free survival </w:t>
            </w:r>
          </w:p>
          <w:p w:rsidR="00675F6E" w:rsidRDefault="00675F6E" w:rsidP="009B5FCF">
            <w:pPr>
              <w:pStyle w:val="Tabletext"/>
              <w:keepNext/>
            </w:pPr>
            <w:r>
              <w:t xml:space="preserve">Secondary outcomes: </w:t>
            </w:r>
            <w:r w:rsidR="00A3287D">
              <w:t>d</w:t>
            </w:r>
            <w:r w:rsidR="00A3287D" w:rsidRPr="00A3287D">
              <w:t>istant metastasis-free survival</w:t>
            </w:r>
            <w:r>
              <w:t>, ov</w:t>
            </w:r>
            <w:r w:rsidR="009B5FCF">
              <w:t>erall survival</w:t>
            </w:r>
            <w:r>
              <w:t xml:space="preserve">. </w:t>
            </w:r>
            <w:r w:rsidR="009B5FCF">
              <w:br/>
            </w:r>
            <w:r>
              <w:t>Safety: all-cause and treatment</w:t>
            </w:r>
            <w:r w:rsidR="00A3287D">
              <w:t>-</w:t>
            </w:r>
            <w:r>
              <w:t>related adverse events</w:t>
            </w:r>
          </w:p>
        </w:tc>
      </w:tr>
      <w:tr w:rsidR="00675F6E" w:rsidTr="002F1BB8">
        <w:tc>
          <w:tcPr>
            <w:tcW w:w="1560" w:type="dxa"/>
            <w:vAlign w:val="center"/>
          </w:tcPr>
          <w:p w:rsidR="00675F6E" w:rsidRDefault="00675F6E" w:rsidP="003900F5">
            <w:pPr>
              <w:pStyle w:val="Tabletext"/>
              <w:keepNext/>
            </w:pPr>
            <w:r>
              <w:t>Clinical claim</w:t>
            </w:r>
          </w:p>
        </w:tc>
        <w:tc>
          <w:tcPr>
            <w:tcW w:w="7488" w:type="dxa"/>
            <w:vAlign w:val="center"/>
          </w:tcPr>
          <w:p w:rsidR="00675F6E" w:rsidRDefault="00675F6E" w:rsidP="003900F5">
            <w:pPr>
              <w:pStyle w:val="Tabletext"/>
              <w:keepNext/>
            </w:pPr>
            <w:r w:rsidRPr="00B84B44">
              <w:t xml:space="preserve">In patients with resected Stage III melanoma, </w:t>
            </w:r>
            <w:proofErr w:type="spellStart"/>
            <w:r w:rsidRPr="00B84B44">
              <w:t>pembrolizumab</w:t>
            </w:r>
            <w:proofErr w:type="spellEnd"/>
            <w:r w:rsidRPr="00B84B44">
              <w:t xml:space="preserve"> is more effective than placebo on the basis of reducing the risk of recurrence, reducing the risk of distant metastases and fewer deaths. In terms of safety, overall</w:t>
            </w:r>
            <w:r>
              <w:t>,</w:t>
            </w:r>
            <w:r w:rsidRPr="00B84B44">
              <w:t xml:space="preserve"> </w:t>
            </w:r>
            <w:proofErr w:type="spellStart"/>
            <w:r w:rsidRPr="00B84B44">
              <w:t>pembrolizumab</w:t>
            </w:r>
            <w:proofErr w:type="spellEnd"/>
            <w:r w:rsidRPr="00B84B44">
              <w:t xml:space="preserve"> was well tolerated. Although more adverse events were observed for </w:t>
            </w:r>
            <w:proofErr w:type="spellStart"/>
            <w:r w:rsidRPr="00B84B44">
              <w:t>pembrolizumab</w:t>
            </w:r>
            <w:proofErr w:type="spellEnd"/>
            <w:r w:rsidRPr="00B84B44">
              <w:t xml:space="preserve"> compared with placebo, they were manageable and consistent with the safety profile for </w:t>
            </w:r>
            <w:proofErr w:type="spellStart"/>
            <w:r w:rsidRPr="00B84B44">
              <w:t>pembrolizumab</w:t>
            </w:r>
            <w:proofErr w:type="spellEnd"/>
            <w:r w:rsidRPr="00B84B44">
              <w:t xml:space="preserve"> in other settings.</w:t>
            </w:r>
          </w:p>
        </w:tc>
      </w:tr>
    </w:tbl>
    <w:p w:rsidR="00F1313B" w:rsidRDefault="00675F6E" w:rsidP="00FC7B39">
      <w:pPr>
        <w:pStyle w:val="TableFooter"/>
        <w:spacing w:after="240"/>
      </w:pPr>
      <w:r>
        <w:t xml:space="preserve">Source: Table 1-1, pp11-12 </w:t>
      </w:r>
      <w:r w:rsidRPr="00D13A3E">
        <w:t xml:space="preserve">of the </w:t>
      </w:r>
      <w:r w:rsidR="00150AF4">
        <w:t>submission.</w:t>
      </w:r>
    </w:p>
    <w:p w:rsidR="00F1313B" w:rsidRPr="00F1313B" w:rsidRDefault="00F1313B" w:rsidP="00EE432A">
      <w:pPr>
        <w:spacing w:after="240"/>
        <w:rPr>
          <w:i/>
        </w:rPr>
      </w:pPr>
      <w:r>
        <w:tab/>
      </w:r>
      <w:r w:rsidRPr="00F1313B">
        <w:rPr>
          <w:i/>
        </w:rPr>
        <w:t xml:space="preserve">For </w:t>
      </w:r>
      <w:r>
        <w:rPr>
          <w:i/>
        </w:rPr>
        <w:t>more</w:t>
      </w:r>
      <w:r w:rsidRPr="00F1313B">
        <w:rPr>
          <w:i/>
        </w:rPr>
        <w:t xml:space="preserve"> detail on PBAC’s view, see Section 7 PBAC outcome.</w:t>
      </w:r>
    </w:p>
    <w:p w:rsidR="006011A1" w:rsidRDefault="00675F6E" w:rsidP="00EE432A">
      <w:pPr>
        <w:pStyle w:val="PBACHeading1"/>
        <w:spacing w:after="120"/>
        <w:ind w:left="720"/>
      </w:pPr>
      <w:bookmarkStart w:id="2" w:name="_Toc523840725"/>
      <w:r w:rsidRPr="00407F2D">
        <w:t>Requested listing</w:t>
      </w:r>
      <w:bookmarkEnd w:id="2"/>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34"/>
        <w:gridCol w:w="809"/>
        <w:gridCol w:w="1515"/>
        <w:gridCol w:w="953"/>
        <w:gridCol w:w="2257"/>
        <w:gridCol w:w="1659"/>
      </w:tblGrid>
      <w:tr w:rsidR="00675F6E" w:rsidRPr="003D1DE4" w:rsidTr="001E2884">
        <w:tc>
          <w:tcPr>
            <w:tcW w:w="1464" w:type="pct"/>
            <w:gridSpan w:val="2"/>
          </w:tcPr>
          <w:p w:rsidR="00675F6E" w:rsidRPr="003D1DE4" w:rsidRDefault="00675F6E" w:rsidP="00675F6E">
            <w:pPr>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839" w:type="pct"/>
          </w:tcPr>
          <w:p w:rsidR="00675F6E" w:rsidRPr="003D1DE4" w:rsidRDefault="00675F6E" w:rsidP="00675F6E">
            <w:pPr>
              <w:jc w:val="center"/>
              <w:rPr>
                <w:rFonts w:ascii="Arial Narrow" w:hAnsi="Arial Narrow"/>
                <w:b/>
                <w:sz w:val="20"/>
                <w:szCs w:val="20"/>
              </w:rPr>
            </w:pPr>
            <w:r w:rsidRPr="003D1DE4">
              <w:rPr>
                <w:rFonts w:ascii="Arial Narrow" w:hAnsi="Arial Narrow"/>
                <w:b/>
                <w:sz w:val="20"/>
                <w:szCs w:val="20"/>
              </w:rPr>
              <w:t>Maximum amount (units)</w:t>
            </w:r>
          </w:p>
        </w:tc>
        <w:tc>
          <w:tcPr>
            <w:tcW w:w="528" w:type="pct"/>
          </w:tcPr>
          <w:p w:rsidR="00675F6E" w:rsidRPr="003D1DE4" w:rsidRDefault="00675F6E" w:rsidP="00675F6E">
            <w:pPr>
              <w:jc w:val="center"/>
              <w:rPr>
                <w:rFonts w:ascii="Arial Narrow" w:hAnsi="Arial Narrow"/>
                <w:b/>
                <w:sz w:val="20"/>
                <w:szCs w:val="20"/>
              </w:rPr>
            </w:pPr>
            <w:r w:rsidRPr="003D1DE4">
              <w:rPr>
                <w:rFonts w:ascii="Arial Narrow" w:hAnsi="Arial Narrow"/>
                <w:b/>
                <w:sz w:val="20"/>
                <w:szCs w:val="20"/>
              </w:rPr>
              <w:t>No. of repeats</w:t>
            </w:r>
          </w:p>
        </w:tc>
        <w:tc>
          <w:tcPr>
            <w:tcW w:w="1250" w:type="pct"/>
          </w:tcPr>
          <w:p w:rsidR="00675F6E" w:rsidRPr="003D1DE4" w:rsidRDefault="00675F6E" w:rsidP="00675F6E">
            <w:pPr>
              <w:jc w:val="left"/>
              <w:rPr>
                <w:rFonts w:ascii="Arial Narrow" w:hAnsi="Arial Narrow"/>
                <w:b/>
                <w:sz w:val="20"/>
                <w:szCs w:val="20"/>
              </w:rPr>
            </w:pPr>
            <w:r w:rsidRPr="003D1DE4">
              <w:rPr>
                <w:rFonts w:ascii="Arial Narrow" w:hAnsi="Arial Narrow"/>
                <w:b/>
                <w:sz w:val="20"/>
                <w:szCs w:val="20"/>
              </w:rPr>
              <w:t>Dispensed price for maximum amount</w:t>
            </w:r>
          </w:p>
        </w:tc>
        <w:tc>
          <w:tcPr>
            <w:tcW w:w="919" w:type="pct"/>
          </w:tcPr>
          <w:p w:rsidR="00675F6E" w:rsidRPr="003D1DE4" w:rsidRDefault="00675F6E" w:rsidP="00675F6E">
            <w:pPr>
              <w:rPr>
                <w:rFonts w:ascii="Arial Narrow" w:hAnsi="Arial Narrow"/>
                <w:b/>
                <w:sz w:val="20"/>
                <w:szCs w:val="20"/>
              </w:rPr>
            </w:pPr>
            <w:r w:rsidRPr="003D1DE4">
              <w:rPr>
                <w:rFonts w:ascii="Arial Narrow" w:hAnsi="Arial Narrow"/>
                <w:b/>
                <w:sz w:val="20"/>
                <w:szCs w:val="20"/>
              </w:rPr>
              <w:t>Proprietary name and manufacturer</w:t>
            </w:r>
          </w:p>
        </w:tc>
      </w:tr>
      <w:tr w:rsidR="00675F6E" w:rsidRPr="008123DA" w:rsidTr="001E2884">
        <w:tc>
          <w:tcPr>
            <w:tcW w:w="1464" w:type="pct"/>
            <w:gridSpan w:val="2"/>
          </w:tcPr>
          <w:p w:rsidR="00675F6E" w:rsidRPr="002B62B3" w:rsidRDefault="00675F6E" w:rsidP="00675F6E">
            <w:pPr>
              <w:pStyle w:val="Tabletext"/>
            </w:pPr>
            <w:r>
              <w:t>PEMBROLIZUMAB</w:t>
            </w:r>
          </w:p>
          <w:p w:rsidR="00675F6E" w:rsidRPr="008123DA" w:rsidRDefault="00675F6E" w:rsidP="00675F6E">
            <w:pPr>
              <w:pStyle w:val="Tabletext"/>
            </w:pPr>
            <w:r>
              <w:t>100</w:t>
            </w:r>
            <w:r w:rsidR="00764779">
              <w:t xml:space="preserve"> </w:t>
            </w:r>
            <w:r>
              <w:t>mg/4</w:t>
            </w:r>
            <w:r w:rsidR="00764779">
              <w:t xml:space="preserve"> </w:t>
            </w:r>
            <w:r>
              <w:t>mL infusion, 1 x 4</w:t>
            </w:r>
            <w:r w:rsidR="00764779">
              <w:t xml:space="preserve"> </w:t>
            </w:r>
            <w:r>
              <w:t>mL vial</w:t>
            </w:r>
          </w:p>
        </w:tc>
        <w:tc>
          <w:tcPr>
            <w:tcW w:w="839" w:type="pct"/>
          </w:tcPr>
          <w:p w:rsidR="00675F6E" w:rsidRPr="008123DA" w:rsidRDefault="00675F6E" w:rsidP="00675F6E">
            <w:pPr>
              <w:pStyle w:val="Tabletext"/>
              <w:jc w:val="center"/>
            </w:pPr>
            <w:r>
              <w:t>200</w:t>
            </w:r>
            <w:r w:rsidR="00764779">
              <w:t xml:space="preserve"> </w:t>
            </w:r>
            <w:r>
              <w:t>mg</w:t>
            </w:r>
          </w:p>
        </w:tc>
        <w:tc>
          <w:tcPr>
            <w:tcW w:w="528" w:type="pct"/>
          </w:tcPr>
          <w:p w:rsidR="00675F6E" w:rsidRPr="008123DA" w:rsidRDefault="00675F6E" w:rsidP="00675F6E">
            <w:pPr>
              <w:pStyle w:val="Tabletext"/>
              <w:jc w:val="center"/>
            </w:pPr>
            <w:r>
              <w:t>5</w:t>
            </w:r>
          </w:p>
        </w:tc>
        <w:tc>
          <w:tcPr>
            <w:tcW w:w="1250" w:type="pct"/>
          </w:tcPr>
          <w:p w:rsidR="00675F6E" w:rsidRDefault="00675F6E" w:rsidP="00675F6E">
            <w:pPr>
              <w:pStyle w:val="Tabletext"/>
            </w:pPr>
            <w:r>
              <w:t>Published price:</w:t>
            </w:r>
          </w:p>
          <w:p w:rsidR="00675F6E" w:rsidRDefault="00675F6E" w:rsidP="00675F6E">
            <w:pPr>
              <w:pStyle w:val="Tabletext"/>
            </w:pPr>
            <w:r>
              <w:t>$</w:t>
            </w:r>
            <w:r w:rsidRPr="00A639A6">
              <w:t>9,023.83</w:t>
            </w:r>
            <w:r>
              <w:t xml:space="preserve"> (Public hospital)</w:t>
            </w:r>
          </w:p>
          <w:p w:rsidR="00675F6E" w:rsidRDefault="00675F6E" w:rsidP="00675F6E">
            <w:pPr>
              <w:pStyle w:val="Tabletext"/>
            </w:pPr>
            <w:r>
              <w:t>$</w:t>
            </w:r>
            <w:r w:rsidRPr="00A639A6">
              <w:t>9,187.87</w:t>
            </w:r>
            <w:r>
              <w:t xml:space="preserve"> (Private hospital)</w:t>
            </w:r>
          </w:p>
          <w:p w:rsidR="00675F6E" w:rsidRDefault="00675F6E" w:rsidP="00675F6E">
            <w:pPr>
              <w:pStyle w:val="Tabletext"/>
            </w:pPr>
          </w:p>
          <w:p w:rsidR="00675F6E" w:rsidRDefault="00675F6E" w:rsidP="00675F6E">
            <w:pPr>
              <w:pStyle w:val="Tabletext"/>
            </w:pPr>
            <w:r>
              <w:t>Effective price:</w:t>
            </w:r>
          </w:p>
          <w:p w:rsidR="00675F6E" w:rsidRDefault="00675F6E" w:rsidP="00675F6E">
            <w:pPr>
              <w:pStyle w:val="Tabletext"/>
            </w:pPr>
            <w:r>
              <w:t>$</w:t>
            </w:r>
            <w:r w:rsidR="002018B5">
              <w:rPr>
                <w:noProof/>
                <w:color w:val="000000"/>
                <w:highlight w:val="black"/>
              </w:rPr>
              <w:t>'''''''''''''''''''''</w:t>
            </w:r>
            <w:r>
              <w:t xml:space="preserve"> (Public hospital)</w:t>
            </w:r>
          </w:p>
          <w:p w:rsidR="00675F6E" w:rsidRDefault="00675F6E" w:rsidP="00675F6E">
            <w:pPr>
              <w:pStyle w:val="Tabletext"/>
            </w:pPr>
            <w:r>
              <w:t>$</w:t>
            </w:r>
            <w:r w:rsidR="002018B5">
              <w:rPr>
                <w:noProof/>
                <w:color w:val="000000"/>
                <w:highlight w:val="black"/>
              </w:rPr>
              <w:t>''''''''''''''''''''</w:t>
            </w:r>
            <w:r>
              <w:t xml:space="preserve"> (Private hospital)</w:t>
            </w:r>
          </w:p>
          <w:p w:rsidR="0090357A" w:rsidRPr="008123DA" w:rsidRDefault="0090357A" w:rsidP="00675F6E">
            <w:pPr>
              <w:pStyle w:val="Tabletext"/>
            </w:pPr>
          </w:p>
        </w:tc>
        <w:tc>
          <w:tcPr>
            <w:tcW w:w="919" w:type="pct"/>
          </w:tcPr>
          <w:p w:rsidR="00675F6E" w:rsidRDefault="00675F6E" w:rsidP="00675F6E">
            <w:pPr>
              <w:pStyle w:val="Tabletext"/>
              <w:rPr>
                <w:vertAlign w:val="superscript"/>
              </w:rPr>
            </w:pPr>
            <w:r w:rsidRPr="00833A4F">
              <w:t>KEYTRUDA</w:t>
            </w:r>
            <w:r w:rsidRPr="00B857DF">
              <w:rPr>
                <w:vertAlign w:val="superscript"/>
              </w:rPr>
              <w:t>®</w:t>
            </w:r>
          </w:p>
          <w:p w:rsidR="00675F6E" w:rsidRPr="00C148FD" w:rsidRDefault="00675F6E" w:rsidP="00675F6E">
            <w:pPr>
              <w:pStyle w:val="Tabletext"/>
            </w:pPr>
            <w:r w:rsidRPr="00833A4F">
              <w:t xml:space="preserve">Merck Sharp &amp; </w:t>
            </w:r>
            <w:proofErr w:type="spellStart"/>
            <w:r w:rsidRPr="00833A4F">
              <w:t>Dohme</w:t>
            </w:r>
            <w:proofErr w:type="spellEnd"/>
            <w:r w:rsidRPr="00833A4F">
              <w:t xml:space="preserve"> (Australia) Pty Limited</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756160">
            <w:pPr>
              <w:pStyle w:val="Tabletext"/>
              <w:keepNext/>
              <w:widowControl w:val="0"/>
              <w:rPr>
                <w:b/>
              </w:rPr>
            </w:pPr>
            <w:r w:rsidRPr="00BB1D16">
              <w:rPr>
                <w:b/>
              </w:rPr>
              <w:lastRenderedPageBreak/>
              <w:t>Category/program</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756160">
            <w:pPr>
              <w:pStyle w:val="Tabletext"/>
              <w:keepNext/>
              <w:widowControl w:val="0"/>
            </w:pPr>
            <w:r w:rsidRPr="004375C8">
              <w:t>Section 100 (Public/Private), Efficient funding of Chemotherapy</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Severity:</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Resected Stage III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Condition: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 xml:space="preserve">PBS </w:t>
            </w:r>
            <w:r w:rsidR="00764779">
              <w:rPr>
                <w:b/>
              </w:rPr>
              <w:t>i</w:t>
            </w:r>
            <w:r w:rsidRPr="00BB1D16">
              <w:rPr>
                <w:b/>
              </w:rPr>
              <w:t>ndication: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Resected Stage III 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675F6E">
            <w:pPr>
              <w:pStyle w:val="Tabletext"/>
              <w:rPr>
                <w:b/>
              </w:rPr>
            </w:pPr>
            <w:r>
              <w:rPr>
                <w:b/>
              </w:rPr>
              <w:t>Treatment phase: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Initial</w:t>
            </w:r>
            <w:r>
              <w:t xml:space="preserve">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675F6E">
            <w:pPr>
              <w:pStyle w:val="Tabletext"/>
              <w:rPr>
                <w:b/>
              </w:rPr>
            </w:pPr>
            <w:r>
              <w:rPr>
                <w:b/>
              </w:rPr>
              <w:t>Restriction: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fldChar w:fldCharType="begin">
                <w:ffData>
                  <w:name w:val="Check5"/>
                  <w:enabled/>
                  <w:calcOnExit w:val="0"/>
                  <w:checkBox>
                    <w:sizeAuto/>
                    <w:default w:val="1"/>
                  </w:checkBox>
                </w:ffData>
              </w:fldChar>
            </w:r>
            <w:r>
              <w:instrText xml:space="preserve"> FORMCHECKBOX </w:instrText>
            </w:r>
            <w:r w:rsidR="007156A6">
              <w:fldChar w:fldCharType="separate"/>
            </w:r>
            <w:r>
              <w:fldChar w:fldCharType="end"/>
            </w:r>
            <w:r w:rsidRPr="00B43577">
              <w:t>Streamlined</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Clinical criteria:</w:t>
            </w:r>
          </w:p>
          <w:p w:rsidR="00675F6E" w:rsidRPr="00BB1D16" w:rsidRDefault="00675F6E" w:rsidP="00675F6E">
            <w:pPr>
              <w:pStyle w:val="Tabletext"/>
              <w:rPr>
                <w:b/>
              </w:rPr>
            </w:pPr>
          </w:p>
          <w:p w:rsidR="00675F6E" w:rsidRPr="00BB1D16" w:rsidRDefault="00675F6E" w:rsidP="00675F6E">
            <w:pPr>
              <w:pStyle w:val="Tabletext"/>
              <w:rPr>
                <w:b/>
              </w:rPr>
            </w:pP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Default="00675F6E" w:rsidP="00675F6E">
            <w:pPr>
              <w:pStyle w:val="Tabletext"/>
            </w:pPr>
            <w:r w:rsidRPr="004375C8">
              <w:t xml:space="preserve">The treatment must be adjuvant </w:t>
            </w:r>
            <w:r>
              <w:t>to complete surgical resection</w:t>
            </w:r>
          </w:p>
          <w:p w:rsidR="00675F6E" w:rsidRDefault="00675F6E" w:rsidP="00675F6E">
            <w:pPr>
              <w:pStyle w:val="Tabletext"/>
            </w:pPr>
            <w:r w:rsidRPr="004375C8">
              <w:t>AND</w:t>
            </w:r>
          </w:p>
          <w:p w:rsidR="00675F6E" w:rsidRDefault="00675F6E" w:rsidP="00675F6E">
            <w:pPr>
              <w:pStyle w:val="Tabletext"/>
            </w:pPr>
            <w:r>
              <w:t>The treatment must be initiated within 13 weeks of surgical resection, unless delay is necessary due to post-surgery recovery</w:t>
            </w:r>
          </w:p>
          <w:p w:rsidR="00675F6E" w:rsidRPr="004375C8" w:rsidRDefault="00675F6E" w:rsidP="00675F6E">
            <w:pPr>
              <w:pStyle w:val="Tabletext"/>
            </w:pPr>
            <w:r>
              <w:t xml:space="preserve">AND </w:t>
            </w:r>
          </w:p>
          <w:p w:rsidR="00675F6E" w:rsidRDefault="00675F6E" w:rsidP="00675F6E">
            <w:pPr>
              <w:pStyle w:val="Tabletext"/>
            </w:pPr>
            <w:r w:rsidRPr="004375C8">
              <w:t>The treatment must be the sole PBS-subsidi</w:t>
            </w:r>
            <w:r>
              <w:t>sed therapy for this condition</w:t>
            </w:r>
          </w:p>
          <w:p w:rsidR="00675F6E" w:rsidRPr="004375C8" w:rsidRDefault="00675F6E" w:rsidP="00675F6E">
            <w:pPr>
              <w:pStyle w:val="Tabletext"/>
            </w:pPr>
            <w:r w:rsidRPr="004375C8">
              <w:t>AND</w:t>
            </w:r>
          </w:p>
          <w:p w:rsidR="00675F6E" w:rsidRDefault="00675F6E" w:rsidP="00675F6E">
            <w:pPr>
              <w:pStyle w:val="Tabletext"/>
            </w:pPr>
            <w:r w:rsidRPr="004375C8">
              <w:t>The patient must have a WHO performance status of 0 or 1</w:t>
            </w:r>
          </w:p>
          <w:p w:rsidR="004567F9" w:rsidRPr="004567F9" w:rsidRDefault="004567F9" w:rsidP="00675F6E">
            <w:pPr>
              <w:pStyle w:val="Tabletext"/>
              <w:rPr>
                <w:i/>
              </w:rPr>
            </w:pPr>
            <w:r w:rsidRPr="004567F9">
              <w:rPr>
                <w:i/>
              </w:rPr>
              <w:t>AND</w:t>
            </w:r>
          </w:p>
          <w:p w:rsidR="004567F9" w:rsidRPr="004375C8" w:rsidRDefault="004567F9" w:rsidP="00675F6E">
            <w:pPr>
              <w:pStyle w:val="Tabletext"/>
            </w:pPr>
            <w:r w:rsidRPr="004567F9">
              <w:rPr>
                <w:i/>
              </w:rPr>
              <w:t>The patient must not have received prior treatment with a programmed cell death-1 (PD-1) inhibitor for this condition.</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764779" w:rsidP="00675F6E">
            <w:pPr>
              <w:pStyle w:val="Tabletext"/>
              <w:rPr>
                <w:b/>
              </w:rPr>
            </w:pPr>
            <w:r>
              <w:rPr>
                <w:b/>
              </w:rPr>
              <w:t>Administrative a</w:t>
            </w:r>
            <w:r w:rsidR="00675F6E" w:rsidRPr="00BB1D16">
              <w:rPr>
                <w:b/>
              </w:rPr>
              <w:t>dvice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No increase in the maximum quantity or number of units or number of repeats will be authorised.</w:t>
            </w:r>
          </w:p>
        </w:tc>
      </w:tr>
      <w:tr w:rsidR="00675F6E" w:rsidRPr="00266FAB"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5000" w:type="pct"/>
            <w:gridSpan w:val="6"/>
            <w:tcBorders>
              <w:top w:val="single" w:sz="4" w:space="0" w:color="auto"/>
              <w:bottom w:val="single" w:sz="4" w:space="0" w:color="auto"/>
            </w:tcBorders>
            <w:shd w:val="clear" w:color="auto" w:fill="auto"/>
            <w:tcMar>
              <w:left w:w="28" w:type="dxa"/>
              <w:right w:w="28" w:type="dxa"/>
            </w:tcMar>
          </w:tcPr>
          <w:p w:rsidR="00675F6E" w:rsidRPr="001A1750" w:rsidRDefault="00675F6E" w:rsidP="00675F6E">
            <w:pPr>
              <w:pStyle w:val="Tabletext"/>
              <w:rPr>
                <w:b/>
                <w:i/>
              </w:rPr>
            </w:pP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Category/program</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Section 100 (Public/Private), Efficient funding of Chemotherapy</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Severity:</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 xml:space="preserve">Resected Stage III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Condition: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 xml:space="preserve">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764779">
            <w:pPr>
              <w:pStyle w:val="Tabletext"/>
              <w:keepNext/>
              <w:rPr>
                <w:b/>
              </w:rPr>
            </w:pPr>
            <w:r w:rsidRPr="00BB1D16">
              <w:rPr>
                <w:b/>
              </w:rPr>
              <w:t xml:space="preserve">PBS </w:t>
            </w:r>
            <w:r w:rsidR="00764779">
              <w:rPr>
                <w:b/>
              </w:rPr>
              <w:t>i</w:t>
            </w:r>
            <w:r w:rsidRPr="00BB1D16">
              <w:rPr>
                <w:b/>
              </w:rPr>
              <w:t>ndication: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 xml:space="preserve">Resected Stage III 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90357A">
            <w:pPr>
              <w:pStyle w:val="Tabletext"/>
              <w:keepNext/>
              <w:rPr>
                <w:b/>
              </w:rPr>
            </w:pPr>
            <w:r>
              <w:rPr>
                <w:b/>
              </w:rPr>
              <w:t>Treatment phase: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t xml:space="preserve">Continuing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90357A">
            <w:pPr>
              <w:pStyle w:val="Tabletext"/>
              <w:keepNext/>
              <w:rPr>
                <w:b/>
              </w:rPr>
            </w:pPr>
            <w:r>
              <w:rPr>
                <w:b/>
              </w:rPr>
              <w:t>Restriction: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fldChar w:fldCharType="begin">
                <w:ffData>
                  <w:name w:val="Check5"/>
                  <w:enabled/>
                  <w:calcOnExit w:val="0"/>
                  <w:checkBox>
                    <w:sizeAuto/>
                    <w:default w:val="1"/>
                  </w:checkBox>
                </w:ffData>
              </w:fldChar>
            </w:r>
            <w:r>
              <w:instrText xml:space="preserve"> FORMCHECKBOX </w:instrText>
            </w:r>
            <w:r w:rsidR="007156A6">
              <w:fldChar w:fldCharType="separate"/>
            </w:r>
            <w:r>
              <w:fldChar w:fldCharType="end"/>
            </w:r>
            <w:r w:rsidRPr="00B43577">
              <w:t>Streamlined</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Clinical criteria:</w:t>
            </w:r>
          </w:p>
          <w:p w:rsidR="00675F6E" w:rsidRPr="00BB1D16" w:rsidRDefault="00675F6E" w:rsidP="0090357A">
            <w:pPr>
              <w:pStyle w:val="Tabletext"/>
              <w:keepNext/>
              <w:rPr>
                <w:b/>
              </w:rPr>
            </w:pPr>
          </w:p>
          <w:p w:rsidR="00675F6E" w:rsidRPr="00BB1D16" w:rsidRDefault="00675F6E" w:rsidP="0090357A">
            <w:pPr>
              <w:pStyle w:val="Tabletext"/>
              <w:keepNext/>
              <w:rPr>
                <w:b/>
              </w:rPr>
            </w:pP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Default="00675F6E" w:rsidP="0090357A">
            <w:pPr>
              <w:pStyle w:val="Tabletext"/>
              <w:keepNext/>
            </w:pPr>
            <w:r>
              <w:t>The patient must have previously been issued with an authority prescription for this drug for this condition in the adjuvant setting</w:t>
            </w:r>
          </w:p>
          <w:p w:rsidR="00675F6E" w:rsidRDefault="00675F6E" w:rsidP="0090357A">
            <w:pPr>
              <w:pStyle w:val="Tabletext"/>
              <w:keepNext/>
            </w:pPr>
            <w:r>
              <w:t>AND</w:t>
            </w:r>
          </w:p>
          <w:p w:rsidR="00675F6E" w:rsidRDefault="00675F6E" w:rsidP="0090357A">
            <w:pPr>
              <w:pStyle w:val="Tabletext"/>
              <w:keepNext/>
            </w:pPr>
            <w:r>
              <w:t>The treatment must be the sole PBS-subsidised therapy for this condition</w:t>
            </w:r>
          </w:p>
          <w:p w:rsidR="00675F6E" w:rsidRDefault="00675F6E" w:rsidP="0090357A">
            <w:pPr>
              <w:pStyle w:val="Tabletext"/>
              <w:keepNext/>
            </w:pPr>
            <w:r>
              <w:t>AND</w:t>
            </w:r>
          </w:p>
          <w:p w:rsidR="00675F6E" w:rsidRDefault="00675F6E" w:rsidP="0090357A">
            <w:pPr>
              <w:pStyle w:val="Tabletext"/>
              <w:keepNext/>
            </w:pPr>
            <w:r>
              <w:t>The patient must not have evidence of recurrence</w:t>
            </w:r>
          </w:p>
          <w:p w:rsidR="00675F6E" w:rsidRDefault="00675F6E" w:rsidP="0090357A">
            <w:pPr>
              <w:pStyle w:val="Tabletext"/>
              <w:keepNext/>
            </w:pPr>
            <w:r>
              <w:t>AND</w:t>
            </w:r>
          </w:p>
          <w:p w:rsidR="00675F6E" w:rsidRPr="004375C8" w:rsidRDefault="00675F6E" w:rsidP="0090357A">
            <w:pPr>
              <w:pStyle w:val="Tabletext"/>
              <w:keepNext/>
            </w:pPr>
            <w:r>
              <w:t>The total treatment received in the adjuvant setting must not exceed 18 cycles at a dose of 200 mg every 3 weeks</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764779" w:rsidP="0090357A">
            <w:pPr>
              <w:pStyle w:val="Tabletext"/>
              <w:keepNext/>
              <w:rPr>
                <w:b/>
              </w:rPr>
            </w:pPr>
            <w:r>
              <w:rPr>
                <w:b/>
              </w:rPr>
              <w:t>Administrative a</w:t>
            </w:r>
            <w:r w:rsidR="00675F6E" w:rsidRPr="00BB1D16">
              <w:rPr>
                <w:b/>
              </w:rPr>
              <w:t>dvice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No increase in the maximum quantity or number of units or number of repeats will be authorised.</w:t>
            </w:r>
          </w:p>
        </w:tc>
      </w:tr>
      <w:tr w:rsidR="00675F6E" w:rsidRPr="00266FAB"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5000" w:type="pct"/>
            <w:gridSpan w:val="6"/>
            <w:tcBorders>
              <w:top w:val="single" w:sz="4" w:space="0" w:color="auto"/>
              <w:bottom w:val="single" w:sz="4" w:space="0" w:color="auto"/>
            </w:tcBorders>
            <w:shd w:val="clear" w:color="auto" w:fill="auto"/>
            <w:tcMar>
              <w:left w:w="28" w:type="dxa"/>
              <w:right w:w="28" w:type="dxa"/>
            </w:tcMar>
          </w:tcPr>
          <w:p w:rsidR="00675F6E" w:rsidRPr="001A1750" w:rsidRDefault="00675F6E" w:rsidP="00675F6E">
            <w:pPr>
              <w:pStyle w:val="Tabletext"/>
              <w:rPr>
                <w:b/>
                <w:i/>
              </w:rPr>
            </w:pP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Category/program</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Section 100 (Public/Private), Efficient funding of Chemotherapy</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Severity:</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Resected Stage III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Condition: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764779" w:rsidP="00675F6E">
            <w:pPr>
              <w:pStyle w:val="Tabletext"/>
              <w:rPr>
                <w:b/>
              </w:rPr>
            </w:pPr>
            <w:r>
              <w:rPr>
                <w:b/>
              </w:rPr>
              <w:t>PBS i</w:t>
            </w:r>
            <w:r w:rsidR="00675F6E" w:rsidRPr="00BB1D16">
              <w:rPr>
                <w:b/>
              </w:rPr>
              <w:t>ndication: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 xml:space="preserve">Resected Stage III malignant melanoma </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675F6E">
            <w:pPr>
              <w:pStyle w:val="Tabletext"/>
              <w:rPr>
                <w:b/>
              </w:rPr>
            </w:pPr>
            <w:r>
              <w:rPr>
                <w:b/>
              </w:rPr>
              <w:t>Treatment phase: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t>Grandfathering</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675F6E">
            <w:pPr>
              <w:pStyle w:val="Tabletext"/>
              <w:rPr>
                <w:b/>
              </w:rPr>
            </w:pPr>
            <w:r>
              <w:rPr>
                <w:b/>
              </w:rPr>
              <w:t>Restriction:</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fldChar w:fldCharType="begin">
                <w:ffData>
                  <w:name w:val="Check5"/>
                  <w:enabled/>
                  <w:calcOnExit w:val="0"/>
                  <w:checkBox>
                    <w:sizeAuto/>
                    <w:default w:val="1"/>
                  </w:checkBox>
                </w:ffData>
              </w:fldChar>
            </w:r>
            <w:r>
              <w:instrText xml:space="preserve"> FORMCHECKBOX </w:instrText>
            </w:r>
            <w:r w:rsidR="007156A6">
              <w:fldChar w:fldCharType="separate"/>
            </w:r>
            <w:r>
              <w:fldChar w:fldCharType="end"/>
            </w:r>
            <w:r w:rsidRPr="00B43577">
              <w:t>Streamlined</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675F6E">
            <w:pPr>
              <w:pStyle w:val="Tabletext"/>
              <w:rPr>
                <w:b/>
              </w:rPr>
            </w:pPr>
            <w:r w:rsidRPr="00BB1D16">
              <w:rPr>
                <w:b/>
              </w:rPr>
              <w:t>Clinical criteria:</w:t>
            </w:r>
          </w:p>
          <w:p w:rsidR="00675F6E" w:rsidRPr="00BB1D16" w:rsidRDefault="00675F6E" w:rsidP="00675F6E">
            <w:pPr>
              <w:pStyle w:val="Tabletext"/>
              <w:rPr>
                <w:b/>
              </w:rPr>
            </w:pPr>
          </w:p>
          <w:p w:rsidR="00675F6E" w:rsidRPr="00BB1D16" w:rsidRDefault="00675F6E" w:rsidP="00675F6E">
            <w:pPr>
              <w:pStyle w:val="Tabletext"/>
              <w:rPr>
                <w:b/>
              </w:rPr>
            </w:pP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Default="00675F6E" w:rsidP="00675F6E">
            <w:pPr>
              <w:pStyle w:val="Tabletext"/>
            </w:pPr>
            <w:r>
              <w:t>Patient must have received non-PBS treatment with this drug for this condition in the adjuvant setting prior to [date of PBS listing]</w:t>
            </w:r>
          </w:p>
          <w:p w:rsidR="00675F6E" w:rsidRDefault="00675F6E" w:rsidP="00675F6E">
            <w:pPr>
              <w:pStyle w:val="Tabletext"/>
            </w:pPr>
            <w:r>
              <w:t>AND</w:t>
            </w:r>
          </w:p>
          <w:p w:rsidR="00675F6E" w:rsidRDefault="00675F6E" w:rsidP="00675F6E">
            <w:pPr>
              <w:pStyle w:val="Tabletext"/>
            </w:pPr>
            <w:r>
              <w:t>The treatment must be the sole PBS-subsidised therapy for this condition</w:t>
            </w:r>
          </w:p>
          <w:p w:rsidR="00675F6E" w:rsidRDefault="00675F6E" w:rsidP="00675F6E">
            <w:pPr>
              <w:pStyle w:val="Tabletext"/>
            </w:pPr>
            <w:r>
              <w:t>AND</w:t>
            </w:r>
          </w:p>
          <w:p w:rsidR="00675F6E" w:rsidRDefault="00675F6E" w:rsidP="00675F6E">
            <w:pPr>
              <w:pStyle w:val="Tabletext"/>
            </w:pPr>
            <w:r>
              <w:t>The patient must not have evidence of recurrence</w:t>
            </w:r>
          </w:p>
          <w:p w:rsidR="00675F6E" w:rsidRDefault="00675F6E" w:rsidP="00675F6E">
            <w:pPr>
              <w:pStyle w:val="Tabletext"/>
            </w:pPr>
            <w:r>
              <w:t>AND</w:t>
            </w:r>
          </w:p>
          <w:p w:rsidR="00675F6E" w:rsidRPr="004375C8" w:rsidRDefault="00675F6E" w:rsidP="00675F6E">
            <w:pPr>
              <w:pStyle w:val="Tabletext"/>
            </w:pPr>
            <w:r>
              <w:t>The total treatment received in the adjuvant setting must not exceed 18 cycles at a dose of 200 mg every 3 weeks</w:t>
            </w:r>
          </w:p>
        </w:tc>
      </w:tr>
      <w:tr w:rsidR="00675F6E" w:rsidRPr="00EC47C9" w:rsidTr="001E28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016"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764779" w:rsidP="00675F6E">
            <w:pPr>
              <w:pStyle w:val="Tabletext"/>
              <w:rPr>
                <w:b/>
              </w:rPr>
            </w:pPr>
            <w:r>
              <w:rPr>
                <w:b/>
              </w:rPr>
              <w:t>Administrative a</w:t>
            </w:r>
            <w:r w:rsidR="00675F6E" w:rsidRPr="00BB1D16">
              <w:rPr>
                <w:b/>
              </w:rPr>
              <w:t>dvice</w:t>
            </w:r>
          </w:p>
        </w:tc>
        <w:tc>
          <w:tcPr>
            <w:tcW w:w="3984" w:type="pct"/>
            <w:gridSpan w:val="5"/>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675F6E">
            <w:pPr>
              <w:pStyle w:val="Tabletext"/>
            </w:pPr>
            <w:r w:rsidRPr="004375C8">
              <w:t>No increase in the maximum quantity or number of units or number of repeats will be authorised.</w:t>
            </w:r>
          </w:p>
        </w:tc>
      </w:tr>
    </w:tbl>
    <w:p w:rsidR="008679A8" w:rsidRDefault="008679A8" w:rsidP="00675F6E"/>
    <w:p w:rsidR="00675F6E" w:rsidRPr="00F1313B" w:rsidRDefault="005D571F" w:rsidP="00675F6E">
      <w:pPr>
        <w:pStyle w:val="ListParagraph"/>
        <w:widowControl/>
        <w:numPr>
          <w:ilvl w:val="1"/>
          <w:numId w:val="3"/>
        </w:numPr>
        <w:spacing w:after="160"/>
      </w:pPr>
      <w:r w:rsidRPr="00F1313B">
        <w:lastRenderedPageBreak/>
        <w:t xml:space="preserve">The submission proposed a </w:t>
      </w:r>
      <w:r w:rsidR="00653274" w:rsidRPr="00F1313B">
        <w:t>S</w:t>
      </w:r>
      <w:r w:rsidRPr="00F1313B">
        <w:t xml:space="preserve">pecial </w:t>
      </w:r>
      <w:r w:rsidR="00653274" w:rsidRPr="00F1313B">
        <w:t>P</w:t>
      </w:r>
      <w:r w:rsidRPr="00F1313B">
        <w:t xml:space="preserve">ricing </w:t>
      </w:r>
      <w:r w:rsidR="00653274" w:rsidRPr="00F1313B">
        <w:t>A</w:t>
      </w:r>
      <w:r w:rsidRPr="00F1313B">
        <w:t>rrangement</w:t>
      </w:r>
      <w:r w:rsidR="00653274" w:rsidRPr="00F1313B">
        <w:t xml:space="preserve"> (SPA)</w:t>
      </w:r>
      <w:r w:rsidRPr="00F1313B">
        <w:t>.</w:t>
      </w:r>
      <w:r w:rsidR="00675F6E" w:rsidRPr="00F1313B">
        <w:t xml:space="preserve"> </w:t>
      </w:r>
      <w:r w:rsidR="00E9353A" w:rsidRPr="00F1313B">
        <w:t xml:space="preserve">An </w:t>
      </w:r>
      <w:r w:rsidR="00653274" w:rsidRPr="00F1313B">
        <w:t>SPA</w:t>
      </w:r>
      <w:r w:rsidR="00675F6E" w:rsidRPr="00F1313B">
        <w:t xml:space="preserve"> appl</w:t>
      </w:r>
      <w:r w:rsidR="00E9353A" w:rsidRPr="00F1313B">
        <w:t>ies</w:t>
      </w:r>
      <w:r w:rsidR="00675F6E" w:rsidRPr="00F1313B">
        <w:t xml:space="preserve"> to the current PBS listing for </w:t>
      </w:r>
      <w:proofErr w:type="spellStart"/>
      <w:r w:rsidR="00675F6E" w:rsidRPr="00F1313B">
        <w:t>pembrolizumab</w:t>
      </w:r>
      <w:proofErr w:type="spellEnd"/>
      <w:r w:rsidR="00675F6E" w:rsidRPr="00F1313B">
        <w:t xml:space="preserve"> for relapsed or refractory classical Hodgkin’s </w:t>
      </w:r>
      <w:r w:rsidR="004E7FCE" w:rsidRPr="00F1313B">
        <w:t>l</w:t>
      </w:r>
      <w:r w:rsidR="00675F6E" w:rsidRPr="00F1313B">
        <w:t>ymphoma</w:t>
      </w:r>
      <w:r w:rsidR="00653274" w:rsidRPr="00F1313B">
        <w:t>;</w:t>
      </w:r>
      <w:r w:rsidR="00675F6E" w:rsidRPr="00F1313B">
        <w:t xml:space="preserve"> however, </w:t>
      </w:r>
      <w:r w:rsidR="00E9353A" w:rsidRPr="00F1313B">
        <w:t xml:space="preserve">this does </w:t>
      </w:r>
      <w:r w:rsidR="00675F6E" w:rsidRPr="00F1313B">
        <w:t xml:space="preserve">not apply to the listing for </w:t>
      </w:r>
      <w:proofErr w:type="spellStart"/>
      <w:r w:rsidR="00675F6E" w:rsidRPr="00F1313B">
        <w:t>unresectable</w:t>
      </w:r>
      <w:proofErr w:type="spellEnd"/>
      <w:r w:rsidR="00675F6E" w:rsidRPr="00F1313B">
        <w:t xml:space="preserve"> Stage III or Stage IV melanoma.</w:t>
      </w:r>
      <w:r w:rsidR="00653274" w:rsidRPr="00F1313B">
        <w:t xml:space="preserve"> </w:t>
      </w:r>
      <w:r w:rsidR="002867FC" w:rsidRPr="00F1313B">
        <w:t>A</w:t>
      </w:r>
      <w:r w:rsidR="00653274" w:rsidRPr="00F1313B">
        <w:t xml:space="preserve"> Risk Shar</w:t>
      </w:r>
      <w:r w:rsidR="00B65595" w:rsidRPr="00F1313B">
        <w:t>ing</w:t>
      </w:r>
      <w:r w:rsidR="00653274" w:rsidRPr="00F1313B">
        <w:t xml:space="preserve"> Arrangement (RSA), </w:t>
      </w:r>
      <w:r w:rsidR="00653274" w:rsidRPr="00925D49">
        <w:t>in the form of annual expenditure caps</w:t>
      </w:r>
      <w:r w:rsidR="00653274" w:rsidRPr="00F1313B">
        <w:t xml:space="preserve">, is shared by the sponsors of </w:t>
      </w:r>
      <w:proofErr w:type="spellStart"/>
      <w:r w:rsidR="00653274" w:rsidRPr="00F1313B">
        <w:t>pembrolizumab</w:t>
      </w:r>
      <w:proofErr w:type="spellEnd"/>
      <w:r w:rsidR="00653274" w:rsidRPr="00F1313B">
        <w:t xml:space="preserve"> and </w:t>
      </w:r>
      <w:proofErr w:type="spellStart"/>
      <w:r w:rsidR="00653274" w:rsidRPr="00F1313B">
        <w:t>nivolumab</w:t>
      </w:r>
      <w:proofErr w:type="spellEnd"/>
      <w:r w:rsidR="00653274" w:rsidRPr="00F1313B">
        <w:t xml:space="preserve"> for </w:t>
      </w:r>
      <w:proofErr w:type="spellStart"/>
      <w:r w:rsidR="00653274" w:rsidRPr="00F1313B">
        <w:t>unresectable</w:t>
      </w:r>
      <w:proofErr w:type="spellEnd"/>
      <w:r w:rsidR="00653274" w:rsidRPr="00F1313B">
        <w:t xml:space="preserve"> Stage III or Stage IV melanoma. </w:t>
      </w:r>
      <w:r w:rsidR="00653274" w:rsidRPr="00925D49">
        <w:t xml:space="preserve">The sponsors are required to rebate </w:t>
      </w:r>
      <w:r w:rsidR="002018B5">
        <w:rPr>
          <w:noProof/>
          <w:color w:val="000000"/>
          <w:highlight w:val="black"/>
        </w:rPr>
        <w:t>'''''''</w:t>
      </w:r>
      <w:r w:rsidR="00653274" w:rsidRPr="00925D49">
        <w:t>% to the Commonwealth for costs exceeding the agreed annual expenditure caps.</w:t>
      </w:r>
      <w:r w:rsidR="00B65595" w:rsidRPr="00925D49">
        <w:t xml:space="preserve"> </w:t>
      </w:r>
      <w:r w:rsidR="00B65595" w:rsidRPr="00F1313B">
        <w:t xml:space="preserve">If </w:t>
      </w:r>
      <w:proofErr w:type="spellStart"/>
      <w:r w:rsidR="00B65595" w:rsidRPr="00F1313B">
        <w:t>pembrolizumab</w:t>
      </w:r>
      <w:proofErr w:type="spellEnd"/>
      <w:r w:rsidR="00B65595" w:rsidRPr="00F1313B">
        <w:t xml:space="preserve"> becomes available on the PBS as an adjuvant treatment for completely resected Stage III melanoma, this would likely have downstream consequences for the </w:t>
      </w:r>
      <w:r w:rsidR="00B65595" w:rsidRPr="00925D49">
        <w:t>utilisation of the shared caps</w:t>
      </w:r>
      <w:r w:rsidR="00B65595" w:rsidRPr="00F1313B">
        <w:t xml:space="preserve"> for </w:t>
      </w:r>
      <w:proofErr w:type="spellStart"/>
      <w:r w:rsidR="00B65595" w:rsidRPr="00F1313B">
        <w:t>unresectable</w:t>
      </w:r>
      <w:proofErr w:type="spellEnd"/>
      <w:r w:rsidR="00B65595" w:rsidRPr="00F1313B">
        <w:t xml:space="preserve"> Stage III</w:t>
      </w:r>
      <w:r w:rsidR="004E3380">
        <w:t xml:space="preserve"> or Stage </w:t>
      </w:r>
      <w:r w:rsidR="00B65595" w:rsidRPr="00F1313B">
        <w:t>IV malignant melanoma (see paragraph</w:t>
      </w:r>
      <w:r w:rsidR="00285B6F" w:rsidRPr="00F1313B">
        <w:t>s</w:t>
      </w:r>
      <w:r w:rsidR="00B65595" w:rsidRPr="00F1313B">
        <w:t xml:space="preserve"> </w:t>
      </w:r>
      <w:r w:rsidR="00B900F5" w:rsidRPr="00F75457">
        <w:t>6.</w:t>
      </w:r>
      <w:r w:rsidR="00F75457" w:rsidRPr="00F75457">
        <w:t>62</w:t>
      </w:r>
      <w:r w:rsidR="00B900F5" w:rsidRPr="00F75457">
        <w:t xml:space="preserve"> to 6.</w:t>
      </w:r>
      <w:r w:rsidR="00107D96" w:rsidRPr="00F75457">
        <w:t>6</w:t>
      </w:r>
      <w:r w:rsidR="00F75457">
        <w:t>5</w:t>
      </w:r>
      <w:r w:rsidR="00B65595" w:rsidRPr="00F1313B">
        <w:t xml:space="preserve"> below on the RSA). </w:t>
      </w:r>
    </w:p>
    <w:p w:rsidR="00675F6E" w:rsidRPr="00F1313B" w:rsidRDefault="00CB696A" w:rsidP="00CB696A">
      <w:pPr>
        <w:pStyle w:val="ListParagraph"/>
        <w:widowControl/>
        <w:numPr>
          <w:ilvl w:val="1"/>
          <w:numId w:val="3"/>
        </w:numPr>
        <w:spacing w:after="160"/>
      </w:pPr>
      <w:r w:rsidRPr="00F1313B">
        <w:t xml:space="preserve">The submission stated that retreatment was not being requested within the same adjuvant setting. </w:t>
      </w:r>
      <w:r w:rsidR="001F4A82" w:rsidRPr="00F1313B">
        <w:t xml:space="preserve">The ESC noted that </w:t>
      </w:r>
      <w:r w:rsidR="00FD1A67" w:rsidRPr="00F1313B">
        <w:t>t</w:t>
      </w:r>
      <w:r w:rsidR="00675F6E" w:rsidRPr="00F1313B">
        <w:t xml:space="preserve">he requested </w:t>
      </w:r>
      <w:r w:rsidRPr="00F1313B">
        <w:t xml:space="preserve">PBS </w:t>
      </w:r>
      <w:r w:rsidR="00675F6E" w:rsidRPr="00F1313B">
        <w:t xml:space="preserve">restriction for initial </w:t>
      </w:r>
      <w:r w:rsidR="004567F9">
        <w:t xml:space="preserve">adjuvant </w:t>
      </w:r>
      <w:r w:rsidR="00675F6E" w:rsidRPr="00F1313B">
        <w:t>treatment</w:t>
      </w:r>
      <w:r w:rsidR="00FD1A67" w:rsidRPr="00F1313B">
        <w:t xml:space="preserve"> </w:t>
      </w:r>
      <w:r w:rsidR="00675F6E" w:rsidRPr="00F1313B">
        <w:t xml:space="preserve">does not state that patients must not have received prior adjuvant treatment with a programmed cell death-1 (PD-1) inhibitor for this condition. </w:t>
      </w:r>
      <w:r w:rsidR="001F4A82" w:rsidRPr="00F1313B">
        <w:t xml:space="preserve">The ESC acknowledged that the efficacy of PD-1 inhibitors in disease that has progressed </w:t>
      </w:r>
      <w:r w:rsidR="004567F9">
        <w:t>following</w:t>
      </w:r>
      <w:r w:rsidR="001F4A82" w:rsidRPr="00F1313B">
        <w:t xml:space="preserve"> prior PD-1 therapy was unknown.</w:t>
      </w:r>
      <w:r w:rsidR="00285B6F" w:rsidRPr="00F1313B">
        <w:t xml:space="preserve"> The </w:t>
      </w:r>
      <w:r w:rsidR="00B5718F">
        <w:t xml:space="preserve">PBAC </w:t>
      </w:r>
      <w:r w:rsidR="00285B6F" w:rsidRPr="00F1313B">
        <w:t>considered that the criterion, “Patient must not have received prior treatment with a PD-1 inhibitor for this condition” be included in the initial treatment restriction.</w:t>
      </w:r>
    </w:p>
    <w:p w:rsidR="00675F6E" w:rsidRPr="00F1313B" w:rsidRDefault="00C0453E" w:rsidP="00E6375A">
      <w:pPr>
        <w:pStyle w:val="ListParagraph"/>
        <w:widowControl/>
        <w:numPr>
          <w:ilvl w:val="1"/>
          <w:numId w:val="3"/>
        </w:numPr>
        <w:spacing w:after="160"/>
      </w:pPr>
      <w:r w:rsidRPr="00F1313B">
        <w:t xml:space="preserve">The proposed PBS restriction was for patients with resected Stage III malignant melanoma only. </w:t>
      </w:r>
      <w:r w:rsidR="00675F6E" w:rsidRPr="00F1313B">
        <w:t>Patients with completely resected Stage IV disease w</w:t>
      </w:r>
      <w:r w:rsidR="00653274" w:rsidRPr="00F1313B">
        <w:t>ere</w:t>
      </w:r>
      <w:r w:rsidR="00675F6E" w:rsidRPr="00F1313B">
        <w:t xml:space="preserve"> not included in the proposed PBS restriction. </w:t>
      </w:r>
      <w:r w:rsidRPr="00F1313B">
        <w:t xml:space="preserve">The submission of </w:t>
      </w:r>
      <w:proofErr w:type="spellStart"/>
      <w:r w:rsidRPr="00F1313B">
        <w:t>nivolumab</w:t>
      </w:r>
      <w:proofErr w:type="spellEnd"/>
      <w:r w:rsidRPr="00F1313B">
        <w:t xml:space="preserve"> adjuvant therapy considered at the July 2018 PBAC meeting was for </w:t>
      </w:r>
      <w:proofErr w:type="spellStart"/>
      <w:r w:rsidRPr="00F1313B">
        <w:t>resectable</w:t>
      </w:r>
      <w:proofErr w:type="spellEnd"/>
      <w:r w:rsidRPr="00F1313B">
        <w:t xml:space="preserve"> Stage III or Stage IV melanoma.</w:t>
      </w:r>
      <w:r w:rsidR="00CB696A" w:rsidRPr="00F1313B">
        <w:t xml:space="preserve"> </w:t>
      </w:r>
      <w:r w:rsidR="00675F6E" w:rsidRPr="00F1313B">
        <w:t xml:space="preserve">Both </w:t>
      </w:r>
      <w:proofErr w:type="spellStart"/>
      <w:r w:rsidR="00675F6E" w:rsidRPr="00F1313B">
        <w:t>pembrolizumab</w:t>
      </w:r>
      <w:proofErr w:type="spellEnd"/>
      <w:r w:rsidR="00675F6E" w:rsidRPr="00F1313B">
        <w:t xml:space="preserve"> and </w:t>
      </w:r>
      <w:proofErr w:type="spellStart"/>
      <w:r w:rsidR="00675F6E" w:rsidRPr="00F1313B">
        <w:t>nivolumab</w:t>
      </w:r>
      <w:proofErr w:type="spellEnd"/>
      <w:r w:rsidR="00675F6E" w:rsidRPr="00F1313B">
        <w:t xml:space="preserve"> are currently listed on the PBS for treatment of </w:t>
      </w:r>
      <w:proofErr w:type="spellStart"/>
      <w:r w:rsidR="00675F6E" w:rsidRPr="00F1313B">
        <w:t>unresectable</w:t>
      </w:r>
      <w:proofErr w:type="spellEnd"/>
      <w:r w:rsidR="00675F6E" w:rsidRPr="00F1313B">
        <w:t xml:space="preserve"> Stage III or Stage IV malignant melanoma. The submission interpreted ‘</w:t>
      </w:r>
      <w:proofErr w:type="spellStart"/>
      <w:r w:rsidR="00675F6E" w:rsidRPr="00F1313B">
        <w:t>unresectable</w:t>
      </w:r>
      <w:proofErr w:type="spellEnd"/>
      <w:r w:rsidR="00675F6E" w:rsidRPr="00F1313B">
        <w:t xml:space="preserve">’ in the current listing as only applying to Stage III disease, </w:t>
      </w:r>
      <w:r w:rsidR="002555D5" w:rsidRPr="00F1313B">
        <w:t>and</w:t>
      </w:r>
      <w:r w:rsidR="00675F6E" w:rsidRPr="00F1313B">
        <w:t xml:space="preserve"> that all </w:t>
      </w:r>
      <w:r w:rsidR="00774A4C" w:rsidRPr="00F1313B">
        <w:t>Stage I</w:t>
      </w:r>
      <w:r w:rsidR="00675F6E" w:rsidRPr="00F1313B">
        <w:t xml:space="preserve">V patients </w:t>
      </w:r>
      <w:r w:rsidR="002555D5" w:rsidRPr="00F1313B">
        <w:t>we</w:t>
      </w:r>
      <w:r w:rsidR="00675F6E" w:rsidRPr="00F1313B">
        <w:t xml:space="preserve">re eligible for PBS subsidised </w:t>
      </w:r>
      <w:proofErr w:type="spellStart"/>
      <w:r w:rsidR="00675F6E" w:rsidRPr="00F1313B">
        <w:t>pembrolizumab</w:t>
      </w:r>
      <w:proofErr w:type="spellEnd"/>
      <w:r w:rsidR="00675F6E" w:rsidRPr="00F1313B">
        <w:t xml:space="preserve"> regardless of whether or not the</w:t>
      </w:r>
      <w:r w:rsidR="008679A8" w:rsidRPr="00F1313B">
        <w:t xml:space="preserve">ir disease </w:t>
      </w:r>
      <w:r w:rsidR="002555D5" w:rsidRPr="00F1313B">
        <w:t xml:space="preserve">was </w:t>
      </w:r>
      <w:proofErr w:type="spellStart"/>
      <w:r w:rsidR="002555D5" w:rsidRPr="00F1313B">
        <w:t>resectable</w:t>
      </w:r>
      <w:proofErr w:type="spellEnd"/>
      <w:r w:rsidR="00675F6E" w:rsidRPr="00F1313B">
        <w:t>.</w:t>
      </w:r>
      <w:r w:rsidRPr="00F1313B">
        <w:t xml:space="preserve"> This interpretation was not consistent with the key trials presented in the associated </w:t>
      </w:r>
      <w:proofErr w:type="spellStart"/>
      <w:r w:rsidRPr="00F1313B">
        <w:t>pembrolizumab</w:t>
      </w:r>
      <w:proofErr w:type="spellEnd"/>
      <w:r w:rsidRPr="00F1313B">
        <w:t xml:space="preserve"> and </w:t>
      </w:r>
      <w:proofErr w:type="spellStart"/>
      <w:r w:rsidRPr="00F1313B">
        <w:t>nivolumab</w:t>
      </w:r>
      <w:proofErr w:type="spellEnd"/>
      <w:r w:rsidRPr="00F1313B">
        <w:t xml:space="preserve"> submissions</w:t>
      </w:r>
      <w:r w:rsidR="002F24A6" w:rsidRPr="00F1313B">
        <w:t xml:space="preserve">, which recruited patients with measurable lesion. Therefore, </w:t>
      </w:r>
      <w:r w:rsidR="00E6375A" w:rsidRPr="00F1313B">
        <w:t xml:space="preserve">patients with completely resected Stage IV disease would have been excluded from </w:t>
      </w:r>
      <w:r w:rsidR="00FD1A67" w:rsidRPr="00F1313B">
        <w:t xml:space="preserve">these </w:t>
      </w:r>
      <w:r w:rsidR="00E6375A" w:rsidRPr="00F1313B">
        <w:t xml:space="preserve">clinical </w:t>
      </w:r>
      <w:r w:rsidR="002F24A6" w:rsidRPr="00F1313B">
        <w:t>trials</w:t>
      </w:r>
      <w:r w:rsidRPr="00F1313B">
        <w:t>.</w:t>
      </w:r>
    </w:p>
    <w:p w:rsidR="00675F6E" w:rsidRPr="00F1313B" w:rsidRDefault="00675F6E" w:rsidP="00675F6E">
      <w:pPr>
        <w:pStyle w:val="ListParagraph"/>
        <w:widowControl/>
        <w:numPr>
          <w:ilvl w:val="1"/>
          <w:numId w:val="3"/>
        </w:numPr>
        <w:spacing w:after="160"/>
      </w:pPr>
      <w:r w:rsidRPr="00F1313B">
        <w:t xml:space="preserve">The </w:t>
      </w:r>
      <w:r w:rsidR="00FC315B" w:rsidRPr="00F1313B">
        <w:t xml:space="preserve">ESC noted that the </w:t>
      </w:r>
      <w:r w:rsidRPr="00F1313B">
        <w:t xml:space="preserve">submission did not present any comparative evidence for the effectiveness and safety of </w:t>
      </w:r>
      <w:proofErr w:type="spellStart"/>
      <w:r w:rsidR="00BA3012" w:rsidRPr="00F1313B">
        <w:t>pembrolizumab</w:t>
      </w:r>
      <w:proofErr w:type="spellEnd"/>
      <w:r w:rsidRPr="00F1313B">
        <w:t xml:space="preserve"> v</w:t>
      </w:r>
      <w:r w:rsidR="00DF2B16" w:rsidRPr="00F1313B">
        <w:t>ersu</w:t>
      </w:r>
      <w:r w:rsidRPr="00F1313B">
        <w:t>s observation (placebo) in the following subsets of patients who would be eligible for PBS-subsidised adjuvant treatment under the requested restriction:</w:t>
      </w:r>
    </w:p>
    <w:p w:rsidR="00675F6E" w:rsidRPr="00F1313B" w:rsidRDefault="00675F6E" w:rsidP="00C6669B">
      <w:pPr>
        <w:pStyle w:val="ListParagraph"/>
        <w:numPr>
          <w:ilvl w:val="1"/>
          <w:numId w:val="8"/>
        </w:numPr>
        <w:spacing w:after="120"/>
        <w:ind w:left="1077" w:hanging="357"/>
      </w:pPr>
      <w:r w:rsidRPr="00F1313B">
        <w:t>Patients with Stage IIIA &lt;</w:t>
      </w:r>
      <w:r w:rsidR="00676E8E">
        <w:t xml:space="preserve"> </w:t>
      </w:r>
      <w:r w:rsidRPr="00F1313B">
        <w:t>1</w:t>
      </w:r>
      <w:r w:rsidR="00676E8E">
        <w:t xml:space="preserve"> </w:t>
      </w:r>
      <w:r w:rsidR="00F75457">
        <w:t>mm lymph node metastase</w:t>
      </w:r>
      <w:r w:rsidRPr="00F1313B">
        <w:t>s;</w:t>
      </w:r>
    </w:p>
    <w:p w:rsidR="00675F6E" w:rsidRPr="00F1313B" w:rsidRDefault="00675F6E" w:rsidP="00C6669B">
      <w:pPr>
        <w:pStyle w:val="ListParagraph"/>
        <w:numPr>
          <w:ilvl w:val="1"/>
          <w:numId w:val="8"/>
        </w:numPr>
        <w:spacing w:after="120"/>
        <w:ind w:left="1077" w:hanging="357"/>
      </w:pPr>
      <w:r w:rsidRPr="00F1313B">
        <w:t>Patients with mucosal or ocular melanoma; and</w:t>
      </w:r>
    </w:p>
    <w:p w:rsidR="00675F6E" w:rsidRPr="00F1313B" w:rsidRDefault="00675F6E" w:rsidP="00C6669B">
      <w:pPr>
        <w:pStyle w:val="ListParagraph"/>
        <w:numPr>
          <w:ilvl w:val="1"/>
          <w:numId w:val="8"/>
        </w:numPr>
        <w:spacing w:after="120"/>
        <w:ind w:left="1077" w:hanging="357"/>
      </w:pPr>
      <w:r w:rsidRPr="00F1313B">
        <w:t>Patients who ha</w:t>
      </w:r>
      <w:r w:rsidR="009A5794" w:rsidRPr="00F1313B">
        <w:t>ve</w:t>
      </w:r>
      <w:r w:rsidRPr="00F1313B">
        <w:t xml:space="preserve"> received prior anti-cancer treatment, other than surgery, for melanoma.</w:t>
      </w:r>
    </w:p>
    <w:p w:rsidR="00675F6E" w:rsidRPr="00F1313B" w:rsidRDefault="00675F6E" w:rsidP="00675F6E">
      <w:pPr>
        <w:pStyle w:val="ListParagraph"/>
        <w:widowControl/>
        <w:numPr>
          <w:ilvl w:val="1"/>
          <w:numId w:val="3"/>
        </w:numPr>
        <w:spacing w:after="160"/>
      </w:pPr>
      <w:r w:rsidRPr="00F1313B">
        <w:lastRenderedPageBreak/>
        <w:t xml:space="preserve">The submission also requested retreatment with </w:t>
      </w:r>
      <w:proofErr w:type="spellStart"/>
      <w:r w:rsidRPr="00F1313B">
        <w:t>pembrolizumab</w:t>
      </w:r>
      <w:proofErr w:type="spellEnd"/>
      <w:r w:rsidRPr="00F1313B">
        <w:t xml:space="preserve"> in </w:t>
      </w:r>
      <w:proofErr w:type="spellStart"/>
      <w:r w:rsidRPr="00F1313B">
        <w:t>unresectable</w:t>
      </w:r>
      <w:proofErr w:type="spellEnd"/>
      <w:r w:rsidRPr="00F1313B">
        <w:t xml:space="preserve"> Stage III or Stage IV setting for those patients who have received the full 12 month adjuvant </w:t>
      </w:r>
      <w:proofErr w:type="spellStart"/>
      <w:r w:rsidRPr="00F1313B">
        <w:t>pembrolizumab</w:t>
      </w:r>
      <w:proofErr w:type="spellEnd"/>
      <w:r w:rsidRPr="00F1313B">
        <w:t xml:space="preserve"> treatment and remained recurrence free for at least 6 months post the completion of full course of adjuvant treatment. Given </w:t>
      </w:r>
      <w:r w:rsidR="00DF2B16" w:rsidRPr="00F1313B">
        <w:t xml:space="preserve">that </w:t>
      </w:r>
      <w:r w:rsidRPr="00F1313B">
        <w:t xml:space="preserve">the current listings for </w:t>
      </w:r>
      <w:proofErr w:type="spellStart"/>
      <w:r w:rsidRPr="00F1313B">
        <w:t>pembrolizumab</w:t>
      </w:r>
      <w:proofErr w:type="spellEnd"/>
      <w:r w:rsidRPr="00F1313B">
        <w:t xml:space="preserve"> for the treatment of </w:t>
      </w:r>
      <w:proofErr w:type="spellStart"/>
      <w:r w:rsidRPr="00F1313B">
        <w:t>unresectable</w:t>
      </w:r>
      <w:proofErr w:type="spellEnd"/>
      <w:r w:rsidRPr="00F1313B">
        <w:t xml:space="preserve"> Stage III or Stage IV melanoma would preclude their use in patients who have previously received </w:t>
      </w:r>
      <w:proofErr w:type="spellStart"/>
      <w:r w:rsidRPr="00F1313B">
        <w:t>pembrolizumab</w:t>
      </w:r>
      <w:proofErr w:type="spellEnd"/>
      <w:r w:rsidRPr="00F1313B">
        <w:t xml:space="preserve"> as adjuvant therapy, the following PBS listing was proposed in the submission.</w:t>
      </w:r>
    </w:p>
    <w:tbl>
      <w:tblPr>
        <w:tblW w:w="4999" w:type="pct"/>
        <w:tblInd w:w="1" w:type="dxa"/>
        <w:tblLook w:val="0000" w:firstRow="0" w:lastRow="0" w:firstColumn="0" w:lastColumn="0" w:noHBand="0" w:noVBand="0"/>
      </w:tblPr>
      <w:tblGrid>
        <w:gridCol w:w="1859"/>
        <w:gridCol w:w="1258"/>
        <w:gridCol w:w="1276"/>
        <w:gridCol w:w="993"/>
        <w:gridCol w:w="3639"/>
      </w:tblGrid>
      <w:tr w:rsidR="00675F6E" w:rsidRPr="00DA3007" w:rsidTr="00764779">
        <w:trPr>
          <w:cantSplit/>
        </w:trPr>
        <w:tc>
          <w:tcPr>
            <w:tcW w:w="1727" w:type="pct"/>
            <w:gridSpan w:val="2"/>
            <w:tcBorders>
              <w:top w:val="single" w:sz="4" w:space="0" w:color="auto"/>
              <w:bottom w:val="single" w:sz="4" w:space="0" w:color="auto"/>
            </w:tcBorders>
            <w:shd w:val="clear" w:color="auto" w:fill="auto"/>
            <w:tcMar>
              <w:left w:w="28" w:type="dxa"/>
              <w:right w:w="28" w:type="dxa"/>
            </w:tcMar>
          </w:tcPr>
          <w:p w:rsidR="00675F6E" w:rsidRPr="001F49F2" w:rsidRDefault="00675F6E" w:rsidP="0090357A">
            <w:pPr>
              <w:keepNext/>
              <w:jc w:val="left"/>
              <w:rPr>
                <w:rFonts w:ascii="Arial Narrow" w:hAnsi="Arial Narrow"/>
                <w:b/>
                <w:sz w:val="20"/>
                <w:szCs w:val="20"/>
              </w:rPr>
            </w:pPr>
            <w:r w:rsidRPr="001F49F2">
              <w:rPr>
                <w:rFonts w:ascii="Arial Narrow" w:hAnsi="Arial Narrow"/>
                <w:b/>
                <w:sz w:val="20"/>
                <w:szCs w:val="20"/>
              </w:rPr>
              <w:t>Name, Restriction,</w:t>
            </w:r>
          </w:p>
          <w:p w:rsidR="00675F6E" w:rsidRPr="001F49F2" w:rsidRDefault="00675F6E" w:rsidP="0090357A">
            <w:pPr>
              <w:keepNext/>
              <w:jc w:val="left"/>
              <w:rPr>
                <w:rFonts w:ascii="Arial Narrow" w:hAnsi="Arial Narrow"/>
                <w:b/>
                <w:sz w:val="20"/>
                <w:szCs w:val="20"/>
              </w:rPr>
            </w:pPr>
            <w:r w:rsidRPr="001F49F2">
              <w:rPr>
                <w:rFonts w:ascii="Arial Narrow" w:hAnsi="Arial Narrow"/>
                <w:b/>
                <w:sz w:val="20"/>
                <w:szCs w:val="20"/>
              </w:rPr>
              <w:t>Manner of administration and form</w:t>
            </w:r>
          </w:p>
        </w:tc>
        <w:tc>
          <w:tcPr>
            <w:tcW w:w="707" w:type="pct"/>
            <w:tcBorders>
              <w:top w:val="single" w:sz="4" w:space="0" w:color="auto"/>
              <w:bottom w:val="single" w:sz="4" w:space="0" w:color="auto"/>
            </w:tcBorders>
            <w:shd w:val="clear" w:color="auto" w:fill="auto"/>
            <w:tcMar>
              <w:left w:w="28" w:type="dxa"/>
              <w:right w:w="28" w:type="dxa"/>
            </w:tcMar>
          </w:tcPr>
          <w:p w:rsidR="00675F6E" w:rsidRPr="001F49F2" w:rsidRDefault="00675F6E" w:rsidP="0090357A">
            <w:pPr>
              <w:keepNext/>
              <w:jc w:val="center"/>
              <w:rPr>
                <w:rFonts w:ascii="Arial Narrow" w:hAnsi="Arial Narrow"/>
                <w:b/>
                <w:sz w:val="20"/>
                <w:szCs w:val="20"/>
              </w:rPr>
            </w:pPr>
            <w:r w:rsidRPr="001F49F2">
              <w:rPr>
                <w:rFonts w:ascii="Arial Narrow" w:hAnsi="Arial Narrow"/>
                <w:b/>
                <w:sz w:val="20"/>
                <w:szCs w:val="20"/>
              </w:rPr>
              <w:t>Max.</w:t>
            </w:r>
          </w:p>
          <w:p w:rsidR="00675F6E" w:rsidRPr="001F49F2" w:rsidRDefault="00675F6E" w:rsidP="0090357A">
            <w:pPr>
              <w:keepNext/>
              <w:jc w:val="center"/>
              <w:rPr>
                <w:rFonts w:ascii="Arial Narrow" w:hAnsi="Arial Narrow"/>
                <w:b/>
                <w:sz w:val="20"/>
                <w:szCs w:val="20"/>
              </w:rPr>
            </w:pPr>
            <w:r w:rsidRPr="001F49F2">
              <w:rPr>
                <w:rFonts w:ascii="Arial Narrow" w:hAnsi="Arial Narrow"/>
                <w:b/>
                <w:sz w:val="20"/>
                <w:szCs w:val="20"/>
              </w:rPr>
              <w:t>Amount</w:t>
            </w:r>
            <w:r w:rsidR="00764779">
              <w:rPr>
                <w:rFonts w:ascii="Arial Narrow" w:hAnsi="Arial Narrow"/>
                <w:b/>
                <w:sz w:val="20"/>
                <w:szCs w:val="20"/>
              </w:rPr>
              <w:t xml:space="preserve"> (units)</w:t>
            </w:r>
          </w:p>
        </w:tc>
        <w:tc>
          <w:tcPr>
            <w:tcW w:w="550" w:type="pct"/>
            <w:tcBorders>
              <w:top w:val="single" w:sz="4" w:space="0" w:color="auto"/>
              <w:bottom w:val="single" w:sz="4" w:space="0" w:color="auto"/>
            </w:tcBorders>
            <w:shd w:val="clear" w:color="auto" w:fill="auto"/>
            <w:tcMar>
              <w:left w:w="28" w:type="dxa"/>
              <w:right w:w="28" w:type="dxa"/>
            </w:tcMar>
          </w:tcPr>
          <w:p w:rsidR="00675F6E" w:rsidRPr="001F49F2" w:rsidRDefault="00675F6E" w:rsidP="0090357A">
            <w:pPr>
              <w:keepNext/>
              <w:jc w:val="center"/>
              <w:rPr>
                <w:rFonts w:ascii="Arial Narrow" w:hAnsi="Arial Narrow"/>
                <w:b/>
                <w:sz w:val="20"/>
                <w:szCs w:val="20"/>
              </w:rPr>
            </w:pPr>
            <w:r w:rsidRPr="001F49F2">
              <w:rPr>
                <w:rFonts w:ascii="Arial Narrow" w:hAnsi="Arial Narrow"/>
                <w:b/>
                <w:sz w:val="20"/>
                <w:szCs w:val="20"/>
              </w:rPr>
              <w:t>№.of</w:t>
            </w:r>
          </w:p>
          <w:p w:rsidR="00675F6E" w:rsidRPr="001F49F2" w:rsidRDefault="00675F6E" w:rsidP="0090357A">
            <w:pPr>
              <w:keepNext/>
              <w:jc w:val="center"/>
              <w:rPr>
                <w:rFonts w:ascii="Arial Narrow" w:hAnsi="Arial Narrow"/>
                <w:b/>
                <w:sz w:val="20"/>
                <w:szCs w:val="20"/>
              </w:rPr>
            </w:pPr>
            <w:proofErr w:type="spellStart"/>
            <w:r w:rsidRPr="001F49F2">
              <w:rPr>
                <w:rFonts w:ascii="Arial Narrow" w:hAnsi="Arial Narrow"/>
                <w:b/>
                <w:sz w:val="20"/>
                <w:szCs w:val="20"/>
              </w:rPr>
              <w:t>Rpts</w:t>
            </w:r>
            <w:proofErr w:type="spellEnd"/>
          </w:p>
        </w:tc>
        <w:tc>
          <w:tcPr>
            <w:tcW w:w="2016" w:type="pct"/>
            <w:tcBorders>
              <w:top w:val="single" w:sz="4" w:space="0" w:color="auto"/>
              <w:bottom w:val="single" w:sz="4" w:space="0" w:color="auto"/>
            </w:tcBorders>
            <w:shd w:val="clear" w:color="auto" w:fill="auto"/>
            <w:tcMar>
              <w:left w:w="28" w:type="dxa"/>
              <w:right w:w="28" w:type="dxa"/>
            </w:tcMar>
          </w:tcPr>
          <w:p w:rsidR="00675F6E" w:rsidRPr="001F49F2" w:rsidRDefault="00675F6E" w:rsidP="0090357A">
            <w:pPr>
              <w:keepNext/>
              <w:jc w:val="left"/>
              <w:rPr>
                <w:rFonts w:ascii="Arial Narrow" w:hAnsi="Arial Narrow"/>
                <w:b/>
                <w:sz w:val="20"/>
                <w:szCs w:val="20"/>
              </w:rPr>
            </w:pPr>
            <w:r w:rsidRPr="001F49F2">
              <w:rPr>
                <w:rFonts w:ascii="Arial Narrow" w:hAnsi="Arial Narrow"/>
                <w:b/>
                <w:sz w:val="20"/>
                <w:szCs w:val="20"/>
              </w:rPr>
              <w:t>Proprietary Name and Manufacturer</w:t>
            </w:r>
          </w:p>
        </w:tc>
      </w:tr>
      <w:tr w:rsidR="00675F6E" w:rsidRPr="00266FAB" w:rsidTr="00764779">
        <w:trPr>
          <w:cantSplit/>
        </w:trPr>
        <w:tc>
          <w:tcPr>
            <w:tcW w:w="1727" w:type="pct"/>
            <w:gridSpan w:val="2"/>
            <w:tcBorders>
              <w:top w:val="single" w:sz="4" w:space="0" w:color="auto"/>
              <w:bottom w:val="single" w:sz="4" w:space="0" w:color="auto"/>
            </w:tcBorders>
            <w:shd w:val="clear" w:color="auto" w:fill="auto"/>
            <w:tcMar>
              <w:left w:w="28" w:type="dxa"/>
              <w:right w:w="28" w:type="dxa"/>
            </w:tcMar>
          </w:tcPr>
          <w:p w:rsidR="00675F6E" w:rsidRDefault="00675F6E" w:rsidP="0090357A">
            <w:pPr>
              <w:pStyle w:val="Tabletext"/>
              <w:keepNext/>
            </w:pPr>
            <w:r>
              <w:t>PEMBROLIZUMAB</w:t>
            </w:r>
          </w:p>
          <w:p w:rsidR="00675F6E" w:rsidRDefault="00675F6E" w:rsidP="0090357A">
            <w:pPr>
              <w:pStyle w:val="Tabletext"/>
              <w:keepNext/>
            </w:pPr>
            <w:r>
              <w:t>100</w:t>
            </w:r>
            <w:r w:rsidR="00764779">
              <w:t xml:space="preserve"> </w:t>
            </w:r>
            <w:r>
              <w:t>mg/4</w:t>
            </w:r>
            <w:r w:rsidR="00764779">
              <w:t xml:space="preserve"> </w:t>
            </w:r>
            <w:r>
              <w:t>mL infusion, 1 x 4</w:t>
            </w:r>
            <w:r w:rsidR="00764779">
              <w:t xml:space="preserve"> </w:t>
            </w:r>
            <w:r>
              <w:t>mL vial</w:t>
            </w:r>
          </w:p>
          <w:p w:rsidR="00764779" w:rsidRPr="00266FAB" w:rsidRDefault="00764779" w:rsidP="0090357A">
            <w:pPr>
              <w:pStyle w:val="Tabletext"/>
              <w:keepNext/>
            </w:pPr>
          </w:p>
        </w:tc>
        <w:tc>
          <w:tcPr>
            <w:tcW w:w="707" w:type="pct"/>
            <w:tcBorders>
              <w:top w:val="single" w:sz="4" w:space="0" w:color="auto"/>
              <w:bottom w:val="single" w:sz="4" w:space="0" w:color="auto"/>
            </w:tcBorders>
            <w:shd w:val="clear" w:color="auto" w:fill="auto"/>
            <w:tcMar>
              <w:left w:w="28" w:type="dxa"/>
              <w:right w:w="28" w:type="dxa"/>
            </w:tcMar>
          </w:tcPr>
          <w:p w:rsidR="00675F6E" w:rsidRPr="00266FAB" w:rsidRDefault="00675F6E" w:rsidP="0090357A">
            <w:pPr>
              <w:pStyle w:val="Tabletext"/>
              <w:keepNext/>
              <w:jc w:val="center"/>
            </w:pPr>
            <w:r w:rsidRPr="00266FAB">
              <w:t>200 mg</w:t>
            </w:r>
          </w:p>
        </w:tc>
        <w:tc>
          <w:tcPr>
            <w:tcW w:w="550" w:type="pct"/>
            <w:tcBorders>
              <w:top w:val="single" w:sz="4" w:space="0" w:color="auto"/>
              <w:bottom w:val="single" w:sz="4" w:space="0" w:color="auto"/>
            </w:tcBorders>
            <w:shd w:val="clear" w:color="auto" w:fill="auto"/>
            <w:tcMar>
              <w:left w:w="28" w:type="dxa"/>
              <w:right w:w="28" w:type="dxa"/>
            </w:tcMar>
          </w:tcPr>
          <w:p w:rsidR="00675F6E" w:rsidRPr="00266FAB" w:rsidRDefault="00675F6E" w:rsidP="0090357A">
            <w:pPr>
              <w:pStyle w:val="Tabletext"/>
              <w:keepNext/>
              <w:jc w:val="center"/>
            </w:pPr>
            <w:r>
              <w:t>5</w:t>
            </w:r>
          </w:p>
        </w:tc>
        <w:tc>
          <w:tcPr>
            <w:tcW w:w="2016" w:type="pct"/>
            <w:tcBorders>
              <w:top w:val="single" w:sz="4" w:space="0" w:color="auto"/>
              <w:bottom w:val="single" w:sz="4" w:space="0" w:color="auto"/>
            </w:tcBorders>
            <w:shd w:val="clear" w:color="auto" w:fill="auto"/>
            <w:tcMar>
              <w:left w:w="28" w:type="dxa"/>
              <w:right w:w="28" w:type="dxa"/>
            </w:tcMar>
          </w:tcPr>
          <w:p w:rsidR="00675F6E" w:rsidRDefault="00675F6E" w:rsidP="0090357A">
            <w:pPr>
              <w:pStyle w:val="Tabletext"/>
              <w:keepNext/>
            </w:pPr>
            <w:r>
              <w:t>KEYTRUDA</w:t>
            </w:r>
            <w:r w:rsidRPr="001F49F2">
              <w:rPr>
                <w:vertAlign w:val="superscript"/>
              </w:rPr>
              <w:t>®</w:t>
            </w:r>
          </w:p>
          <w:p w:rsidR="00675F6E" w:rsidRPr="00266FAB" w:rsidRDefault="00675F6E" w:rsidP="0090357A">
            <w:pPr>
              <w:pStyle w:val="Tabletext"/>
              <w:keepNext/>
            </w:pPr>
            <w:r>
              <w:t xml:space="preserve">Merck Sharp &amp; </w:t>
            </w:r>
            <w:proofErr w:type="spellStart"/>
            <w:r>
              <w:t>Dohme</w:t>
            </w:r>
            <w:proofErr w:type="spellEnd"/>
            <w:r>
              <w:t xml:space="preserve"> (Australia) Pty Limited</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Category/program</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Section 100 (Public/Private), Efficient funding of Chemotherapy</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Severity:</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proofErr w:type="spellStart"/>
            <w:r w:rsidRPr="00A77B37">
              <w:t>Unresectable</w:t>
            </w:r>
            <w:proofErr w:type="spellEnd"/>
            <w:r w:rsidRPr="00A77B37">
              <w:t xml:space="preserve"> Stage III or Stage IV</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Condition:</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 xml:space="preserve">Malignant melanoma </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 xml:space="preserve">PBS </w:t>
            </w:r>
            <w:r w:rsidR="00764779">
              <w:rPr>
                <w:b/>
              </w:rPr>
              <w:t>i</w:t>
            </w:r>
            <w:r w:rsidRPr="00BB1D16">
              <w:rPr>
                <w:b/>
              </w:rPr>
              <w:t>ndication:</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proofErr w:type="spellStart"/>
            <w:r w:rsidRPr="00A77B37">
              <w:t>Unresectable</w:t>
            </w:r>
            <w:proofErr w:type="spellEnd"/>
            <w:r w:rsidRPr="00A77B37">
              <w:t xml:space="preserve"> Stage III or Stage IV malignant melanoma</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90357A">
            <w:pPr>
              <w:pStyle w:val="Tabletext"/>
              <w:keepNext/>
              <w:rPr>
                <w:b/>
              </w:rPr>
            </w:pPr>
            <w:r>
              <w:rPr>
                <w:b/>
              </w:rPr>
              <w:t>Treatment phase:</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Initial</w:t>
            </w:r>
            <w:r>
              <w:t xml:space="preserve"> </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124D4" w:rsidRDefault="00675F6E" w:rsidP="0090357A">
            <w:pPr>
              <w:pStyle w:val="Tabletext"/>
              <w:keepNext/>
              <w:rPr>
                <w:b/>
              </w:rPr>
            </w:pPr>
            <w:r>
              <w:rPr>
                <w:b/>
              </w:rPr>
              <w:t>Restriction:</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fldChar w:fldCharType="begin">
                <w:ffData>
                  <w:name w:val="Check5"/>
                  <w:enabled/>
                  <w:calcOnExit w:val="0"/>
                  <w:checkBox>
                    <w:sizeAuto/>
                    <w:default w:val="1"/>
                  </w:checkBox>
                </w:ffData>
              </w:fldChar>
            </w:r>
            <w:r>
              <w:instrText xml:space="preserve"> FORMCHECKBOX </w:instrText>
            </w:r>
            <w:r w:rsidR="007156A6">
              <w:fldChar w:fldCharType="separate"/>
            </w:r>
            <w:r>
              <w:fldChar w:fldCharType="end"/>
            </w:r>
            <w:r w:rsidRPr="00B43577">
              <w:t>Streamlined</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Clinical criteria:</w:t>
            </w:r>
          </w:p>
          <w:p w:rsidR="00675F6E" w:rsidRPr="00BB1D16" w:rsidRDefault="00675F6E" w:rsidP="0090357A">
            <w:pPr>
              <w:pStyle w:val="Tabletext"/>
              <w:keepNext/>
              <w:rPr>
                <w:b/>
              </w:rPr>
            </w:pPr>
          </w:p>
          <w:p w:rsidR="00675F6E" w:rsidRPr="00BB1D16" w:rsidRDefault="00675F6E" w:rsidP="0090357A">
            <w:pPr>
              <w:pStyle w:val="Tabletext"/>
              <w:keepNext/>
              <w:rPr>
                <w:b/>
              </w:rPr>
            </w:pP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Default="00675F6E" w:rsidP="0090357A">
            <w:pPr>
              <w:pStyle w:val="Tabletext"/>
              <w:keepNext/>
            </w:pPr>
            <w:r>
              <w:t xml:space="preserve">Patient must not have received prior treatment with </w:t>
            </w:r>
            <w:proofErr w:type="spellStart"/>
            <w:r>
              <w:t>ipilimumab</w:t>
            </w:r>
            <w:proofErr w:type="spellEnd"/>
            <w:r>
              <w:t xml:space="preserve"> or a PD-1 (programmed cell death-1) inhibitor for this condition in the </w:t>
            </w:r>
            <w:proofErr w:type="spellStart"/>
            <w:r>
              <w:t>unresectable</w:t>
            </w:r>
            <w:proofErr w:type="spellEnd"/>
            <w:r>
              <w:t xml:space="preserve"> </w:t>
            </w:r>
            <w:r w:rsidR="00774A4C">
              <w:t>Stage I</w:t>
            </w:r>
            <w:r>
              <w:t xml:space="preserve">II, or </w:t>
            </w:r>
            <w:r w:rsidR="00774A4C">
              <w:t>Stage I</w:t>
            </w:r>
            <w:r>
              <w:t>V setting</w:t>
            </w:r>
          </w:p>
          <w:p w:rsidR="00675F6E" w:rsidRDefault="00675F6E" w:rsidP="0090357A">
            <w:pPr>
              <w:pStyle w:val="Tabletext"/>
              <w:keepNext/>
            </w:pPr>
            <w:r>
              <w:t>AND</w:t>
            </w:r>
          </w:p>
          <w:p w:rsidR="00675F6E" w:rsidRDefault="00675F6E" w:rsidP="0090357A">
            <w:pPr>
              <w:pStyle w:val="Tabletext"/>
              <w:keepNext/>
            </w:pPr>
            <w:r>
              <w:t xml:space="preserve">Patient must have completed 12 months of prior therapy with a PD-1 inhibitor for this condition in the resected </w:t>
            </w:r>
            <w:r w:rsidR="00774A4C">
              <w:t>Stage I</w:t>
            </w:r>
            <w:r>
              <w:t>II setting without a recurrence while on treatment</w:t>
            </w:r>
          </w:p>
          <w:p w:rsidR="00675F6E" w:rsidRDefault="00675F6E" w:rsidP="0090357A">
            <w:pPr>
              <w:pStyle w:val="Tabletext"/>
              <w:keepNext/>
            </w:pPr>
            <w:r>
              <w:t>AND</w:t>
            </w:r>
          </w:p>
          <w:p w:rsidR="00675F6E" w:rsidRDefault="00675F6E" w:rsidP="0090357A">
            <w:pPr>
              <w:pStyle w:val="Tabletext"/>
              <w:keepNext/>
            </w:pPr>
            <w:r>
              <w:t xml:space="preserve">Patients must not have experienced a recurrence within 6 months of completing prior therapy with a PD-1 inhibitor in the resected </w:t>
            </w:r>
            <w:r w:rsidR="00774A4C">
              <w:t>Stage I</w:t>
            </w:r>
            <w:r>
              <w:t>II setting</w:t>
            </w:r>
          </w:p>
          <w:p w:rsidR="00675F6E" w:rsidRDefault="00675F6E" w:rsidP="0090357A">
            <w:pPr>
              <w:pStyle w:val="Tabletext"/>
              <w:keepNext/>
            </w:pPr>
            <w:r>
              <w:t>AND</w:t>
            </w:r>
          </w:p>
          <w:p w:rsidR="00675F6E" w:rsidRDefault="00675F6E" w:rsidP="0090357A">
            <w:pPr>
              <w:pStyle w:val="Tabletext"/>
              <w:keepNext/>
            </w:pPr>
            <w:r>
              <w:t>The treatment must be the sole PBS-subsidised therapy for this condition</w:t>
            </w:r>
          </w:p>
          <w:p w:rsidR="00675F6E" w:rsidRDefault="00675F6E" w:rsidP="0090357A">
            <w:pPr>
              <w:pStyle w:val="Tabletext"/>
              <w:keepNext/>
            </w:pPr>
            <w:r>
              <w:t>AND</w:t>
            </w:r>
          </w:p>
          <w:p w:rsidR="00675F6E" w:rsidRPr="004375C8" w:rsidRDefault="00675F6E" w:rsidP="0090357A">
            <w:pPr>
              <w:pStyle w:val="Tabletext"/>
              <w:keepNext/>
            </w:pPr>
            <w:r>
              <w:t>The patient must have a WHO performance status of 0 or 1</w:t>
            </w:r>
          </w:p>
        </w:tc>
      </w:tr>
      <w:tr w:rsidR="00675F6E" w:rsidRPr="00EC47C9" w:rsidTr="00764779">
        <w:trPr>
          <w:cantSplit/>
        </w:trPr>
        <w:tc>
          <w:tcPr>
            <w:tcW w:w="1030" w:type="pct"/>
            <w:tcBorders>
              <w:top w:val="single" w:sz="4" w:space="0" w:color="auto"/>
              <w:left w:val="single" w:sz="4" w:space="0" w:color="auto"/>
              <w:bottom w:val="single" w:sz="4" w:space="0" w:color="auto"/>
              <w:right w:val="single" w:sz="4" w:space="0" w:color="auto"/>
            </w:tcBorders>
            <w:tcMar>
              <w:left w:w="28" w:type="dxa"/>
              <w:right w:w="28" w:type="dxa"/>
            </w:tcMar>
          </w:tcPr>
          <w:p w:rsidR="00675F6E" w:rsidRPr="00BB1D16" w:rsidRDefault="00675F6E" w:rsidP="0090357A">
            <w:pPr>
              <w:pStyle w:val="Tabletext"/>
              <w:keepNext/>
              <w:rPr>
                <w:b/>
              </w:rPr>
            </w:pPr>
            <w:r w:rsidRPr="00BB1D16">
              <w:rPr>
                <w:b/>
              </w:rPr>
              <w:t xml:space="preserve">Administrative </w:t>
            </w:r>
            <w:r w:rsidR="00764779">
              <w:rPr>
                <w:b/>
              </w:rPr>
              <w:t>a</w:t>
            </w:r>
            <w:r w:rsidRPr="00BB1D16">
              <w:rPr>
                <w:b/>
              </w:rPr>
              <w:t>dvice</w:t>
            </w:r>
          </w:p>
        </w:tc>
        <w:tc>
          <w:tcPr>
            <w:tcW w:w="39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rsidR="00675F6E" w:rsidRPr="004375C8" w:rsidRDefault="00675F6E" w:rsidP="0090357A">
            <w:pPr>
              <w:pStyle w:val="Tabletext"/>
              <w:keepNext/>
            </w:pPr>
            <w:r w:rsidRPr="004375C8">
              <w:t>No increase in the maximum quantity or number of units or number of repeats will be authorised.</w:t>
            </w:r>
          </w:p>
        </w:tc>
      </w:tr>
    </w:tbl>
    <w:p w:rsidR="00675F6E" w:rsidRDefault="00675F6E" w:rsidP="00675F6E">
      <w:pPr>
        <w:pStyle w:val="ListParagraph"/>
        <w:widowControl/>
      </w:pPr>
    </w:p>
    <w:p w:rsidR="00675F6E" w:rsidRDefault="001F4A82" w:rsidP="00EE432A">
      <w:pPr>
        <w:pStyle w:val="ListParagraph"/>
        <w:widowControl/>
        <w:numPr>
          <w:ilvl w:val="1"/>
          <w:numId w:val="3"/>
        </w:numPr>
        <w:spacing w:after="120"/>
      </w:pPr>
      <w:r w:rsidRPr="00F1313B">
        <w:t>The ESC noted that n</w:t>
      </w:r>
      <w:r w:rsidR="00BD41C3" w:rsidRPr="00F1313B">
        <w:t xml:space="preserve">o comparative evidence </w:t>
      </w:r>
      <w:r w:rsidRPr="00F1313B">
        <w:t>was</w:t>
      </w:r>
      <w:r w:rsidR="00BD41C3" w:rsidRPr="00F1313B">
        <w:t xml:space="preserve"> provided to support retreatment with </w:t>
      </w:r>
      <w:proofErr w:type="spellStart"/>
      <w:r w:rsidR="00BD41C3" w:rsidRPr="00F1313B">
        <w:t>pembrolizumab</w:t>
      </w:r>
      <w:proofErr w:type="spellEnd"/>
      <w:r w:rsidR="00BD41C3" w:rsidRPr="00F1313B">
        <w:t xml:space="preserve"> in the melanoma population</w:t>
      </w:r>
      <w:r w:rsidR="00DB587A" w:rsidRPr="00F1313B">
        <w:t xml:space="preserve"> and </w:t>
      </w:r>
      <w:r w:rsidR="00BD41C3" w:rsidRPr="00F1313B">
        <w:t>clinical guidelines</w:t>
      </w:r>
      <w:r w:rsidR="00441A5D" w:rsidRPr="00F1313B">
        <w:t xml:space="preserve"> make no recommendation</w:t>
      </w:r>
      <w:r w:rsidR="003A77DE" w:rsidRPr="00F1313B">
        <w:t>s</w:t>
      </w:r>
      <w:r w:rsidR="00441A5D" w:rsidRPr="00F1313B">
        <w:t xml:space="preserve"> on retreatment with PD-1 inhibitors</w:t>
      </w:r>
      <w:r w:rsidR="00BD41C3" w:rsidRPr="00F1313B">
        <w:t>.</w:t>
      </w:r>
    </w:p>
    <w:p w:rsidR="00F1313B" w:rsidRPr="00F1313B" w:rsidRDefault="00F1313B" w:rsidP="00EE432A">
      <w:pPr>
        <w:pStyle w:val="ListParagraph"/>
        <w:widowControl/>
        <w:spacing w:after="240"/>
        <w:rPr>
          <w:i/>
        </w:rPr>
      </w:pPr>
      <w:r w:rsidRPr="00F1313B">
        <w:rPr>
          <w:i/>
        </w:rPr>
        <w:t xml:space="preserve">For </w:t>
      </w:r>
      <w:r>
        <w:rPr>
          <w:i/>
        </w:rPr>
        <w:t>more</w:t>
      </w:r>
      <w:r w:rsidRPr="00F1313B">
        <w:rPr>
          <w:i/>
        </w:rPr>
        <w:t xml:space="preserve"> detail on PBAC’s view, see Section 7 PBAC outcome.</w:t>
      </w:r>
    </w:p>
    <w:p w:rsidR="00DF2B16" w:rsidRDefault="00675F6E" w:rsidP="00EE432A">
      <w:pPr>
        <w:pStyle w:val="PBACHeading1"/>
        <w:spacing w:after="120"/>
        <w:ind w:left="720"/>
      </w:pPr>
      <w:bookmarkStart w:id="3" w:name="_Toc523840726"/>
      <w:r w:rsidRPr="00407F2D">
        <w:t>Background</w:t>
      </w:r>
      <w:bookmarkEnd w:id="3"/>
    </w:p>
    <w:p w:rsidR="00675F6E" w:rsidRPr="001754A8" w:rsidRDefault="00675F6E" w:rsidP="001754A8">
      <w:pPr>
        <w:keepNext/>
        <w:spacing w:after="120"/>
        <w:rPr>
          <w:b/>
          <w:i/>
          <w:sz w:val="28"/>
          <w:szCs w:val="28"/>
        </w:rPr>
      </w:pPr>
      <w:r w:rsidRPr="004151CF">
        <w:rPr>
          <w:b/>
          <w:i/>
          <w:sz w:val="28"/>
          <w:szCs w:val="28"/>
        </w:rPr>
        <w:lastRenderedPageBreak/>
        <w:t>Registration status</w:t>
      </w:r>
    </w:p>
    <w:p w:rsidR="00B82CB0" w:rsidRPr="00F1313B" w:rsidRDefault="001167F1" w:rsidP="00B82CB0">
      <w:pPr>
        <w:pStyle w:val="ListParagraph"/>
        <w:keepNext/>
        <w:widowControl/>
        <w:numPr>
          <w:ilvl w:val="1"/>
          <w:numId w:val="3"/>
        </w:numPr>
        <w:spacing w:after="160"/>
      </w:pPr>
      <w:r w:rsidRPr="00882085">
        <w:t xml:space="preserve">The submission was made under </w:t>
      </w:r>
      <w:r w:rsidR="00BA2FF7">
        <w:t xml:space="preserve">the </w:t>
      </w:r>
      <w:r w:rsidRPr="00882085">
        <w:t xml:space="preserve">TGA/PBAC </w:t>
      </w:r>
      <w:r>
        <w:t>p</w:t>
      </w:r>
      <w:r w:rsidRPr="00882085">
        <w:t xml:space="preserve">arallel </w:t>
      </w:r>
      <w:r>
        <w:t xml:space="preserve">process and was considered under the Priority Review Pathway. </w:t>
      </w:r>
      <w:r w:rsidR="00F55EE9">
        <w:t>At the time of PBAC consideration, t</w:t>
      </w:r>
      <w:r>
        <w:t xml:space="preserve">he </w:t>
      </w:r>
      <w:r w:rsidR="00F55EE9">
        <w:t xml:space="preserve">TGA </w:t>
      </w:r>
      <w:r>
        <w:t xml:space="preserve">Delegate’s Overview was </w:t>
      </w:r>
      <w:r w:rsidR="00F55EE9">
        <w:t>available</w:t>
      </w:r>
      <w:r>
        <w:t>,</w:t>
      </w:r>
      <w:r w:rsidR="00B82CB0" w:rsidRPr="00F1313B">
        <w:t xml:space="preserve"> recommending </w:t>
      </w:r>
      <w:proofErr w:type="spellStart"/>
      <w:r w:rsidR="00B82CB0" w:rsidRPr="00F1313B">
        <w:t>pembrolizumab</w:t>
      </w:r>
      <w:proofErr w:type="spellEnd"/>
      <w:r w:rsidR="00B82CB0" w:rsidRPr="00F1313B">
        <w:t xml:space="preserve"> </w:t>
      </w:r>
      <w:r>
        <w:t>for</w:t>
      </w:r>
      <w:r w:rsidR="00B82CB0" w:rsidRPr="00F1313B">
        <w:t>:</w:t>
      </w:r>
    </w:p>
    <w:p w:rsidR="00666788" w:rsidRPr="006011A1" w:rsidRDefault="00B82CB0" w:rsidP="00764779">
      <w:pPr>
        <w:pStyle w:val="ListParagraph"/>
        <w:keepNext/>
        <w:widowControl/>
        <w:spacing w:after="160"/>
        <w:ind w:left="1440"/>
      </w:pPr>
      <w:r w:rsidRPr="00F1313B">
        <w:t>“</w:t>
      </w:r>
      <w:proofErr w:type="gramStart"/>
      <w:r w:rsidRPr="00F1313B">
        <w:t>monotherapy</w:t>
      </w:r>
      <w:proofErr w:type="gramEnd"/>
      <w:r w:rsidRPr="00F1313B">
        <w:t xml:space="preserve"> for the adjuvant treatment of patients</w:t>
      </w:r>
      <w:r w:rsidRPr="00A64842">
        <w:t xml:space="preserve"> with melanoma with lymph node involvement who have undergone complete resection.</w:t>
      </w:r>
      <w:r>
        <w:t>”</w:t>
      </w:r>
    </w:p>
    <w:p w:rsidR="00675F6E" w:rsidRPr="001754A8" w:rsidRDefault="00675F6E" w:rsidP="001754A8">
      <w:pPr>
        <w:widowControl/>
        <w:spacing w:after="120"/>
        <w:rPr>
          <w:b/>
          <w:i/>
          <w:sz w:val="28"/>
          <w:szCs w:val="28"/>
        </w:rPr>
      </w:pPr>
      <w:r w:rsidRPr="004151CF">
        <w:rPr>
          <w:b/>
          <w:i/>
          <w:sz w:val="28"/>
          <w:szCs w:val="28"/>
        </w:rPr>
        <w:t>Previous PBAC consideration</w:t>
      </w:r>
    </w:p>
    <w:p w:rsidR="00675F6E" w:rsidRDefault="00675F6E" w:rsidP="0013133C">
      <w:pPr>
        <w:pStyle w:val="ListParagraph"/>
        <w:widowControl/>
        <w:numPr>
          <w:ilvl w:val="1"/>
          <w:numId w:val="3"/>
        </w:numPr>
        <w:spacing w:after="160"/>
      </w:pPr>
      <w:r>
        <w:t xml:space="preserve">This is the first PBAC consideration of </w:t>
      </w:r>
      <w:proofErr w:type="spellStart"/>
      <w:r>
        <w:t>pembrolizumab</w:t>
      </w:r>
      <w:proofErr w:type="spellEnd"/>
      <w:r>
        <w:t xml:space="preserve"> for the proposed indication.</w:t>
      </w:r>
      <w:r w:rsidR="00FB3AB3">
        <w:t xml:space="preserve"> </w:t>
      </w:r>
      <w:r w:rsidR="00AF277F">
        <w:t>A</w:t>
      </w:r>
      <w:r w:rsidR="0013133C">
        <w:t xml:space="preserve"> </w:t>
      </w:r>
      <w:r w:rsidR="00FB3AB3">
        <w:t xml:space="preserve">submission </w:t>
      </w:r>
      <w:r w:rsidR="0013133C">
        <w:t xml:space="preserve">requesting </w:t>
      </w:r>
      <w:r w:rsidR="00FD1A67">
        <w:t xml:space="preserve">the </w:t>
      </w:r>
      <w:r w:rsidR="0013133C">
        <w:t xml:space="preserve">listing of </w:t>
      </w:r>
      <w:proofErr w:type="spellStart"/>
      <w:r w:rsidR="00FB3AB3">
        <w:t>nivolumab</w:t>
      </w:r>
      <w:proofErr w:type="spellEnd"/>
      <w:r w:rsidR="00FB3AB3">
        <w:t xml:space="preserve"> </w:t>
      </w:r>
      <w:r w:rsidR="0013133C">
        <w:t xml:space="preserve">as </w:t>
      </w:r>
      <w:r w:rsidR="00FB3AB3">
        <w:t xml:space="preserve">adjuvant therapy for </w:t>
      </w:r>
      <w:proofErr w:type="spellStart"/>
      <w:r w:rsidR="00FB3AB3">
        <w:t>resectable</w:t>
      </w:r>
      <w:proofErr w:type="spellEnd"/>
      <w:r w:rsidR="00FB3AB3">
        <w:t xml:space="preserve"> Stage III or Stage IV melanoma was considered at the July 2018 PBAC meeting</w:t>
      </w:r>
      <w:r w:rsidR="0013133C">
        <w:t xml:space="preserve">. The PBAC </w:t>
      </w:r>
      <w:r w:rsidR="0013133C" w:rsidRPr="0013133C">
        <w:t xml:space="preserve">did not recommend </w:t>
      </w:r>
      <w:proofErr w:type="spellStart"/>
      <w:r w:rsidR="0013133C" w:rsidRPr="0013133C">
        <w:t>nivolumab</w:t>
      </w:r>
      <w:proofErr w:type="spellEnd"/>
      <w:r w:rsidR="0013133C" w:rsidRPr="0013133C">
        <w:t xml:space="preserve"> for use in </w:t>
      </w:r>
      <w:r w:rsidR="003F48CA">
        <w:t xml:space="preserve">these </w:t>
      </w:r>
      <w:r w:rsidR="0013133C" w:rsidRPr="0013133C">
        <w:t xml:space="preserve">patients </w:t>
      </w:r>
      <w:r w:rsidR="003F48CA">
        <w:t>as the</w:t>
      </w:r>
      <w:r w:rsidR="0013133C" w:rsidRPr="0013133C">
        <w:t xml:space="preserve"> PBAC considered that the data presented in the submission were immature</w:t>
      </w:r>
      <w:r w:rsidR="003F48CA">
        <w:t>,</w:t>
      </w:r>
      <w:r w:rsidR="0013133C" w:rsidRPr="0013133C">
        <w:t xml:space="preserve"> the effect on overall survival could not be determined</w:t>
      </w:r>
      <w:r w:rsidR="0013133C">
        <w:t xml:space="preserve"> and that the </w:t>
      </w:r>
      <w:r w:rsidR="0013133C" w:rsidRPr="0013133C">
        <w:t>incremental cost-effectiveness ratio was highly uncertain.</w:t>
      </w:r>
    </w:p>
    <w:p w:rsidR="00675F6E" w:rsidRDefault="00675F6E" w:rsidP="00675F6E">
      <w:pPr>
        <w:pStyle w:val="ListParagraph"/>
        <w:widowControl/>
        <w:numPr>
          <w:ilvl w:val="1"/>
          <w:numId w:val="3"/>
        </w:numPr>
        <w:spacing w:after="160"/>
      </w:pPr>
      <w:proofErr w:type="spellStart"/>
      <w:r>
        <w:t>Pembrolizumab</w:t>
      </w:r>
      <w:proofErr w:type="spellEnd"/>
      <w:r>
        <w:t xml:space="preserve"> is currently PBS listed for:</w:t>
      </w:r>
    </w:p>
    <w:p w:rsidR="00675F6E" w:rsidRPr="008679A8" w:rsidRDefault="00675F6E" w:rsidP="00C6669B">
      <w:pPr>
        <w:pStyle w:val="ListParagraph"/>
        <w:numPr>
          <w:ilvl w:val="1"/>
          <w:numId w:val="9"/>
        </w:numPr>
        <w:spacing w:after="120"/>
        <w:ind w:left="1077" w:hanging="357"/>
      </w:pPr>
      <w:proofErr w:type="spellStart"/>
      <w:r w:rsidRPr="008679A8">
        <w:t>Unresectable</w:t>
      </w:r>
      <w:proofErr w:type="spellEnd"/>
      <w:r w:rsidRPr="008679A8">
        <w:t xml:space="preserve"> Stage III or Stage IV malignant melanoma who have not received prior treatment with </w:t>
      </w:r>
      <w:proofErr w:type="spellStart"/>
      <w:r w:rsidRPr="008679A8">
        <w:t>ipilimumab</w:t>
      </w:r>
      <w:proofErr w:type="spellEnd"/>
      <w:r w:rsidRPr="008679A8">
        <w:t xml:space="preserve"> or a PD-1 inhibitor for this condition;</w:t>
      </w:r>
      <w:r w:rsidR="0068303C">
        <w:t xml:space="preserve"> and</w:t>
      </w:r>
    </w:p>
    <w:p w:rsidR="00675F6E" w:rsidRDefault="00675F6E" w:rsidP="00C6669B">
      <w:pPr>
        <w:pStyle w:val="ListParagraph"/>
        <w:numPr>
          <w:ilvl w:val="1"/>
          <w:numId w:val="9"/>
        </w:numPr>
        <w:spacing w:after="120"/>
        <w:ind w:left="1077" w:hanging="357"/>
      </w:pPr>
      <w:r w:rsidRPr="008679A8">
        <w:t>Relapsed or refractory Hodgkin’s lymphoma who have undergone an autologous stem cell transplant (AST) and have experienced relapsed</w:t>
      </w:r>
      <w:r w:rsidR="00765FD5">
        <w:t xml:space="preserve"> or refractory disease post AST.</w:t>
      </w:r>
    </w:p>
    <w:p w:rsidR="00F1313B" w:rsidRPr="00F1313B" w:rsidRDefault="00F1313B" w:rsidP="00F1313B">
      <w:pPr>
        <w:spacing w:after="120"/>
        <w:ind w:left="720"/>
        <w:rPr>
          <w:i/>
        </w:rPr>
      </w:pPr>
      <w:r w:rsidRPr="00F1313B">
        <w:rPr>
          <w:i/>
        </w:rPr>
        <w:t>For more detail on PBAC’s view, see Section 7 PBAC outcome.</w:t>
      </w:r>
    </w:p>
    <w:p w:rsidR="00675F6E" w:rsidRPr="00882085" w:rsidRDefault="00675F6E" w:rsidP="00EE432A">
      <w:pPr>
        <w:pStyle w:val="PBACHeading1"/>
        <w:spacing w:after="120"/>
        <w:ind w:left="720"/>
      </w:pPr>
      <w:bookmarkStart w:id="4" w:name="_Toc523840727"/>
      <w:r>
        <w:t>Population and disease</w:t>
      </w:r>
      <w:bookmarkEnd w:id="4"/>
    </w:p>
    <w:p w:rsidR="00675F6E" w:rsidRDefault="00F55EE9" w:rsidP="00675F6E">
      <w:pPr>
        <w:pStyle w:val="ListParagraph"/>
        <w:widowControl/>
        <w:numPr>
          <w:ilvl w:val="1"/>
          <w:numId w:val="3"/>
        </w:numPr>
        <w:spacing w:after="160"/>
      </w:pPr>
      <w:r w:rsidRPr="006C63F7">
        <w:t xml:space="preserve">Stage III melanoma includes patients with involvement of regional lymph nodes or the presence of in transit or satellite metastases. </w:t>
      </w:r>
      <w:r w:rsidR="00675F6E" w:rsidRPr="008F7BAA">
        <w:t xml:space="preserve">Patients who have completely resected Stage III melanoma are at </w:t>
      </w:r>
      <w:r w:rsidR="00AD165B">
        <w:t xml:space="preserve">a high </w:t>
      </w:r>
      <w:r w:rsidR="00675F6E" w:rsidRPr="008F7BAA">
        <w:t xml:space="preserve">risk of developing </w:t>
      </w:r>
      <w:proofErr w:type="spellStart"/>
      <w:r w:rsidR="00675F6E" w:rsidRPr="008F7BAA">
        <w:t>unresectable</w:t>
      </w:r>
      <w:proofErr w:type="spellEnd"/>
      <w:r w:rsidR="00675F6E" w:rsidRPr="008F7BAA">
        <w:t xml:space="preserve"> disease recurrence, which, in many cases, includes distant metastases. Despite the availability of immunotherapies and targeted therapies for the treatment of advanced/metastatic melanoma, </w:t>
      </w:r>
      <w:proofErr w:type="spellStart"/>
      <w:r w:rsidR="00675F6E" w:rsidRPr="008F7BAA">
        <w:t>unresectable</w:t>
      </w:r>
      <w:proofErr w:type="spellEnd"/>
      <w:r w:rsidR="00675F6E" w:rsidRPr="008F7BAA">
        <w:t xml:space="preserve"> disease remains associated with high mortality. To reduce the risk of relapse post resection, high-risk patients may be considered can</w:t>
      </w:r>
      <w:r w:rsidR="00783F38">
        <w:t>didates for adjuvant treatment.</w:t>
      </w:r>
    </w:p>
    <w:p w:rsidR="00675F6E" w:rsidRPr="006C63F7" w:rsidRDefault="00675F6E" w:rsidP="00675F6E">
      <w:pPr>
        <w:pStyle w:val="ListParagraph"/>
        <w:widowControl/>
        <w:numPr>
          <w:ilvl w:val="1"/>
          <w:numId w:val="3"/>
        </w:numPr>
        <w:spacing w:after="160"/>
      </w:pPr>
      <w:r w:rsidRPr="006C63F7">
        <w:t>In Australia, there are no agents currently available on the PBS for adjuvant treatment. I</w:t>
      </w:r>
      <w:r w:rsidR="00783F38" w:rsidRPr="006C63F7">
        <w:t xml:space="preserve">nterferon </w:t>
      </w:r>
      <w:proofErr w:type="spellStart"/>
      <w:r w:rsidR="00783F38" w:rsidRPr="006C63F7">
        <w:t>alfa</w:t>
      </w:r>
      <w:proofErr w:type="spellEnd"/>
      <w:r w:rsidR="00783F38" w:rsidRPr="006C63F7">
        <w:t xml:space="preserve"> 2b</w:t>
      </w:r>
      <w:r w:rsidRPr="006C63F7">
        <w:t xml:space="preserve"> was delisted from the PBS in June 2018 and, as noted in the Cancer Council Australia (CCA) guidelines</w:t>
      </w:r>
      <w:r w:rsidR="00112F4C" w:rsidRPr="006C63F7">
        <w:rPr>
          <w:rStyle w:val="FootnoteReference"/>
        </w:rPr>
        <w:footnoteReference w:id="1"/>
      </w:r>
      <w:r w:rsidRPr="006C63F7">
        <w:t xml:space="preserve">, it is not recommended as standard of care given </w:t>
      </w:r>
      <w:r w:rsidRPr="006C63F7">
        <w:lastRenderedPageBreak/>
        <w:t>the significant toxicity profile and minimal survival benefits. Therefore, there is an unmet clinical need for these patients.</w:t>
      </w:r>
    </w:p>
    <w:p w:rsidR="00675F6E" w:rsidRPr="006C63F7" w:rsidRDefault="00675F6E" w:rsidP="00675F6E">
      <w:pPr>
        <w:pStyle w:val="ListParagraph"/>
        <w:widowControl/>
        <w:numPr>
          <w:ilvl w:val="1"/>
          <w:numId w:val="3"/>
        </w:numPr>
        <w:spacing w:after="160"/>
      </w:pPr>
      <w:r w:rsidRPr="006C63F7">
        <w:t xml:space="preserve">The CCA guidelines recommend adjuvant treatment of resected </w:t>
      </w:r>
      <w:r w:rsidR="00774A4C">
        <w:t>Stage I</w:t>
      </w:r>
      <w:r w:rsidRPr="006C63F7">
        <w:t xml:space="preserve">II patients with </w:t>
      </w:r>
      <w:proofErr w:type="spellStart"/>
      <w:r w:rsidRPr="006C63F7">
        <w:t>pembrolizumab</w:t>
      </w:r>
      <w:proofErr w:type="spellEnd"/>
      <w:r w:rsidRPr="006C63F7">
        <w:t xml:space="preserve">, </w:t>
      </w:r>
      <w:proofErr w:type="spellStart"/>
      <w:r w:rsidRPr="006C63F7">
        <w:t>nivolumab</w:t>
      </w:r>
      <w:proofErr w:type="spellEnd"/>
      <w:r w:rsidRPr="006C63F7">
        <w:t xml:space="preserve"> or </w:t>
      </w:r>
      <w:proofErr w:type="spellStart"/>
      <w:r w:rsidRPr="006C63F7">
        <w:t>dabrafenib+trametinib</w:t>
      </w:r>
      <w:proofErr w:type="spellEnd"/>
      <w:r w:rsidRPr="006C63F7">
        <w:t xml:space="preserve"> (DAB+TRAM, only in BRAF positi</w:t>
      </w:r>
      <w:r w:rsidR="00112F4C" w:rsidRPr="006C63F7">
        <w:t>ve patients)</w:t>
      </w:r>
      <w:r w:rsidRPr="006C63F7">
        <w:t xml:space="preserve">. The guidelines also acknowledge that, currently, patients can only access these treatments if there is eligibility for a clinical trial or through self-funded mechanisms, and observation is the standard of care. If patients develop </w:t>
      </w:r>
      <w:proofErr w:type="spellStart"/>
      <w:r w:rsidRPr="006C63F7">
        <w:t>unresectable</w:t>
      </w:r>
      <w:proofErr w:type="spellEnd"/>
      <w:r w:rsidRPr="006C63F7">
        <w:t xml:space="preserve"> Stage III or </w:t>
      </w:r>
      <w:r w:rsidR="00774A4C">
        <w:t>Stage I</w:t>
      </w:r>
      <w:r w:rsidRPr="006C63F7">
        <w:t xml:space="preserve">V melanoma, they are eligible for PBS-subsidised treatment with targeted therapy or immunotherapy depending on their BRAF mutation status: patients whose tumour expresses BRAF mutations are eligible for BRAF inhibitor ± MEK inhibitor therapy, followed by PD-1 inhibitors upon disease progression; while among those patients with BRAF negative melanoma, PD-1 inhibitors </w:t>
      </w:r>
      <w:r w:rsidR="004567F9">
        <w:t xml:space="preserve">are </w:t>
      </w:r>
      <w:r w:rsidRPr="006C63F7">
        <w:t xml:space="preserve">used as first-line treatment. </w:t>
      </w:r>
    </w:p>
    <w:p w:rsidR="00675F6E" w:rsidRPr="00F1313B" w:rsidRDefault="00675F6E" w:rsidP="00675F6E">
      <w:pPr>
        <w:pStyle w:val="ListParagraph"/>
        <w:widowControl/>
        <w:numPr>
          <w:ilvl w:val="1"/>
          <w:numId w:val="3"/>
        </w:numPr>
        <w:spacing w:after="160"/>
      </w:pPr>
      <w:r w:rsidRPr="00E4278C">
        <w:t xml:space="preserve">If </w:t>
      </w:r>
      <w:proofErr w:type="spellStart"/>
      <w:r w:rsidRPr="00E4278C">
        <w:t>pembrolizumab</w:t>
      </w:r>
      <w:proofErr w:type="spellEnd"/>
      <w:r w:rsidRPr="00E4278C">
        <w:t xml:space="preserve"> becomes available on the PBS for use as adjuvant therapy, it is likely to alter subsequent management of recurrent disease, especially the use of PD-1 inhibitors as first- or later-line treatment for </w:t>
      </w:r>
      <w:proofErr w:type="spellStart"/>
      <w:r w:rsidRPr="00E4278C">
        <w:t>unresectable</w:t>
      </w:r>
      <w:proofErr w:type="spellEnd"/>
      <w:r w:rsidRPr="00E4278C">
        <w:t xml:space="preserve"> Stage III and Stage IV disease, given that the current listings for </w:t>
      </w:r>
      <w:proofErr w:type="spellStart"/>
      <w:r w:rsidR="00BA3012" w:rsidRPr="00E4278C">
        <w:t>pembrolizumab</w:t>
      </w:r>
      <w:proofErr w:type="spellEnd"/>
      <w:r w:rsidR="00BA3012" w:rsidRPr="00E4278C">
        <w:t xml:space="preserve"> and </w:t>
      </w:r>
      <w:proofErr w:type="spellStart"/>
      <w:r w:rsidRPr="00E4278C">
        <w:t>nivolumab</w:t>
      </w:r>
      <w:proofErr w:type="spellEnd"/>
      <w:r w:rsidRPr="00E4278C">
        <w:t xml:space="preserve"> for the treatment of </w:t>
      </w:r>
      <w:proofErr w:type="spellStart"/>
      <w:r w:rsidRPr="00E4278C">
        <w:t>unresectable</w:t>
      </w:r>
      <w:proofErr w:type="spellEnd"/>
      <w:r w:rsidRPr="00E4278C">
        <w:t xml:space="preserve"> Stage III or Stage IV melanoma would preclude their use in patients who have previously received PD-1 inhibitors as adjuvant therapy. Although the submission has requested an additional PBS listing for retreatment with </w:t>
      </w:r>
      <w:proofErr w:type="spellStart"/>
      <w:r w:rsidRPr="00E4278C">
        <w:t>pembrolizumab</w:t>
      </w:r>
      <w:proofErr w:type="spellEnd"/>
      <w:r w:rsidRPr="00E4278C">
        <w:t xml:space="preserve"> for those who have received the full 12-month course of adjuvant treatment and remained recurrence</w:t>
      </w:r>
      <w:r w:rsidR="00762D59" w:rsidRPr="00E4278C">
        <w:t>-</w:t>
      </w:r>
      <w:r w:rsidRPr="00E4278C">
        <w:t>free for at least 6 months post completion of the adjuvant treatment, those patients who develop recurrent disease within 18 months post initiation of adjuvant treatment or those who d</w:t>
      </w:r>
      <w:r w:rsidR="004567F9">
        <w:t>o</w:t>
      </w:r>
      <w:r w:rsidRPr="00E4278C">
        <w:t xml:space="preserve"> not complete the full 12-month adjuvant treatment course would be no longer eligible for </w:t>
      </w:r>
      <w:proofErr w:type="spellStart"/>
      <w:r w:rsidRPr="00E4278C">
        <w:t>pembrolizumab</w:t>
      </w:r>
      <w:proofErr w:type="spellEnd"/>
      <w:r w:rsidRPr="00E4278C">
        <w:t xml:space="preserve"> (or </w:t>
      </w:r>
      <w:proofErr w:type="spellStart"/>
      <w:r w:rsidRPr="00E4278C">
        <w:t>nivolumab</w:t>
      </w:r>
      <w:proofErr w:type="spellEnd"/>
      <w:r w:rsidRPr="00E4278C">
        <w:t xml:space="preserve">) again in the </w:t>
      </w:r>
      <w:proofErr w:type="spellStart"/>
      <w:r w:rsidRPr="00E4278C">
        <w:t>unresectable</w:t>
      </w:r>
      <w:proofErr w:type="spellEnd"/>
      <w:r w:rsidRPr="00E4278C">
        <w:t xml:space="preserve"> setting. </w:t>
      </w:r>
      <w:r w:rsidR="003A2A9C" w:rsidRPr="00F1313B">
        <w:t>The</w:t>
      </w:r>
      <w:r w:rsidR="007E4DDD" w:rsidRPr="00F1313B">
        <w:t xml:space="preserve"> ESC noted that there</w:t>
      </w:r>
      <w:r w:rsidR="003A2A9C" w:rsidRPr="00F1313B">
        <w:t xml:space="preserve"> </w:t>
      </w:r>
      <w:r w:rsidR="00AF277F" w:rsidRPr="00F1313B">
        <w:t>are</w:t>
      </w:r>
      <w:r w:rsidR="003A2A9C" w:rsidRPr="00F1313B">
        <w:t xml:space="preserve"> no data assessing whether the prior use of </w:t>
      </w:r>
      <w:proofErr w:type="spellStart"/>
      <w:r w:rsidR="003A2A9C" w:rsidRPr="00F1313B">
        <w:t>pembrolizumab</w:t>
      </w:r>
      <w:proofErr w:type="spellEnd"/>
      <w:r w:rsidR="003A2A9C" w:rsidRPr="00F1313B">
        <w:t xml:space="preserve"> as adjuvant therapy modifies the effectiveness </w:t>
      </w:r>
      <w:r w:rsidR="007E4DDD" w:rsidRPr="00F1313B">
        <w:t xml:space="preserve">or safety </w:t>
      </w:r>
      <w:r w:rsidR="003A2A9C" w:rsidRPr="00F1313B">
        <w:t>of PD-1 inhibitors when used to treat advanced/metastatic disease.</w:t>
      </w:r>
    </w:p>
    <w:p w:rsidR="00675F6E" w:rsidRDefault="00675F6E" w:rsidP="005B320C">
      <w:pPr>
        <w:pStyle w:val="ListParagraph"/>
        <w:widowControl/>
        <w:numPr>
          <w:ilvl w:val="1"/>
          <w:numId w:val="3"/>
        </w:numPr>
        <w:spacing w:after="160"/>
      </w:pPr>
      <w:r w:rsidRPr="00E4278C">
        <w:t xml:space="preserve">If the use of </w:t>
      </w:r>
      <w:proofErr w:type="spellStart"/>
      <w:r w:rsidRPr="00E4278C">
        <w:t>pembrolizumab</w:t>
      </w:r>
      <w:proofErr w:type="spellEnd"/>
      <w:r w:rsidRPr="00E4278C">
        <w:t xml:space="preserve"> as adjuvant therapy is likely to limit the use of PD-1 inhibitors in treatment of recurrent disease,</w:t>
      </w:r>
      <w:r w:rsidR="0026234F">
        <w:t xml:space="preserve"> the PBAC considered that</w:t>
      </w:r>
      <w:r w:rsidRPr="00E4278C">
        <w:t xml:space="preserve"> it </w:t>
      </w:r>
      <w:r w:rsidR="0026234F">
        <w:t>would be</w:t>
      </w:r>
      <w:r w:rsidRPr="00E4278C">
        <w:t xml:space="preserve"> necessary to assess whether the strategy of using </w:t>
      </w:r>
      <w:proofErr w:type="spellStart"/>
      <w:r w:rsidRPr="00E4278C">
        <w:t>pembrolizumab</w:t>
      </w:r>
      <w:proofErr w:type="spellEnd"/>
      <w:r w:rsidRPr="00E4278C">
        <w:t xml:space="preserve"> up</w:t>
      </w:r>
      <w:r w:rsidR="004567F9">
        <w:t>-</w:t>
      </w:r>
      <w:r w:rsidRPr="00E4278C">
        <w:t xml:space="preserve">front as adjuvant therapy is superior, in terms of effectiveness and cost-effectiveness, to the use of PD-1 inhibitors to treat </w:t>
      </w:r>
      <w:proofErr w:type="spellStart"/>
      <w:r w:rsidRPr="00E4278C">
        <w:t>unresectable</w:t>
      </w:r>
      <w:proofErr w:type="spellEnd"/>
      <w:r w:rsidRPr="00E4278C">
        <w:t xml:space="preserve"> disease in patients who experience recurrence in the absence of adjuvant </w:t>
      </w:r>
      <w:proofErr w:type="spellStart"/>
      <w:r w:rsidRPr="00E4278C">
        <w:t>pembrolizumab</w:t>
      </w:r>
      <w:proofErr w:type="spellEnd"/>
      <w:r w:rsidRPr="00E4278C">
        <w:t xml:space="preserve">. </w:t>
      </w:r>
      <w:r w:rsidR="00E0382E" w:rsidRPr="00F1313B">
        <w:t>The</w:t>
      </w:r>
      <w:r w:rsidR="00150AF4" w:rsidRPr="00F1313B">
        <w:t xml:space="preserve"> Pre-Sub-Committee Response (</w:t>
      </w:r>
      <w:r w:rsidR="00E0382E" w:rsidRPr="00F1313B">
        <w:t>PSCR</w:t>
      </w:r>
      <w:r w:rsidR="00144989" w:rsidRPr="00F1313B">
        <w:t xml:space="preserve">) </w:t>
      </w:r>
      <w:r w:rsidR="00E0382E" w:rsidRPr="00F1313B">
        <w:t xml:space="preserve">claimed that adjuvant therapy provided the opportunity to cure melanoma before progression into advance </w:t>
      </w:r>
      <w:proofErr w:type="spellStart"/>
      <w:r w:rsidR="00E0382E" w:rsidRPr="00F1313B">
        <w:t>unresectable</w:t>
      </w:r>
      <w:proofErr w:type="spellEnd"/>
      <w:r w:rsidR="00E0382E" w:rsidRPr="00F1313B">
        <w:t xml:space="preserve"> stages and that the cost of treating patients increased as the disease progresses. </w:t>
      </w:r>
      <w:r w:rsidR="007E4DDD" w:rsidRPr="00F1313B">
        <w:t>The ESC considered that r</w:t>
      </w:r>
      <w:r w:rsidRPr="00F1313B">
        <w:t>ecurrence-free survival (RFS)</w:t>
      </w:r>
      <w:r w:rsidR="00FC5DC0">
        <w:t>, the primary outcome in the key trial (KN054),</w:t>
      </w:r>
      <w:r w:rsidRPr="00F1313B">
        <w:t xml:space="preserve"> will not capture the effect of differences in later lines of therapy</w:t>
      </w:r>
      <w:r w:rsidR="007E4DDD" w:rsidRPr="00F1313B">
        <w:t xml:space="preserve"> and that o</w:t>
      </w:r>
      <w:r w:rsidRPr="00F1313B">
        <w:t>verall survival  data from a randomised trial comparing these two treatment strategies is req</w:t>
      </w:r>
      <w:r w:rsidR="0051534B" w:rsidRPr="00F1313B">
        <w:t>uired to address this issue, i</w:t>
      </w:r>
      <w:r w:rsidR="007E4DDD" w:rsidRPr="00F1313B">
        <w:t>.</w:t>
      </w:r>
      <w:r w:rsidR="0051534B" w:rsidRPr="00F1313B">
        <w:t>e</w:t>
      </w:r>
      <w:r w:rsidR="007E4DDD" w:rsidRPr="00F1313B">
        <w:t>.</w:t>
      </w:r>
      <w:r w:rsidRPr="00F1313B">
        <w:t xml:space="preserve"> </w:t>
      </w:r>
      <w:r w:rsidRPr="00F1313B">
        <w:lastRenderedPageBreak/>
        <w:t xml:space="preserve">earlier </w:t>
      </w:r>
      <w:r w:rsidR="00DB587A" w:rsidRPr="00F1313B">
        <w:t>versus</w:t>
      </w:r>
      <w:r w:rsidRPr="00F1313B">
        <w:t xml:space="preserve"> later line use of </w:t>
      </w:r>
      <w:proofErr w:type="spellStart"/>
      <w:r w:rsidRPr="00F1313B">
        <w:t>pembrolizumab</w:t>
      </w:r>
      <w:proofErr w:type="spellEnd"/>
      <w:r w:rsidRPr="00F1313B">
        <w:t xml:space="preserve">. The </w:t>
      </w:r>
      <w:r w:rsidR="007E4DDD" w:rsidRPr="00F1313B">
        <w:t xml:space="preserve">ESC noted that </w:t>
      </w:r>
      <w:r w:rsidR="00FC5DC0">
        <w:t xml:space="preserve">overall survival data for </w:t>
      </w:r>
      <w:r w:rsidR="007E4DDD" w:rsidRPr="00F1313B">
        <w:t>the k</w:t>
      </w:r>
      <w:r w:rsidRPr="00F1313B">
        <w:t>ey trial</w:t>
      </w:r>
      <w:r w:rsidR="00FC5DC0">
        <w:t xml:space="preserve"> (</w:t>
      </w:r>
      <w:r w:rsidRPr="00F1313B">
        <w:t>KN054</w:t>
      </w:r>
      <w:r w:rsidR="00FC5DC0">
        <w:t>)</w:t>
      </w:r>
      <w:r w:rsidRPr="00F1313B">
        <w:t xml:space="preserve"> </w:t>
      </w:r>
      <w:r w:rsidR="00FC5DC0">
        <w:t>is</w:t>
      </w:r>
      <w:r w:rsidR="0051534B" w:rsidRPr="00F1313B">
        <w:t xml:space="preserve"> </w:t>
      </w:r>
      <w:r w:rsidRPr="00F1313B">
        <w:t xml:space="preserve">expected to be </w:t>
      </w:r>
      <w:r w:rsidR="0051534B" w:rsidRPr="00F1313B">
        <w:t xml:space="preserve">available </w:t>
      </w:r>
      <w:r w:rsidRPr="00F1313B">
        <w:t xml:space="preserve">in </w:t>
      </w:r>
      <w:r w:rsidR="002018B5">
        <w:rPr>
          <w:noProof/>
          <w:color w:val="000000"/>
          <w:highlight w:val="black"/>
        </w:rPr>
        <w:t>'''''''''</w:t>
      </w:r>
      <w:r w:rsidR="00890D0E">
        <w:t xml:space="preserve"> – see paragraph </w:t>
      </w:r>
      <w:r w:rsidR="00890D0E" w:rsidRPr="00F75457">
        <w:t>6.6</w:t>
      </w:r>
      <w:r w:rsidRPr="00F1313B">
        <w:t xml:space="preserve">. </w:t>
      </w:r>
    </w:p>
    <w:p w:rsidR="00CF2473" w:rsidRDefault="00F1313B" w:rsidP="00F1313B">
      <w:pPr>
        <w:pStyle w:val="ListParagraph"/>
        <w:widowControl/>
        <w:spacing w:after="160"/>
        <w:rPr>
          <w:i/>
        </w:rPr>
      </w:pPr>
      <w:r w:rsidRPr="00F1313B">
        <w:rPr>
          <w:i/>
        </w:rPr>
        <w:t>For more detail on PBAC’s view, see Section 7 PBAC outcome.</w:t>
      </w:r>
    </w:p>
    <w:p w:rsidR="00675F6E" w:rsidRPr="00882085" w:rsidRDefault="00675F6E" w:rsidP="00EE432A">
      <w:pPr>
        <w:pStyle w:val="PBACHeading1"/>
        <w:spacing w:after="120"/>
        <w:ind w:left="720"/>
      </w:pPr>
      <w:bookmarkStart w:id="5" w:name="_Toc523840728"/>
      <w:r w:rsidRPr="00407F2D">
        <w:t>Comparator</w:t>
      </w:r>
      <w:bookmarkEnd w:id="5"/>
    </w:p>
    <w:p w:rsidR="00675F6E" w:rsidRPr="00F1313B" w:rsidRDefault="00675F6E" w:rsidP="00675F6E">
      <w:pPr>
        <w:pStyle w:val="ListParagraph"/>
        <w:widowControl/>
        <w:numPr>
          <w:ilvl w:val="1"/>
          <w:numId w:val="3"/>
        </w:numPr>
        <w:spacing w:after="160"/>
      </w:pPr>
      <w:r w:rsidRPr="00B0587B">
        <w:t xml:space="preserve">The submission nominated observation (placebo) as the main comparator. </w:t>
      </w:r>
      <w:r w:rsidR="001F4A82" w:rsidRPr="00F1313B">
        <w:t>The ESC considered t</w:t>
      </w:r>
      <w:r w:rsidRPr="00F1313B">
        <w:t xml:space="preserve">his </w:t>
      </w:r>
      <w:r w:rsidR="00DB587A" w:rsidRPr="00F1313B">
        <w:t xml:space="preserve">was </w:t>
      </w:r>
      <w:r w:rsidRPr="00F1313B">
        <w:t>reasonable.</w:t>
      </w:r>
    </w:p>
    <w:p w:rsidR="005B5F40" w:rsidRDefault="00675F6E" w:rsidP="005B320C">
      <w:pPr>
        <w:pStyle w:val="ListParagraph"/>
        <w:widowControl/>
        <w:numPr>
          <w:ilvl w:val="1"/>
          <w:numId w:val="3"/>
        </w:numPr>
        <w:spacing w:after="160"/>
      </w:pPr>
      <w:r w:rsidRPr="00F1313B">
        <w:t xml:space="preserve">The submission also nominated two near-market comparators – </w:t>
      </w:r>
      <w:proofErr w:type="spellStart"/>
      <w:r w:rsidRPr="00F1313B">
        <w:t>nivolumab</w:t>
      </w:r>
      <w:proofErr w:type="spellEnd"/>
      <w:r>
        <w:t xml:space="preserve"> and DAB+TRAM (for BRAF mutation positive patients). </w:t>
      </w:r>
      <w:r w:rsidR="00EB52A4">
        <w:t>T</w:t>
      </w:r>
      <w:r w:rsidR="00B900F5">
        <w:t xml:space="preserve">he submission presented </w:t>
      </w:r>
      <w:r w:rsidR="005B5F40" w:rsidRPr="00E4278C">
        <w:t xml:space="preserve">indirect comparisons of </w:t>
      </w:r>
      <w:proofErr w:type="spellStart"/>
      <w:r w:rsidR="005B5F40" w:rsidRPr="00E4278C">
        <w:t>pembrolizumab</w:t>
      </w:r>
      <w:proofErr w:type="spellEnd"/>
      <w:r w:rsidR="005B5F40" w:rsidRPr="00E4278C">
        <w:t xml:space="preserve"> with </w:t>
      </w:r>
      <w:proofErr w:type="spellStart"/>
      <w:r w:rsidR="005B5F40" w:rsidRPr="00E4278C">
        <w:t>nivolumab</w:t>
      </w:r>
      <w:proofErr w:type="spellEnd"/>
      <w:r w:rsidR="005B5F40" w:rsidRPr="00E4278C">
        <w:t xml:space="preserve"> and with DAB+TRAM, as there were no head-to-head trials</w:t>
      </w:r>
      <w:r w:rsidR="00EB52A4">
        <w:t>; however, the</w:t>
      </w:r>
      <w:r w:rsidR="005B5F40" w:rsidRPr="00E4278C">
        <w:t xml:space="preserve"> validity of the </w:t>
      </w:r>
      <w:r w:rsidR="00EB52A4">
        <w:t>evidence</w:t>
      </w:r>
      <w:r w:rsidR="005B5F40" w:rsidRPr="00E4278C">
        <w:t xml:space="preserve"> </w:t>
      </w:r>
      <w:r w:rsidR="00EB52A4">
        <w:t>was</w:t>
      </w:r>
      <w:r w:rsidR="005B5F40" w:rsidRPr="00E4278C">
        <w:t xml:space="preserve"> affected by transitivity concerns. </w:t>
      </w:r>
    </w:p>
    <w:p w:rsidR="00F1313B" w:rsidRPr="00F1313B" w:rsidRDefault="00F1313B" w:rsidP="00F1313B">
      <w:pPr>
        <w:pStyle w:val="ListParagraph"/>
        <w:widowControl/>
        <w:spacing w:after="160"/>
        <w:rPr>
          <w:i/>
        </w:rPr>
      </w:pPr>
      <w:r w:rsidRPr="00F1313B">
        <w:rPr>
          <w:i/>
        </w:rPr>
        <w:t>For more detail on PBAC’s view, see Section 7 PBAC outcome.</w:t>
      </w:r>
    </w:p>
    <w:p w:rsidR="00675F6E" w:rsidRPr="00882085" w:rsidRDefault="00675F6E" w:rsidP="00EE432A">
      <w:pPr>
        <w:pStyle w:val="PBACHeading1"/>
        <w:spacing w:after="120"/>
        <w:ind w:left="720"/>
      </w:pPr>
      <w:bookmarkStart w:id="6" w:name="_Toc523840729"/>
      <w:r>
        <w:t>C</w:t>
      </w:r>
      <w:r w:rsidRPr="00407F2D">
        <w:t>onsideration of the evidence</w:t>
      </w:r>
      <w:bookmarkEnd w:id="6"/>
    </w:p>
    <w:p w:rsidR="00FC4D0F" w:rsidRPr="00AB28DE" w:rsidRDefault="00FC4D0F" w:rsidP="00764779">
      <w:pPr>
        <w:pStyle w:val="Heading2"/>
        <w:spacing w:after="120"/>
      </w:pPr>
      <w:bookmarkStart w:id="7" w:name="_Toc523840730"/>
      <w:r w:rsidRPr="00AB28DE">
        <w:t>Sponsor hearing</w:t>
      </w:r>
    </w:p>
    <w:p w:rsidR="00FC4D0F" w:rsidRPr="00DE188B" w:rsidRDefault="00FC4D0F" w:rsidP="00FC4D0F">
      <w:pPr>
        <w:numPr>
          <w:ilvl w:val="1"/>
          <w:numId w:val="3"/>
        </w:numPr>
        <w:spacing w:after="120"/>
        <w:rPr>
          <w:rFonts w:asciiTheme="minorHAnsi" w:hAnsiTheme="minorHAnsi"/>
          <w:bCs/>
        </w:rPr>
      </w:pPr>
      <w:r w:rsidRPr="00DE188B">
        <w:rPr>
          <w:rFonts w:asciiTheme="minorHAnsi" w:hAnsiTheme="minorHAnsi"/>
          <w:bCs/>
        </w:rPr>
        <w:t xml:space="preserve">The sponsor requested a hearing for this item.  The clinician presented clinical case studies and discussed the natural history of </w:t>
      </w:r>
      <w:r w:rsidR="00AB28DE" w:rsidRPr="00DE188B">
        <w:rPr>
          <w:rFonts w:asciiTheme="minorHAnsi" w:hAnsiTheme="minorHAnsi"/>
          <w:bCs/>
        </w:rPr>
        <w:t>melanoma</w:t>
      </w:r>
      <w:r w:rsidRPr="00DE188B">
        <w:rPr>
          <w:rFonts w:asciiTheme="minorHAnsi" w:hAnsiTheme="minorHAnsi"/>
          <w:bCs/>
        </w:rPr>
        <w:t xml:space="preserve">, how </w:t>
      </w:r>
      <w:proofErr w:type="spellStart"/>
      <w:r w:rsidR="00AB28DE" w:rsidRPr="00DE188B">
        <w:rPr>
          <w:rFonts w:asciiTheme="minorHAnsi" w:hAnsiTheme="minorHAnsi"/>
          <w:bCs/>
        </w:rPr>
        <w:t>pembrolizumab</w:t>
      </w:r>
      <w:proofErr w:type="spellEnd"/>
      <w:r w:rsidRPr="00DE188B">
        <w:rPr>
          <w:rFonts w:asciiTheme="minorHAnsi" w:hAnsiTheme="minorHAnsi"/>
          <w:bCs/>
        </w:rPr>
        <w:t xml:space="preserve"> would be used in </w:t>
      </w:r>
      <w:r w:rsidR="00AB28DE" w:rsidRPr="00DE188B">
        <w:rPr>
          <w:rFonts w:asciiTheme="minorHAnsi" w:hAnsiTheme="minorHAnsi"/>
          <w:bCs/>
        </w:rPr>
        <w:t>the adjuvant setting</w:t>
      </w:r>
      <w:r w:rsidRPr="00DE188B">
        <w:rPr>
          <w:rFonts w:asciiTheme="minorHAnsi" w:hAnsiTheme="minorHAnsi"/>
          <w:bCs/>
        </w:rPr>
        <w:t xml:space="preserve">, and addressed other matters in response to the Committee’s questions. </w:t>
      </w:r>
      <w:r w:rsidR="00FC5DC0" w:rsidRPr="00DE188B">
        <w:rPr>
          <w:rFonts w:asciiTheme="minorHAnsi" w:hAnsiTheme="minorHAnsi"/>
          <w:bCs/>
        </w:rPr>
        <w:t xml:space="preserve">The clinician noted that the risk of </w:t>
      </w:r>
      <w:r w:rsidR="003C0F61" w:rsidRPr="00DE188B">
        <w:rPr>
          <w:rFonts w:asciiTheme="minorHAnsi" w:hAnsiTheme="minorHAnsi"/>
          <w:bCs/>
        </w:rPr>
        <w:t>recurrence</w:t>
      </w:r>
      <w:r w:rsidR="00FC5DC0" w:rsidRPr="00DE188B">
        <w:rPr>
          <w:rFonts w:asciiTheme="minorHAnsi" w:hAnsiTheme="minorHAnsi"/>
          <w:bCs/>
        </w:rPr>
        <w:t xml:space="preserve"> was greatest in the first two years following resection</w:t>
      </w:r>
      <w:r w:rsidR="003C0F61" w:rsidRPr="00DE188B">
        <w:rPr>
          <w:rFonts w:asciiTheme="minorHAnsi" w:hAnsiTheme="minorHAnsi"/>
          <w:bCs/>
        </w:rPr>
        <w:t xml:space="preserve">, with recurrence being unlikely after five years. The clinician considered the aim of adjuvant treatment was to prevent recurrence as </w:t>
      </w:r>
      <w:r w:rsidR="00400877">
        <w:rPr>
          <w:rFonts w:asciiTheme="minorHAnsi" w:hAnsiTheme="minorHAnsi"/>
          <w:bCs/>
        </w:rPr>
        <w:t>RFS</w:t>
      </w:r>
      <w:r w:rsidR="003C0F61" w:rsidRPr="00DE188B">
        <w:rPr>
          <w:rFonts w:asciiTheme="minorHAnsi" w:hAnsiTheme="minorHAnsi"/>
          <w:bCs/>
        </w:rPr>
        <w:t xml:space="preserve"> correlates with </w:t>
      </w:r>
      <w:r w:rsidR="002B5100">
        <w:rPr>
          <w:rFonts w:asciiTheme="minorHAnsi" w:hAnsiTheme="minorHAnsi"/>
          <w:bCs/>
        </w:rPr>
        <w:t>overall survival</w:t>
      </w:r>
      <w:r w:rsidR="003C0F61" w:rsidRPr="00DE188B">
        <w:rPr>
          <w:rFonts w:asciiTheme="minorHAnsi" w:hAnsiTheme="minorHAnsi"/>
          <w:bCs/>
        </w:rPr>
        <w:t xml:space="preserve">. The clinician noted that this correlation had been demonstrated in recent trials assessing </w:t>
      </w:r>
      <w:proofErr w:type="spellStart"/>
      <w:r w:rsidR="003C0F61" w:rsidRPr="00DE188B">
        <w:rPr>
          <w:rFonts w:asciiTheme="minorHAnsi" w:hAnsiTheme="minorHAnsi"/>
          <w:bCs/>
        </w:rPr>
        <w:t>ipil</w:t>
      </w:r>
      <w:r w:rsidR="00DD4B47">
        <w:rPr>
          <w:rFonts w:asciiTheme="minorHAnsi" w:hAnsiTheme="minorHAnsi"/>
          <w:bCs/>
        </w:rPr>
        <w:t>i</w:t>
      </w:r>
      <w:r w:rsidR="003C0F61" w:rsidRPr="00DE188B">
        <w:rPr>
          <w:rFonts w:asciiTheme="minorHAnsi" w:hAnsiTheme="minorHAnsi"/>
          <w:bCs/>
        </w:rPr>
        <w:t>mumab</w:t>
      </w:r>
      <w:proofErr w:type="spellEnd"/>
      <w:r w:rsidR="003C0F61" w:rsidRPr="00DE188B">
        <w:rPr>
          <w:rFonts w:asciiTheme="minorHAnsi" w:hAnsiTheme="minorHAnsi"/>
          <w:bCs/>
        </w:rPr>
        <w:t xml:space="preserve"> and BRAF</w:t>
      </w:r>
      <w:r w:rsidR="00DE188B" w:rsidRPr="00DE188B">
        <w:rPr>
          <w:rFonts w:asciiTheme="minorHAnsi" w:hAnsiTheme="minorHAnsi"/>
          <w:bCs/>
        </w:rPr>
        <w:t>/MEK inhibit</w:t>
      </w:r>
      <w:r w:rsidR="00400877">
        <w:rPr>
          <w:rFonts w:asciiTheme="minorHAnsi" w:hAnsiTheme="minorHAnsi"/>
          <w:bCs/>
        </w:rPr>
        <w:t>ors</w:t>
      </w:r>
      <w:r w:rsidR="00DE188B" w:rsidRPr="00DE188B">
        <w:rPr>
          <w:rFonts w:asciiTheme="minorHAnsi" w:hAnsiTheme="minorHAnsi"/>
          <w:bCs/>
        </w:rPr>
        <w:t>.</w:t>
      </w:r>
      <w:r w:rsidR="003C0F61" w:rsidRPr="00DE188B">
        <w:rPr>
          <w:rFonts w:asciiTheme="minorHAnsi" w:hAnsiTheme="minorHAnsi"/>
          <w:bCs/>
        </w:rPr>
        <w:t xml:space="preserve"> </w:t>
      </w:r>
      <w:r w:rsidR="00DE188B">
        <w:rPr>
          <w:rFonts w:asciiTheme="minorHAnsi" w:hAnsiTheme="minorHAnsi"/>
          <w:bCs/>
        </w:rPr>
        <w:t xml:space="preserve">The clinician considered that retreatment with </w:t>
      </w:r>
      <w:r w:rsidR="00DE188B" w:rsidRPr="00F1313B">
        <w:t>PD-1 inhibitors</w:t>
      </w:r>
      <w:r w:rsidR="00DE188B">
        <w:t xml:space="preserve"> in the </w:t>
      </w:r>
      <w:proofErr w:type="spellStart"/>
      <w:r w:rsidR="00DE188B">
        <w:t>unresectable</w:t>
      </w:r>
      <w:proofErr w:type="spellEnd"/>
      <w:r w:rsidR="00DE188B">
        <w:t xml:space="preserve"> setting would be based on individual patient factors</w:t>
      </w:r>
      <w:r w:rsidR="004567F9">
        <w:t>;</w:t>
      </w:r>
      <w:r w:rsidR="00DE188B">
        <w:t xml:space="preserve"> patients </w:t>
      </w:r>
      <w:r w:rsidR="00400877">
        <w:t>who</w:t>
      </w:r>
      <w:r w:rsidR="004567F9">
        <w:t>se melanoma</w:t>
      </w:r>
      <w:r w:rsidR="00400877">
        <w:t xml:space="preserve"> </w:t>
      </w:r>
      <w:r w:rsidR="00DE188B">
        <w:t>recurre</w:t>
      </w:r>
      <w:r w:rsidR="00400877">
        <w:t>d</w:t>
      </w:r>
      <w:r w:rsidR="00DE188B">
        <w:t xml:space="preserve"> during the </w:t>
      </w:r>
      <w:r w:rsidR="00794A8C">
        <w:t>12 month period</w:t>
      </w:r>
      <w:r w:rsidR="004467BF">
        <w:t xml:space="preserve"> </w:t>
      </w:r>
      <w:r w:rsidR="00DE188B">
        <w:t xml:space="preserve">whilst receiving adjuvant </w:t>
      </w:r>
      <w:proofErr w:type="spellStart"/>
      <w:r w:rsidR="00DE188B">
        <w:t>pembrolizumab</w:t>
      </w:r>
      <w:proofErr w:type="spellEnd"/>
      <w:r w:rsidR="00794A8C">
        <w:t xml:space="preserve"> </w:t>
      </w:r>
      <w:r w:rsidR="004567F9">
        <w:t xml:space="preserve">would </w:t>
      </w:r>
      <w:r w:rsidR="00794A8C">
        <w:t>generally receiv</w:t>
      </w:r>
      <w:r w:rsidR="004567F9">
        <w:t>e</w:t>
      </w:r>
      <w:r w:rsidR="00794A8C">
        <w:t xml:space="preserve"> an alternative treatment</w:t>
      </w:r>
      <w:r w:rsidR="00DE188B">
        <w:t>.</w:t>
      </w:r>
      <w:r w:rsidRPr="00DE188B">
        <w:rPr>
          <w:rFonts w:asciiTheme="minorHAnsi" w:hAnsiTheme="minorHAnsi"/>
          <w:bCs/>
        </w:rPr>
        <w:t xml:space="preserve"> The PBAC considered that the hearing was informative as it provided a clinical perspective on treating this disease.</w:t>
      </w:r>
    </w:p>
    <w:p w:rsidR="00FC4D0F" w:rsidRPr="00854B07" w:rsidRDefault="00FC4D0F" w:rsidP="00764779">
      <w:pPr>
        <w:pStyle w:val="Heading2"/>
        <w:spacing w:after="120"/>
      </w:pPr>
      <w:r w:rsidRPr="00854B07">
        <w:t>Consumer comments</w:t>
      </w:r>
    </w:p>
    <w:p w:rsidR="00FC4D0F" w:rsidRPr="00854B07" w:rsidRDefault="00FC4D0F" w:rsidP="00FC4D0F">
      <w:pPr>
        <w:numPr>
          <w:ilvl w:val="1"/>
          <w:numId w:val="3"/>
        </w:numPr>
        <w:spacing w:after="120"/>
        <w:rPr>
          <w:rFonts w:asciiTheme="minorHAnsi" w:hAnsiTheme="minorHAnsi"/>
          <w:bCs/>
        </w:rPr>
      </w:pPr>
      <w:r w:rsidRPr="00854B07">
        <w:rPr>
          <w:rFonts w:asciiTheme="minorHAnsi" w:hAnsiTheme="minorHAnsi"/>
          <w:bCs/>
        </w:rPr>
        <w:t>The PBAC noted and welcomed the input from individuals (</w:t>
      </w:r>
      <w:r w:rsidR="00854B07" w:rsidRPr="00854B07">
        <w:rPr>
          <w:rFonts w:asciiTheme="minorHAnsi" w:hAnsiTheme="minorHAnsi"/>
          <w:bCs/>
        </w:rPr>
        <w:t>19</w:t>
      </w:r>
      <w:r w:rsidRPr="00854B07">
        <w:rPr>
          <w:rFonts w:asciiTheme="minorHAnsi" w:hAnsiTheme="minorHAnsi"/>
          <w:bCs/>
        </w:rPr>
        <w:t>), health care professionals (</w:t>
      </w:r>
      <w:r w:rsidR="00854B07" w:rsidRPr="00854B07">
        <w:rPr>
          <w:rFonts w:asciiTheme="minorHAnsi" w:hAnsiTheme="minorHAnsi"/>
          <w:bCs/>
        </w:rPr>
        <w:t>4</w:t>
      </w:r>
      <w:r w:rsidRPr="00854B07">
        <w:rPr>
          <w:rFonts w:asciiTheme="minorHAnsi" w:hAnsiTheme="minorHAnsi"/>
          <w:bCs/>
        </w:rPr>
        <w:t xml:space="preserve">) and organisations (1) via the Consumer Comments facility on the PBS website.  The comments described a range of benefits of treatment with </w:t>
      </w:r>
      <w:proofErr w:type="spellStart"/>
      <w:r w:rsidR="00854B07" w:rsidRPr="00854B07">
        <w:rPr>
          <w:rFonts w:asciiTheme="minorHAnsi" w:hAnsiTheme="minorHAnsi"/>
          <w:bCs/>
        </w:rPr>
        <w:t>pembrolizumab</w:t>
      </w:r>
      <w:proofErr w:type="spellEnd"/>
      <w:r w:rsidR="00854B07" w:rsidRPr="00854B07">
        <w:rPr>
          <w:rFonts w:asciiTheme="minorHAnsi" w:hAnsiTheme="minorHAnsi"/>
          <w:bCs/>
        </w:rPr>
        <w:t xml:space="preserve"> for Stage III melanoma</w:t>
      </w:r>
      <w:r w:rsidRPr="00854B07">
        <w:rPr>
          <w:rFonts w:asciiTheme="minorHAnsi" w:hAnsiTheme="minorHAnsi"/>
          <w:bCs/>
        </w:rPr>
        <w:t xml:space="preserve"> including </w:t>
      </w:r>
      <w:r w:rsidR="00854B07" w:rsidRPr="00854B07">
        <w:rPr>
          <w:rFonts w:asciiTheme="minorHAnsi" w:hAnsiTheme="minorHAnsi"/>
          <w:bCs/>
        </w:rPr>
        <w:t xml:space="preserve">prolonged life, improved quality of life and </w:t>
      </w:r>
      <w:r w:rsidRPr="00854B07">
        <w:rPr>
          <w:rFonts w:asciiTheme="minorHAnsi" w:hAnsiTheme="minorHAnsi"/>
          <w:bCs/>
        </w:rPr>
        <w:t>fewer side effects</w:t>
      </w:r>
      <w:r w:rsidR="00854B07" w:rsidRPr="00854B07">
        <w:rPr>
          <w:rFonts w:asciiTheme="minorHAnsi" w:hAnsiTheme="minorHAnsi"/>
          <w:bCs/>
        </w:rPr>
        <w:t>.</w:t>
      </w:r>
      <w:r w:rsidRPr="00854B07">
        <w:rPr>
          <w:rFonts w:asciiTheme="minorHAnsi" w:hAnsiTheme="minorHAnsi"/>
          <w:bCs/>
        </w:rPr>
        <w:t xml:space="preserve">  </w:t>
      </w:r>
    </w:p>
    <w:p w:rsidR="00854B07" w:rsidRPr="00C3371F" w:rsidRDefault="00FC4D0F" w:rsidP="00854B07">
      <w:pPr>
        <w:numPr>
          <w:ilvl w:val="1"/>
          <w:numId w:val="3"/>
        </w:numPr>
        <w:spacing w:after="120"/>
      </w:pPr>
      <w:r w:rsidRPr="00854B07">
        <w:rPr>
          <w:rFonts w:asciiTheme="minorHAnsi" w:hAnsiTheme="minorHAnsi"/>
          <w:bCs/>
        </w:rPr>
        <w:t xml:space="preserve">The Medical Oncology Group of Australia (MOGA) also expressed its </w:t>
      </w:r>
      <w:r w:rsidR="00744B5E">
        <w:rPr>
          <w:rFonts w:asciiTheme="minorHAnsi" w:hAnsiTheme="minorHAnsi"/>
          <w:bCs/>
        </w:rPr>
        <w:t xml:space="preserve">strong </w:t>
      </w:r>
      <w:r w:rsidRPr="00854B07">
        <w:rPr>
          <w:rFonts w:asciiTheme="minorHAnsi" w:hAnsiTheme="minorHAnsi"/>
          <w:bCs/>
        </w:rPr>
        <w:t xml:space="preserve">support for the </w:t>
      </w:r>
      <w:proofErr w:type="spellStart"/>
      <w:r w:rsidR="00854B07" w:rsidRPr="00854B07">
        <w:rPr>
          <w:rFonts w:asciiTheme="minorHAnsi" w:hAnsiTheme="minorHAnsi"/>
          <w:bCs/>
        </w:rPr>
        <w:t>pembrolizumab</w:t>
      </w:r>
      <w:proofErr w:type="spellEnd"/>
      <w:r w:rsidR="00854B07" w:rsidRPr="00854B07">
        <w:rPr>
          <w:rFonts w:asciiTheme="minorHAnsi" w:hAnsiTheme="minorHAnsi"/>
          <w:bCs/>
        </w:rPr>
        <w:t xml:space="preserve"> as an adjuvant </w:t>
      </w:r>
      <w:r w:rsidR="004567F9">
        <w:rPr>
          <w:rFonts w:asciiTheme="minorHAnsi" w:hAnsiTheme="minorHAnsi"/>
          <w:bCs/>
        </w:rPr>
        <w:t xml:space="preserve">therapy </w:t>
      </w:r>
      <w:r w:rsidR="00854B07" w:rsidRPr="00854B07">
        <w:rPr>
          <w:rFonts w:asciiTheme="minorHAnsi" w:hAnsiTheme="minorHAnsi"/>
          <w:bCs/>
        </w:rPr>
        <w:t>for Stage III melanoma</w:t>
      </w:r>
      <w:r w:rsidRPr="00854B07">
        <w:rPr>
          <w:rFonts w:asciiTheme="minorHAnsi" w:hAnsiTheme="minorHAnsi"/>
          <w:bCs/>
        </w:rPr>
        <w:t xml:space="preserve"> submission, </w:t>
      </w:r>
      <w:r w:rsidR="00744B5E">
        <w:rPr>
          <w:rFonts w:asciiTheme="minorHAnsi" w:hAnsiTheme="minorHAnsi"/>
          <w:bCs/>
        </w:rPr>
        <w:t xml:space="preserve">categorising it as one of the therapies of “highest priority for PBAC listing” </w:t>
      </w:r>
      <w:r w:rsidRPr="00854B07">
        <w:rPr>
          <w:rFonts w:asciiTheme="minorHAnsi" w:hAnsiTheme="minorHAnsi"/>
          <w:bCs/>
        </w:rPr>
        <w:t xml:space="preserve">on the basis of </w:t>
      </w:r>
      <w:r w:rsidR="00744B5E">
        <w:rPr>
          <w:rFonts w:asciiTheme="minorHAnsi" w:hAnsiTheme="minorHAnsi"/>
          <w:bCs/>
        </w:rPr>
        <w:t>the P</w:t>
      </w:r>
      <w:r w:rsidR="00854B07" w:rsidRPr="00854B07">
        <w:rPr>
          <w:rFonts w:asciiTheme="minorHAnsi" w:hAnsiTheme="minorHAnsi"/>
          <w:bCs/>
        </w:rPr>
        <w:t>hase III clinical evidence</w:t>
      </w:r>
      <w:r w:rsidR="00744B5E">
        <w:rPr>
          <w:rFonts w:asciiTheme="minorHAnsi" w:hAnsiTheme="minorHAnsi"/>
          <w:bCs/>
        </w:rPr>
        <w:t xml:space="preserve"> provided by the KN054 trial</w:t>
      </w:r>
      <w:r w:rsidRPr="00854B07">
        <w:rPr>
          <w:rFonts w:asciiTheme="minorHAnsi" w:hAnsiTheme="minorHAnsi"/>
          <w:bCs/>
        </w:rPr>
        <w:t xml:space="preserve">. </w:t>
      </w:r>
      <w:r w:rsidR="00854B07" w:rsidRPr="00935B60">
        <w:rPr>
          <w:rFonts w:asciiTheme="minorHAnsi" w:hAnsiTheme="minorHAnsi"/>
          <w:bCs/>
        </w:rPr>
        <w:t xml:space="preserve">The PBAC noted that the </w:t>
      </w:r>
      <w:r w:rsidR="00854B07" w:rsidRPr="00935B60">
        <w:rPr>
          <w:rFonts w:asciiTheme="minorHAnsi" w:hAnsiTheme="minorHAnsi"/>
          <w:bCs/>
        </w:rPr>
        <w:lastRenderedPageBreak/>
        <w:t xml:space="preserve">MOGA presented the European Society for Medical Oncology Magnitude of Clinical Benefit Scale (ESMO-MCBS) for </w:t>
      </w:r>
      <w:proofErr w:type="spellStart"/>
      <w:r w:rsidR="00794A8C">
        <w:rPr>
          <w:rFonts w:asciiTheme="minorHAnsi" w:hAnsiTheme="minorHAnsi"/>
          <w:bCs/>
        </w:rPr>
        <w:t>pembrolizumab</w:t>
      </w:r>
      <w:proofErr w:type="spellEnd"/>
      <w:r w:rsidR="00854B07" w:rsidRPr="00935B60">
        <w:rPr>
          <w:rFonts w:asciiTheme="minorHAnsi" w:hAnsiTheme="minorHAnsi"/>
          <w:bCs/>
        </w:rPr>
        <w:t>, which was a Grade</w:t>
      </w:r>
      <w:r w:rsidR="00854B07">
        <w:rPr>
          <w:rFonts w:asciiTheme="minorHAnsi" w:hAnsiTheme="minorHAnsi"/>
          <w:bCs/>
        </w:rPr>
        <w:t xml:space="preserve"> A </w:t>
      </w:r>
      <w:r w:rsidR="00854B07" w:rsidRPr="00935B60">
        <w:rPr>
          <w:rFonts w:asciiTheme="minorHAnsi" w:hAnsiTheme="minorHAnsi"/>
          <w:bCs/>
        </w:rPr>
        <w:t>(</w:t>
      </w:r>
      <w:r w:rsidR="00854B07">
        <w:rPr>
          <w:rFonts w:asciiTheme="minorHAnsi" w:hAnsiTheme="minorHAnsi"/>
          <w:bCs/>
        </w:rPr>
        <w:t xml:space="preserve">out of C, where A and B represent the grades with substantial improvement for new approaches to adjuvant therapy or new potentially curative therapies </w:t>
      </w:r>
      <w:r w:rsidR="00854B07" w:rsidRPr="00935B60">
        <w:rPr>
          <w:rFonts w:asciiTheme="minorHAnsi" w:hAnsiTheme="minorHAnsi"/>
          <w:bCs/>
        </w:rPr>
        <w:t xml:space="preserve">which is the highest possible grade and restricted to new curative treatments), based on a comparison with </w:t>
      </w:r>
      <w:r w:rsidR="00854B07">
        <w:rPr>
          <w:rFonts w:asciiTheme="minorHAnsi" w:hAnsiTheme="minorHAnsi"/>
          <w:bCs/>
        </w:rPr>
        <w:t>placebo in the Keynote-054 trial</w:t>
      </w:r>
      <w:r w:rsidR="00854B07" w:rsidRPr="00481AF1">
        <w:rPr>
          <w:rFonts w:asciiTheme="minorHAnsi" w:hAnsiTheme="minorHAnsi"/>
          <w:bCs/>
        </w:rPr>
        <w:t>.</w:t>
      </w:r>
      <w:r w:rsidR="00854B07">
        <w:rPr>
          <w:rStyle w:val="FootnoteReference"/>
          <w:rFonts w:asciiTheme="minorHAnsi" w:hAnsiTheme="minorHAnsi"/>
          <w:bCs/>
        </w:rPr>
        <w:footnoteReference w:id="2"/>
      </w:r>
      <w:r w:rsidR="00854B07" w:rsidRPr="00935B60">
        <w:rPr>
          <w:rFonts w:asciiTheme="minorHAnsi" w:hAnsiTheme="minorHAnsi"/>
          <w:bCs/>
        </w:rPr>
        <w:t xml:space="preserve">  </w:t>
      </w:r>
    </w:p>
    <w:p w:rsidR="00675F6E" w:rsidRPr="00882085" w:rsidRDefault="00675F6E" w:rsidP="00764779">
      <w:pPr>
        <w:pStyle w:val="Heading2"/>
        <w:spacing w:after="120"/>
      </w:pPr>
      <w:r w:rsidRPr="00C9624D">
        <w:t>Clinical trials</w:t>
      </w:r>
      <w:bookmarkEnd w:id="7"/>
    </w:p>
    <w:p w:rsidR="00675F6E" w:rsidRDefault="00675F6E" w:rsidP="00675F6E">
      <w:pPr>
        <w:pStyle w:val="ListParagraph"/>
        <w:widowControl/>
        <w:numPr>
          <w:ilvl w:val="1"/>
          <w:numId w:val="3"/>
        </w:numPr>
        <w:spacing w:after="160"/>
      </w:pPr>
      <w:r>
        <w:t xml:space="preserve">The submission was based on one </w:t>
      </w:r>
      <w:r w:rsidR="007F5653">
        <w:t xml:space="preserve">direct </w:t>
      </w:r>
      <w:r>
        <w:t xml:space="preserve">randomised controlled trial comparing </w:t>
      </w:r>
      <w:proofErr w:type="spellStart"/>
      <w:r>
        <w:t>pembrolizumab</w:t>
      </w:r>
      <w:proofErr w:type="spellEnd"/>
      <w:r>
        <w:t xml:space="preserve"> with placebo </w:t>
      </w:r>
      <w:r w:rsidRPr="00397DF8">
        <w:t xml:space="preserve">as adjuvant treatment in patients with complete resection of Stage </w:t>
      </w:r>
      <w:r>
        <w:t>III</w:t>
      </w:r>
      <w:r w:rsidRPr="00397DF8">
        <w:t xml:space="preserve"> melanoma</w:t>
      </w:r>
      <w:r>
        <w:t>: KN054 (N=1,019).</w:t>
      </w:r>
    </w:p>
    <w:p w:rsidR="00675F6E" w:rsidRDefault="00675F6E" w:rsidP="00675F6E">
      <w:pPr>
        <w:pStyle w:val="ListParagraph"/>
        <w:widowControl/>
        <w:numPr>
          <w:ilvl w:val="1"/>
          <w:numId w:val="3"/>
        </w:numPr>
        <w:spacing w:after="160"/>
      </w:pPr>
      <w:r>
        <w:t>KN054 consist</w:t>
      </w:r>
      <w:r w:rsidR="00551C8F">
        <w:t>s</w:t>
      </w:r>
      <w:r>
        <w:t xml:space="preserve"> of two parts:</w:t>
      </w:r>
    </w:p>
    <w:p w:rsidR="00675F6E" w:rsidRPr="007F5653" w:rsidRDefault="00675F6E" w:rsidP="00C6669B">
      <w:pPr>
        <w:pStyle w:val="ListParagraph"/>
        <w:numPr>
          <w:ilvl w:val="1"/>
          <w:numId w:val="9"/>
        </w:numPr>
        <w:spacing w:after="160"/>
        <w:ind w:left="1080" w:hanging="360"/>
      </w:pPr>
      <w:r w:rsidRPr="007F5653">
        <w:t>Part 1: Patients receive their allocated treatment (i</w:t>
      </w:r>
      <w:r w:rsidR="002B5100">
        <w:t>.</w:t>
      </w:r>
      <w:r w:rsidRPr="007F5653">
        <w:t>e</w:t>
      </w:r>
      <w:r w:rsidR="002B5100">
        <w:t>.</w:t>
      </w:r>
      <w:r w:rsidRPr="007F5653">
        <w:t xml:space="preserve"> </w:t>
      </w:r>
      <w:proofErr w:type="spellStart"/>
      <w:r w:rsidRPr="007F5653">
        <w:t>pembrolizumab</w:t>
      </w:r>
      <w:proofErr w:type="spellEnd"/>
      <w:r w:rsidRPr="007F5653">
        <w:t xml:space="preserve"> 200mg or placebo) </w:t>
      </w:r>
      <w:r w:rsidR="007F5653">
        <w:t xml:space="preserve">every </w:t>
      </w:r>
      <w:r w:rsidR="009B5FCF">
        <w:t>three</w:t>
      </w:r>
      <w:r w:rsidR="007F5653">
        <w:t xml:space="preserve"> weeks </w:t>
      </w:r>
      <w:r w:rsidRPr="007F5653">
        <w:t>for a total of 18 administrations (</w:t>
      </w:r>
      <w:r w:rsidR="002B5100">
        <w:t>one</w:t>
      </w:r>
      <w:r w:rsidRPr="007F5653">
        <w:t xml:space="preserve"> year) or until disease recurrence or unacceptable toxicity;</w:t>
      </w:r>
    </w:p>
    <w:p w:rsidR="00675F6E" w:rsidRPr="007F5653" w:rsidRDefault="00675F6E" w:rsidP="00C6669B">
      <w:pPr>
        <w:pStyle w:val="ListParagraph"/>
        <w:numPr>
          <w:ilvl w:val="1"/>
          <w:numId w:val="9"/>
        </w:numPr>
        <w:spacing w:after="160"/>
        <w:ind w:left="1080" w:hanging="360"/>
      </w:pPr>
      <w:r w:rsidRPr="007F5653">
        <w:t xml:space="preserve">Part 2: If a recurrence is documented, patients assigned to the placebo arm </w:t>
      </w:r>
      <w:r w:rsidR="002B5100">
        <w:t xml:space="preserve">in Part 1 </w:t>
      </w:r>
      <w:r w:rsidRPr="007F5653">
        <w:t xml:space="preserve">are eligible for </w:t>
      </w:r>
      <w:proofErr w:type="spellStart"/>
      <w:r w:rsidRPr="007F5653">
        <w:t>pembrolizumab</w:t>
      </w:r>
      <w:proofErr w:type="spellEnd"/>
      <w:r w:rsidRPr="007F5653">
        <w:t xml:space="preserve"> if they meet the crossover qualifications specified by the trial protocol</w:t>
      </w:r>
      <w:r w:rsidR="00890D0E">
        <w:t xml:space="preserve"> (no brain metastases or central nervous system disease, </w:t>
      </w:r>
      <w:r w:rsidR="00676E8E">
        <w:t xml:space="preserve">an </w:t>
      </w:r>
      <w:r w:rsidR="00890D0E">
        <w:t>ECOG status of 0-2</w:t>
      </w:r>
      <w:r w:rsidR="00676E8E">
        <w:t xml:space="preserve"> and</w:t>
      </w:r>
      <w:r w:rsidR="00890D0E">
        <w:t xml:space="preserve"> no second recurrence or p</w:t>
      </w:r>
      <w:r w:rsidR="00676E8E">
        <w:t>rogression before enrolment in P</w:t>
      </w:r>
      <w:r w:rsidR="00890D0E">
        <w:t>art 2)</w:t>
      </w:r>
      <w:r w:rsidR="002B5100">
        <w:t>. P</w:t>
      </w:r>
      <w:r w:rsidRPr="007F5653">
        <w:t xml:space="preserve">atients in the </w:t>
      </w:r>
      <w:proofErr w:type="spellStart"/>
      <w:r w:rsidRPr="007F5653">
        <w:t>pembrolizumab</w:t>
      </w:r>
      <w:proofErr w:type="spellEnd"/>
      <w:r w:rsidRPr="007F5653">
        <w:t xml:space="preserve"> arm are considered for retreatment with </w:t>
      </w:r>
      <w:proofErr w:type="spellStart"/>
      <w:r w:rsidRPr="007F5653">
        <w:t>pembrol</w:t>
      </w:r>
      <w:r w:rsidR="002B5100">
        <w:t>izumab</w:t>
      </w:r>
      <w:proofErr w:type="spellEnd"/>
      <w:r w:rsidR="002B5100">
        <w:t xml:space="preserve"> if their disease recurs greater than six</w:t>
      </w:r>
      <w:r w:rsidRPr="007F5653">
        <w:t xml:space="preserve"> months after completing </w:t>
      </w:r>
      <w:r w:rsidR="002B5100">
        <w:t>one</w:t>
      </w:r>
      <w:r w:rsidRPr="007F5653">
        <w:t xml:space="preserve"> year of adjuvant </w:t>
      </w:r>
      <w:proofErr w:type="spellStart"/>
      <w:r w:rsidRPr="007F5653">
        <w:t>pembrolizumab</w:t>
      </w:r>
      <w:proofErr w:type="spellEnd"/>
      <w:r w:rsidRPr="007F5653">
        <w:t xml:space="preserve"> treatment and patients meet the </w:t>
      </w:r>
      <w:r w:rsidR="007F5653">
        <w:t xml:space="preserve">pre-specified </w:t>
      </w:r>
      <w:r w:rsidRPr="007F5653">
        <w:t>rechallenge qualifications</w:t>
      </w:r>
      <w:r w:rsidR="002B5100">
        <w:t xml:space="preserve"> (no brain metastases or central nervous system disease, an ECOG status of 0-2 and no second recurrence or progression before enrolment in Part 2)</w:t>
      </w:r>
      <w:r w:rsidRPr="007F5653">
        <w:t xml:space="preserve">. For both crossover and rechallenge, </w:t>
      </w:r>
      <w:proofErr w:type="spellStart"/>
      <w:r w:rsidRPr="007F5653">
        <w:t>pembrolizumab</w:t>
      </w:r>
      <w:proofErr w:type="spellEnd"/>
      <w:r w:rsidRPr="007F5653">
        <w:t xml:space="preserve"> will be administered </w:t>
      </w:r>
      <w:r w:rsidR="002B5100">
        <w:t>every three weeks</w:t>
      </w:r>
      <w:r w:rsidRPr="007F5653">
        <w:t xml:space="preserve"> until progression or recurrence for up to </w:t>
      </w:r>
      <w:r w:rsidR="002B5100">
        <w:t>two</w:t>
      </w:r>
      <w:r w:rsidRPr="007F5653">
        <w:t xml:space="preserve"> years.</w:t>
      </w:r>
    </w:p>
    <w:p w:rsidR="00675F6E" w:rsidRDefault="00675F6E" w:rsidP="00675F6E">
      <w:pPr>
        <w:pStyle w:val="ListParagraph"/>
        <w:widowControl/>
        <w:numPr>
          <w:ilvl w:val="1"/>
          <w:numId w:val="3"/>
        </w:numPr>
        <w:spacing w:after="160"/>
      </w:pPr>
      <w:r>
        <w:t>The available d</w:t>
      </w:r>
      <w:r w:rsidRPr="00E500BD">
        <w:t xml:space="preserve">ata </w:t>
      </w:r>
      <w:r>
        <w:t>on</w:t>
      </w:r>
      <w:r w:rsidRPr="00E500BD">
        <w:t xml:space="preserve"> Part 1 of the trial </w:t>
      </w:r>
      <w:r>
        <w:t>were</w:t>
      </w:r>
      <w:r w:rsidRPr="00E500BD">
        <w:t xml:space="preserve"> presented in th</w:t>
      </w:r>
      <w:r>
        <w:t>e</w:t>
      </w:r>
      <w:r w:rsidRPr="00E500BD">
        <w:t xml:space="preserve"> submission. Part 2 of the trial is currently underway</w:t>
      </w:r>
      <w:r>
        <w:t xml:space="preserve">, with only one patient in the </w:t>
      </w:r>
      <w:proofErr w:type="spellStart"/>
      <w:r w:rsidRPr="00186DE5">
        <w:t>pembrolizumab</w:t>
      </w:r>
      <w:proofErr w:type="spellEnd"/>
      <w:r w:rsidRPr="00186DE5">
        <w:t xml:space="preserve"> arm </w:t>
      </w:r>
      <w:r w:rsidR="00E46183">
        <w:t>having</w:t>
      </w:r>
      <w:r w:rsidR="00E46183" w:rsidRPr="00186DE5">
        <w:t xml:space="preserve"> </w:t>
      </w:r>
      <w:r w:rsidRPr="00186DE5">
        <w:t>received retreatment</w:t>
      </w:r>
      <w:r>
        <w:t xml:space="preserve"> at the time of database cut-</w:t>
      </w:r>
      <w:r w:rsidRPr="00186DE5">
        <w:t>off</w:t>
      </w:r>
      <w:r>
        <w:t xml:space="preserve">. First interim analysis of the retreatment data from Trial KN054 </w:t>
      </w:r>
      <w:r w:rsidR="007F5653">
        <w:t>w</w:t>
      </w:r>
      <w:r w:rsidR="00F9053A">
        <w:t>as</w:t>
      </w:r>
      <w:r>
        <w:t xml:space="preserve"> </w:t>
      </w:r>
      <w:r w:rsidRPr="00E500BD">
        <w:t xml:space="preserve">expected </w:t>
      </w:r>
      <w:r>
        <w:t xml:space="preserve">to be available in </w:t>
      </w:r>
      <w:r w:rsidR="002018B5">
        <w:rPr>
          <w:noProof/>
          <w:color w:val="000000"/>
          <w:highlight w:val="black"/>
        </w:rPr>
        <w:t>'''''''''''''''''</w:t>
      </w:r>
      <w:r w:rsidR="00C85687">
        <w:t xml:space="preserve">, with final results in </w:t>
      </w:r>
      <w:r w:rsidR="002018B5">
        <w:rPr>
          <w:noProof/>
          <w:color w:val="000000"/>
          <w:highlight w:val="black"/>
        </w:rPr>
        <w:t>''''''''''</w:t>
      </w:r>
      <w:r w:rsidR="00C85687">
        <w:t>.</w:t>
      </w:r>
    </w:p>
    <w:p w:rsidR="00675F6E" w:rsidRPr="00B50DB8" w:rsidRDefault="00675F6E" w:rsidP="00675F6E">
      <w:pPr>
        <w:pStyle w:val="ListParagraph"/>
        <w:widowControl/>
        <w:numPr>
          <w:ilvl w:val="1"/>
          <w:numId w:val="3"/>
        </w:numPr>
        <w:spacing w:after="160"/>
      </w:pPr>
      <w:r w:rsidRPr="00E51421">
        <w:t xml:space="preserve">Details of the trial presented in the submission are provided in the table below.  </w:t>
      </w:r>
    </w:p>
    <w:p w:rsidR="00675F6E" w:rsidRPr="00E07B29" w:rsidRDefault="00675F6E" w:rsidP="00EB52A4">
      <w:pPr>
        <w:pStyle w:val="Caption"/>
        <w:rPr>
          <w:rStyle w:val="CommentReference"/>
        </w:rPr>
      </w:pPr>
      <w:r w:rsidRPr="00E07B29">
        <w:lastRenderedPageBreak/>
        <w:t xml:space="preserve">Table </w:t>
      </w:r>
      <w:r w:rsidR="0075422A">
        <w:rPr>
          <w:noProof/>
        </w:rPr>
        <w:t>2</w:t>
      </w:r>
      <w:r w:rsidRPr="00E07B29">
        <w:t xml:space="preserve">: </w:t>
      </w:r>
      <w:r w:rsidRPr="00E07B29">
        <w:rPr>
          <w:rStyle w:val="CommentReference"/>
          <w:b/>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32"/>
        <w:gridCol w:w="5910"/>
        <w:gridCol w:w="2375"/>
      </w:tblGrid>
      <w:tr w:rsidR="00675F6E" w:rsidRPr="00B41614" w:rsidTr="009B5FCF">
        <w:trPr>
          <w:tblHeader/>
        </w:trPr>
        <w:tc>
          <w:tcPr>
            <w:tcW w:w="406" w:type="pct"/>
            <w:vAlign w:val="center"/>
          </w:tcPr>
          <w:p w:rsidR="00675F6E" w:rsidRPr="00B41614" w:rsidRDefault="00675F6E" w:rsidP="00EB52A4">
            <w:pPr>
              <w:pStyle w:val="Tabletext"/>
              <w:keepNext/>
              <w:rPr>
                <w:b/>
              </w:rPr>
            </w:pPr>
            <w:r w:rsidRPr="00B41614">
              <w:rPr>
                <w:b/>
              </w:rPr>
              <w:t>Trial ID</w:t>
            </w:r>
          </w:p>
        </w:tc>
        <w:tc>
          <w:tcPr>
            <w:tcW w:w="3277" w:type="pct"/>
            <w:vAlign w:val="center"/>
          </w:tcPr>
          <w:p w:rsidR="00675F6E" w:rsidRPr="00B41614" w:rsidRDefault="00675F6E" w:rsidP="00EB52A4">
            <w:pPr>
              <w:pStyle w:val="Tabletext"/>
              <w:keepNext/>
              <w:jc w:val="center"/>
              <w:rPr>
                <w:b/>
              </w:rPr>
            </w:pPr>
            <w:r w:rsidRPr="00B41614">
              <w:rPr>
                <w:b/>
              </w:rPr>
              <w:t>Protocol title/ Publication title</w:t>
            </w:r>
          </w:p>
        </w:tc>
        <w:tc>
          <w:tcPr>
            <w:tcW w:w="1317" w:type="pct"/>
            <w:vAlign w:val="center"/>
          </w:tcPr>
          <w:p w:rsidR="00675F6E" w:rsidRPr="00B41614" w:rsidRDefault="00675F6E" w:rsidP="00EB52A4">
            <w:pPr>
              <w:pStyle w:val="Tabletext"/>
              <w:keepNext/>
              <w:jc w:val="center"/>
              <w:rPr>
                <w:b/>
              </w:rPr>
            </w:pPr>
            <w:r w:rsidRPr="00B41614">
              <w:rPr>
                <w:b/>
              </w:rPr>
              <w:t>Publication citation</w:t>
            </w:r>
          </w:p>
        </w:tc>
      </w:tr>
      <w:tr w:rsidR="00675F6E" w:rsidRPr="00CB38A8" w:rsidTr="009B5FCF">
        <w:tc>
          <w:tcPr>
            <w:tcW w:w="406" w:type="pct"/>
            <w:tcBorders>
              <w:bottom w:val="nil"/>
            </w:tcBorders>
          </w:tcPr>
          <w:p w:rsidR="00675F6E" w:rsidRPr="003541F9" w:rsidRDefault="00675F6E" w:rsidP="00EB52A4">
            <w:pPr>
              <w:pStyle w:val="Tabletext"/>
              <w:keepNext/>
            </w:pPr>
            <w:r w:rsidRPr="003541F9">
              <w:t>KN054</w:t>
            </w:r>
          </w:p>
        </w:tc>
        <w:tc>
          <w:tcPr>
            <w:tcW w:w="3277" w:type="pct"/>
            <w:tcBorders>
              <w:bottom w:val="nil"/>
            </w:tcBorders>
          </w:tcPr>
          <w:p w:rsidR="00675F6E" w:rsidRPr="003541F9" w:rsidRDefault="00675F6E" w:rsidP="00EB52A4">
            <w:pPr>
              <w:pStyle w:val="Tabletext"/>
              <w:keepNext/>
            </w:pPr>
            <w:r w:rsidRPr="003541F9">
              <w:t xml:space="preserve">Adjuvant immunotherapy with anti-PD-1 monoclonal antibody </w:t>
            </w:r>
            <w:proofErr w:type="spellStart"/>
            <w:r w:rsidR="009B5FCF">
              <w:t>p</w:t>
            </w:r>
            <w:r w:rsidRPr="003541F9">
              <w:t>embrolizumab</w:t>
            </w:r>
            <w:proofErr w:type="spellEnd"/>
            <w:r w:rsidRPr="003541F9">
              <w:t xml:space="preserve"> (MK-3475) versus placebo after complete resection of high-risk Stage III melanoma: A randomized, double-blind Phase 3 trial of the EORTC Melanoma Group</w:t>
            </w:r>
          </w:p>
          <w:p w:rsidR="00675F6E" w:rsidRPr="003541F9" w:rsidRDefault="00675F6E" w:rsidP="00EB52A4">
            <w:pPr>
              <w:pStyle w:val="Tabletext"/>
              <w:keepNext/>
            </w:pPr>
          </w:p>
        </w:tc>
        <w:tc>
          <w:tcPr>
            <w:tcW w:w="1317" w:type="pct"/>
            <w:tcBorders>
              <w:bottom w:val="nil"/>
            </w:tcBorders>
          </w:tcPr>
          <w:p w:rsidR="00675F6E" w:rsidRPr="003541F9" w:rsidRDefault="00675F6E" w:rsidP="00EB52A4">
            <w:pPr>
              <w:pStyle w:val="Tabletext"/>
              <w:keepNext/>
            </w:pPr>
            <w:r w:rsidRPr="003541F9">
              <w:t>March 201</w:t>
            </w:r>
            <w:r w:rsidR="00F9053A">
              <w:t>8</w:t>
            </w:r>
          </w:p>
        </w:tc>
      </w:tr>
      <w:tr w:rsidR="00675F6E" w:rsidRPr="00CB38A8" w:rsidTr="009B5FCF">
        <w:tc>
          <w:tcPr>
            <w:tcW w:w="406" w:type="pct"/>
            <w:tcBorders>
              <w:top w:val="nil"/>
              <w:bottom w:val="nil"/>
            </w:tcBorders>
          </w:tcPr>
          <w:p w:rsidR="00675F6E" w:rsidRPr="003541F9" w:rsidRDefault="00675F6E" w:rsidP="00EB52A4">
            <w:pPr>
              <w:pStyle w:val="Tabletext"/>
              <w:keepNext/>
            </w:pPr>
          </w:p>
        </w:tc>
        <w:tc>
          <w:tcPr>
            <w:tcW w:w="3277" w:type="pct"/>
            <w:tcBorders>
              <w:top w:val="nil"/>
              <w:bottom w:val="nil"/>
            </w:tcBorders>
          </w:tcPr>
          <w:p w:rsidR="00675F6E" w:rsidRDefault="00675F6E" w:rsidP="00EB52A4">
            <w:pPr>
              <w:pStyle w:val="Tabletext"/>
              <w:keepNext/>
            </w:pPr>
            <w:proofErr w:type="spellStart"/>
            <w:r w:rsidRPr="003541F9">
              <w:t>Eggermont</w:t>
            </w:r>
            <w:proofErr w:type="spellEnd"/>
            <w:r w:rsidRPr="003541F9">
              <w:t xml:space="preserve">, A, Blank C, Mandala M, et al. Adjuvant </w:t>
            </w:r>
            <w:proofErr w:type="spellStart"/>
            <w:r w:rsidRPr="003541F9">
              <w:t>pembrolizumab</w:t>
            </w:r>
            <w:proofErr w:type="spellEnd"/>
            <w:r w:rsidRPr="003541F9">
              <w:t xml:space="preserve"> versus placebo in resected </w:t>
            </w:r>
            <w:r w:rsidR="00774A4C">
              <w:t>Stage I</w:t>
            </w:r>
            <w:r w:rsidRPr="003541F9">
              <w:t xml:space="preserve">II melanoma. </w:t>
            </w:r>
          </w:p>
          <w:p w:rsidR="00675F6E" w:rsidRPr="003541F9" w:rsidRDefault="00675F6E" w:rsidP="00EB52A4">
            <w:pPr>
              <w:pStyle w:val="Tabletext"/>
              <w:keepNext/>
            </w:pPr>
          </w:p>
        </w:tc>
        <w:tc>
          <w:tcPr>
            <w:tcW w:w="1317" w:type="pct"/>
            <w:tcBorders>
              <w:top w:val="nil"/>
              <w:bottom w:val="nil"/>
            </w:tcBorders>
          </w:tcPr>
          <w:p w:rsidR="00675F6E" w:rsidRPr="003541F9" w:rsidRDefault="00675F6E" w:rsidP="009B5FCF">
            <w:pPr>
              <w:pStyle w:val="Tabletext"/>
              <w:keepNext/>
            </w:pPr>
            <w:r w:rsidRPr="00B905A1">
              <w:rPr>
                <w:i/>
              </w:rPr>
              <w:t>N</w:t>
            </w:r>
            <w:r w:rsidR="009B5FCF">
              <w:rPr>
                <w:i/>
              </w:rPr>
              <w:t>ew England Journal of Medicine.</w:t>
            </w:r>
            <w:r w:rsidRPr="003541F9">
              <w:t xml:space="preserve"> 2018; 378:1789-1801</w:t>
            </w:r>
          </w:p>
        </w:tc>
      </w:tr>
      <w:tr w:rsidR="00675F6E" w:rsidRPr="00CB38A8" w:rsidTr="009B5FCF">
        <w:tc>
          <w:tcPr>
            <w:tcW w:w="406" w:type="pct"/>
            <w:tcBorders>
              <w:top w:val="nil"/>
              <w:bottom w:val="single" w:sz="4" w:space="0" w:color="auto"/>
            </w:tcBorders>
            <w:vAlign w:val="center"/>
          </w:tcPr>
          <w:p w:rsidR="00675F6E" w:rsidRPr="00CB38A8" w:rsidRDefault="00675F6E" w:rsidP="00EB52A4">
            <w:pPr>
              <w:pStyle w:val="Tabletext"/>
              <w:keepNext/>
            </w:pPr>
          </w:p>
        </w:tc>
        <w:tc>
          <w:tcPr>
            <w:tcW w:w="3277" w:type="pct"/>
            <w:tcBorders>
              <w:top w:val="nil"/>
              <w:bottom w:val="single" w:sz="4" w:space="0" w:color="auto"/>
            </w:tcBorders>
          </w:tcPr>
          <w:p w:rsidR="00675F6E" w:rsidRPr="00AB6248" w:rsidRDefault="00675F6E" w:rsidP="00EB52A4">
            <w:pPr>
              <w:pStyle w:val="Tabletext"/>
              <w:keepNext/>
              <w:rPr>
                <w:szCs w:val="18"/>
                <w:lang w:val="en-US" w:eastAsia="en-AU"/>
              </w:rPr>
            </w:pPr>
            <w:r w:rsidRPr="00B905A1">
              <w:rPr>
                <w:szCs w:val="18"/>
                <w:lang w:val="en-US" w:eastAsia="en-AU"/>
              </w:rPr>
              <w:t xml:space="preserve">Study of </w:t>
            </w:r>
            <w:proofErr w:type="spellStart"/>
            <w:r>
              <w:rPr>
                <w:szCs w:val="18"/>
                <w:lang w:val="en-US" w:eastAsia="en-AU"/>
              </w:rPr>
              <w:t>p</w:t>
            </w:r>
            <w:r w:rsidRPr="00B905A1">
              <w:rPr>
                <w:szCs w:val="18"/>
                <w:lang w:val="en-US" w:eastAsia="en-AU"/>
              </w:rPr>
              <w:t>embrolizumab</w:t>
            </w:r>
            <w:proofErr w:type="spellEnd"/>
            <w:r w:rsidRPr="00B905A1">
              <w:rPr>
                <w:szCs w:val="18"/>
                <w:lang w:val="en-US" w:eastAsia="en-AU"/>
              </w:rPr>
              <w:t xml:space="preserve"> (MK-3475) </w:t>
            </w:r>
            <w:r>
              <w:rPr>
                <w:szCs w:val="18"/>
                <w:lang w:val="en-US" w:eastAsia="en-AU"/>
              </w:rPr>
              <w:t>v</w:t>
            </w:r>
            <w:r w:rsidRPr="00B905A1">
              <w:rPr>
                <w:szCs w:val="18"/>
                <w:lang w:val="en-US" w:eastAsia="en-AU"/>
              </w:rPr>
              <w:t xml:space="preserve">ersus </w:t>
            </w:r>
            <w:r>
              <w:rPr>
                <w:szCs w:val="18"/>
                <w:lang w:val="en-US" w:eastAsia="en-AU"/>
              </w:rPr>
              <w:t>p</w:t>
            </w:r>
            <w:r w:rsidRPr="00B905A1">
              <w:rPr>
                <w:szCs w:val="18"/>
                <w:lang w:val="en-US" w:eastAsia="en-AU"/>
              </w:rPr>
              <w:t xml:space="preserve">lacebo </w:t>
            </w:r>
            <w:r>
              <w:rPr>
                <w:szCs w:val="18"/>
                <w:lang w:val="en-US" w:eastAsia="en-AU"/>
              </w:rPr>
              <w:t>a</w:t>
            </w:r>
            <w:r w:rsidRPr="00B905A1">
              <w:rPr>
                <w:szCs w:val="18"/>
                <w:lang w:val="en-US" w:eastAsia="en-AU"/>
              </w:rPr>
              <w:t xml:space="preserve">fter </w:t>
            </w:r>
            <w:r>
              <w:rPr>
                <w:szCs w:val="18"/>
                <w:lang w:val="en-US" w:eastAsia="en-AU"/>
              </w:rPr>
              <w:t>c</w:t>
            </w:r>
            <w:r w:rsidRPr="00B905A1">
              <w:rPr>
                <w:szCs w:val="18"/>
                <w:lang w:val="en-US" w:eastAsia="en-AU"/>
              </w:rPr>
              <w:t xml:space="preserve">omplete </w:t>
            </w:r>
            <w:r>
              <w:rPr>
                <w:szCs w:val="18"/>
                <w:lang w:val="en-US" w:eastAsia="en-AU"/>
              </w:rPr>
              <w:t>r</w:t>
            </w:r>
            <w:r w:rsidRPr="00B905A1">
              <w:rPr>
                <w:szCs w:val="18"/>
                <w:lang w:val="en-US" w:eastAsia="en-AU"/>
              </w:rPr>
              <w:t xml:space="preserve">esection of </w:t>
            </w:r>
            <w:r>
              <w:rPr>
                <w:szCs w:val="18"/>
                <w:lang w:val="en-US" w:eastAsia="en-AU"/>
              </w:rPr>
              <w:t>h</w:t>
            </w:r>
            <w:r w:rsidRPr="00B905A1">
              <w:rPr>
                <w:szCs w:val="18"/>
                <w:lang w:val="en-US" w:eastAsia="en-AU"/>
              </w:rPr>
              <w:t>igh-</w:t>
            </w:r>
            <w:r>
              <w:rPr>
                <w:szCs w:val="18"/>
                <w:lang w:val="en-US" w:eastAsia="en-AU"/>
              </w:rPr>
              <w:t>r</w:t>
            </w:r>
            <w:r w:rsidRPr="00B905A1">
              <w:rPr>
                <w:szCs w:val="18"/>
                <w:lang w:val="en-US" w:eastAsia="en-AU"/>
              </w:rPr>
              <w:t xml:space="preserve">isk </w:t>
            </w:r>
            <w:r w:rsidR="00774A4C">
              <w:rPr>
                <w:szCs w:val="18"/>
                <w:lang w:val="en-US" w:eastAsia="en-AU"/>
              </w:rPr>
              <w:t>Stage I</w:t>
            </w:r>
            <w:r w:rsidRPr="00B905A1">
              <w:rPr>
                <w:szCs w:val="18"/>
                <w:lang w:val="en-US" w:eastAsia="en-AU"/>
              </w:rPr>
              <w:t xml:space="preserve">II </w:t>
            </w:r>
            <w:r>
              <w:rPr>
                <w:szCs w:val="18"/>
                <w:lang w:val="en-US" w:eastAsia="en-AU"/>
              </w:rPr>
              <w:t>m</w:t>
            </w:r>
            <w:r w:rsidRPr="00B905A1">
              <w:rPr>
                <w:szCs w:val="18"/>
                <w:lang w:val="en-US" w:eastAsia="en-AU"/>
              </w:rPr>
              <w:t>elanoma (MK-3475-054/KEYNOTE-054)</w:t>
            </w:r>
            <w:r>
              <w:rPr>
                <w:szCs w:val="18"/>
                <w:lang w:val="en-US" w:eastAsia="en-AU"/>
              </w:rPr>
              <w:t xml:space="preserve">. </w:t>
            </w:r>
            <w:r w:rsidRPr="003541F9">
              <w:rPr>
                <w:szCs w:val="18"/>
                <w:lang w:val="en-US" w:eastAsia="en-AU"/>
              </w:rPr>
              <w:t>NCT02362594</w:t>
            </w:r>
          </w:p>
        </w:tc>
        <w:tc>
          <w:tcPr>
            <w:tcW w:w="1317" w:type="pct"/>
            <w:tcBorders>
              <w:top w:val="nil"/>
              <w:bottom w:val="single" w:sz="4" w:space="0" w:color="auto"/>
            </w:tcBorders>
          </w:tcPr>
          <w:p w:rsidR="00675F6E" w:rsidRPr="00B905A1" w:rsidRDefault="00675F6E" w:rsidP="00EB52A4">
            <w:pPr>
              <w:pStyle w:val="Tabletext"/>
              <w:keepNext/>
              <w:rPr>
                <w:szCs w:val="18"/>
                <w:lang w:val="en-US" w:eastAsia="en-AU"/>
              </w:rPr>
            </w:pPr>
            <w:r w:rsidRPr="003541F9">
              <w:rPr>
                <w:szCs w:val="18"/>
                <w:lang w:val="en-US" w:eastAsia="en-AU"/>
              </w:rPr>
              <w:t xml:space="preserve">Clinicaltrials.gov </w:t>
            </w:r>
            <w:r>
              <w:rPr>
                <w:szCs w:val="18"/>
                <w:lang w:val="en-US" w:eastAsia="en-AU"/>
              </w:rPr>
              <w:t>June 2018</w:t>
            </w:r>
          </w:p>
        </w:tc>
      </w:tr>
    </w:tbl>
    <w:p w:rsidR="00675F6E" w:rsidRPr="00FC7B39" w:rsidRDefault="00675F6E" w:rsidP="00FC7B39">
      <w:pPr>
        <w:pStyle w:val="TableFooter"/>
        <w:spacing w:after="240"/>
        <w:rPr>
          <w:sz w:val="20"/>
        </w:rPr>
      </w:pPr>
      <w:r>
        <w:t xml:space="preserve">Source: Table 2-2, p39 of </w:t>
      </w:r>
      <w:r w:rsidRPr="00D13A3E">
        <w:t xml:space="preserve">the </w:t>
      </w:r>
      <w:r>
        <w:t>submission.</w:t>
      </w:r>
    </w:p>
    <w:p w:rsidR="00675F6E" w:rsidRDefault="00675F6E" w:rsidP="00675F6E">
      <w:pPr>
        <w:pStyle w:val="ListParagraph"/>
        <w:widowControl/>
        <w:numPr>
          <w:ilvl w:val="1"/>
          <w:numId w:val="3"/>
        </w:numPr>
      </w:pPr>
      <w:r w:rsidRPr="00B50DB8">
        <w:t xml:space="preserve">The key features of the direct randomised trial are summarised in the table below.  </w:t>
      </w:r>
    </w:p>
    <w:p w:rsidR="00675F6E" w:rsidRDefault="00675F6E" w:rsidP="00675F6E">
      <w:pPr>
        <w:pStyle w:val="ListParagraph"/>
        <w:widowControl/>
      </w:pPr>
    </w:p>
    <w:p w:rsidR="00675F6E" w:rsidRPr="00E2771E" w:rsidRDefault="00675F6E" w:rsidP="00675F6E">
      <w:pPr>
        <w:pStyle w:val="Caption"/>
        <w:rPr>
          <w:rStyle w:val="CommentReference"/>
        </w:rPr>
      </w:pPr>
      <w:r>
        <w:t xml:space="preserve">Table </w:t>
      </w:r>
      <w:r w:rsidR="0075422A">
        <w:rPr>
          <w:noProof/>
        </w:rPr>
        <w:t>3</w:t>
      </w:r>
      <w:r w:rsidRPr="00E07B29">
        <w:t>:</w:t>
      </w:r>
      <w:r w:rsidRPr="00E07B29">
        <w:rPr>
          <w:b w:val="0"/>
        </w:rPr>
        <w:t xml:space="preserve"> </w:t>
      </w:r>
      <w:r w:rsidRPr="00E07B29">
        <w:rPr>
          <w:rStyle w:val="CommentReference"/>
          <w:b/>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3"/>
        <w:gridCol w:w="703"/>
        <w:gridCol w:w="1408"/>
        <w:gridCol w:w="1127"/>
        <w:gridCol w:w="1830"/>
        <w:gridCol w:w="1407"/>
        <w:gridCol w:w="1529"/>
      </w:tblGrid>
      <w:tr w:rsidR="00675F6E" w:rsidRPr="00B41614" w:rsidTr="009B5FCF">
        <w:tc>
          <w:tcPr>
            <w:tcW w:w="561" w:type="pct"/>
            <w:shd w:val="clear" w:color="auto" w:fill="auto"/>
            <w:vAlign w:val="center"/>
          </w:tcPr>
          <w:p w:rsidR="00675F6E" w:rsidRPr="00B41614" w:rsidRDefault="00675F6E" w:rsidP="00675F6E">
            <w:pPr>
              <w:pStyle w:val="Tabletext"/>
              <w:rPr>
                <w:b/>
                <w:lang w:val="en-US"/>
              </w:rPr>
            </w:pPr>
            <w:r w:rsidRPr="00B41614">
              <w:rPr>
                <w:b/>
                <w:lang w:val="en-US"/>
              </w:rPr>
              <w:t>Trial</w:t>
            </w:r>
          </w:p>
        </w:tc>
        <w:tc>
          <w:tcPr>
            <w:tcW w:w="390" w:type="pct"/>
            <w:shd w:val="clear" w:color="auto" w:fill="auto"/>
            <w:vAlign w:val="center"/>
          </w:tcPr>
          <w:p w:rsidR="00675F6E" w:rsidRPr="00B41614" w:rsidRDefault="00675F6E" w:rsidP="00675F6E">
            <w:pPr>
              <w:pStyle w:val="Tabletext"/>
              <w:jc w:val="center"/>
              <w:rPr>
                <w:b/>
                <w:lang w:val="en-US"/>
              </w:rPr>
            </w:pPr>
            <w:r w:rsidRPr="00B41614">
              <w:rPr>
                <w:b/>
                <w:lang w:val="en-US"/>
              </w:rPr>
              <w:t>N</w:t>
            </w:r>
          </w:p>
        </w:tc>
        <w:tc>
          <w:tcPr>
            <w:tcW w:w="781" w:type="pct"/>
            <w:shd w:val="clear" w:color="auto" w:fill="auto"/>
            <w:vAlign w:val="center"/>
          </w:tcPr>
          <w:p w:rsidR="00675F6E" w:rsidRPr="00B41614" w:rsidRDefault="00675F6E" w:rsidP="00675F6E">
            <w:pPr>
              <w:pStyle w:val="Tabletext"/>
              <w:jc w:val="center"/>
              <w:rPr>
                <w:b/>
                <w:lang w:val="en-US"/>
              </w:rPr>
            </w:pPr>
            <w:r w:rsidRPr="00B41614">
              <w:rPr>
                <w:b/>
                <w:lang w:val="en-US"/>
              </w:rPr>
              <w:t>Design/duration</w:t>
            </w:r>
          </w:p>
        </w:tc>
        <w:tc>
          <w:tcPr>
            <w:tcW w:w="625" w:type="pct"/>
            <w:shd w:val="clear" w:color="auto" w:fill="auto"/>
            <w:vAlign w:val="center"/>
          </w:tcPr>
          <w:p w:rsidR="00675F6E" w:rsidRPr="00B41614" w:rsidRDefault="00675F6E" w:rsidP="00675F6E">
            <w:pPr>
              <w:pStyle w:val="Tabletext"/>
              <w:jc w:val="center"/>
              <w:rPr>
                <w:b/>
                <w:lang w:val="en-US"/>
              </w:rPr>
            </w:pPr>
            <w:r w:rsidRPr="00B41614">
              <w:rPr>
                <w:b/>
                <w:lang w:val="en-US"/>
              </w:rPr>
              <w:t>Risk of bias</w:t>
            </w:r>
          </w:p>
        </w:tc>
        <w:tc>
          <w:tcPr>
            <w:tcW w:w="1015" w:type="pct"/>
            <w:shd w:val="clear" w:color="auto" w:fill="auto"/>
            <w:vAlign w:val="center"/>
          </w:tcPr>
          <w:p w:rsidR="00675F6E" w:rsidRPr="00B41614" w:rsidRDefault="00675F6E" w:rsidP="00675F6E">
            <w:pPr>
              <w:pStyle w:val="Tabletext"/>
              <w:jc w:val="center"/>
              <w:rPr>
                <w:b/>
                <w:lang w:val="en-US"/>
              </w:rPr>
            </w:pPr>
            <w:r w:rsidRPr="00B41614">
              <w:rPr>
                <w:b/>
                <w:lang w:val="en-US"/>
              </w:rPr>
              <w:t>Patient population</w:t>
            </w:r>
          </w:p>
        </w:tc>
        <w:tc>
          <w:tcPr>
            <w:tcW w:w="780" w:type="pct"/>
            <w:shd w:val="clear" w:color="auto" w:fill="auto"/>
            <w:vAlign w:val="center"/>
          </w:tcPr>
          <w:p w:rsidR="00675F6E" w:rsidRPr="00B41614" w:rsidRDefault="00675F6E" w:rsidP="00675F6E">
            <w:pPr>
              <w:pStyle w:val="Tabletext"/>
              <w:jc w:val="center"/>
              <w:rPr>
                <w:b/>
                <w:lang w:val="en-US"/>
              </w:rPr>
            </w:pPr>
            <w:r w:rsidRPr="00B41614">
              <w:rPr>
                <w:b/>
                <w:lang w:val="en-US"/>
              </w:rPr>
              <w:t>Outcome</w:t>
            </w:r>
            <w:r w:rsidR="0027409F">
              <w:rPr>
                <w:b/>
                <w:lang w:val="en-US"/>
              </w:rPr>
              <w:t>s</w:t>
            </w:r>
          </w:p>
        </w:tc>
        <w:tc>
          <w:tcPr>
            <w:tcW w:w="848" w:type="pct"/>
            <w:shd w:val="clear" w:color="auto" w:fill="auto"/>
            <w:vAlign w:val="center"/>
          </w:tcPr>
          <w:p w:rsidR="00675F6E" w:rsidRPr="00B41614" w:rsidRDefault="00675F6E" w:rsidP="00675F6E">
            <w:pPr>
              <w:pStyle w:val="Tabletext"/>
              <w:jc w:val="center"/>
              <w:rPr>
                <w:b/>
                <w:lang w:val="en-US"/>
              </w:rPr>
            </w:pPr>
            <w:r w:rsidRPr="00B41614">
              <w:rPr>
                <w:b/>
                <w:lang w:val="en-US"/>
              </w:rPr>
              <w:t>Use</w:t>
            </w:r>
            <w:r w:rsidR="009B5FCF">
              <w:rPr>
                <w:b/>
                <w:lang w:val="en-US"/>
              </w:rPr>
              <w:t>d</w:t>
            </w:r>
            <w:r w:rsidRPr="00B41614">
              <w:rPr>
                <w:b/>
                <w:lang w:val="en-US"/>
              </w:rPr>
              <w:t xml:space="preserve"> in modelled evaluation</w:t>
            </w:r>
            <w:r w:rsidR="009B5FCF">
              <w:rPr>
                <w:b/>
                <w:lang w:val="en-US"/>
              </w:rPr>
              <w:t>?</w:t>
            </w:r>
          </w:p>
        </w:tc>
      </w:tr>
      <w:tr w:rsidR="00675F6E" w:rsidRPr="00E2771E" w:rsidTr="00675F6E">
        <w:tc>
          <w:tcPr>
            <w:tcW w:w="5000" w:type="pct"/>
            <w:gridSpan w:val="7"/>
            <w:shd w:val="clear" w:color="auto" w:fill="auto"/>
            <w:vAlign w:val="center"/>
          </w:tcPr>
          <w:p w:rsidR="00675F6E" w:rsidRPr="00B41614" w:rsidRDefault="00675F6E" w:rsidP="00675F6E">
            <w:pPr>
              <w:pStyle w:val="Tabletext"/>
              <w:rPr>
                <w:b/>
                <w:lang w:val="en-US"/>
              </w:rPr>
            </w:pPr>
            <w:proofErr w:type="spellStart"/>
            <w:r>
              <w:rPr>
                <w:b/>
                <w:lang w:val="en-US"/>
              </w:rPr>
              <w:t>Pembrolizumab</w:t>
            </w:r>
            <w:proofErr w:type="spellEnd"/>
            <w:r w:rsidRPr="00B41614">
              <w:rPr>
                <w:b/>
                <w:lang w:val="en-US"/>
              </w:rPr>
              <w:t xml:space="preserve"> vs. </w:t>
            </w:r>
            <w:r>
              <w:rPr>
                <w:b/>
                <w:lang w:val="en-US"/>
              </w:rPr>
              <w:t>placebo</w:t>
            </w:r>
          </w:p>
        </w:tc>
      </w:tr>
      <w:tr w:rsidR="00675F6E" w:rsidRPr="00E2771E" w:rsidTr="009B5FCF">
        <w:tc>
          <w:tcPr>
            <w:tcW w:w="561" w:type="pct"/>
            <w:shd w:val="clear" w:color="auto" w:fill="auto"/>
            <w:vAlign w:val="center"/>
          </w:tcPr>
          <w:p w:rsidR="00675F6E" w:rsidRPr="00E2771E" w:rsidRDefault="00675F6E" w:rsidP="00675F6E">
            <w:pPr>
              <w:pStyle w:val="Tabletext"/>
              <w:rPr>
                <w:lang w:val="en-US"/>
              </w:rPr>
            </w:pPr>
            <w:r>
              <w:rPr>
                <w:lang w:val="en-US"/>
              </w:rPr>
              <w:t>KN054</w:t>
            </w:r>
          </w:p>
        </w:tc>
        <w:tc>
          <w:tcPr>
            <w:tcW w:w="390" w:type="pct"/>
            <w:shd w:val="clear" w:color="auto" w:fill="auto"/>
            <w:vAlign w:val="center"/>
          </w:tcPr>
          <w:p w:rsidR="00675F6E" w:rsidRPr="00E2771E" w:rsidRDefault="00675F6E" w:rsidP="00675F6E">
            <w:pPr>
              <w:pStyle w:val="Tabletext"/>
              <w:jc w:val="center"/>
              <w:rPr>
                <w:lang w:val="en-US"/>
              </w:rPr>
            </w:pPr>
            <w:r>
              <w:rPr>
                <w:lang w:val="en-US"/>
              </w:rPr>
              <w:t>1</w:t>
            </w:r>
            <w:r w:rsidR="00765FD5">
              <w:rPr>
                <w:lang w:val="en-US"/>
              </w:rPr>
              <w:t>,</w:t>
            </w:r>
            <w:r>
              <w:rPr>
                <w:lang w:val="en-US"/>
              </w:rPr>
              <w:t>019</w:t>
            </w:r>
          </w:p>
        </w:tc>
        <w:tc>
          <w:tcPr>
            <w:tcW w:w="781" w:type="pct"/>
            <w:shd w:val="clear" w:color="auto" w:fill="auto"/>
            <w:vAlign w:val="center"/>
          </w:tcPr>
          <w:p w:rsidR="00675F6E" w:rsidRPr="00E2771E" w:rsidRDefault="00675F6E" w:rsidP="00675F6E">
            <w:pPr>
              <w:pStyle w:val="Tabletext"/>
              <w:jc w:val="center"/>
              <w:rPr>
                <w:lang w:val="en-US"/>
              </w:rPr>
            </w:pPr>
            <w:r w:rsidRPr="00E2771E">
              <w:rPr>
                <w:lang w:val="en-US"/>
              </w:rPr>
              <w:t xml:space="preserve">R, </w:t>
            </w:r>
            <w:proofErr w:type="spellStart"/>
            <w:r w:rsidRPr="00E2771E">
              <w:rPr>
                <w:lang w:val="en-US"/>
              </w:rPr>
              <w:t>DB</w:t>
            </w:r>
            <w:r w:rsidR="006B7E64" w:rsidRPr="006B7E64">
              <w:rPr>
                <w:vertAlign w:val="superscript"/>
                <w:lang w:val="en-US"/>
              </w:rPr>
              <w:t>a</w:t>
            </w:r>
            <w:proofErr w:type="spellEnd"/>
            <w:r w:rsidR="003F540B">
              <w:rPr>
                <w:lang w:val="en-US"/>
              </w:rPr>
              <w:t>, MC</w:t>
            </w:r>
          </w:p>
          <w:p w:rsidR="00675F6E" w:rsidRPr="00E2771E" w:rsidRDefault="00675F6E" w:rsidP="00675F6E">
            <w:pPr>
              <w:pStyle w:val="Tabletext"/>
              <w:jc w:val="center"/>
              <w:rPr>
                <w:lang w:val="en-US"/>
              </w:rPr>
            </w:pPr>
            <w:r>
              <w:rPr>
                <w:lang w:val="en-US"/>
              </w:rPr>
              <w:t>1</w:t>
            </w:r>
            <w:r w:rsidRPr="00E2771E">
              <w:rPr>
                <w:lang w:val="en-US"/>
              </w:rPr>
              <w:t>6 m</w:t>
            </w:r>
            <w:r w:rsidR="009B5FCF">
              <w:rPr>
                <w:lang w:val="en-US"/>
              </w:rPr>
              <w:t>on</w:t>
            </w:r>
            <w:r w:rsidRPr="00E2771E">
              <w:rPr>
                <w:lang w:val="en-US"/>
              </w:rPr>
              <w:t>ths</w:t>
            </w:r>
          </w:p>
        </w:tc>
        <w:tc>
          <w:tcPr>
            <w:tcW w:w="625" w:type="pct"/>
            <w:shd w:val="clear" w:color="auto" w:fill="auto"/>
            <w:vAlign w:val="center"/>
          </w:tcPr>
          <w:p w:rsidR="00675F6E" w:rsidRPr="00E2771E" w:rsidRDefault="00675F6E" w:rsidP="00675F6E">
            <w:pPr>
              <w:pStyle w:val="Tabletext"/>
              <w:jc w:val="center"/>
              <w:rPr>
                <w:lang w:val="en-US"/>
              </w:rPr>
            </w:pPr>
            <w:proofErr w:type="spellStart"/>
            <w:r w:rsidRPr="00E2771E">
              <w:rPr>
                <w:lang w:val="en-US"/>
              </w:rPr>
              <w:t>Low</w:t>
            </w:r>
            <w:r w:rsidR="006B7E64" w:rsidRPr="006B7E64">
              <w:rPr>
                <w:vertAlign w:val="superscript"/>
                <w:lang w:val="en-US"/>
              </w:rPr>
              <w:t>b</w:t>
            </w:r>
            <w:proofErr w:type="spellEnd"/>
          </w:p>
        </w:tc>
        <w:tc>
          <w:tcPr>
            <w:tcW w:w="1015" w:type="pct"/>
            <w:shd w:val="clear" w:color="auto" w:fill="auto"/>
            <w:vAlign w:val="center"/>
          </w:tcPr>
          <w:p w:rsidR="00675F6E" w:rsidRPr="00E2771E" w:rsidRDefault="00675F6E" w:rsidP="00675F6E">
            <w:pPr>
              <w:pStyle w:val="Tabletext"/>
              <w:jc w:val="center"/>
              <w:rPr>
                <w:lang w:val="en-US"/>
              </w:rPr>
            </w:pPr>
            <w:r>
              <w:rPr>
                <w:lang w:val="en-US"/>
              </w:rPr>
              <w:t xml:space="preserve">Completely resected Stage III </w:t>
            </w:r>
            <w:proofErr w:type="spellStart"/>
            <w:r>
              <w:rPr>
                <w:lang w:val="en-US"/>
              </w:rPr>
              <w:t>melanoma</w:t>
            </w:r>
            <w:r w:rsidR="00676E8E" w:rsidRPr="00676E8E">
              <w:rPr>
                <w:vertAlign w:val="superscript"/>
                <w:lang w:val="en-US"/>
              </w:rPr>
              <w:t>c</w:t>
            </w:r>
            <w:proofErr w:type="spellEnd"/>
          </w:p>
        </w:tc>
        <w:tc>
          <w:tcPr>
            <w:tcW w:w="780" w:type="pct"/>
            <w:shd w:val="clear" w:color="auto" w:fill="auto"/>
            <w:vAlign w:val="center"/>
          </w:tcPr>
          <w:p w:rsidR="00675F6E" w:rsidRPr="00E2771E" w:rsidRDefault="00675F6E" w:rsidP="00675F6E">
            <w:pPr>
              <w:pStyle w:val="Tabletext"/>
              <w:jc w:val="center"/>
              <w:rPr>
                <w:lang w:val="en-US"/>
              </w:rPr>
            </w:pPr>
            <w:r>
              <w:rPr>
                <w:lang w:val="en-US"/>
              </w:rPr>
              <w:t>RFS</w:t>
            </w:r>
            <w:r w:rsidR="006B7E64">
              <w:rPr>
                <w:lang w:val="en-US"/>
              </w:rPr>
              <w:t xml:space="preserve">, </w:t>
            </w:r>
            <w:proofErr w:type="spellStart"/>
            <w:r w:rsidR="006B7E64">
              <w:rPr>
                <w:lang w:val="en-US"/>
              </w:rPr>
              <w:t>DMFS</w:t>
            </w:r>
            <w:r w:rsidR="00BF231B">
              <w:rPr>
                <w:vertAlign w:val="superscript"/>
                <w:lang w:val="en-US"/>
              </w:rPr>
              <w:t>d</w:t>
            </w:r>
            <w:proofErr w:type="spellEnd"/>
            <w:r w:rsidR="006B7E64">
              <w:rPr>
                <w:lang w:val="en-US"/>
              </w:rPr>
              <w:t xml:space="preserve">, </w:t>
            </w:r>
            <w:proofErr w:type="spellStart"/>
            <w:r w:rsidR="006B7E64">
              <w:rPr>
                <w:lang w:val="en-US"/>
              </w:rPr>
              <w:t>OS</w:t>
            </w:r>
            <w:r w:rsidR="00BF231B">
              <w:rPr>
                <w:vertAlign w:val="superscript"/>
                <w:lang w:val="en-US"/>
              </w:rPr>
              <w:t>d</w:t>
            </w:r>
            <w:proofErr w:type="spellEnd"/>
          </w:p>
        </w:tc>
        <w:tc>
          <w:tcPr>
            <w:tcW w:w="848" w:type="pct"/>
            <w:shd w:val="clear" w:color="auto" w:fill="auto"/>
            <w:vAlign w:val="center"/>
          </w:tcPr>
          <w:p w:rsidR="00675F6E" w:rsidRPr="00E2771E" w:rsidRDefault="009B5FCF" w:rsidP="00675F6E">
            <w:pPr>
              <w:pStyle w:val="Tabletext"/>
              <w:jc w:val="center"/>
              <w:rPr>
                <w:lang w:val="en-US"/>
              </w:rPr>
            </w:pPr>
            <w:r>
              <w:rPr>
                <w:lang w:val="en-US"/>
              </w:rPr>
              <w:t>Yes</w:t>
            </w:r>
          </w:p>
        </w:tc>
      </w:tr>
    </w:tbl>
    <w:p w:rsidR="00675F6E" w:rsidRPr="0072416F" w:rsidRDefault="009B5FCF" w:rsidP="00675F6E">
      <w:pPr>
        <w:pStyle w:val="TableFooter"/>
      </w:pPr>
      <w:r>
        <w:t xml:space="preserve">AJCC = American Joint Committee on Cancer; </w:t>
      </w:r>
      <w:r w:rsidR="00675F6E" w:rsidRPr="0072416F">
        <w:t>DB</w:t>
      </w:r>
      <w:r w:rsidR="007F5653">
        <w:t xml:space="preserve"> </w:t>
      </w:r>
      <w:r w:rsidR="00675F6E" w:rsidRPr="0072416F">
        <w:t>=</w:t>
      </w:r>
      <w:r w:rsidR="007F5653">
        <w:t xml:space="preserve"> </w:t>
      </w:r>
      <w:r w:rsidR="00675F6E" w:rsidRPr="0072416F">
        <w:t xml:space="preserve">double blind; </w:t>
      </w:r>
      <w:r w:rsidR="006B7E64">
        <w:t xml:space="preserve">DMFS = distant metastasis-free survival; </w:t>
      </w:r>
      <w:r w:rsidR="00675F6E" w:rsidRPr="0072416F">
        <w:t>MC</w:t>
      </w:r>
      <w:r w:rsidR="007F5653">
        <w:t xml:space="preserve"> </w:t>
      </w:r>
      <w:r w:rsidR="00675F6E" w:rsidRPr="0072416F">
        <w:t>=</w:t>
      </w:r>
      <w:r w:rsidR="007F5653">
        <w:t xml:space="preserve"> </w:t>
      </w:r>
      <w:r w:rsidR="00675F6E" w:rsidRPr="0072416F">
        <w:t>multi-centre</w:t>
      </w:r>
      <w:r w:rsidR="006B7E64" w:rsidRPr="0072416F">
        <w:t xml:space="preserve">; </w:t>
      </w:r>
      <w:r w:rsidR="006B7E64">
        <w:t xml:space="preserve">OS = overall survival; </w:t>
      </w:r>
      <w:r w:rsidR="006B7E64" w:rsidRPr="0072416F">
        <w:t>R</w:t>
      </w:r>
      <w:r>
        <w:t xml:space="preserve"> </w:t>
      </w:r>
      <w:r w:rsidR="006B7E64" w:rsidRPr="0072416F">
        <w:t>=</w:t>
      </w:r>
      <w:r>
        <w:t xml:space="preserve"> </w:t>
      </w:r>
      <w:r w:rsidR="006B7E64" w:rsidRPr="0072416F">
        <w:t>randomised</w:t>
      </w:r>
      <w:r w:rsidR="00675F6E" w:rsidRPr="0072416F">
        <w:t xml:space="preserve">; </w:t>
      </w:r>
      <w:r w:rsidR="00675F6E">
        <w:t>R</w:t>
      </w:r>
      <w:r w:rsidR="00675F6E" w:rsidRPr="0072416F">
        <w:t>FS</w:t>
      </w:r>
      <w:r w:rsidR="007F5653">
        <w:t xml:space="preserve"> </w:t>
      </w:r>
      <w:r w:rsidR="00675F6E" w:rsidRPr="0072416F">
        <w:t>=</w:t>
      </w:r>
      <w:r w:rsidR="007F5653">
        <w:t xml:space="preserve"> </w:t>
      </w:r>
      <w:r w:rsidR="00675F6E">
        <w:t>recurrence</w:t>
      </w:r>
      <w:r w:rsidR="00675F6E" w:rsidRPr="0072416F">
        <w:t>-free survival.</w:t>
      </w:r>
    </w:p>
    <w:p w:rsidR="00675F6E" w:rsidRDefault="006B7E64" w:rsidP="007F5653">
      <w:pPr>
        <w:pStyle w:val="TableFooter"/>
      </w:pPr>
      <w:proofErr w:type="spellStart"/>
      <w:proofErr w:type="gramStart"/>
      <w:r w:rsidRPr="006B7E64">
        <w:rPr>
          <w:vertAlign w:val="superscript"/>
        </w:rPr>
        <w:t>a</w:t>
      </w:r>
      <w:proofErr w:type="spellEnd"/>
      <w:proofErr w:type="gramEnd"/>
      <w:r w:rsidR="007F5653">
        <w:t xml:space="preserve"> </w:t>
      </w:r>
      <w:r w:rsidR="00675F6E">
        <w:t>The treatment arms became un</w:t>
      </w:r>
      <w:r w:rsidR="009B5FCF">
        <w:t>-</w:t>
      </w:r>
      <w:r w:rsidR="00675F6E">
        <w:t>bl</w:t>
      </w:r>
      <w:r w:rsidR="003F540B">
        <w:t>i</w:t>
      </w:r>
      <w:r w:rsidR="00675F6E">
        <w:t>nded after first recurrence.</w:t>
      </w:r>
    </w:p>
    <w:p w:rsidR="006B7E64" w:rsidRDefault="006B7E64" w:rsidP="00675F6E">
      <w:pPr>
        <w:pStyle w:val="TableFooter"/>
      </w:pPr>
      <w:proofErr w:type="gramStart"/>
      <w:r w:rsidRPr="006B7E64">
        <w:rPr>
          <w:vertAlign w:val="superscript"/>
        </w:rPr>
        <w:t>b</w:t>
      </w:r>
      <w:proofErr w:type="gramEnd"/>
      <w:r w:rsidR="00675F6E">
        <w:t xml:space="preserve"> Characteristic adverse events associated with </w:t>
      </w:r>
      <w:proofErr w:type="spellStart"/>
      <w:r w:rsidR="00675F6E">
        <w:t>pembrolizumab</w:t>
      </w:r>
      <w:proofErr w:type="spellEnd"/>
      <w:r w:rsidR="00675F6E">
        <w:t xml:space="preserve"> may result in unmasking the treatment allocation to investigators and patients, therefore safety outcomes and patient-reported outcomes (such as </w:t>
      </w:r>
      <w:r w:rsidR="003F540B">
        <w:t>q</w:t>
      </w:r>
      <w:r w:rsidR="00237B5E">
        <w:t xml:space="preserve">uality of </w:t>
      </w:r>
      <w:r w:rsidR="00675F6E">
        <w:t>life) may be subject to a moderate to high risk of bias.</w:t>
      </w:r>
    </w:p>
    <w:p w:rsidR="00676E8E" w:rsidRDefault="006B7E64" w:rsidP="00675F6E">
      <w:pPr>
        <w:pStyle w:val="TableFooter"/>
      </w:pPr>
      <w:proofErr w:type="gramStart"/>
      <w:r w:rsidRPr="006B7E64">
        <w:rPr>
          <w:vertAlign w:val="superscript"/>
        </w:rPr>
        <w:t>c</w:t>
      </w:r>
      <w:proofErr w:type="gramEnd"/>
      <w:r w:rsidR="00676E8E">
        <w:t xml:space="preserve"> Classified using the 7</w:t>
      </w:r>
      <w:r w:rsidR="00676E8E" w:rsidRPr="00676E8E">
        <w:rPr>
          <w:vertAlign w:val="superscript"/>
        </w:rPr>
        <w:t>th</w:t>
      </w:r>
      <w:r w:rsidR="00676E8E">
        <w:t xml:space="preserve"> edition of the AJCC </w:t>
      </w:r>
      <w:r w:rsidR="00744B5E">
        <w:t>melanoma staging system</w:t>
      </w:r>
      <w:r w:rsidR="00676E8E">
        <w:t xml:space="preserve">. Patients with Stage IIIA disease were included </w:t>
      </w:r>
      <w:r w:rsidR="00BF231B">
        <w:t xml:space="preserve">only </w:t>
      </w:r>
      <w:r w:rsidR="00676E8E">
        <w:t xml:space="preserve">if they had metastasis &gt; 1 mm </w:t>
      </w:r>
      <w:r>
        <w:t xml:space="preserve"> </w:t>
      </w:r>
    </w:p>
    <w:p w:rsidR="006B7E64" w:rsidRDefault="00BF231B" w:rsidP="00675F6E">
      <w:pPr>
        <w:pStyle w:val="TableFooter"/>
      </w:pPr>
      <w:proofErr w:type="gramStart"/>
      <w:r w:rsidRPr="00BF231B">
        <w:rPr>
          <w:vertAlign w:val="superscript"/>
        </w:rPr>
        <w:t>d</w:t>
      </w:r>
      <w:proofErr w:type="gramEnd"/>
      <w:r>
        <w:t xml:space="preserve"> </w:t>
      </w:r>
      <w:r w:rsidR="00EB42F4">
        <w:t xml:space="preserve">Data on </w:t>
      </w:r>
      <w:r w:rsidR="006B7E64" w:rsidRPr="006B7E64">
        <w:t xml:space="preserve">DMFS and OS </w:t>
      </w:r>
      <w:r w:rsidR="00EB42F4">
        <w:t xml:space="preserve">were immature for a </w:t>
      </w:r>
      <w:r w:rsidR="006B7E64" w:rsidRPr="006B7E64">
        <w:t>formal survival analysis</w:t>
      </w:r>
      <w:r w:rsidR="00EB42F4">
        <w:t xml:space="preserve">. Instead, the submission provided a </w:t>
      </w:r>
      <w:r w:rsidR="006B7E64" w:rsidRPr="006B7E64">
        <w:t xml:space="preserve">summary of DMFS and OS events at the </w:t>
      </w:r>
      <w:r w:rsidR="00EB42F4">
        <w:t xml:space="preserve">October 2017 </w:t>
      </w:r>
      <w:r w:rsidR="006B7E64" w:rsidRPr="006B7E64">
        <w:t>data cut-off.</w:t>
      </w:r>
    </w:p>
    <w:p w:rsidR="00675F6E" w:rsidRPr="00FC7B39" w:rsidRDefault="00675F6E" w:rsidP="00FC7B39">
      <w:pPr>
        <w:pStyle w:val="TableFooter"/>
        <w:spacing w:after="240"/>
        <w:rPr>
          <w:sz w:val="20"/>
        </w:rPr>
      </w:pPr>
      <w:r>
        <w:t>Source: Compiled during the evaluation based on Table 2-3, pp42-43, Table 2-4, p45, Table 2-15 and Table 2-16, pp63-4 of the submission.</w:t>
      </w:r>
    </w:p>
    <w:p w:rsidR="00675F6E" w:rsidRPr="00E4278C" w:rsidRDefault="00675F6E" w:rsidP="00675F6E">
      <w:pPr>
        <w:pStyle w:val="ListParagraph"/>
        <w:widowControl/>
        <w:numPr>
          <w:ilvl w:val="1"/>
          <w:numId w:val="3"/>
        </w:numPr>
        <w:spacing w:after="160"/>
      </w:pPr>
      <w:r w:rsidRPr="00E4278C">
        <w:t>The submission was based on data at a median duration of follow-up of 16 months. A 16-month median follow-up was not sufficient for assessment of survival benefits of adjuvant treatment for completely resected Stage III melanoma and was shorter than the follow-up in clinical trials investigating other medicines in the same setting, e</w:t>
      </w:r>
      <w:r w:rsidR="005B5F40">
        <w:t>.</w:t>
      </w:r>
      <w:r w:rsidRPr="00E4278C">
        <w:t>g</w:t>
      </w:r>
      <w:r w:rsidR="005B5F40">
        <w:t>.</w:t>
      </w:r>
      <w:r w:rsidRPr="00E4278C">
        <w:t xml:space="preserve"> minimum of 18 months in Trial Checkmate 238 (</w:t>
      </w:r>
      <w:proofErr w:type="spellStart"/>
      <w:r w:rsidRPr="00E4278C">
        <w:t>nivolumab</w:t>
      </w:r>
      <w:proofErr w:type="spellEnd"/>
      <w:r w:rsidRPr="00E4278C">
        <w:t xml:space="preserve"> v</w:t>
      </w:r>
      <w:r w:rsidR="009B5FCF">
        <w:t>ersu</w:t>
      </w:r>
      <w:r w:rsidRPr="00E4278C">
        <w:t xml:space="preserve">s </w:t>
      </w:r>
      <w:proofErr w:type="spellStart"/>
      <w:r w:rsidRPr="00E4278C">
        <w:t>ipilimumab</w:t>
      </w:r>
      <w:proofErr w:type="spellEnd"/>
      <w:r w:rsidRPr="00E4278C">
        <w:t>)</w:t>
      </w:r>
      <w:r w:rsidR="00953DB1" w:rsidRPr="00E4278C">
        <w:rPr>
          <w:rStyle w:val="FootnoteReference"/>
        </w:rPr>
        <w:footnoteReference w:id="3"/>
      </w:r>
      <w:r w:rsidR="009B5FCF">
        <w:t>;</w:t>
      </w:r>
      <w:r w:rsidRPr="00E4278C">
        <w:t xml:space="preserve"> 5.3 years in Trial EORTC 18071 (</w:t>
      </w:r>
      <w:proofErr w:type="spellStart"/>
      <w:r w:rsidRPr="00E4278C">
        <w:t>ipilimumab</w:t>
      </w:r>
      <w:proofErr w:type="spellEnd"/>
      <w:r w:rsidRPr="00E4278C">
        <w:t xml:space="preserve"> v</w:t>
      </w:r>
      <w:r w:rsidR="009B5FCF">
        <w:t>ersu</w:t>
      </w:r>
      <w:r w:rsidRPr="00E4278C">
        <w:t>s placebo)</w:t>
      </w:r>
      <w:r w:rsidR="00953DB1" w:rsidRPr="00E4278C">
        <w:rPr>
          <w:rStyle w:val="FootnoteReference"/>
        </w:rPr>
        <w:footnoteReference w:id="4"/>
      </w:r>
      <w:r w:rsidR="009B5FCF">
        <w:t>;</w:t>
      </w:r>
      <w:r w:rsidRPr="00E4278C">
        <w:t xml:space="preserve"> and 2.8 years in Trial COMBI-AD (DAB</w:t>
      </w:r>
      <w:r w:rsidR="006C63F7" w:rsidRPr="00E4278C">
        <w:t>+</w:t>
      </w:r>
      <w:r w:rsidRPr="00E4278C">
        <w:t>TRAM v</w:t>
      </w:r>
      <w:r w:rsidR="009B5FCF">
        <w:t>ersu</w:t>
      </w:r>
      <w:r w:rsidRPr="00E4278C">
        <w:t>s placebo)</w:t>
      </w:r>
      <w:r w:rsidR="00953DB1" w:rsidRPr="00E4278C">
        <w:rPr>
          <w:rStyle w:val="FootnoteReference"/>
        </w:rPr>
        <w:footnoteReference w:id="5"/>
      </w:r>
      <w:r w:rsidRPr="00E4278C">
        <w:t>.</w:t>
      </w:r>
    </w:p>
    <w:p w:rsidR="00BE3595" w:rsidRPr="00F1313B" w:rsidRDefault="00675F6E" w:rsidP="00E1054F">
      <w:pPr>
        <w:pStyle w:val="ListParagraph"/>
        <w:widowControl/>
        <w:numPr>
          <w:ilvl w:val="1"/>
          <w:numId w:val="3"/>
        </w:numPr>
        <w:spacing w:after="160"/>
        <w:rPr>
          <w:rStyle w:val="Emphasis"/>
          <w:i w:val="0"/>
          <w:iCs w:val="0"/>
        </w:rPr>
      </w:pPr>
      <w:r w:rsidRPr="00F1313B">
        <w:t xml:space="preserve">RFS was the primary outcome of the key trial KN054. </w:t>
      </w:r>
      <w:r w:rsidR="00010B5D" w:rsidRPr="00F1313B">
        <w:t xml:space="preserve">RFS was defined as an episode of recurrence or death. </w:t>
      </w:r>
      <w:r w:rsidRPr="00F1313B">
        <w:t xml:space="preserve">The </w:t>
      </w:r>
      <w:r w:rsidR="00BE3595" w:rsidRPr="00F1313B">
        <w:t xml:space="preserve">ESC noted that the </w:t>
      </w:r>
      <w:r w:rsidRPr="00F1313B">
        <w:t xml:space="preserve">most clinically relevant endpoint for evaluation of an anti-cancer medicine is </w:t>
      </w:r>
      <w:r w:rsidR="002B5100">
        <w:t>overall survival.</w:t>
      </w:r>
      <w:r w:rsidRPr="00F1313B">
        <w:t xml:space="preserve"> The submission referenced a </w:t>
      </w:r>
      <w:r w:rsidRPr="00F1313B">
        <w:lastRenderedPageBreak/>
        <w:t xml:space="preserve">validation study by </w:t>
      </w:r>
      <w:proofErr w:type="spellStart"/>
      <w:r w:rsidRPr="00F1313B">
        <w:t>Suciu</w:t>
      </w:r>
      <w:proofErr w:type="spellEnd"/>
      <w:r w:rsidRPr="00F1313B">
        <w:t xml:space="preserve"> et al</w:t>
      </w:r>
      <w:r w:rsidR="00953DB1" w:rsidRPr="00F1313B">
        <w:rPr>
          <w:rStyle w:val="FootnoteReference"/>
        </w:rPr>
        <w:footnoteReference w:id="6"/>
      </w:r>
      <w:r w:rsidRPr="00F1313B">
        <w:t xml:space="preserve">, </w:t>
      </w:r>
      <w:r w:rsidRPr="00F1313B">
        <w:rPr>
          <w:rStyle w:val="Emphasis"/>
          <w:rFonts w:eastAsiaTheme="minorHAnsi"/>
          <w:i w:val="0"/>
        </w:rPr>
        <w:t xml:space="preserve">which acknowledged that standard of care has improved markedly since the interferon trials were performed, and that the ongoing evolution of treatment algorithms, including sequential use of new treatment modalities, could weaken the surrogacy of RFS for </w:t>
      </w:r>
      <w:r w:rsidR="002B5100">
        <w:rPr>
          <w:rStyle w:val="Emphasis"/>
          <w:rFonts w:eastAsiaTheme="minorHAnsi"/>
          <w:i w:val="0"/>
        </w:rPr>
        <w:t>overall survival</w:t>
      </w:r>
      <w:r w:rsidRPr="00F1313B">
        <w:rPr>
          <w:rStyle w:val="Emphasis"/>
          <w:rFonts w:eastAsiaTheme="minorHAnsi"/>
          <w:i w:val="0"/>
        </w:rPr>
        <w:t xml:space="preserve">, both at the patient and trial levels, as has happened in breast cancer and myeloma. Furthermore, in the </w:t>
      </w:r>
      <w:r w:rsidR="005C06CB" w:rsidRPr="00F1313B">
        <w:rPr>
          <w:rStyle w:val="Emphasis"/>
          <w:rFonts w:eastAsiaTheme="minorHAnsi"/>
          <w:i w:val="0"/>
        </w:rPr>
        <w:t>interferon</w:t>
      </w:r>
      <w:r w:rsidRPr="00F1313B">
        <w:rPr>
          <w:rStyle w:val="Emphasis"/>
          <w:rFonts w:eastAsiaTheme="minorHAnsi"/>
          <w:i w:val="0"/>
        </w:rPr>
        <w:t xml:space="preserve"> trials, post-recurrence treatments were likely to be similar in both the </w:t>
      </w:r>
      <w:r w:rsidR="005C06CB" w:rsidRPr="00F1313B">
        <w:rPr>
          <w:rStyle w:val="Emphasis"/>
          <w:rFonts w:eastAsiaTheme="minorHAnsi"/>
          <w:i w:val="0"/>
        </w:rPr>
        <w:t>interferon and the placebo arms (i</w:t>
      </w:r>
      <w:r w:rsidR="003F48CA" w:rsidRPr="00F1313B">
        <w:rPr>
          <w:rStyle w:val="Emphasis"/>
          <w:rFonts w:eastAsiaTheme="minorHAnsi"/>
          <w:i w:val="0"/>
        </w:rPr>
        <w:t>.</w:t>
      </w:r>
      <w:r w:rsidRPr="00F1313B">
        <w:rPr>
          <w:rStyle w:val="Emphasis"/>
          <w:rFonts w:eastAsiaTheme="minorHAnsi"/>
          <w:i w:val="0"/>
        </w:rPr>
        <w:t>e</w:t>
      </w:r>
      <w:r w:rsidR="003F48CA" w:rsidRPr="00F1313B">
        <w:rPr>
          <w:rStyle w:val="Emphasis"/>
          <w:rFonts w:eastAsiaTheme="minorHAnsi"/>
          <w:i w:val="0"/>
        </w:rPr>
        <w:t>.</w:t>
      </w:r>
      <w:r w:rsidRPr="00F1313B">
        <w:rPr>
          <w:rStyle w:val="Emphasis"/>
          <w:rFonts w:eastAsiaTheme="minorHAnsi"/>
          <w:i w:val="0"/>
        </w:rPr>
        <w:t xml:space="preserve"> </w:t>
      </w:r>
      <w:r w:rsidR="002B5100">
        <w:rPr>
          <w:rStyle w:val="Emphasis"/>
          <w:rFonts w:eastAsiaTheme="minorHAnsi"/>
          <w:i w:val="0"/>
        </w:rPr>
        <w:t>overall survival</w:t>
      </w:r>
      <w:r w:rsidRPr="00F1313B">
        <w:rPr>
          <w:rStyle w:val="Emphasis"/>
          <w:rFonts w:eastAsiaTheme="minorHAnsi"/>
          <w:i w:val="0"/>
        </w:rPr>
        <w:t xml:space="preserve"> would not be confounded by subsequent therapies), whereas the use of </w:t>
      </w:r>
      <w:proofErr w:type="spellStart"/>
      <w:r w:rsidR="00BA3012" w:rsidRPr="00F1313B">
        <w:rPr>
          <w:rStyle w:val="Emphasis"/>
          <w:rFonts w:eastAsiaTheme="minorHAnsi"/>
          <w:i w:val="0"/>
        </w:rPr>
        <w:t>pembrolizu</w:t>
      </w:r>
      <w:r w:rsidRPr="00F1313B">
        <w:rPr>
          <w:rStyle w:val="Emphasis"/>
          <w:rFonts w:eastAsiaTheme="minorHAnsi"/>
          <w:i w:val="0"/>
        </w:rPr>
        <w:t>mab</w:t>
      </w:r>
      <w:proofErr w:type="spellEnd"/>
      <w:r w:rsidRPr="00F1313B">
        <w:rPr>
          <w:rStyle w:val="Emphasis"/>
          <w:rFonts w:eastAsiaTheme="minorHAnsi"/>
          <w:i w:val="0"/>
        </w:rPr>
        <w:t xml:space="preserve"> as adjuvant therapy is likely to modify the subsequent treatments received by patients with recurrent disease compared to those who do not receive adjuvant PD-1 inhibitor therapy.</w:t>
      </w:r>
      <w:r w:rsidR="00E1054F" w:rsidRPr="00F1313B">
        <w:rPr>
          <w:rStyle w:val="Emphasis"/>
          <w:rFonts w:eastAsiaTheme="minorHAnsi"/>
          <w:i w:val="0"/>
        </w:rPr>
        <w:t xml:space="preserve"> </w:t>
      </w:r>
      <w:r w:rsidR="00BE3595" w:rsidRPr="00F1313B">
        <w:rPr>
          <w:rStyle w:val="Emphasis"/>
          <w:rFonts w:eastAsiaTheme="minorHAnsi"/>
          <w:i w:val="0"/>
        </w:rPr>
        <w:t>The ESC considered that:</w:t>
      </w:r>
    </w:p>
    <w:p w:rsidR="00BE3595" w:rsidRPr="00F1313B" w:rsidRDefault="00BE3595" w:rsidP="00C6669B">
      <w:pPr>
        <w:pStyle w:val="ListParagraph"/>
        <w:widowControl/>
        <w:numPr>
          <w:ilvl w:val="1"/>
          <w:numId w:val="11"/>
        </w:numPr>
        <w:spacing w:after="120"/>
        <w:ind w:left="1077" w:hanging="357"/>
        <w:rPr>
          <w:rStyle w:val="Emphasis"/>
          <w:i w:val="0"/>
          <w:iCs w:val="0"/>
        </w:rPr>
      </w:pPr>
      <w:r w:rsidRPr="00F1313B">
        <w:rPr>
          <w:rStyle w:val="Emphasis"/>
          <w:rFonts w:eastAsiaTheme="minorHAnsi"/>
          <w:i w:val="0"/>
        </w:rPr>
        <w:t xml:space="preserve"> </w:t>
      </w:r>
      <w:r w:rsidR="00E1054F" w:rsidRPr="00F1313B">
        <w:rPr>
          <w:rStyle w:val="Emphasis"/>
          <w:rFonts w:eastAsiaTheme="minorHAnsi"/>
          <w:i w:val="0"/>
        </w:rPr>
        <w:t xml:space="preserve">the suitability of RFS as a surrogate for </w:t>
      </w:r>
      <w:r w:rsidR="002B5100">
        <w:rPr>
          <w:rStyle w:val="Emphasis"/>
          <w:rFonts w:eastAsiaTheme="minorHAnsi"/>
          <w:i w:val="0"/>
        </w:rPr>
        <w:t>overall survival</w:t>
      </w:r>
      <w:r w:rsidR="00E1054F" w:rsidRPr="00F1313B">
        <w:rPr>
          <w:rStyle w:val="Emphasis"/>
          <w:rFonts w:eastAsiaTheme="minorHAnsi"/>
          <w:i w:val="0"/>
        </w:rPr>
        <w:t xml:space="preserve"> in the assessment of </w:t>
      </w:r>
      <w:proofErr w:type="spellStart"/>
      <w:r w:rsidR="00E1054F" w:rsidRPr="00F1313B">
        <w:rPr>
          <w:rStyle w:val="Emphasis"/>
          <w:rFonts w:eastAsiaTheme="minorHAnsi"/>
          <w:i w:val="0"/>
        </w:rPr>
        <w:t>pembrolizumab</w:t>
      </w:r>
      <w:proofErr w:type="spellEnd"/>
      <w:r w:rsidR="00E1054F" w:rsidRPr="00F1313B">
        <w:rPr>
          <w:rStyle w:val="Emphasis"/>
          <w:rFonts w:eastAsiaTheme="minorHAnsi"/>
          <w:i w:val="0"/>
        </w:rPr>
        <w:t xml:space="preserve"> as adjuvant therapy for </w:t>
      </w:r>
      <w:proofErr w:type="spellStart"/>
      <w:r w:rsidR="00E1054F" w:rsidRPr="00F1313B">
        <w:rPr>
          <w:rStyle w:val="Emphasis"/>
          <w:rFonts w:eastAsiaTheme="minorHAnsi"/>
          <w:i w:val="0"/>
        </w:rPr>
        <w:t>resectable</w:t>
      </w:r>
      <w:proofErr w:type="spellEnd"/>
      <w:r w:rsidR="00E1054F" w:rsidRPr="00F1313B">
        <w:rPr>
          <w:rStyle w:val="Emphasis"/>
          <w:rFonts w:eastAsiaTheme="minorHAnsi"/>
          <w:i w:val="0"/>
        </w:rPr>
        <w:t xml:space="preserve"> Stage III melanoma has not been established</w:t>
      </w:r>
      <w:r w:rsidRPr="00F1313B">
        <w:rPr>
          <w:rStyle w:val="Emphasis"/>
          <w:rFonts w:eastAsiaTheme="minorHAnsi"/>
          <w:i w:val="0"/>
        </w:rPr>
        <w:t>; and</w:t>
      </w:r>
      <w:r w:rsidR="00E1054F" w:rsidRPr="00F1313B">
        <w:rPr>
          <w:rStyle w:val="Emphasis"/>
          <w:rFonts w:eastAsiaTheme="minorHAnsi"/>
          <w:i w:val="0"/>
        </w:rPr>
        <w:t xml:space="preserve"> </w:t>
      </w:r>
    </w:p>
    <w:p w:rsidR="00675F6E" w:rsidRPr="00F1313B" w:rsidRDefault="00BE3595" w:rsidP="00C6669B">
      <w:pPr>
        <w:pStyle w:val="ListParagraph"/>
        <w:widowControl/>
        <w:numPr>
          <w:ilvl w:val="1"/>
          <w:numId w:val="11"/>
        </w:numPr>
        <w:spacing w:after="120"/>
        <w:ind w:left="1077" w:hanging="357"/>
        <w:rPr>
          <w:rStyle w:val="Emphasis"/>
          <w:i w:val="0"/>
          <w:iCs w:val="0"/>
        </w:rPr>
      </w:pPr>
      <w:proofErr w:type="gramStart"/>
      <w:r w:rsidRPr="00F1313B">
        <w:rPr>
          <w:rStyle w:val="Emphasis"/>
          <w:rFonts w:eastAsiaTheme="minorHAnsi"/>
          <w:i w:val="0"/>
        </w:rPr>
        <w:t>o</w:t>
      </w:r>
      <w:r w:rsidR="00E1054F" w:rsidRPr="00F1313B">
        <w:rPr>
          <w:rStyle w:val="Emphasis"/>
          <w:rFonts w:eastAsiaTheme="minorHAnsi"/>
          <w:i w:val="0"/>
        </w:rPr>
        <w:t>nly</w:t>
      </w:r>
      <w:proofErr w:type="gramEnd"/>
      <w:r w:rsidR="00E1054F" w:rsidRPr="00F1313B">
        <w:rPr>
          <w:rStyle w:val="Emphasis"/>
          <w:rFonts w:eastAsiaTheme="minorHAnsi"/>
          <w:i w:val="0"/>
        </w:rPr>
        <w:t xml:space="preserve"> </w:t>
      </w:r>
      <w:r w:rsidR="003B7BE7">
        <w:rPr>
          <w:rStyle w:val="Emphasis"/>
          <w:rFonts w:eastAsiaTheme="minorHAnsi"/>
          <w:i w:val="0"/>
        </w:rPr>
        <w:t>overall survival</w:t>
      </w:r>
      <w:r w:rsidR="00E1054F" w:rsidRPr="00F1313B">
        <w:rPr>
          <w:rStyle w:val="Emphasis"/>
          <w:rFonts w:eastAsiaTheme="minorHAnsi"/>
          <w:i w:val="0"/>
        </w:rPr>
        <w:t xml:space="preserve"> data will capture the total impact of listing </w:t>
      </w:r>
      <w:proofErr w:type="spellStart"/>
      <w:r w:rsidR="00E1054F" w:rsidRPr="00F1313B">
        <w:rPr>
          <w:rStyle w:val="Emphasis"/>
          <w:rFonts w:eastAsiaTheme="minorHAnsi"/>
          <w:i w:val="0"/>
        </w:rPr>
        <w:t>pembrolizumab</w:t>
      </w:r>
      <w:proofErr w:type="spellEnd"/>
      <w:r w:rsidR="00E1054F" w:rsidRPr="00F1313B">
        <w:rPr>
          <w:rStyle w:val="Emphasis"/>
          <w:rFonts w:eastAsiaTheme="minorHAnsi"/>
          <w:i w:val="0"/>
        </w:rPr>
        <w:t xml:space="preserve"> as adjuvant therapy for the overall treatment of the target patients.</w:t>
      </w:r>
    </w:p>
    <w:p w:rsidR="00BF3760" w:rsidRPr="001167F1" w:rsidRDefault="00F20C68" w:rsidP="005B5F40">
      <w:pPr>
        <w:widowControl/>
        <w:spacing w:after="160"/>
        <w:ind w:left="720"/>
      </w:pPr>
      <w:r w:rsidRPr="00F1313B">
        <w:rPr>
          <w:rStyle w:val="Emphasis"/>
          <w:i w:val="0"/>
          <w:iCs w:val="0"/>
        </w:rPr>
        <w:t xml:space="preserve">The ESC advised the further evidence was required to establish the surrogacy relationship, if any, between RFS and </w:t>
      </w:r>
      <w:r w:rsidR="003B7BE7">
        <w:rPr>
          <w:rStyle w:val="Emphasis"/>
          <w:i w:val="0"/>
          <w:iCs w:val="0"/>
        </w:rPr>
        <w:t>overall survival</w:t>
      </w:r>
      <w:r w:rsidRPr="00F1313B">
        <w:rPr>
          <w:rStyle w:val="Emphasis"/>
          <w:i w:val="0"/>
          <w:iCs w:val="0"/>
        </w:rPr>
        <w:t xml:space="preserve"> with PD-1 inhibitor therapy, which may also need to be cancer specific.</w:t>
      </w:r>
      <w:r w:rsidR="001167F1">
        <w:rPr>
          <w:rStyle w:val="Emphasis"/>
          <w:i w:val="0"/>
          <w:iCs w:val="0"/>
        </w:rPr>
        <w:t xml:space="preserve"> </w:t>
      </w:r>
      <w:r w:rsidR="00B46267">
        <w:t xml:space="preserve">The pre-PBAC Response reiterated the Sponsor’s view that there was a surrogate relationship between RFS and </w:t>
      </w:r>
      <w:r w:rsidR="003B7BE7">
        <w:t>overall survival</w:t>
      </w:r>
      <w:r w:rsidR="00B46267">
        <w:t xml:space="preserve"> in this setting</w:t>
      </w:r>
      <w:r w:rsidR="003B7BE7">
        <w:t xml:space="preserve"> and provided further evidence</w:t>
      </w:r>
      <w:r w:rsidR="00B46267">
        <w:t>.</w:t>
      </w:r>
      <w:r w:rsidR="003B7BE7">
        <w:t xml:space="preserve"> The COMBI-AD trial</w:t>
      </w:r>
      <w:r w:rsidR="009566B6">
        <w:rPr>
          <w:rStyle w:val="FootnoteReference"/>
        </w:rPr>
        <w:footnoteReference w:id="7"/>
      </w:r>
      <w:r w:rsidR="003B7BE7">
        <w:t xml:space="preserve"> which compared adjuvant in BRAF/MEK inhibitor therapy (DAB+TRAM) to placebo</w:t>
      </w:r>
      <w:r w:rsidR="00B46267">
        <w:t xml:space="preserve"> </w:t>
      </w:r>
      <w:r w:rsidR="003B7BE7">
        <w:t>in patients with BRAF positive Stage III melanoma and based on three years follow-up reported a RFS hazard ratio (HR) of 0.47 and an overall survival HR of 0.57</w:t>
      </w:r>
      <w:r w:rsidR="009566B6">
        <w:t xml:space="preserve">. An indirect comparison of RFS between KN054 and the COMBI-AD trial resulted in a HR of 1.04 (95% confidence interval (CI): 0.72, 1.51). </w:t>
      </w:r>
      <w:r w:rsidR="002B02E0">
        <w:t>The pre-PBAC Response also provided data from the EORTC 18071 trial</w:t>
      </w:r>
      <w:r w:rsidR="002B02E0">
        <w:rPr>
          <w:rStyle w:val="FootnoteReference"/>
        </w:rPr>
        <w:footnoteReference w:id="8"/>
      </w:r>
      <w:r w:rsidR="002B02E0">
        <w:t xml:space="preserve"> which compared </w:t>
      </w:r>
      <w:proofErr w:type="spellStart"/>
      <w:r w:rsidR="002B02E0">
        <w:t>ipilimumab</w:t>
      </w:r>
      <w:proofErr w:type="spellEnd"/>
      <w:r w:rsidR="002B02E0">
        <w:t xml:space="preserve"> with placebo as an adjuvant treatment for melanoma. A RFS HR of 0.75 resulted in an overall survival HR of 0.72 after five years of follow-up.</w:t>
      </w:r>
    </w:p>
    <w:p w:rsidR="00761608" w:rsidRDefault="00B23B40" w:rsidP="00D116B6">
      <w:pPr>
        <w:pStyle w:val="ListParagraph"/>
        <w:widowControl/>
        <w:numPr>
          <w:ilvl w:val="1"/>
          <w:numId w:val="3"/>
        </w:numPr>
        <w:spacing w:after="160"/>
      </w:pPr>
      <w:r w:rsidRPr="00F1313B">
        <w:t xml:space="preserve">The ESC </w:t>
      </w:r>
      <w:r w:rsidR="00146821">
        <w:t>and PBAC</w:t>
      </w:r>
      <w:r w:rsidR="00146821" w:rsidRPr="00F1313B">
        <w:t xml:space="preserve"> </w:t>
      </w:r>
      <w:r w:rsidRPr="00F1313B">
        <w:t xml:space="preserve">noted that </w:t>
      </w:r>
      <w:r w:rsidR="008443B6">
        <w:t>patients in KN054</w:t>
      </w:r>
      <w:r w:rsidRPr="00F1313B">
        <w:t xml:space="preserve"> </w:t>
      </w:r>
      <w:r w:rsidR="008443B6">
        <w:t xml:space="preserve">were </w:t>
      </w:r>
      <w:r w:rsidRPr="00F1313B">
        <w:t>classified using the 7</w:t>
      </w:r>
      <w:r w:rsidRPr="00F1313B">
        <w:rPr>
          <w:vertAlign w:val="superscript"/>
        </w:rPr>
        <w:t>th</w:t>
      </w:r>
      <w:r w:rsidRPr="00F1313B">
        <w:t xml:space="preserve"> edition of the A</w:t>
      </w:r>
      <w:r w:rsidR="00BF231B">
        <w:t>merican Joint Committee on Cancer (A</w:t>
      </w:r>
      <w:r w:rsidRPr="00F1313B">
        <w:t>JCC</w:t>
      </w:r>
      <w:r w:rsidR="00BF231B">
        <w:t>)</w:t>
      </w:r>
      <w:r w:rsidRPr="00F1313B">
        <w:t xml:space="preserve"> </w:t>
      </w:r>
      <w:r w:rsidR="00BF231B">
        <w:t xml:space="preserve">melanoma staging system, which was introduced in 2007 and </w:t>
      </w:r>
      <w:r w:rsidRPr="00F1313B">
        <w:t>has three Stage III subgroups (</w:t>
      </w:r>
      <w:r w:rsidR="009B5FCF">
        <w:t>III</w:t>
      </w:r>
      <w:r w:rsidRPr="00F1313B">
        <w:t>A</w:t>
      </w:r>
      <w:r w:rsidR="009B5FCF">
        <w:t>, IIIB and III</w:t>
      </w:r>
      <w:r w:rsidRPr="00F1313B">
        <w:t>C)</w:t>
      </w:r>
      <w:r w:rsidR="00BF231B">
        <w:t xml:space="preserve"> – see Table </w:t>
      </w:r>
      <w:r w:rsidR="009C767B">
        <w:t>4</w:t>
      </w:r>
      <w:r w:rsidR="00BF231B">
        <w:t xml:space="preserve">. </w:t>
      </w:r>
      <w:r w:rsidR="00761608">
        <w:t>P</w:t>
      </w:r>
      <w:r w:rsidR="00761608" w:rsidRPr="006C63F7">
        <w:t xml:space="preserve">atients are subdivided into </w:t>
      </w:r>
      <w:r w:rsidR="00761608">
        <w:t xml:space="preserve">prognostic sub-stages </w:t>
      </w:r>
      <w:r w:rsidR="00761608" w:rsidRPr="006C63F7">
        <w:t>depending upon the extent of lymphatic involvement and the characteristics of the primary tumour.</w:t>
      </w:r>
      <w:r w:rsidR="00097E6C">
        <w:t xml:space="preserve"> The ESC noted that Stage IIIA (7</w:t>
      </w:r>
      <w:r w:rsidR="00097E6C" w:rsidRPr="00D116B6">
        <w:rPr>
          <w:vertAlign w:val="superscript"/>
        </w:rPr>
        <w:t>th</w:t>
      </w:r>
      <w:r w:rsidR="00097E6C">
        <w:t xml:space="preserve"> edition) patients were only recruited into KN054 if they had </w:t>
      </w:r>
      <w:r w:rsidR="00097E6C">
        <w:lastRenderedPageBreak/>
        <w:t xml:space="preserve">metastases </w:t>
      </w:r>
      <w:r w:rsidR="009B5FCF">
        <w:t>greater than</w:t>
      </w:r>
      <w:r w:rsidR="00097E6C">
        <w:t xml:space="preserve"> 1 mm, i.e. those patients with more severe Stage IIIA disease. In addition, although the proportions of patients with each sub-stage of melanoma were comparable between the </w:t>
      </w:r>
      <w:proofErr w:type="spellStart"/>
      <w:r w:rsidR="00097E6C">
        <w:t>pembrolizumab</w:t>
      </w:r>
      <w:proofErr w:type="spellEnd"/>
      <w:r w:rsidR="00097E6C">
        <w:t xml:space="preserve"> and placebo arms, the PBAC noted that the proportion of Stage IIIA patients in KN054 was approximately 16%, compared to 46% for Stage IIIB and 38% for Stage IIIC.</w:t>
      </w:r>
    </w:p>
    <w:p w:rsidR="00B23B40" w:rsidRPr="00CC264B" w:rsidRDefault="00B23B40" w:rsidP="00EC71D0">
      <w:pPr>
        <w:keepNext/>
        <w:rPr>
          <w:rStyle w:val="CommentReference"/>
        </w:rPr>
      </w:pPr>
      <w:bookmarkStart w:id="8" w:name="_Ref520105560"/>
      <w:r w:rsidRPr="00CC264B">
        <w:rPr>
          <w:rStyle w:val="CommentReference"/>
        </w:rPr>
        <w:t xml:space="preserve">Table </w:t>
      </w:r>
      <w:bookmarkEnd w:id="8"/>
      <w:r w:rsidR="009C767B">
        <w:rPr>
          <w:rStyle w:val="CommentReference"/>
        </w:rPr>
        <w:t>4</w:t>
      </w:r>
      <w:r w:rsidRPr="00CC264B">
        <w:rPr>
          <w:rStyle w:val="CommentReference"/>
        </w:rPr>
        <w:t xml:space="preserve">: Baseline </w:t>
      </w:r>
      <w:r w:rsidR="00CC264B">
        <w:rPr>
          <w:rStyle w:val="CommentReference"/>
        </w:rPr>
        <w:t>melanoma stage of patients in the KN054 trial</w:t>
      </w:r>
      <w:r w:rsidR="00761608">
        <w:rPr>
          <w:rStyle w:val="CommentReference"/>
        </w:rPr>
        <w:t xml:space="preserve">, using the </w:t>
      </w:r>
      <w:r w:rsidR="00CC264B">
        <w:rPr>
          <w:rStyle w:val="CommentReference"/>
        </w:rPr>
        <w:t>7</w:t>
      </w:r>
      <w:r w:rsidR="00CC264B" w:rsidRPr="00CC264B">
        <w:rPr>
          <w:rStyle w:val="CommentReference"/>
          <w:vertAlign w:val="superscript"/>
        </w:rPr>
        <w:t>th</w:t>
      </w:r>
      <w:r w:rsidR="00CC264B">
        <w:rPr>
          <w:rStyle w:val="CommentReference"/>
        </w:rPr>
        <w:t xml:space="preserve"> edition of the AJCC </w:t>
      </w:r>
      <w:r w:rsidR="00761608">
        <w:rPr>
          <w:rStyle w:val="CommentReference"/>
        </w:rPr>
        <w:t>melanoma staging system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2693"/>
        <w:gridCol w:w="2664"/>
      </w:tblGrid>
      <w:tr w:rsidR="00B23B40" w:rsidRPr="009E2981" w:rsidTr="00CC264B">
        <w:tc>
          <w:tcPr>
            <w:tcW w:w="3715" w:type="dxa"/>
          </w:tcPr>
          <w:p w:rsidR="00B23B40" w:rsidRPr="009E2981" w:rsidRDefault="00B23B40" w:rsidP="00EC71D0">
            <w:pPr>
              <w:pStyle w:val="Tabletext"/>
              <w:keepNext/>
              <w:jc w:val="center"/>
              <w:rPr>
                <w:b/>
              </w:rPr>
            </w:pPr>
          </w:p>
        </w:tc>
        <w:tc>
          <w:tcPr>
            <w:tcW w:w="2693" w:type="dxa"/>
          </w:tcPr>
          <w:p w:rsidR="00B23B40" w:rsidRPr="009E2981" w:rsidRDefault="00B23B40" w:rsidP="00EC71D0">
            <w:pPr>
              <w:pStyle w:val="Tabletext"/>
              <w:keepNext/>
              <w:jc w:val="center"/>
              <w:rPr>
                <w:b/>
              </w:rPr>
            </w:pPr>
            <w:proofErr w:type="spellStart"/>
            <w:r w:rsidRPr="009E2981">
              <w:rPr>
                <w:b/>
              </w:rPr>
              <w:t>Pembrolizumab</w:t>
            </w:r>
            <w:proofErr w:type="spellEnd"/>
          </w:p>
        </w:tc>
        <w:tc>
          <w:tcPr>
            <w:tcW w:w="2664" w:type="dxa"/>
          </w:tcPr>
          <w:p w:rsidR="00B23B40" w:rsidRPr="009E2981" w:rsidRDefault="00B23B40" w:rsidP="00EC71D0">
            <w:pPr>
              <w:pStyle w:val="Tabletext"/>
              <w:keepNext/>
              <w:jc w:val="center"/>
              <w:rPr>
                <w:b/>
              </w:rPr>
            </w:pPr>
            <w:r w:rsidRPr="009E2981">
              <w:rPr>
                <w:b/>
              </w:rPr>
              <w:t>Placebo</w:t>
            </w:r>
          </w:p>
        </w:tc>
      </w:tr>
      <w:tr w:rsidR="00B23B40" w:rsidRPr="00B01FDE" w:rsidTr="00CC264B">
        <w:tc>
          <w:tcPr>
            <w:tcW w:w="3715" w:type="dxa"/>
          </w:tcPr>
          <w:p w:rsidR="00B23B40" w:rsidRPr="0023114F" w:rsidRDefault="00B23B40" w:rsidP="00EC71D0">
            <w:pPr>
              <w:pStyle w:val="Tabletext"/>
              <w:keepNext/>
            </w:pPr>
            <w:r w:rsidRPr="0023114F">
              <w:t>Participants, n</w:t>
            </w:r>
          </w:p>
        </w:tc>
        <w:tc>
          <w:tcPr>
            <w:tcW w:w="2693" w:type="dxa"/>
          </w:tcPr>
          <w:p w:rsidR="00B23B40" w:rsidRPr="0023114F" w:rsidRDefault="00B23B40" w:rsidP="00EC71D0">
            <w:pPr>
              <w:pStyle w:val="Tabletext"/>
              <w:keepNext/>
              <w:jc w:val="center"/>
            </w:pPr>
            <w:r>
              <w:t>514</w:t>
            </w:r>
          </w:p>
        </w:tc>
        <w:tc>
          <w:tcPr>
            <w:tcW w:w="2664" w:type="dxa"/>
          </w:tcPr>
          <w:p w:rsidR="00B23B40" w:rsidRPr="0023114F" w:rsidRDefault="00B23B40" w:rsidP="00EC71D0">
            <w:pPr>
              <w:pStyle w:val="Tabletext"/>
              <w:keepNext/>
              <w:jc w:val="center"/>
            </w:pPr>
            <w:r>
              <w:t>505</w:t>
            </w:r>
          </w:p>
        </w:tc>
      </w:tr>
      <w:tr w:rsidR="00B23B40" w:rsidRPr="00B01FDE" w:rsidTr="00CC264B">
        <w:tc>
          <w:tcPr>
            <w:tcW w:w="3715" w:type="dxa"/>
          </w:tcPr>
          <w:p w:rsidR="00B23B40" w:rsidRPr="00414AA0" w:rsidRDefault="00B23B40" w:rsidP="00EC71D0">
            <w:pPr>
              <w:pStyle w:val="Tabletext"/>
              <w:keepNext/>
            </w:pPr>
            <w:r>
              <w:t>Cancer stage, n (%)</w:t>
            </w:r>
          </w:p>
          <w:p w:rsidR="00B23B40" w:rsidRPr="00414AA0" w:rsidRDefault="00B23B40" w:rsidP="00EC71D0">
            <w:pPr>
              <w:pStyle w:val="Tabletext"/>
              <w:keepNext/>
            </w:pPr>
            <w:r>
              <w:t xml:space="preserve">  Stage IIIA (</w:t>
            </w:r>
            <w:r w:rsidR="00676E8E">
              <w:t xml:space="preserve">metastasis </w:t>
            </w:r>
            <w:r>
              <w:t>&gt; 1</w:t>
            </w:r>
            <w:r w:rsidR="00676E8E">
              <w:t xml:space="preserve"> </w:t>
            </w:r>
            <w:r w:rsidRPr="00414AA0">
              <w:t xml:space="preserve">mm) </w:t>
            </w:r>
          </w:p>
          <w:p w:rsidR="00B23B40" w:rsidRPr="00414AA0" w:rsidRDefault="00B23B40" w:rsidP="00EC71D0">
            <w:pPr>
              <w:pStyle w:val="Tabletext"/>
              <w:keepNext/>
            </w:pPr>
            <w:r>
              <w:t xml:space="preserve">  </w:t>
            </w:r>
            <w:r w:rsidRPr="00414AA0">
              <w:t xml:space="preserve">Stage IIIB </w:t>
            </w:r>
          </w:p>
          <w:p w:rsidR="00B23B40" w:rsidRPr="00414AA0" w:rsidRDefault="00B23B40" w:rsidP="00EC71D0">
            <w:pPr>
              <w:pStyle w:val="Tabletext"/>
              <w:keepNext/>
            </w:pPr>
            <w:r>
              <w:t xml:space="preserve">  </w:t>
            </w:r>
            <w:r w:rsidRPr="00414AA0">
              <w:t xml:space="preserve">Stage IIIC (1-3 LN+) </w:t>
            </w:r>
          </w:p>
          <w:p w:rsidR="00B23B40" w:rsidRDefault="00B23B40" w:rsidP="00EC71D0">
            <w:pPr>
              <w:pStyle w:val="Tabletext"/>
              <w:keepNext/>
            </w:pPr>
            <w:r>
              <w:t xml:space="preserve">  </w:t>
            </w:r>
            <w:r w:rsidRPr="00414AA0">
              <w:t>Stage IIIC (</w:t>
            </w:r>
            <w:r w:rsidR="00EC71D0">
              <w:t>≥</w:t>
            </w:r>
            <w:r w:rsidRPr="00414AA0">
              <w:t xml:space="preserve"> 4 LN+) </w:t>
            </w:r>
          </w:p>
        </w:tc>
        <w:tc>
          <w:tcPr>
            <w:tcW w:w="2693" w:type="dxa"/>
          </w:tcPr>
          <w:p w:rsidR="00B23B40" w:rsidRDefault="00B23B40" w:rsidP="00EC71D0">
            <w:pPr>
              <w:pStyle w:val="Tabletext"/>
              <w:keepNext/>
              <w:jc w:val="center"/>
            </w:pPr>
          </w:p>
          <w:p w:rsidR="00B23B40" w:rsidRDefault="00B23B40" w:rsidP="00EC71D0">
            <w:pPr>
              <w:pStyle w:val="Tabletext"/>
              <w:keepNext/>
              <w:jc w:val="center"/>
            </w:pPr>
            <w:r w:rsidRPr="00414AA0">
              <w:t>80 (15.6</w:t>
            </w:r>
            <w:r w:rsidR="00CC264B">
              <w:t>%</w:t>
            </w:r>
            <w:r w:rsidRPr="00414AA0">
              <w:t>)</w:t>
            </w:r>
          </w:p>
          <w:p w:rsidR="00B23B40" w:rsidRDefault="00B23B40" w:rsidP="00EC71D0">
            <w:pPr>
              <w:pStyle w:val="Tabletext"/>
              <w:keepNext/>
              <w:jc w:val="center"/>
            </w:pPr>
            <w:r w:rsidRPr="00414AA0">
              <w:t>237 (46.1</w:t>
            </w:r>
            <w:r w:rsidR="00CC264B">
              <w:t>%</w:t>
            </w:r>
            <w:r w:rsidRPr="00414AA0">
              <w:t>)</w:t>
            </w:r>
          </w:p>
          <w:p w:rsidR="00B23B40" w:rsidRDefault="00B23B40" w:rsidP="00EC71D0">
            <w:pPr>
              <w:pStyle w:val="Tabletext"/>
              <w:keepNext/>
              <w:jc w:val="center"/>
            </w:pPr>
            <w:r w:rsidRPr="00414AA0">
              <w:t>95 (18.5</w:t>
            </w:r>
            <w:r w:rsidR="00CC264B">
              <w:t>%</w:t>
            </w:r>
            <w:r w:rsidRPr="00414AA0">
              <w:t>)</w:t>
            </w:r>
          </w:p>
          <w:p w:rsidR="00B23B40" w:rsidRDefault="00B23B40" w:rsidP="00EC71D0">
            <w:pPr>
              <w:pStyle w:val="Tabletext"/>
              <w:keepNext/>
              <w:jc w:val="center"/>
            </w:pPr>
            <w:r w:rsidRPr="00414AA0">
              <w:t>102 (19.8</w:t>
            </w:r>
            <w:r w:rsidR="00CC264B">
              <w:t>%</w:t>
            </w:r>
            <w:r w:rsidRPr="00414AA0">
              <w:t>)</w:t>
            </w:r>
          </w:p>
        </w:tc>
        <w:tc>
          <w:tcPr>
            <w:tcW w:w="2664" w:type="dxa"/>
          </w:tcPr>
          <w:p w:rsidR="00B23B40" w:rsidRDefault="00B23B40" w:rsidP="00EC71D0">
            <w:pPr>
              <w:pStyle w:val="Tabletext"/>
              <w:keepNext/>
              <w:jc w:val="center"/>
            </w:pPr>
          </w:p>
          <w:p w:rsidR="00B23B40" w:rsidRDefault="00B23B40" w:rsidP="00EC71D0">
            <w:pPr>
              <w:pStyle w:val="Tabletext"/>
              <w:keepNext/>
              <w:jc w:val="center"/>
            </w:pPr>
            <w:r w:rsidRPr="00414AA0">
              <w:t>80 (15.8</w:t>
            </w:r>
            <w:r w:rsidR="00CC264B">
              <w:t>%</w:t>
            </w:r>
            <w:r w:rsidRPr="00414AA0">
              <w:t>)</w:t>
            </w:r>
          </w:p>
          <w:p w:rsidR="00B23B40" w:rsidRDefault="00B23B40" w:rsidP="00EC71D0">
            <w:pPr>
              <w:pStyle w:val="Tabletext"/>
              <w:keepNext/>
              <w:jc w:val="center"/>
            </w:pPr>
            <w:r w:rsidRPr="00414AA0">
              <w:t>230 (45.5</w:t>
            </w:r>
            <w:r w:rsidR="00CC264B">
              <w:t>%</w:t>
            </w:r>
            <w:r w:rsidRPr="00414AA0">
              <w:t>)</w:t>
            </w:r>
          </w:p>
          <w:p w:rsidR="00B23B40" w:rsidRDefault="00B23B40" w:rsidP="00EC71D0">
            <w:pPr>
              <w:pStyle w:val="Tabletext"/>
              <w:keepNext/>
              <w:jc w:val="center"/>
            </w:pPr>
            <w:r w:rsidRPr="00414AA0">
              <w:t>93 (18.4</w:t>
            </w:r>
            <w:r w:rsidR="00CC264B">
              <w:t>%</w:t>
            </w:r>
            <w:r w:rsidRPr="00414AA0">
              <w:t>)</w:t>
            </w:r>
          </w:p>
          <w:p w:rsidR="00B23B40" w:rsidRDefault="00B23B40" w:rsidP="00EC71D0">
            <w:pPr>
              <w:pStyle w:val="Tabletext"/>
              <w:keepNext/>
              <w:jc w:val="center"/>
            </w:pPr>
            <w:r w:rsidRPr="00414AA0">
              <w:t>102 (20.2</w:t>
            </w:r>
            <w:r w:rsidR="00CC264B">
              <w:t>%</w:t>
            </w:r>
            <w:r w:rsidRPr="00414AA0">
              <w:t>)</w:t>
            </w:r>
          </w:p>
        </w:tc>
      </w:tr>
    </w:tbl>
    <w:p w:rsidR="00B23B40" w:rsidRDefault="00BF231B" w:rsidP="00EC71D0">
      <w:pPr>
        <w:pStyle w:val="TableFooter"/>
        <w:keepNext/>
      </w:pPr>
      <w:r>
        <w:t>AJCC = American</w:t>
      </w:r>
      <w:r w:rsidR="00761608">
        <w:t xml:space="preserve"> Joint Committee on Cancer; LN = lymph node</w:t>
      </w:r>
    </w:p>
    <w:p w:rsidR="00761608" w:rsidRDefault="00761608" w:rsidP="00FC7B39">
      <w:pPr>
        <w:pStyle w:val="TableFooter"/>
        <w:keepNext/>
        <w:spacing w:after="240"/>
      </w:pPr>
      <w:r>
        <w:t>Source: Table 2-7, pp49-49 of the submiss</w:t>
      </w:r>
      <w:r w:rsidR="00FC7B39">
        <w:t>ion</w:t>
      </w:r>
    </w:p>
    <w:p w:rsidR="00BF231B" w:rsidRDefault="008443B6" w:rsidP="00BF231B">
      <w:pPr>
        <w:pStyle w:val="ListParagraph"/>
        <w:widowControl/>
        <w:numPr>
          <w:ilvl w:val="1"/>
          <w:numId w:val="3"/>
        </w:numPr>
        <w:spacing w:after="160"/>
      </w:pPr>
      <w:r>
        <w:t>From 2017 melanoma has been staged using the 8</w:t>
      </w:r>
      <w:r w:rsidRPr="005A13C0">
        <w:rPr>
          <w:vertAlign w:val="superscript"/>
        </w:rPr>
        <w:t>th</w:t>
      </w:r>
      <w:r>
        <w:t xml:space="preserve"> edition of the melanoma staging system which has four subgroups (</w:t>
      </w:r>
      <w:r w:rsidR="009B5FCF">
        <w:t>III</w:t>
      </w:r>
      <w:r>
        <w:t>A</w:t>
      </w:r>
      <w:r w:rsidR="009B5FCF">
        <w:t>, IIIB, IIIC and III</w:t>
      </w:r>
      <w:r>
        <w:t xml:space="preserve">D). </w:t>
      </w:r>
      <w:r w:rsidR="00BF231B" w:rsidRPr="007742DB">
        <w:t xml:space="preserve">Figure </w:t>
      </w:r>
      <w:r w:rsidR="009C767B" w:rsidRPr="007742DB">
        <w:t>1</w:t>
      </w:r>
      <w:r w:rsidR="00BF231B">
        <w:t xml:space="preserve"> presents a comparison of the survival probabilities for each sub-stage of Stage III melanoma using the 7</w:t>
      </w:r>
      <w:r w:rsidR="00BF231B" w:rsidRPr="00BF231B">
        <w:rPr>
          <w:vertAlign w:val="superscript"/>
        </w:rPr>
        <w:t>th</w:t>
      </w:r>
      <w:r w:rsidR="00BF231B">
        <w:t xml:space="preserve"> and 8</w:t>
      </w:r>
      <w:r w:rsidR="00BF231B" w:rsidRPr="00BF231B">
        <w:rPr>
          <w:vertAlign w:val="superscript"/>
        </w:rPr>
        <w:t>th</w:t>
      </w:r>
      <w:r w:rsidR="00BF231B">
        <w:t xml:space="preserve"> editions of the AJCC </w:t>
      </w:r>
      <w:r w:rsidR="00761608">
        <w:t>melanoma staging systems</w:t>
      </w:r>
      <w:r w:rsidR="00BF231B">
        <w:t>.</w:t>
      </w:r>
    </w:p>
    <w:p w:rsidR="00B23B40" w:rsidRDefault="00B23B40" w:rsidP="00B23B40">
      <w:pPr>
        <w:keepNext/>
        <w:widowControl/>
        <w:spacing w:after="160"/>
        <w:rPr>
          <w:rStyle w:val="CommentReference"/>
        </w:rPr>
      </w:pPr>
      <w:r w:rsidRPr="005A13C0">
        <w:rPr>
          <w:rStyle w:val="CommentReference"/>
        </w:rPr>
        <w:t xml:space="preserve">Figure </w:t>
      </w:r>
      <w:r w:rsidR="009C767B">
        <w:rPr>
          <w:rStyle w:val="CommentReference"/>
        </w:rPr>
        <w:t>1</w:t>
      </w:r>
      <w:r w:rsidRPr="005A13C0">
        <w:rPr>
          <w:rStyle w:val="CommentReference"/>
        </w:rPr>
        <w:t>: Comparison of</w:t>
      </w:r>
      <w:r w:rsidR="00BF231B">
        <w:rPr>
          <w:rStyle w:val="CommentReference"/>
        </w:rPr>
        <w:t xml:space="preserve"> survival probability for</w:t>
      </w:r>
      <w:r w:rsidRPr="005A13C0">
        <w:rPr>
          <w:rStyle w:val="CommentReference"/>
        </w:rPr>
        <w:t xml:space="preserve"> melanoma using the 7</w:t>
      </w:r>
      <w:r w:rsidRPr="00CC264B">
        <w:rPr>
          <w:rStyle w:val="CommentReference"/>
          <w:vertAlign w:val="superscript"/>
        </w:rPr>
        <w:t>th</w:t>
      </w:r>
      <w:r w:rsidR="00CC264B">
        <w:rPr>
          <w:rStyle w:val="CommentReference"/>
        </w:rPr>
        <w:t xml:space="preserve"> (RIGHT panel)</w:t>
      </w:r>
      <w:r w:rsidRPr="005A13C0">
        <w:rPr>
          <w:rStyle w:val="CommentReference"/>
        </w:rPr>
        <w:t xml:space="preserve"> and 8</w:t>
      </w:r>
      <w:r w:rsidRPr="00CC264B">
        <w:rPr>
          <w:rStyle w:val="CommentReference"/>
          <w:vertAlign w:val="superscript"/>
        </w:rPr>
        <w:t>th</w:t>
      </w:r>
      <w:r w:rsidR="00CC264B">
        <w:rPr>
          <w:rStyle w:val="CommentReference"/>
        </w:rPr>
        <w:t xml:space="preserve"> (LEFT panel)</w:t>
      </w:r>
      <w:r w:rsidRPr="005A13C0">
        <w:rPr>
          <w:rStyle w:val="CommentReference"/>
        </w:rPr>
        <w:t xml:space="preserve"> editions of the AJCC </w:t>
      </w:r>
      <w:r w:rsidR="00761608">
        <w:rPr>
          <w:rStyle w:val="CommentReference"/>
        </w:rPr>
        <w:t>melanoma staging system</w:t>
      </w:r>
    </w:p>
    <w:p w:rsidR="00CC264B" w:rsidRPr="005A13C0" w:rsidRDefault="00CC264B" w:rsidP="00CC264B">
      <w:pPr>
        <w:keepNext/>
        <w:widowControl/>
        <w:spacing w:after="160"/>
        <w:ind w:left="1440" w:firstLine="720"/>
        <w:rPr>
          <w:rStyle w:val="CommentReference"/>
        </w:rPr>
      </w:pPr>
      <w:r>
        <w:rPr>
          <w:rStyle w:val="CommentReference"/>
        </w:rPr>
        <w:t>8</w:t>
      </w:r>
      <w:r w:rsidRPr="00CC264B">
        <w:rPr>
          <w:rStyle w:val="CommentReference"/>
          <w:vertAlign w:val="superscript"/>
        </w:rPr>
        <w:t>th</w:t>
      </w:r>
      <w:r>
        <w:rPr>
          <w:rStyle w:val="CommentReference"/>
        </w:rPr>
        <w:t xml:space="preserve"> Edition</w:t>
      </w:r>
      <w:r>
        <w:rPr>
          <w:rStyle w:val="CommentReference"/>
        </w:rPr>
        <w:tab/>
      </w:r>
      <w:r>
        <w:rPr>
          <w:rStyle w:val="CommentReference"/>
        </w:rPr>
        <w:tab/>
      </w:r>
      <w:r>
        <w:rPr>
          <w:rStyle w:val="CommentReference"/>
        </w:rPr>
        <w:tab/>
      </w:r>
      <w:r>
        <w:rPr>
          <w:rStyle w:val="CommentReference"/>
        </w:rPr>
        <w:tab/>
      </w:r>
      <w:r>
        <w:rPr>
          <w:rStyle w:val="CommentReference"/>
        </w:rPr>
        <w:tab/>
        <w:t>7</w:t>
      </w:r>
      <w:r w:rsidRPr="00CC264B">
        <w:rPr>
          <w:rStyle w:val="CommentReference"/>
          <w:vertAlign w:val="superscript"/>
        </w:rPr>
        <w:t>th</w:t>
      </w:r>
      <w:r>
        <w:rPr>
          <w:rStyle w:val="CommentReference"/>
        </w:rPr>
        <w:t xml:space="preserve"> Edition</w:t>
      </w:r>
    </w:p>
    <w:p w:rsidR="00B23B40" w:rsidRDefault="00B23B40" w:rsidP="00B23B40">
      <w:pPr>
        <w:keepNext/>
        <w:widowControl/>
        <w:spacing w:after="160"/>
      </w:pPr>
      <w:r>
        <w:rPr>
          <w:noProof/>
          <w:snapToGrid/>
          <w:lang w:eastAsia="en-AU"/>
        </w:rPr>
        <w:drawing>
          <wp:inline distT="0" distB="0" distL="0" distR="0" wp14:anchorId="19E12293" wp14:editId="6CF811CE">
            <wp:extent cx="5669278" cy="1701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0097" t="49508" r="25386" b="20142"/>
                    <a:stretch/>
                  </pic:blipFill>
                  <pic:spPr bwMode="auto">
                    <a:xfrm>
                      <a:off x="0" y="0"/>
                      <a:ext cx="5666140" cy="1700858"/>
                    </a:xfrm>
                    <a:prstGeom prst="rect">
                      <a:avLst/>
                    </a:prstGeom>
                    <a:ln>
                      <a:noFill/>
                    </a:ln>
                    <a:extLst>
                      <a:ext uri="{53640926-AAD7-44D8-BBD7-CCE9431645EC}">
                        <a14:shadowObscured xmlns:a14="http://schemas.microsoft.com/office/drawing/2010/main"/>
                      </a:ext>
                    </a:extLst>
                  </pic:spPr>
                </pic:pic>
              </a:graphicData>
            </a:graphic>
          </wp:inline>
        </w:drawing>
      </w:r>
    </w:p>
    <w:p w:rsidR="009B5FCF" w:rsidRDefault="009B5FCF" w:rsidP="00B23B40">
      <w:pPr>
        <w:pStyle w:val="TableFooter"/>
        <w:keepNext/>
      </w:pPr>
      <w:r>
        <w:t>AJCC = American Joint Committee on Cancer; YR = year</w:t>
      </w:r>
    </w:p>
    <w:p w:rsidR="00CC264B" w:rsidRDefault="00B23B40" w:rsidP="00FC7B39">
      <w:pPr>
        <w:pStyle w:val="TableFooter"/>
        <w:keepNext/>
        <w:spacing w:after="240"/>
      </w:pPr>
      <w:r>
        <w:t xml:space="preserve">Source: </w:t>
      </w:r>
      <w:proofErr w:type="spellStart"/>
      <w:r>
        <w:t>Gershenwald</w:t>
      </w:r>
      <w:proofErr w:type="spellEnd"/>
      <w:r>
        <w:t xml:space="preserve"> JE, </w:t>
      </w:r>
      <w:proofErr w:type="spellStart"/>
      <w:r>
        <w:t>Scolyer</w:t>
      </w:r>
      <w:proofErr w:type="spellEnd"/>
      <w:r>
        <w:t xml:space="preserve"> RA. Melanoma Staging: American Joint Committee on Cancer (AJCC) 8</w:t>
      </w:r>
      <w:r w:rsidRPr="005A13C0">
        <w:rPr>
          <w:vertAlign w:val="superscript"/>
        </w:rPr>
        <w:t>th</w:t>
      </w:r>
      <w:r>
        <w:t xml:space="preserve"> </w:t>
      </w:r>
      <w:r w:rsidR="0053438E">
        <w:t>e</w:t>
      </w:r>
      <w:r>
        <w:t xml:space="preserve">dition and </w:t>
      </w:r>
      <w:r w:rsidR="0053438E">
        <w:t>b</w:t>
      </w:r>
      <w:r>
        <w:t xml:space="preserve">eyond. </w:t>
      </w:r>
      <w:r w:rsidR="0053438E">
        <w:t xml:space="preserve">Annals of Surgical Oncology. </w:t>
      </w:r>
      <w:r>
        <w:t>2018;</w:t>
      </w:r>
      <w:r w:rsidR="002B02E0">
        <w:t xml:space="preserve"> </w:t>
      </w:r>
      <w:r>
        <w:t>25(8):</w:t>
      </w:r>
      <w:r w:rsidR="002B02E0">
        <w:t xml:space="preserve"> </w:t>
      </w:r>
      <w:r w:rsidR="00FC7B39">
        <w:t>2105-2110.</w:t>
      </w:r>
    </w:p>
    <w:p w:rsidR="00CC264B" w:rsidRDefault="00097E6C" w:rsidP="00097E6C">
      <w:pPr>
        <w:pStyle w:val="ListParagraph"/>
        <w:widowControl/>
        <w:numPr>
          <w:ilvl w:val="1"/>
          <w:numId w:val="3"/>
        </w:numPr>
        <w:spacing w:after="160"/>
      </w:pPr>
      <w:r>
        <w:t>The PBAC noted the limitations associated with comparing different patient cohorts</w:t>
      </w:r>
      <w:r w:rsidR="00EC71D0">
        <w:t>;</w:t>
      </w:r>
      <w:r>
        <w:t xml:space="preserve"> however</w:t>
      </w:r>
      <w:r w:rsidR="00EC71D0">
        <w:t>,</w:t>
      </w:r>
      <w:r>
        <w:t xml:space="preserve"> considered that the above comparison suggested that patients in the 8</w:t>
      </w:r>
      <w:r w:rsidRPr="00EC71D0">
        <w:rPr>
          <w:vertAlign w:val="superscript"/>
        </w:rPr>
        <w:t>th</w:t>
      </w:r>
      <w:r>
        <w:t xml:space="preserve"> edition cohort had a more favourable survival profile across </w:t>
      </w:r>
      <w:r w:rsidR="00EC71D0">
        <w:t>S</w:t>
      </w:r>
      <w:r>
        <w:t>tages IIIA, IIIB, and IIIC disease compared with patients with similar stage groupings in the 7</w:t>
      </w:r>
      <w:r w:rsidRPr="00EC71D0">
        <w:rPr>
          <w:vertAlign w:val="superscript"/>
        </w:rPr>
        <w:t>th</w:t>
      </w:r>
      <w:r>
        <w:t xml:space="preserve"> edition. </w:t>
      </w:r>
    </w:p>
    <w:p w:rsidR="00727F4A" w:rsidRDefault="00D116B6" w:rsidP="009B5FCF">
      <w:pPr>
        <w:pStyle w:val="ListParagraph"/>
        <w:widowControl/>
        <w:numPr>
          <w:ilvl w:val="1"/>
          <w:numId w:val="3"/>
        </w:numPr>
        <w:spacing w:after="160"/>
      </w:pPr>
      <w:r>
        <w:t xml:space="preserve"> </w:t>
      </w:r>
      <w:r w:rsidR="00146821" w:rsidRPr="00727F4A">
        <w:t xml:space="preserve">The PBAC considered that </w:t>
      </w:r>
      <w:r w:rsidR="00935E80" w:rsidRPr="00727F4A">
        <w:t xml:space="preserve">as </w:t>
      </w:r>
      <w:r w:rsidR="00B23B40" w:rsidRPr="00727F4A">
        <w:t>prognosis varie</w:t>
      </w:r>
      <w:r w:rsidR="006F6682" w:rsidRPr="00727F4A">
        <w:t>s</w:t>
      </w:r>
      <w:r w:rsidR="00B23B40" w:rsidRPr="00727F4A">
        <w:t xml:space="preserve"> widely by disease stage</w:t>
      </w:r>
      <w:r w:rsidR="00146821" w:rsidRPr="00727F4A">
        <w:t xml:space="preserve">, so would </w:t>
      </w:r>
      <w:r w:rsidR="00B23B40" w:rsidRPr="00727F4A">
        <w:t>the benefit to risk ratio</w:t>
      </w:r>
      <w:r w:rsidR="006F6682" w:rsidRPr="00727F4A">
        <w:t xml:space="preserve"> and cost-effectiveness</w:t>
      </w:r>
      <w:r w:rsidR="00B23B40" w:rsidRPr="00727F4A">
        <w:t xml:space="preserve"> of adjuvant </w:t>
      </w:r>
      <w:proofErr w:type="spellStart"/>
      <w:r w:rsidR="00B23B40" w:rsidRPr="00727F4A">
        <w:t>pembrolizumab</w:t>
      </w:r>
      <w:proofErr w:type="spellEnd"/>
      <w:r w:rsidR="00B23B40" w:rsidRPr="00727F4A">
        <w:t xml:space="preserve">. The </w:t>
      </w:r>
      <w:r w:rsidR="00146821" w:rsidRPr="00727F4A">
        <w:t xml:space="preserve">PBAC noted </w:t>
      </w:r>
      <w:r w:rsidR="00B23B40" w:rsidRPr="00727F4A">
        <w:t>that</w:t>
      </w:r>
      <w:r w:rsidR="00727F4A">
        <w:t xml:space="preserve"> the proposed listing would allow treatment of Stage III patients regardless </w:t>
      </w:r>
      <w:r w:rsidR="00727F4A">
        <w:lastRenderedPageBreak/>
        <w:t xml:space="preserve">of sub-stage and </w:t>
      </w:r>
      <w:r w:rsidR="00EC71D0">
        <w:t xml:space="preserve">would </w:t>
      </w:r>
      <w:r w:rsidR="00727F4A">
        <w:t>includ</w:t>
      </w:r>
      <w:r w:rsidR="00EC71D0">
        <w:t>e</w:t>
      </w:r>
      <w:r w:rsidR="00727F4A">
        <w:t xml:space="preserve"> all patients with Stage IIIA disease</w:t>
      </w:r>
      <w:r w:rsidR="00EC71D0">
        <w:t>. In addition,</w:t>
      </w:r>
      <w:r w:rsidR="00727F4A">
        <w:t xml:space="preserve"> patients</w:t>
      </w:r>
      <w:r w:rsidR="00EC71D0">
        <w:t>,</w:t>
      </w:r>
      <w:r w:rsidR="00727F4A">
        <w:t xml:space="preserve"> on the basis of the 8</w:t>
      </w:r>
      <w:r w:rsidR="00727F4A" w:rsidRPr="00EC71D0">
        <w:rPr>
          <w:vertAlign w:val="superscript"/>
        </w:rPr>
        <w:t>th</w:t>
      </w:r>
      <w:r w:rsidR="00727F4A">
        <w:t xml:space="preserve"> edition of the staging system</w:t>
      </w:r>
      <w:r w:rsidR="00EC71D0">
        <w:t>,</w:t>
      </w:r>
      <w:r w:rsidR="00727F4A">
        <w:t xml:space="preserve"> treated </w:t>
      </w:r>
      <w:r w:rsidR="00CA5339">
        <w:t xml:space="preserve">on the PBS </w:t>
      </w:r>
      <w:r w:rsidR="00EC71D0">
        <w:t xml:space="preserve">would likely </w:t>
      </w:r>
      <w:r w:rsidR="00CA5339">
        <w:t>hav</w:t>
      </w:r>
      <w:r w:rsidR="00EC71D0">
        <w:t>e</w:t>
      </w:r>
      <w:r w:rsidR="00CA5339">
        <w:t xml:space="preserve"> a better prognosis than those treated in KN054</w:t>
      </w:r>
      <w:r w:rsidR="004567F9">
        <w:t>, and therefore, the magnitude of benefit from an adjuvant therapy might be lower than seen in the trial</w:t>
      </w:r>
      <w:r w:rsidR="00CA5339">
        <w:t xml:space="preserve">. The PBAC noted the submission had not addressed the implications of this difference on the likely cost-effectiveness of </w:t>
      </w:r>
      <w:proofErr w:type="spellStart"/>
      <w:r w:rsidR="00CA5339">
        <w:t>pembrolizumab</w:t>
      </w:r>
      <w:proofErr w:type="spellEnd"/>
      <w:r w:rsidR="00CA5339">
        <w:t xml:space="preserve"> for adjuvant treatment. </w:t>
      </w:r>
      <w:r w:rsidR="00EC71D0">
        <w:t>T</w:t>
      </w:r>
      <w:r w:rsidR="00CA5339">
        <w:t>he PBAC considered the appropriate patient population for treatment was unclear.</w:t>
      </w:r>
    </w:p>
    <w:p w:rsidR="00B23B40" w:rsidRPr="00882085" w:rsidRDefault="00B23B40" w:rsidP="00B23B40">
      <w:pPr>
        <w:pStyle w:val="Heading2"/>
        <w:spacing w:after="120"/>
      </w:pPr>
      <w:r w:rsidRPr="00C9624D">
        <w:t>Comparative effectiveness</w:t>
      </w:r>
    </w:p>
    <w:p w:rsidR="00675F6E" w:rsidRDefault="00675F6E" w:rsidP="00675F6E">
      <w:pPr>
        <w:pStyle w:val="ListParagraph"/>
        <w:widowControl/>
        <w:numPr>
          <w:ilvl w:val="1"/>
          <w:numId w:val="3"/>
        </w:numPr>
        <w:spacing w:after="160"/>
      </w:pPr>
      <w:r>
        <w:t xml:space="preserve">RFS results of the </w:t>
      </w:r>
      <w:r w:rsidR="00E1054F">
        <w:t>intention-to-treat</w:t>
      </w:r>
      <w:r>
        <w:t xml:space="preserve"> population in Trial KN054 are presented in</w:t>
      </w:r>
      <w:r w:rsidR="00C220E1">
        <w:t xml:space="preserve"> </w:t>
      </w:r>
      <w:r w:rsidR="0075422A">
        <w:t xml:space="preserve">Table </w:t>
      </w:r>
      <w:r w:rsidR="009C767B">
        <w:t>5</w:t>
      </w:r>
      <w:r w:rsidR="00B517AC">
        <w:t xml:space="preserve"> and </w:t>
      </w:r>
      <w:r w:rsidR="0075422A">
        <w:t xml:space="preserve">Figure </w:t>
      </w:r>
      <w:r w:rsidR="009C767B">
        <w:t>2</w:t>
      </w:r>
      <w:r w:rsidR="00B517AC">
        <w:t xml:space="preserve"> below</w:t>
      </w:r>
      <w:r>
        <w:t>.</w:t>
      </w:r>
    </w:p>
    <w:p w:rsidR="00675F6E" w:rsidRDefault="00675F6E" w:rsidP="00C0025C">
      <w:pPr>
        <w:pStyle w:val="Caption"/>
      </w:pPr>
      <w:bookmarkStart w:id="9" w:name="_Ref523829977"/>
      <w:r>
        <w:t xml:space="preserve">Table </w:t>
      </w:r>
      <w:r w:rsidR="009C767B">
        <w:t>5</w:t>
      </w:r>
      <w:bookmarkEnd w:id="9"/>
      <w:r>
        <w:t xml:space="preserve">: Results of recurrence-free survival from Trial KN054 </w:t>
      </w:r>
      <w:r w:rsidR="003E0055">
        <w:t>(</w:t>
      </w:r>
      <w:r>
        <w:t>ITT population</w:t>
      </w:r>
      <w:r w:rsidR="003E0055">
        <w:t>)</w:t>
      </w:r>
    </w:p>
    <w:tbl>
      <w:tblPr>
        <w:tblStyle w:val="TableGrid"/>
        <w:tblW w:w="4831" w:type="pct"/>
        <w:tblInd w:w="108" w:type="dxa"/>
        <w:tblLook w:val="04A0" w:firstRow="1" w:lastRow="0" w:firstColumn="1" w:lastColumn="0" w:noHBand="0" w:noVBand="1"/>
        <w:tblCaption w:val="Results of recurrence-free survival from Trial KN054 (ITT population)"/>
      </w:tblPr>
      <w:tblGrid>
        <w:gridCol w:w="2628"/>
        <w:gridCol w:w="1533"/>
        <w:gridCol w:w="1528"/>
        <w:gridCol w:w="1464"/>
        <w:gridCol w:w="1559"/>
      </w:tblGrid>
      <w:tr w:rsidR="00675F6E" w:rsidRPr="0035539A" w:rsidTr="007156A6">
        <w:trPr>
          <w:cantSplit/>
          <w:trHeight w:val="329"/>
          <w:tblHeader/>
        </w:trPr>
        <w:tc>
          <w:tcPr>
            <w:tcW w:w="1508" w:type="pct"/>
            <w:tcBorders>
              <w:bottom w:val="single" w:sz="4" w:space="0" w:color="auto"/>
            </w:tcBorders>
          </w:tcPr>
          <w:p w:rsidR="00675F6E" w:rsidRPr="0035539A" w:rsidRDefault="00675F6E" w:rsidP="00C0025C">
            <w:pPr>
              <w:pStyle w:val="Tabletext"/>
              <w:keepNext/>
              <w:rPr>
                <w:b/>
              </w:rPr>
            </w:pPr>
          </w:p>
        </w:tc>
        <w:tc>
          <w:tcPr>
            <w:tcW w:w="880" w:type="pct"/>
            <w:tcBorders>
              <w:bottom w:val="single" w:sz="4" w:space="0" w:color="auto"/>
            </w:tcBorders>
          </w:tcPr>
          <w:p w:rsidR="00675F6E" w:rsidRPr="0035539A" w:rsidRDefault="00675F6E" w:rsidP="00C0025C">
            <w:pPr>
              <w:pStyle w:val="Tabletext"/>
              <w:keepNext/>
              <w:jc w:val="center"/>
              <w:rPr>
                <w:b/>
              </w:rPr>
            </w:pPr>
            <w:proofErr w:type="spellStart"/>
            <w:r>
              <w:rPr>
                <w:b/>
              </w:rPr>
              <w:t>Pembrolizumab</w:t>
            </w:r>
            <w:proofErr w:type="spellEnd"/>
          </w:p>
          <w:p w:rsidR="00675F6E" w:rsidRPr="0035539A" w:rsidRDefault="00675F6E" w:rsidP="00C0025C">
            <w:pPr>
              <w:pStyle w:val="Tabletext"/>
              <w:keepNext/>
              <w:jc w:val="center"/>
              <w:rPr>
                <w:b/>
              </w:rPr>
            </w:pPr>
            <w:r w:rsidRPr="0035539A">
              <w:rPr>
                <w:b/>
              </w:rPr>
              <w:t>N=</w:t>
            </w:r>
            <w:r>
              <w:rPr>
                <w:b/>
              </w:rPr>
              <w:t>514</w:t>
            </w:r>
          </w:p>
        </w:tc>
        <w:tc>
          <w:tcPr>
            <w:tcW w:w="877" w:type="pct"/>
            <w:tcBorders>
              <w:bottom w:val="single" w:sz="4" w:space="0" w:color="auto"/>
            </w:tcBorders>
          </w:tcPr>
          <w:p w:rsidR="00675F6E" w:rsidRPr="0035539A" w:rsidRDefault="00675F6E" w:rsidP="00C0025C">
            <w:pPr>
              <w:pStyle w:val="Tabletext"/>
              <w:keepNext/>
              <w:jc w:val="center"/>
              <w:rPr>
                <w:b/>
              </w:rPr>
            </w:pPr>
            <w:r>
              <w:rPr>
                <w:b/>
              </w:rPr>
              <w:t>Placebo</w:t>
            </w:r>
          </w:p>
          <w:p w:rsidR="00675F6E" w:rsidRPr="0035539A" w:rsidRDefault="00675F6E" w:rsidP="00C0025C">
            <w:pPr>
              <w:pStyle w:val="Tabletext"/>
              <w:keepNext/>
              <w:jc w:val="center"/>
              <w:rPr>
                <w:b/>
              </w:rPr>
            </w:pPr>
            <w:r w:rsidRPr="0035539A">
              <w:rPr>
                <w:b/>
              </w:rPr>
              <w:t>N=</w:t>
            </w:r>
            <w:r>
              <w:rPr>
                <w:b/>
              </w:rPr>
              <w:t>505</w:t>
            </w:r>
          </w:p>
        </w:tc>
        <w:tc>
          <w:tcPr>
            <w:tcW w:w="840" w:type="pct"/>
            <w:tcBorders>
              <w:bottom w:val="single" w:sz="4" w:space="0" w:color="auto"/>
            </w:tcBorders>
          </w:tcPr>
          <w:p w:rsidR="00675F6E" w:rsidRDefault="00675F6E" w:rsidP="00C0025C">
            <w:pPr>
              <w:pStyle w:val="Tabletext"/>
              <w:keepNext/>
              <w:jc w:val="center"/>
              <w:rPr>
                <w:b/>
              </w:rPr>
            </w:pPr>
            <w:r>
              <w:rPr>
                <w:b/>
              </w:rPr>
              <w:t xml:space="preserve">Absolute </w:t>
            </w:r>
            <w:proofErr w:type="spellStart"/>
            <w:r>
              <w:rPr>
                <w:b/>
              </w:rPr>
              <w:t>difference</w:t>
            </w:r>
            <w:r w:rsidRPr="0074169A">
              <w:rPr>
                <w:b/>
                <w:vertAlign w:val="superscript"/>
              </w:rPr>
              <w:t>a</w:t>
            </w:r>
            <w:proofErr w:type="spellEnd"/>
          </w:p>
        </w:tc>
        <w:tc>
          <w:tcPr>
            <w:tcW w:w="896" w:type="pct"/>
            <w:tcBorders>
              <w:bottom w:val="single" w:sz="4" w:space="0" w:color="auto"/>
            </w:tcBorders>
          </w:tcPr>
          <w:p w:rsidR="00675F6E" w:rsidRDefault="00675F6E" w:rsidP="00C0025C">
            <w:pPr>
              <w:pStyle w:val="Tabletext"/>
              <w:keepNext/>
              <w:jc w:val="center"/>
              <w:rPr>
                <w:b/>
              </w:rPr>
            </w:pPr>
            <w:proofErr w:type="spellStart"/>
            <w:r>
              <w:rPr>
                <w:b/>
              </w:rPr>
              <w:t>HR</w:t>
            </w:r>
            <w:r w:rsidRPr="001C3D84">
              <w:rPr>
                <w:b/>
                <w:vertAlign w:val="superscript"/>
              </w:rPr>
              <w:t>a</w:t>
            </w:r>
            <w:proofErr w:type="spellEnd"/>
            <w:r>
              <w:rPr>
                <w:b/>
              </w:rPr>
              <w:t xml:space="preserve"> (98.4% CI)</w:t>
            </w:r>
          </w:p>
          <w:p w:rsidR="00675F6E" w:rsidRDefault="00675F6E" w:rsidP="00C0025C">
            <w:pPr>
              <w:pStyle w:val="Tabletext"/>
              <w:keepNext/>
              <w:jc w:val="center"/>
              <w:rPr>
                <w:b/>
              </w:rPr>
            </w:pPr>
            <w:r>
              <w:rPr>
                <w:b/>
              </w:rPr>
              <w:t>p-value (log rank)</w:t>
            </w:r>
          </w:p>
        </w:tc>
      </w:tr>
      <w:tr w:rsidR="00675F6E" w:rsidTr="00E5133C">
        <w:tc>
          <w:tcPr>
            <w:tcW w:w="1508" w:type="pct"/>
            <w:tcBorders>
              <w:bottom w:val="nil"/>
            </w:tcBorders>
            <w:vAlign w:val="center"/>
          </w:tcPr>
          <w:p w:rsidR="00675F6E" w:rsidRDefault="00675F6E" w:rsidP="00C0025C">
            <w:pPr>
              <w:pStyle w:val="Tabletext"/>
              <w:keepNext/>
            </w:pPr>
            <w:r>
              <w:t>Events, n (%)</w:t>
            </w:r>
          </w:p>
        </w:tc>
        <w:tc>
          <w:tcPr>
            <w:tcW w:w="880" w:type="pct"/>
            <w:tcBorders>
              <w:bottom w:val="nil"/>
            </w:tcBorders>
            <w:vAlign w:val="center"/>
          </w:tcPr>
          <w:p w:rsidR="00675F6E" w:rsidRDefault="00675F6E" w:rsidP="00C0025C">
            <w:pPr>
              <w:pStyle w:val="Tabletext"/>
              <w:keepNext/>
              <w:jc w:val="center"/>
            </w:pPr>
            <w:r>
              <w:t>135 (26.3%)</w:t>
            </w:r>
          </w:p>
        </w:tc>
        <w:tc>
          <w:tcPr>
            <w:tcW w:w="877" w:type="pct"/>
            <w:tcBorders>
              <w:bottom w:val="nil"/>
            </w:tcBorders>
            <w:vAlign w:val="center"/>
          </w:tcPr>
          <w:p w:rsidR="00675F6E" w:rsidRDefault="00675F6E" w:rsidP="00C0025C">
            <w:pPr>
              <w:pStyle w:val="Tabletext"/>
              <w:keepNext/>
              <w:jc w:val="center"/>
            </w:pPr>
            <w:r>
              <w:t>216 (42.8%)</w:t>
            </w:r>
          </w:p>
        </w:tc>
        <w:tc>
          <w:tcPr>
            <w:tcW w:w="840" w:type="pct"/>
            <w:tcBorders>
              <w:bottom w:val="nil"/>
            </w:tcBorders>
            <w:vAlign w:val="center"/>
          </w:tcPr>
          <w:p w:rsidR="00675F6E" w:rsidRDefault="00675F6E" w:rsidP="00C0025C">
            <w:pPr>
              <w:pStyle w:val="Tabletext"/>
              <w:keepNext/>
              <w:jc w:val="center"/>
            </w:pPr>
            <w:r>
              <w:t xml:space="preserve">-16.5% </w:t>
            </w:r>
          </w:p>
        </w:tc>
        <w:tc>
          <w:tcPr>
            <w:tcW w:w="896" w:type="pct"/>
            <w:tcBorders>
              <w:bottom w:val="nil"/>
            </w:tcBorders>
            <w:vAlign w:val="center"/>
          </w:tcPr>
          <w:p w:rsidR="00E5133C" w:rsidRDefault="00675F6E" w:rsidP="00E5133C">
            <w:pPr>
              <w:pStyle w:val="Tabletext"/>
              <w:keepNext/>
              <w:jc w:val="center"/>
            </w:pPr>
            <w:r>
              <w:t>–</w:t>
            </w:r>
          </w:p>
        </w:tc>
      </w:tr>
      <w:tr w:rsidR="009F7055" w:rsidTr="00E5133C">
        <w:tc>
          <w:tcPr>
            <w:tcW w:w="1508" w:type="pct"/>
            <w:tcBorders>
              <w:top w:val="nil"/>
              <w:bottom w:val="nil"/>
            </w:tcBorders>
          </w:tcPr>
          <w:p w:rsidR="009F7055" w:rsidRDefault="009F7055" w:rsidP="009F7055">
            <w:pPr>
              <w:pStyle w:val="Tabletext"/>
              <w:keepNext/>
              <w:ind w:left="176"/>
            </w:pPr>
            <w:r w:rsidRPr="00B365C5">
              <w:t>Loco-regional recurrence only</w:t>
            </w:r>
          </w:p>
        </w:tc>
        <w:tc>
          <w:tcPr>
            <w:tcW w:w="880" w:type="pct"/>
            <w:tcBorders>
              <w:top w:val="nil"/>
              <w:bottom w:val="nil"/>
            </w:tcBorders>
          </w:tcPr>
          <w:p w:rsidR="009F7055" w:rsidRDefault="009F7055" w:rsidP="009F7055">
            <w:pPr>
              <w:pStyle w:val="Tabletext"/>
              <w:keepNext/>
              <w:jc w:val="center"/>
            </w:pPr>
            <w:r w:rsidRPr="00B365C5">
              <w:t>55 (10.7%)</w:t>
            </w:r>
          </w:p>
        </w:tc>
        <w:tc>
          <w:tcPr>
            <w:tcW w:w="877" w:type="pct"/>
            <w:tcBorders>
              <w:top w:val="nil"/>
              <w:bottom w:val="nil"/>
            </w:tcBorders>
          </w:tcPr>
          <w:p w:rsidR="009F7055" w:rsidRDefault="009F7055" w:rsidP="009F7055">
            <w:pPr>
              <w:pStyle w:val="Tabletext"/>
              <w:keepNext/>
              <w:jc w:val="center"/>
            </w:pPr>
            <w:r w:rsidRPr="00B365C5">
              <w:t>77 (15.2%)</w:t>
            </w:r>
          </w:p>
        </w:tc>
        <w:tc>
          <w:tcPr>
            <w:tcW w:w="840" w:type="pct"/>
            <w:tcBorders>
              <w:top w:val="nil"/>
              <w:bottom w:val="nil"/>
            </w:tcBorders>
          </w:tcPr>
          <w:p w:rsidR="009F7055" w:rsidRDefault="009F7055" w:rsidP="009F7055">
            <w:pPr>
              <w:pStyle w:val="Tabletext"/>
              <w:keepNext/>
              <w:jc w:val="center"/>
            </w:pPr>
            <w:r w:rsidRPr="00B365C5">
              <w:t>-4.5%</w:t>
            </w:r>
          </w:p>
        </w:tc>
        <w:tc>
          <w:tcPr>
            <w:tcW w:w="896" w:type="pct"/>
            <w:tcBorders>
              <w:top w:val="nil"/>
              <w:bottom w:val="nil"/>
            </w:tcBorders>
            <w:vAlign w:val="center"/>
          </w:tcPr>
          <w:p w:rsidR="009F7055" w:rsidRDefault="00E5133C" w:rsidP="00E5133C">
            <w:pPr>
              <w:pStyle w:val="Tabletext"/>
              <w:keepNext/>
              <w:jc w:val="center"/>
            </w:pPr>
            <w:r>
              <w:t>–</w:t>
            </w:r>
          </w:p>
        </w:tc>
      </w:tr>
      <w:tr w:rsidR="009F7055" w:rsidTr="00E5133C">
        <w:tc>
          <w:tcPr>
            <w:tcW w:w="1508" w:type="pct"/>
            <w:tcBorders>
              <w:top w:val="nil"/>
              <w:bottom w:val="nil"/>
            </w:tcBorders>
          </w:tcPr>
          <w:p w:rsidR="009F7055" w:rsidRDefault="009F7055" w:rsidP="009F7055">
            <w:pPr>
              <w:pStyle w:val="Tabletext"/>
              <w:keepNext/>
              <w:ind w:left="176"/>
            </w:pPr>
            <w:r w:rsidRPr="00B365C5">
              <w:t>Distant metastasis only</w:t>
            </w:r>
          </w:p>
        </w:tc>
        <w:tc>
          <w:tcPr>
            <w:tcW w:w="880" w:type="pct"/>
            <w:tcBorders>
              <w:top w:val="nil"/>
              <w:bottom w:val="nil"/>
            </w:tcBorders>
          </w:tcPr>
          <w:p w:rsidR="009F7055" w:rsidRDefault="009F7055" w:rsidP="009F7055">
            <w:pPr>
              <w:pStyle w:val="Tabletext"/>
              <w:keepNext/>
              <w:jc w:val="center"/>
            </w:pPr>
            <w:r w:rsidRPr="00B365C5">
              <w:t>69 (13.4%)</w:t>
            </w:r>
          </w:p>
        </w:tc>
        <w:tc>
          <w:tcPr>
            <w:tcW w:w="877" w:type="pct"/>
            <w:tcBorders>
              <w:top w:val="nil"/>
              <w:bottom w:val="nil"/>
            </w:tcBorders>
          </w:tcPr>
          <w:p w:rsidR="009F7055" w:rsidRDefault="009F7055" w:rsidP="009F7055">
            <w:pPr>
              <w:pStyle w:val="Tabletext"/>
              <w:keepNext/>
              <w:jc w:val="center"/>
            </w:pPr>
            <w:r w:rsidRPr="00B365C5">
              <w:t>114 (22.6%)</w:t>
            </w:r>
          </w:p>
        </w:tc>
        <w:tc>
          <w:tcPr>
            <w:tcW w:w="840" w:type="pct"/>
            <w:tcBorders>
              <w:top w:val="nil"/>
              <w:bottom w:val="nil"/>
            </w:tcBorders>
          </w:tcPr>
          <w:p w:rsidR="009F7055" w:rsidRDefault="009F7055" w:rsidP="009F7055">
            <w:pPr>
              <w:pStyle w:val="Tabletext"/>
              <w:keepNext/>
              <w:jc w:val="center"/>
            </w:pPr>
            <w:r w:rsidRPr="00B365C5">
              <w:t>-9.2%</w:t>
            </w:r>
          </w:p>
        </w:tc>
        <w:tc>
          <w:tcPr>
            <w:tcW w:w="896" w:type="pct"/>
            <w:tcBorders>
              <w:top w:val="nil"/>
              <w:bottom w:val="nil"/>
            </w:tcBorders>
            <w:vAlign w:val="center"/>
          </w:tcPr>
          <w:p w:rsidR="009F7055" w:rsidRDefault="00E5133C" w:rsidP="00E5133C">
            <w:pPr>
              <w:pStyle w:val="Tabletext"/>
              <w:keepNext/>
              <w:jc w:val="center"/>
            </w:pPr>
            <w:r>
              <w:t>–</w:t>
            </w:r>
          </w:p>
        </w:tc>
      </w:tr>
      <w:tr w:rsidR="009F7055" w:rsidTr="00E5133C">
        <w:tc>
          <w:tcPr>
            <w:tcW w:w="1508" w:type="pct"/>
            <w:tcBorders>
              <w:top w:val="nil"/>
              <w:bottom w:val="nil"/>
            </w:tcBorders>
          </w:tcPr>
          <w:p w:rsidR="009F7055" w:rsidRDefault="009F7055" w:rsidP="009F7055">
            <w:pPr>
              <w:pStyle w:val="Tabletext"/>
              <w:keepNext/>
              <w:ind w:left="176"/>
            </w:pPr>
            <w:r w:rsidRPr="00B365C5">
              <w:t xml:space="preserve">Loco-regional and </w:t>
            </w:r>
            <w:proofErr w:type="spellStart"/>
            <w:r w:rsidRPr="00B365C5">
              <w:t>distant</w:t>
            </w:r>
            <w:r>
              <w:rPr>
                <w:vertAlign w:val="superscript"/>
              </w:rPr>
              <w:t>b</w:t>
            </w:r>
            <w:proofErr w:type="spellEnd"/>
          </w:p>
        </w:tc>
        <w:tc>
          <w:tcPr>
            <w:tcW w:w="880" w:type="pct"/>
            <w:tcBorders>
              <w:top w:val="nil"/>
              <w:bottom w:val="nil"/>
            </w:tcBorders>
          </w:tcPr>
          <w:p w:rsidR="009F7055" w:rsidRDefault="009F7055" w:rsidP="009F7055">
            <w:pPr>
              <w:pStyle w:val="Tabletext"/>
              <w:keepNext/>
              <w:jc w:val="center"/>
            </w:pPr>
            <w:r w:rsidRPr="00B365C5">
              <w:t>9 (1.8%)</w:t>
            </w:r>
          </w:p>
        </w:tc>
        <w:tc>
          <w:tcPr>
            <w:tcW w:w="877" w:type="pct"/>
            <w:tcBorders>
              <w:top w:val="nil"/>
              <w:bottom w:val="nil"/>
            </w:tcBorders>
          </w:tcPr>
          <w:p w:rsidR="009F7055" w:rsidRDefault="009F7055" w:rsidP="009F7055">
            <w:pPr>
              <w:pStyle w:val="Tabletext"/>
              <w:keepNext/>
              <w:jc w:val="center"/>
            </w:pPr>
            <w:r w:rsidRPr="00B365C5">
              <w:t>24 (4.8%)</w:t>
            </w:r>
          </w:p>
        </w:tc>
        <w:tc>
          <w:tcPr>
            <w:tcW w:w="840" w:type="pct"/>
            <w:tcBorders>
              <w:top w:val="nil"/>
              <w:bottom w:val="nil"/>
            </w:tcBorders>
          </w:tcPr>
          <w:p w:rsidR="009F7055" w:rsidRDefault="009F7055" w:rsidP="009F7055">
            <w:pPr>
              <w:pStyle w:val="Tabletext"/>
              <w:keepNext/>
              <w:jc w:val="center"/>
            </w:pPr>
            <w:r w:rsidRPr="00B365C5">
              <w:t>-3.0%</w:t>
            </w:r>
          </w:p>
        </w:tc>
        <w:tc>
          <w:tcPr>
            <w:tcW w:w="896" w:type="pct"/>
            <w:tcBorders>
              <w:top w:val="nil"/>
              <w:bottom w:val="nil"/>
            </w:tcBorders>
            <w:vAlign w:val="center"/>
          </w:tcPr>
          <w:p w:rsidR="009F7055" w:rsidRDefault="00E5133C" w:rsidP="00E5133C">
            <w:pPr>
              <w:pStyle w:val="Tabletext"/>
              <w:keepNext/>
              <w:jc w:val="center"/>
            </w:pPr>
            <w:r>
              <w:t>–</w:t>
            </w:r>
          </w:p>
        </w:tc>
      </w:tr>
      <w:tr w:rsidR="009F7055" w:rsidTr="00E5133C">
        <w:tc>
          <w:tcPr>
            <w:tcW w:w="1508" w:type="pct"/>
            <w:tcBorders>
              <w:top w:val="nil"/>
            </w:tcBorders>
          </w:tcPr>
          <w:p w:rsidR="009F7055" w:rsidRDefault="009F7055" w:rsidP="009F7055">
            <w:pPr>
              <w:pStyle w:val="Tabletext"/>
              <w:keepNext/>
              <w:ind w:left="176"/>
            </w:pPr>
            <w:r w:rsidRPr="00B365C5">
              <w:t>Death</w:t>
            </w:r>
          </w:p>
        </w:tc>
        <w:tc>
          <w:tcPr>
            <w:tcW w:w="880" w:type="pct"/>
            <w:tcBorders>
              <w:top w:val="nil"/>
            </w:tcBorders>
          </w:tcPr>
          <w:p w:rsidR="009F7055" w:rsidRDefault="009F7055" w:rsidP="009F7055">
            <w:pPr>
              <w:pStyle w:val="Tabletext"/>
              <w:keepNext/>
              <w:jc w:val="center"/>
            </w:pPr>
            <w:r w:rsidRPr="00B365C5">
              <w:t>2 (0.4%)</w:t>
            </w:r>
          </w:p>
        </w:tc>
        <w:tc>
          <w:tcPr>
            <w:tcW w:w="877" w:type="pct"/>
            <w:tcBorders>
              <w:top w:val="nil"/>
            </w:tcBorders>
          </w:tcPr>
          <w:p w:rsidR="009F7055" w:rsidRDefault="009F7055" w:rsidP="009F7055">
            <w:pPr>
              <w:pStyle w:val="Tabletext"/>
              <w:keepNext/>
              <w:jc w:val="center"/>
            </w:pPr>
            <w:r w:rsidRPr="00B365C5">
              <w:t>1 (0.2%)</w:t>
            </w:r>
          </w:p>
        </w:tc>
        <w:tc>
          <w:tcPr>
            <w:tcW w:w="840" w:type="pct"/>
            <w:tcBorders>
              <w:top w:val="nil"/>
            </w:tcBorders>
          </w:tcPr>
          <w:p w:rsidR="009F7055" w:rsidRDefault="009F7055" w:rsidP="009F7055">
            <w:pPr>
              <w:pStyle w:val="Tabletext"/>
              <w:keepNext/>
              <w:jc w:val="center"/>
            </w:pPr>
            <w:r w:rsidRPr="00B365C5">
              <w:t>0.2%</w:t>
            </w:r>
          </w:p>
        </w:tc>
        <w:tc>
          <w:tcPr>
            <w:tcW w:w="896" w:type="pct"/>
            <w:tcBorders>
              <w:top w:val="nil"/>
            </w:tcBorders>
            <w:vAlign w:val="center"/>
          </w:tcPr>
          <w:p w:rsidR="009F7055" w:rsidRDefault="00E5133C" w:rsidP="00E5133C">
            <w:pPr>
              <w:pStyle w:val="Tabletext"/>
              <w:keepNext/>
              <w:jc w:val="center"/>
            </w:pPr>
            <w:r>
              <w:t>–</w:t>
            </w:r>
          </w:p>
        </w:tc>
      </w:tr>
      <w:tr w:rsidR="00675F6E" w:rsidTr="009F7055">
        <w:tc>
          <w:tcPr>
            <w:tcW w:w="1508" w:type="pct"/>
            <w:tcBorders>
              <w:bottom w:val="single" w:sz="4" w:space="0" w:color="auto"/>
            </w:tcBorders>
            <w:vAlign w:val="center"/>
          </w:tcPr>
          <w:p w:rsidR="00675F6E" w:rsidRDefault="00675F6E" w:rsidP="00C0025C">
            <w:pPr>
              <w:pStyle w:val="Tabletext"/>
              <w:keepNext/>
            </w:pPr>
            <w:r>
              <w:t>Median RFS (95% CI), months</w:t>
            </w:r>
          </w:p>
        </w:tc>
        <w:tc>
          <w:tcPr>
            <w:tcW w:w="880" w:type="pct"/>
            <w:tcBorders>
              <w:bottom w:val="single" w:sz="4" w:space="0" w:color="auto"/>
            </w:tcBorders>
            <w:vAlign w:val="center"/>
          </w:tcPr>
          <w:p w:rsidR="00675F6E" w:rsidRDefault="00675F6E" w:rsidP="00C0025C">
            <w:pPr>
              <w:pStyle w:val="Tabletext"/>
              <w:keepNext/>
              <w:jc w:val="center"/>
            </w:pPr>
            <w:r>
              <w:t>NR</w:t>
            </w:r>
          </w:p>
        </w:tc>
        <w:tc>
          <w:tcPr>
            <w:tcW w:w="877" w:type="pct"/>
            <w:tcBorders>
              <w:bottom w:val="single" w:sz="4" w:space="0" w:color="auto"/>
            </w:tcBorders>
            <w:vAlign w:val="center"/>
          </w:tcPr>
          <w:p w:rsidR="00675F6E" w:rsidRDefault="00675F6E" w:rsidP="00C0025C">
            <w:pPr>
              <w:pStyle w:val="Tabletext"/>
              <w:keepNext/>
              <w:jc w:val="center"/>
            </w:pPr>
            <w:r>
              <w:t>20.4 (16.2, NR)</w:t>
            </w:r>
          </w:p>
        </w:tc>
        <w:tc>
          <w:tcPr>
            <w:tcW w:w="840" w:type="pct"/>
            <w:tcBorders>
              <w:bottom w:val="single" w:sz="4" w:space="0" w:color="auto"/>
            </w:tcBorders>
            <w:vAlign w:val="center"/>
          </w:tcPr>
          <w:p w:rsidR="00675F6E" w:rsidRDefault="00675F6E" w:rsidP="00C0025C">
            <w:pPr>
              <w:pStyle w:val="Tabletext"/>
              <w:keepNext/>
              <w:jc w:val="center"/>
            </w:pPr>
            <w:r>
              <w:t>–</w:t>
            </w:r>
          </w:p>
        </w:tc>
        <w:tc>
          <w:tcPr>
            <w:tcW w:w="896" w:type="pct"/>
            <w:tcBorders>
              <w:bottom w:val="single" w:sz="4" w:space="0" w:color="auto"/>
            </w:tcBorders>
            <w:vAlign w:val="center"/>
          </w:tcPr>
          <w:p w:rsidR="00675F6E" w:rsidRDefault="00675F6E" w:rsidP="00C0025C">
            <w:pPr>
              <w:pStyle w:val="Tabletext"/>
              <w:keepNext/>
              <w:jc w:val="center"/>
            </w:pPr>
            <w:r>
              <w:t>0.57 (0.43, 0.74)</w:t>
            </w:r>
          </w:p>
          <w:p w:rsidR="00675F6E" w:rsidRDefault="00EC71D0" w:rsidP="00C0025C">
            <w:pPr>
              <w:pStyle w:val="Tabletext"/>
              <w:keepNext/>
              <w:jc w:val="center"/>
            </w:pPr>
            <w:r>
              <w:t xml:space="preserve">p </w:t>
            </w:r>
            <w:r w:rsidR="00675F6E">
              <w:t>&lt;</w:t>
            </w:r>
            <w:r>
              <w:t xml:space="preserve"> </w:t>
            </w:r>
            <w:r w:rsidR="00675F6E">
              <w:t>0.0001</w:t>
            </w:r>
          </w:p>
        </w:tc>
      </w:tr>
      <w:tr w:rsidR="00675F6E" w:rsidTr="009F7055">
        <w:tc>
          <w:tcPr>
            <w:tcW w:w="1508" w:type="pct"/>
            <w:tcBorders>
              <w:bottom w:val="nil"/>
            </w:tcBorders>
            <w:vAlign w:val="center"/>
          </w:tcPr>
          <w:p w:rsidR="00675F6E" w:rsidRDefault="00B3679E" w:rsidP="00B3679E">
            <w:pPr>
              <w:pStyle w:val="Tabletext"/>
              <w:keepNext/>
            </w:pPr>
            <w:r>
              <w:t xml:space="preserve">RFS </w:t>
            </w:r>
            <w:r w:rsidR="000E45CD">
              <w:t>(95% CI), %</w:t>
            </w:r>
          </w:p>
        </w:tc>
        <w:tc>
          <w:tcPr>
            <w:tcW w:w="880" w:type="pct"/>
            <w:tcBorders>
              <w:bottom w:val="nil"/>
            </w:tcBorders>
            <w:vAlign w:val="center"/>
          </w:tcPr>
          <w:p w:rsidR="00675F6E" w:rsidRDefault="00675F6E" w:rsidP="00C0025C">
            <w:pPr>
              <w:pStyle w:val="Tabletext"/>
              <w:keepNext/>
              <w:jc w:val="center"/>
            </w:pPr>
          </w:p>
        </w:tc>
        <w:tc>
          <w:tcPr>
            <w:tcW w:w="877" w:type="pct"/>
            <w:tcBorders>
              <w:bottom w:val="nil"/>
            </w:tcBorders>
            <w:vAlign w:val="center"/>
          </w:tcPr>
          <w:p w:rsidR="00675F6E" w:rsidRDefault="00675F6E" w:rsidP="00C0025C">
            <w:pPr>
              <w:pStyle w:val="Tabletext"/>
              <w:keepNext/>
              <w:jc w:val="center"/>
            </w:pPr>
          </w:p>
        </w:tc>
        <w:tc>
          <w:tcPr>
            <w:tcW w:w="840" w:type="pct"/>
            <w:tcBorders>
              <w:bottom w:val="nil"/>
            </w:tcBorders>
            <w:vAlign w:val="center"/>
          </w:tcPr>
          <w:p w:rsidR="00675F6E" w:rsidRDefault="00675F6E" w:rsidP="00C0025C">
            <w:pPr>
              <w:pStyle w:val="Tabletext"/>
              <w:keepNext/>
              <w:jc w:val="center"/>
            </w:pPr>
          </w:p>
        </w:tc>
        <w:tc>
          <w:tcPr>
            <w:tcW w:w="896" w:type="pct"/>
            <w:tcBorders>
              <w:bottom w:val="nil"/>
            </w:tcBorders>
            <w:vAlign w:val="center"/>
          </w:tcPr>
          <w:p w:rsidR="00675F6E" w:rsidRDefault="00675F6E" w:rsidP="00C0025C">
            <w:pPr>
              <w:pStyle w:val="Tabletext"/>
              <w:keepNext/>
              <w:jc w:val="center"/>
            </w:pPr>
          </w:p>
        </w:tc>
      </w:tr>
      <w:tr w:rsidR="00675F6E" w:rsidTr="009F7055">
        <w:tc>
          <w:tcPr>
            <w:tcW w:w="1508" w:type="pct"/>
            <w:tcBorders>
              <w:top w:val="nil"/>
              <w:bottom w:val="nil"/>
            </w:tcBorders>
            <w:vAlign w:val="center"/>
          </w:tcPr>
          <w:p w:rsidR="00675F6E" w:rsidRDefault="00675F6E" w:rsidP="00C0025C">
            <w:pPr>
              <w:pStyle w:val="Tabletext"/>
              <w:keepNext/>
              <w:ind w:left="284"/>
            </w:pPr>
            <w:r>
              <w:t>6 months</w:t>
            </w:r>
          </w:p>
        </w:tc>
        <w:tc>
          <w:tcPr>
            <w:tcW w:w="880" w:type="pct"/>
            <w:tcBorders>
              <w:top w:val="nil"/>
              <w:bottom w:val="nil"/>
            </w:tcBorders>
          </w:tcPr>
          <w:p w:rsidR="00675F6E" w:rsidRDefault="00675F6E" w:rsidP="00C0025C">
            <w:pPr>
              <w:pStyle w:val="Tabletext"/>
              <w:keepNext/>
              <w:jc w:val="center"/>
            </w:pPr>
            <w:r w:rsidRPr="00D03C5F">
              <w:t>82.2 (78.6, 85.3)</w:t>
            </w:r>
          </w:p>
        </w:tc>
        <w:tc>
          <w:tcPr>
            <w:tcW w:w="877" w:type="pct"/>
            <w:tcBorders>
              <w:top w:val="nil"/>
              <w:bottom w:val="nil"/>
            </w:tcBorders>
          </w:tcPr>
          <w:p w:rsidR="00675F6E" w:rsidRDefault="00675F6E" w:rsidP="00C0025C">
            <w:pPr>
              <w:pStyle w:val="Tabletext"/>
              <w:keepNext/>
              <w:jc w:val="center"/>
            </w:pPr>
            <w:r w:rsidRPr="00D03C5F">
              <w:t>73.3 (69.2, 77.0)</w:t>
            </w:r>
          </w:p>
        </w:tc>
        <w:tc>
          <w:tcPr>
            <w:tcW w:w="840" w:type="pct"/>
            <w:tcBorders>
              <w:top w:val="nil"/>
              <w:bottom w:val="nil"/>
            </w:tcBorders>
          </w:tcPr>
          <w:p w:rsidR="00675F6E" w:rsidRDefault="00675F6E" w:rsidP="00C0025C">
            <w:pPr>
              <w:pStyle w:val="Tabletext"/>
              <w:keepNext/>
              <w:jc w:val="center"/>
            </w:pPr>
            <w:r>
              <w:t>8.9%</w:t>
            </w:r>
          </w:p>
        </w:tc>
        <w:tc>
          <w:tcPr>
            <w:tcW w:w="896" w:type="pct"/>
            <w:tcBorders>
              <w:top w:val="nil"/>
              <w:bottom w:val="nil"/>
            </w:tcBorders>
            <w:vAlign w:val="center"/>
          </w:tcPr>
          <w:p w:rsidR="00675F6E" w:rsidRDefault="00675F6E" w:rsidP="00C0025C">
            <w:pPr>
              <w:pStyle w:val="Tabletext"/>
              <w:keepNext/>
              <w:jc w:val="center"/>
            </w:pPr>
            <w:r>
              <w:t>–</w:t>
            </w:r>
          </w:p>
        </w:tc>
      </w:tr>
      <w:tr w:rsidR="00675F6E" w:rsidTr="009F7055">
        <w:tc>
          <w:tcPr>
            <w:tcW w:w="1508" w:type="pct"/>
            <w:tcBorders>
              <w:top w:val="nil"/>
              <w:bottom w:val="nil"/>
            </w:tcBorders>
            <w:vAlign w:val="center"/>
          </w:tcPr>
          <w:p w:rsidR="00675F6E" w:rsidRDefault="00675F6E" w:rsidP="00C0025C">
            <w:pPr>
              <w:pStyle w:val="Tabletext"/>
              <w:keepNext/>
              <w:ind w:left="284"/>
            </w:pPr>
            <w:r>
              <w:t>12 months</w:t>
            </w:r>
          </w:p>
        </w:tc>
        <w:tc>
          <w:tcPr>
            <w:tcW w:w="880" w:type="pct"/>
            <w:tcBorders>
              <w:top w:val="nil"/>
              <w:bottom w:val="nil"/>
            </w:tcBorders>
            <w:vAlign w:val="center"/>
          </w:tcPr>
          <w:p w:rsidR="00675F6E" w:rsidRDefault="00675F6E" w:rsidP="00C0025C">
            <w:pPr>
              <w:pStyle w:val="Tabletext"/>
              <w:keepNext/>
              <w:jc w:val="center"/>
            </w:pPr>
            <w:r w:rsidRPr="00D03C5F">
              <w:t>75.4 (71.3, 78.9)</w:t>
            </w:r>
          </w:p>
        </w:tc>
        <w:tc>
          <w:tcPr>
            <w:tcW w:w="877" w:type="pct"/>
            <w:tcBorders>
              <w:top w:val="nil"/>
              <w:bottom w:val="nil"/>
            </w:tcBorders>
            <w:vAlign w:val="center"/>
          </w:tcPr>
          <w:p w:rsidR="00675F6E" w:rsidRDefault="00675F6E" w:rsidP="00C0025C">
            <w:pPr>
              <w:pStyle w:val="Tabletext"/>
              <w:keepNext/>
              <w:jc w:val="center"/>
            </w:pPr>
            <w:r w:rsidRPr="00D03C5F">
              <w:t>61.0 (56.5, 65.1)</w:t>
            </w:r>
          </w:p>
        </w:tc>
        <w:tc>
          <w:tcPr>
            <w:tcW w:w="840" w:type="pct"/>
            <w:tcBorders>
              <w:top w:val="nil"/>
              <w:bottom w:val="nil"/>
            </w:tcBorders>
            <w:vAlign w:val="center"/>
          </w:tcPr>
          <w:p w:rsidR="00675F6E" w:rsidRDefault="00675F6E" w:rsidP="00C0025C">
            <w:pPr>
              <w:pStyle w:val="Tabletext"/>
              <w:keepNext/>
              <w:jc w:val="center"/>
            </w:pPr>
            <w:r>
              <w:t>14.4%</w:t>
            </w:r>
          </w:p>
        </w:tc>
        <w:tc>
          <w:tcPr>
            <w:tcW w:w="896" w:type="pct"/>
            <w:tcBorders>
              <w:top w:val="nil"/>
              <w:bottom w:val="nil"/>
            </w:tcBorders>
            <w:vAlign w:val="center"/>
          </w:tcPr>
          <w:p w:rsidR="00675F6E" w:rsidRDefault="00675F6E" w:rsidP="00C0025C">
            <w:pPr>
              <w:pStyle w:val="Tabletext"/>
              <w:keepNext/>
              <w:jc w:val="center"/>
            </w:pPr>
            <w:r>
              <w:t>–</w:t>
            </w:r>
          </w:p>
        </w:tc>
      </w:tr>
      <w:tr w:rsidR="00675F6E" w:rsidTr="009F7055">
        <w:tc>
          <w:tcPr>
            <w:tcW w:w="1508" w:type="pct"/>
            <w:tcBorders>
              <w:top w:val="nil"/>
            </w:tcBorders>
            <w:vAlign w:val="center"/>
          </w:tcPr>
          <w:p w:rsidR="00675F6E" w:rsidRDefault="00675F6E" w:rsidP="00C0025C">
            <w:pPr>
              <w:pStyle w:val="Tabletext"/>
              <w:keepNext/>
              <w:ind w:left="284"/>
            </w:pPr>
            <w:r>
              <w:t>18 months</w:t>
            </w:r>
          </w:p>
        </w:tc>
        <w:tc>
          <w:tcPr>
            <w:tcW w:w="880" w:type="pct"/>
            <w:tcBorders>
              <w:top w:val="nil"/>
            </w:tcBorders>
            <w:vAlign w:val="center"/>
          </w:tcPr>
          <w:p w:rsidR="00675F6E" w:rsidRDefault="00675F6E" w:rsidP="00C0025C">
            <w:pPr>
              <w:pStyle w:val="Tabletext"/>
              <w:keepNext/>
              <w:jc w:val="center"/>
            </w:pPr>
            <w:r w:rsidRPr="00D03C5F">
              <w:t>71.4 (66.8, 75.4)</w:t>
            </w:r>
          </w:p>
        </w:tc>
        <w:tc>
          <w:tcPr>
            <w:tcW w:w="877" w:type="pct"/>
            <w:tcBorders>
              <w:top w:val="nil"/>
            </w:tcBorders>
            <w:vAlign w:val="center"/>
          </w:tcPr>
          <w:p w:rsidR="00675F6E" w:rsidRDefault="00675F6E" w:rsidP="00C0025C">
            <w:pPr>
              <w:pStyle w:val="Tabletext"/>
              <w:keepNext/>
              <w:jc w:val="center"/>
            </w:pPr>
            <w:r w:rsidRPr="00D03C5F">
              <w:t>53.2 (47.9, 58.2)</w:t>
            </w:r>
          </w:p>
        </w:tc>
        <w:tc>
          <w:tcPr>
            <w:tcW w:w="840" w:type="pct"/>
            <w:tcBorders>
              <w:top w:val="nil"/>
            </w:tcBorders>
            <w:vAlign w:val="center"/>
          </w:tcPr>
          <w:p w:rsidR="00675F6E" w:rsidRDefault="00675F6E" w:rsidP="00C0025C">
            <w:pPr>
              <w:pStyle w:val="Tabletext"/>
              <w:keepNext/>
              <w:jc w:val="center"/>
            </w:pPr>
            <w:r>
              <w:t>18.2%</w:t>
            </w:r>
          </w:p>
        </w:tc>
        <w:tc>
          <w:tcPr>
            <w:tcW w:w="896" w:type="pct"/>
            <w:tcBorders>
              <w:top w:val="nil"/>
            </w:tcBorders>
            <w:vAlign w:val="center"/>
          </w:tcPr>
          <w:p w:rsidR="00675F6E" w:rsidRDefault="00675F6E" w:rsidP="00C0025C">
            <w:pPr>
              <w:pStyle w:val="Tabletext"/>
              <w:keepNext/>
              <w:jc w:val="center"/>
            </w:pPr>
            <w:r>
              <w:t>–</w:t>
            </w:r>
          </w:p>
        </w:tc>
      </w:tr>
    </w:tbl>
    <w:p w:rsidR="00675F6E" w:rsidRPr="0088005C" w:rsidRDefault="00675F6E" w:rsidP="00675F6E">
      <w:pPr>
        <w:pStyle w:val="TableFooter"/>
      </w:pPr>
      <w:r>
        <w:t>CI = confidence interval; HR = hazard ratio; ITT = intention-to-treat; NR = not reached; RFS = recurrence-free survival</w:t>
      </w:r>
    </w:p>
    <w:p w:rsidR="00675F6E" w:rsidRDefault="00675F6E" w:rsidP="00675F6E">
      <w:pPr>
        <w:pStyle w:val="TableFooter"/>
      </w:pPr>
      <w:proofErr w:type="gramStart"/>
      <w:r>
        <w:rPr>
          <w:vertAlign w:val="superscript"/>
        </w:rPr>
        <w:t>a</w:t>
      </w:r>
      <w:proofErr w:type="gramEnd"/>
      <w:r>
        <w:t xml:space="preserve"> </w:t>
      </w:r>
      <w:proofErr w:type="spellStart"/>
      <w:r>
        <w:t>Pembrolizumab</w:t>
      </w:r>
      <w:proofErr w:type="spellEnd"/>
      <w:r>
        <w:t xml:space="preserve"> vs Placebo</w:t>
      </w:r>
    </w:p>
    <w:p w:rsidR="009F7055" w:rsidRDefault="009F7055" w:rsidP="00675F6E">
      <w:pPr>
        <w:pStyle w:val="TableFooter"/>
      </w:pPr>
      <w:proofErr w:type="gramStart"/>
      <w:r>
        <w:rPr>
          <w:vertAlign w:val="superscript"/>
        </w:rPr>
        <w:t>b</w:t>
      </w:r>
      <w:proofErr w:type="gramEnd"/>
      <w:r>
        <w:rPr>
          <w:vertAlign w:val="superscript"/>
        </w:rPr>
        <w:t xml:space="preserve"> </w:t>
      </w:r>
      <w:r>
        <w:t>D</w:t>
      </w:r>
      <w:r w:rsidRPr="00B365C5">
        <w:t>iagnosed within 30 days of each other</w:t>
      </w:r>
    </w:p>
    <w:p w:rsidR="00C220E1" w:rsidRDefault="00675F6E" w:rsidP="00FC7B39">
      <w:pPr>
        <w:pStyle w:val="TableFooter"/>
        <w:spacing w:after="240"/>
      </w:pPr>
      <w:r>
        <w:t>Source: Ta</w:t>
      </w:r>
      <w:r w:rsidR="00FC7B39">
        <w:t>ble 2-20, p73 of the submission</w:t>
      </w:r>
    </w:p>
    <w:p w:rsidR="00C220E1" w:rsidRDefault="00C220E1" w:rsidP="00C220E1">
      <w:pPr>
        <w:pStyle w:val="Caption"/>
      </w:pPr>
      <w:bookmarkStart w:id="10" w:name="_Ref523829967"/>
      <w:r>
        <w:lastRenderedPageBreak/>
        <w:t xml:space="preserve">Figure </w:t>
      </w:r>
      <w:r w:rsidR="009C767B">
        <w:t>2</w:t>
      </w:r>
      <w:bookmarkEnd w:id="10"/>
      <w:r>
        <w:t>: Kaplan Meier plot for recurrence-free survival from Trial KN054 (ITT population)</w:t>
      </w:r>
    </w:p>
    <w:p w:rsidR="00C220E1" w:rsidRDefault="00C220E1" w:rsidP="00C220E1">
      <w:pPr>
        <w:pStyle w:val="TableFooter"/>
      </w:pPr>
      <w:r>
        <w:rPr>
          <w:noProof/>
          <w:lang w:eastAsia="en-AU"/>
        </w:rPr>
        <w:drawing>
          <wp:inline distT="0" distB="0" distL="0" distR="0" wp14:anchorId="11C30709" wp14:editId="231CB1EB">
            <wp:extent cx="5646420" cy="30708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9923" cy="3072765"/>
                    </a:xfrm>
                    <a:prstGeom prst="rect">
                      <a:avLst/>
                    </a:prstGeom>
                    <a:noFill/>
                  </pic:spPr>
                </pic:pic>
              </a:graphicData>
            </a:graphic>
          </wp:inline>
        </w:drawing>
      </w:r>
      <w:r w:rsidRPr="00C220E1">
        <w:t xml:space="preserve"> </w:t>
      </w:r>
    </w:p>
    <w:p w:rsidR="00C220E1" w:rsidRDefault="00C220E1" w:rsidP="00C220E1">
      <w:pPr>
        <w:pStyle w:val="TableFooter"/>
      </w:pPr>
      <w:r>
        <w:t>ITT = intention-to-treat</w:t>
      </w:r>
    </w:p>
    <w:p w:rsidR="00764779" w:rsidRDefault="00C220E1" w:rsidP="00FC7B39">
      <w:pPr>
        <w:pStyle w:val="TableFooter"/>
        <w:spacing w:after="240"/>
      </w:pPr>
      <w:r>
        <w:t>Source: Fi</w:t>
      </w:r>
      <w:r w:rsidR="00FC7B39">
        <w:t>gure 2-4, p73 of the submission</w:t>
      </w:r>
    </w:p>
    <w:p w:rsidR="00675F6E" w:rsidRPr="00C85687" w:rsidRDefault="00675F6E" w:rsidP="00675F6E">
      <w:pPr>
        <w:pStyle w:val="ListParagraph"/>
        <w:widowControl/>
        <w:numPr>
          <w:ilvl w:val="1"/>
          <w:numId w:val="3"/>
        </w:numPr>
        <w:spacing w:after="160"/>
        <w:rPr>
          <w:rFonts w:cs="Calibri"/>
          <w:szCs w:val="24"/>
        </w:rPr>
      </w:pPr>
      <w:r>
        <w:t xml:space="preserve">With a median follow-up of 16.0 months for both treatment arms, a total of 351 patients had a first recurrence of disease or died: 135 (26.3%) in the </w:t>
      </w:r>
      <w:proofErr w:type="spellStart"/>
      <w:r>
        <w:t>pembrolizumab</w:t>
      </w:r>
      <w:proofErr w:type="spellEnd"/>
      <w:r>
        <w:t xml:space="preserve"> group and 216 (42.8%) in the placebo group. </w:t>
      </w:r>
      <w:proofErr w:type="spellStart"/>
      <w:r>
        <w:t>Pembrolizumab</w:t>
      </w:r>
      <w:proofErr w:type="spellEnd"/>
      <w:r>
        <w:t xml:space="preserve"> as adjuvant therapy for treatment of resected Stage III melanoma was associated with a statistically significant reduction in risk of recurrence or death compared with placebo (HR</w:t>
      </w:r>
      <w:r w:rsidR="009B5FCF">
        <w:t xml:space="preserve"> =</w:t>
      </w:r>
      <w:r>
        <w:t xml:space="preserve"> 0.57; 98.4% CI: 0.43, 0.74). The RFS was 71.4% at 18 months for </w:t>
      </w:r>
      <w:proofErr w:type="spellStart"/>
      <w:r>
        <w:t>pembrolizumab</w:t>
      </w:r>
      <w:proofErr w:type="spellEnd"/>
      <w:r>
        <w:t xml:space="preserve"> </w:t>
      </w:r>
      <w:r w:rsidR="00EC71D0">
        <w:t xml:space="preserve">and </w:t>
      </w:r>
      <w:r>
        <w:t>53.2% in the placebo treatment arm.</w:t>
      </w:r>
      <w:r w:rsidR="007A0AA9">
        <w:t xml:space="preserve"> </w:t>
      </w:r>
    </w:p>
    <w:p w:rsidR="00B517AC" w:rsidRPr="00E4278C" w:rsidRDefault="00107D96" w:rsidP="00675F6E">
      <w:pPr>
        <w:pStyle w:val="ListParagraph"/>
        <w:widowControl/>
        <w:numPr>
          <w:ilvl w:val="1"/>
          <w:numId w:val="3"/>
        </w:numPr>
        <w:spacing w:after="160"/>
      </w:pPr>
      <w:r>
        <w:t>The PBAC noted that v</w:t>
      </w:r>
      <w:r w:rsidR="00B517AC" w:rsidRPr="00E4278C">
        <w:t>isual inspection of the Kaplan-Meier curves for RFS suggests that the relative treatment effect was not constant over time. The curves initially overlying each other before diverging at approximately Month 3 (the first scheduled imaging assessment). If the proportional hazards assumption does not hold, the estimated HR, as a measure of the relative treatment effect, may be unreliable given the measure’s dependency on follow-up time. The possible extent and direction of any bias arising from this issue was unclear.</w:t>
      </w:r>
    </w:p>
    <w:p w:rsidR="00675F6E" w:rsidRPr="00F1313B" w:rsidRDefault="00675F6E" w:rsidP="00C85687">
      <w:pPr>
        <w:pStyle w:val="ListParagraph"/>
        <w:widowControl/>
        <w:numPr>
          <w:ilvl w:val="1"/>
          <w:numId w:val="3"/>
        </w:numPr>
        <w:spacing w:after="160"/>
        <w:rPr>
          <w:rFonts w:cs="Calibri"/>
          <w:szCs w:val="24"/>
        </w:rPr>
      </w:pPr>
      <w:r w:rsidRPr="00F1313B">
        <w:t xml:space="preserve">The </w:t>
      </w:r>
      <w:r w:rsidR="00BE3595" w:rsidRPr="00F1313B">
        <w:t>ESC</w:t>
      </w:r>
      <w:r w:rsidR="00E6443F">
        <w:t xml:space="preserve"> and PBAC</w:t>
      </w:r>
      <w:r w:rsidR="00BE3595" w:rsidRPr="00F1313B">
        <w:t xml:space="preserve"> noted that </w:t>
      </w:r>
      <w:r w:rsidRPr="00F1313B">
        <w:t xml:space="preserve">RFS data in Trial KN054 were immature. The median RFS was not reached in the </w:t>
      </w:r>
      <w:proofErr w:type="spellStart"/>
      <w:r w:rsidRPr="00F1313B">
        <w:t>pembrolizumab</w:t>
      </w:r>
      <w:proofErr w:type="spellEnd"/>
      <w:r w:rsidRPr="00F1313B">
        <w:t xml:space="preserve"> arm. Therefore, the absolute magnitude of the treatment effect, in terms of the difference in median RFS between the treatment groups, could not be determined. </w:t>
      </w:r>
      <w:r w:rsidR="00C85687" w:rsidRPr="00F1313B">
        <w:t>It was noted that a</w:t>
      </w:r>
      <w:r w:rsidR="00C85687" w:rsidRPr="00F1313B">
        <w:rPr>
          <w:rFonts w:cs="Calibri"/>
          <w:szCs w:val="24"/>
        </w:rPr>
        <w:t xml:space="preserve">lthough the difference in RFS event rates between the two treatment arms had reached statistical significance, it was unknown whether the magnitude of the difference would remain unchanged with a longer follow-up. The PBAC has previously noted that </w:t>
      </w:r>
      <w:r w:rsidR="009B5FCF">
        <w:rPr>
          <w:rFonts w:cs="Calibri"/>
          <w:szCs w:val="24"/>
        </w:rPr>
        <w:t>hazard ratios</w:t>
      </w:r>
      <w:r w:rsidR="00C85687" w:rsidRPr="00F1313B">
        <w:rPr>
          <w:rFonts w:cs="Calibri"/>
          <w:szCs w:val="24"/>
        </w:rPr>
        <w:t xml:space="preserve"> for </w:t>
      </w:r>
      <w:r w:rsidR="003B7BE7">
        <w:rPr>
          <w:rFonts w:cs="Calibri"/>
          <w:szCs w:val="24"/>
        </w:rPr>
        <w:t>overall survival</w:t>
      </w:r>
      <w:r w:rsidR="00C85687" w:rsidRPr="00F1313B">
        <w:rPr>
          <w:rFonts w:cs="Calibri"/>
          <w:szCs w:val="24"/>
        </w:rPr>
        <w:t xml:space="preserve"> tend to become less favourable over time (Paragraph 7.7, </w:t>
      </w:r>
      <w:proofErr w:type="spellStart"/>
      <w:r w:rsidR="00C85687" w:rsidRPr="00F1313B">
        <w:rPr>
          <w:rFonts w:cs="Calibri"/>
          <w:szCs w:val="24"/>
        </w:rPr>
        <w:t>Nivolumab</w:t>
      </w:r>
      <w:proofErr w:type="spellEnd"/>
      <w:r w:rsidR="00C85687" w:rsidRPr="00F1313B">
        <w:rPr>
          <w:rFonts w:cs="Calibri"/>
          <w:szCs w:val="24"/>
        </w:rPr>
        <w:t xml:space="preserve"> Public </w:t>
      </w:r>
      <w:r w:rsidR="00C85687" w:rsidRPr="00F1313B">
        <w:rPr>
          <w:rFonts w:cs="Calibri"/>
          <w:szCs w:val="24"/>
        </w:rPr>
        <w:lastRenderedPageBreak/>
        <w:t>Summary Document (PSD), July 2016 PBAC Meeting). The extent of the potential for bias arising from the immaturity of the RFS data was unclear.</w:t>
      </w:r>
    </w:p>
    <w:p w:rsidR="00675F6E" w:rsidRPr="00F1313B" w:rsidRDefault="00675F6E" w:rsidP="00237B5E">
      <w:pPr>
        <w:pStyle w:val="ListParagraph"/>
        <w:widowControl/>
        <w:numPr>
          <w:ilvl w:val="1"/>
          <w:numId w:val="3"/>
        </w:numPr>
        <w:spacing w:after="160"/>
      </w:pPr>
      <w:r w:rsidRPr="00F1313B">
        <w:t xml:space="preserve">The above RFS data were </w:t>
      </w:r>
      <w:r w:rsidR="00237B5E" w:rsidRPr="00F1313B">
        <w:t xml:space="preserve">from </w:t>
      </w:r>
      <w:r w:rsidRPr="00F1313B">
        <w:t xml:space="preserve">one pre-specified interim analysis based on trial protocol for KN054. As </w:t>
      </w:r>
      <w:r w:rsidR="00237B5E" w:rsidRPr="00F1313B">
        <w:t>the superiority threshold</w:t>
      </w:r>
      <w:r w:rsidR="00B3679E">
        <w:t xml:space="preserve"> was met</w:t>
      </w:r>
      <w:r w:rsidR="00237B5E" w:rsidRPr="00F1313B">
        <w:t xml:space="preserve"> for RFS</w:t>
      </w:r>
      <w:r w:rsidRPr="00F1313B">
        <w:t xml:space="preserve"> after the pre-specified interim analysis, this is now considered the final RFS analysis. </w:t>
      </w:r>
    </w:p>
    <w:p w:rsidR="00BE3595" w:rsidRPr="00F1313B" w:rsidRDefault="00CF4E50" w:rsidP="00CF4E50">
      <w:pPr>
        <w:pStyle w:val="ListParagraph"/>
        <w:widowControl/>
        <w:numPr>
          <w:ilvl w:val="1"/>
          <w:numId w:val="3"/>
        </w:numPr>
        <w:spacing w:after="160"/>
      </w:pPr>
      <w:r w:rsidRPr="00F1313B">
        <w:t xml:space="preserve">The </w:t>
      </w:r>
      <w:r w:rsidR="00B747D8" w:rsidRPr="00F1313B">
        <w:t xml:space="preserve">PSCR presented the </w:t>
      </w:r>
      <w:r w:rsidRPr="00F1313B">
        <w:t xml:space="preserve">18-month cumulative incidence of distant metastasis </w:t>
      </w:r>
      <w:r w:rsidR="00B747D8" w:rsidRPr="00F1313B">
        <w:t>(</w:t>
      </w:r>
      <w:r w:rsidR="0090357A" w:rsidRPr="00F1313B">
        <w:t xml:space="preserve">see </w:t>
      </w:r>
      <w:r w:rsidRPr="00F1313B">
        <w:t xml:space="preserve">Figure </w:t>
      </w:r>
      <w:r w:rsidR="009C767B">
        <w:t>3</w:t>
      </w:r>
      <w:r w:rsidR="00B747D8" w:rsidRPr="00F1313B">
        <w:t>)</w:t>
      </w:r>
      <w:r w:rsidRPr="00F1313B">
        <w:t>.</w:t>
      </w:r>
    </w:p>
    <w:p w:rsidR="00CF4E50" w:rsidRPr="00CF4E50" w:rsidRDefault="00CF4E50" w:rsidP="00764779">
      <w:pPr>
        <w:keepNext/>
        <w:widowControl/>
        <w:rPr>
          <w:rStyle w:val="CommentReference"/>
        </w:rPr>
      </w:pPr>
      <w:r w:rsidRPr="00CF4E50">
        <w:rPr>
          <w:rStyle w:val="CommentReference"/>
        </w:rPr>
        <w:t xml:space="preserve">Figure </w:t>
      </w:r>
      <w:r w:rsidR="009C767B">
        <w:rPr>
          <w:rStyle w:val="CommentReference"/>
        </w:rPr>
        <w:t>3</w:t>
      </w:r>
      <w:r w:rsidRPr="00CF4E50">
        <w:rPr>
          <w:rStyle w:val="CommentReference"/>
        </w:rPr>
        <w:t>: Cumulative incidence of distant metastasis (alone or combined with loco-regional) as first type of recurrence</w:t>
      </w:r>
    </w:p>
    <w:p w:rsidR="00CF4E50" w:rsidRDefault="00CF4E50" w:rsidP="007742DB">
      <w:pPr>
        <w:keepNext/>
        <w:widowControl/>
      </w:pPr>
      <w:r w:rsidRPr="006B5998">
        <w:rPr>
          <w:noProof/>
          <w:lang w:eastAsia="en-AU"/>
        </w:rPr>
        <w:drawing>
          <wp:inline distT="0" distB="0" distL="0" distR="0" wp14:anchorId="69FB6023" wp14:editId="47CE7C95">
            <wp:extent cx="5722620" cy="299703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22620" cy="2997038"/>
                    </a:xfrm>
                    <a:prstGeom prst="rect">
                      <a:avLst/>
                    </a:prstGeom>
                  </pic:spPr>
                </pic:pic>
              </a:graphicData>
            </a:graphic>
          </wp:inline>
        </w:drawing>
      </w:r>
    </w:p>
    <w:p w:rsidR="00CF4E50" w:rsidRPr="00CF4E50" w:rsidRDefault="00CF4E50" w:rsidP="00764779">
      <w:pPr>
        <w:keepNext/>
        <w:widowControl/>
        <w:rPr>
          <w:rFonts w:ascii="Arial Narrow" w:hAnsi="Arial Narrow"/>
          <w:sz w:val="18"/>
          <w:szCs w:val="18"/>
        </w:rPr>
      </w:pPr>
      <w:r w:rsidRPr="00CF4E50">
        <w:rPr>
          <w:rFonts w:ascii="Arial Narrow" w:hAnsi="Arial Narrow"/>
          <w:sz w:val="18"/>
          <w:szCs w:val="18"/>
        </w:rPr>
        <w:t xml:space="preserve">CI = confidence interval; </w:t>
      </w:r>
      <w:proofErr w:type="spellStart"/>
      <w:r w:rsidR="009B5FCF">
        <w:rPr>
          <w:rFonts w:ascii="Arial Narrow" w:hAnsi="Arial Narrow"/>
          <w:sz w:val="18"/>
          <w:szCs w:val="18"/>
        </w:rPr>
        <w:t>Cul</w:t>
      </w:r>
      <w:proofErr w:type="spellEnd"/>
      <w:r w:rsidR="009B5FCF">
        <w:rPr>
          <w:rFonts w:ascii="Arial Narrow" w:hAnsi="Arial Narrow"/>
          <w:sz w:val="18"/>
          <w:szCs w:val="18"/>
        </w:rPr>
        <w:t xml:space="preserve"> = cumulative incidence; </w:t>
      </w:r>
      <w:r w:rsidRPr="00CF4E50">
        <w:rPr>
          <w:rFonts w:ascii="Arial Narrow" w:hAnsi="Arial Narrow"/>
          <w:sz w:val="18"/>
          <w:szCs w:val="18"/>
        </w:rPr>
        <w:t>HR = hazard ratio</w:t>
      </w:r>
    </w:p>
    <w:p w:rsidR="00B747D8" w:rsidRDefault="00CF4E50" w:rsidP="00FC7B39">
      <w:pPr>
        <w:widowControl/>
        <w:spacing w:after="240"/>
        <w:rPr>
          <w:rFonts w:ascii="Arial Narrow" w:hAnsi="Arial Narrow"/>
          <w:sz w:val="18"/>
          <w:szCs w:val="18"/>
        </w:rPr>
      </w:pPr>
      <w:r w:rsidRPr="00CF4E50">
        <w:rPr>
          <w:rFonts w:ascii="Arial Narrow" w:hAnsi="Arial Narrow"/>
          <w:sz w:val="18"/>
          <w:szCs w:val="18"/>
        </w:rPr>
        <w:t xml:space="preserve">Source: Figure </w:t>
      </w:r>
      <w:r w:rsidR="00B747D8">
        <w:rPr>
          <w:rFonts w:ascii="Arial Narrow" w:hAnsi="Arial Narrow"/>
          <w:sz w:val="18"/>
          <w:szCs w:val="18"/>
        </w:rPr>
        <w:t>1, p5 of the PSCR</w:t>
      </w:r>
    </w:p>
    <w:p w:rsidR="00CF4E50" w:rsidRPr="00F1313B" w:rsidRDefault="00CF4E50" w:rsidP="00675F6E">
      <w:pPr>
        <w:pStyle w:val="ListParagraph"/>
        <w:widowControl/>
        <w:numPr>
          <w:ilvl w:val="1"/>
          <w:numId w:val="3"/>
        </w:numPr>
        <w:spacing w:after="160"/>
      </w:pPr>
      <w:r w:rsidRPr="00F1313B">
        <w:t xml:space="preserve">After 18 months, patients treated with </w:t>
      </w:r>
      <w:proofErr w:type="spellStart"/>
      <w:r w:rsidRPr="00F1313B">
        <w:t>pembrolizumab</w:t>
      </w:r>
      <w:proofErr w:type="spellEnd"/>
      <w:r w:rsidRPr="00F1313B">
        <w:t xml:space="preserve"> were less likely to develop distant metastases compared to patients on placebo (HR = 0.53; 99% CI: 0.37, 0.76). </w:t>
      </w:r>
    </w:p>
    <w:p w:rsidR="00675F6E" w:rsidRPr="00E4278C" w:rsidRDefault="00675F6E" w:rsidP="00675F6E">
      <w:pPr>
        <w:pStyle w:val="ListParagraph"/>
        <w:widowControl/>
        <w:numPr>
          <w:ilvl w:val="1"/>
          <w:numId w:val="3"/>
        </w:numPr>
        <w:spacing w:after="160"/>
      </w:pPr>
      <w:r w:rsidRPr="00E4278C">
        <w:t xml:space="preserve">At the data cut-off, a total of </w:t>
      </w:r>
      <w:r w:rsidR="002018B5">
        <w:rPr>
          <w:noProof/>
          <w:color w:val="000000"/>
          <w:highlight w:val="black"/>
        </w:rPr>
        <w:t>'''''</w:t>
      </w:r>
      <w:r w:rsidRPr="00E4278C">
        <w:t xml:space="preserve"> patients </w:t>
      </w:r>
      <w:r w:rsidR="00E1054F" w:rsidRPr="00E4278C">
        <w:t xml:space="preserve">had </w:t>
      </w:r>
      <w:r w:rsidRPr="00E4278C">
        <w:t xml:space="preserve">died, with the mortality rate lower in the </w:t>
      </w:r>
      <w:proofErr w:type="spellStart"/>
      <w:r w:rsidRPr="00E4278C">
        <w:t>pembrolizumab</w:t>
      </w:r>
      <w:proofErr w:type="spellEnd"/>
      <w:r w:rsidRPr="00E4278C">
        <w:t xml:space="preserve"> arm than in the placebo arm (</w:t>
      </w:r>
      <w:r w:rsidR="002018B5">
        <w:rPr>
          <w:noProof/>
          <w:color w:val="000000"/>
          <w:highlight w:val="black"/>
        </w:rPr>
        <w:t>'''''''</w:t>
      </w:r>
      <w:r w:rsidRPr="00E4278C">
        <w:t xml:space="preserve">% vs </w:t>
      </w:r>
      <w:r w:rsidR="002018B5">
        <w:rPr>
          <w:noProof/>
          <w:color w:val="000000"/>
          <w:highlight w:val="black"/>
        </w:rPr>
        <w:t>'''''''</w:t>
      </w:r>
      <w:r w:rsidRPr="00E4278C">
        <w:t>%). Given the immatur</w:t>
      </w:r>
      <w:r w:rsidR="003E0055" w:rsidRPr="00E4278C">
        <w:t>ity of the</w:t>
      </w:r>
      <w:r w:rsidRPr="00E4278C">
        <w:t xml:space="preserve"> data</w:t>
      </w:r>
      <w:r w:rsidR="003A2A9C">
        <w:t xml:space="preserve"> (only </w:t>
      </w:r>
      <w:r w:rsidR="002018B5">
        <w:rPr>
          <w:noProof/>
          <w:color w:val="000000"/>
          <w:highlight w:val="black"/>
        </w:rPr>
        <w:t>''''''</w:t>
      </w:r>
      <w:r w:rsidR="003A2A9C">
        <w:t>% of patients had died)</w:t>
      </w:r>
      <w:r w:rsidRPr="00E4278C">
        <w:t xml:space="preserve">, </w:t>
      </w:r>
      <w:r w:rsidR="00107D96">
        <w:t xml:space="preserve">the PBAC considered that </w:t>
      </w:r>
      <w:r w:rsidRPr="00E4278C">
        <w:t xml:space="preserve">no conclusion could be drawn regarding the </w:t>
      </w:r>
      <w:r w:rsidR="003B7BE7">
        <w:t>overall survival</w:t>
      </w:r>
      <w:r w:rsidRPr="00E4278C">
        <w:t xml:space="preserve"> benefits associated with </w:t>
      </w:r>
      <w:proofErr w:type="spellStart"/>
      <w:r w:rsidRPr="00E4278C">
        <w:t>pembrolizumab</w:t>
      </w:r>
      <w:proofErr w:type="spellEnd"/>
      <w:r w:rsidRPr="00E4278C">
        <w:t xml:space="preserve"> adjuvant therapy for treatment of completely resected Stage III melanoma. The final survival analysis w</w:t>
      </w:r>
      <w:r w:rsidR="00E1054F" w:rsidRPr="00E4278C">
        <w:t>ill</w:t>
      </w:r>
      <w:r w:rsidRPr="00E4278C">
        <w:t xml:space="preserve"> be undertaken after reaching 380 </w:t>
      </w:r>
      <w:r w:rsidR="00237B5E" w:rsidRPr="00E4278C">
        <w:t>deaths</w:t>
      </w:r>
      <w:r w:rsidRPr="00E4278C">
        <w:t xml:space="preserve"> as pre-specifie</w:t>
      </w:r>
      <w:r w:rsidR="00237B5E" w:rsidRPr="00E4278C">
        <w:t>d in the trial protocol, which wa</w:t>
      </w:r>
      <w:r w:rsidRPr="00E4278C">
        <w:t xml:space="preserve">s expected to be in </w:t>
      </w:r>
      <w:r w:rsidR="002018B5">
        <w:rPr>
          <w:noProof/>
          <w:color w:val="000000"/>
          <w:highlight w:val="black"/>
        </w:rPr>
        <w:t>'''''''''''</w:t>
      </w:r>
      <w:r w:rsidRPr="00E4278C">
        <w:t>.</w:t>
      </w:r>
    </w:p>
    <w:p w:rsidR="00675F6E" w:rsidRPr="00BF3760" w:rsidRDefault="00675F6E" w:rsidP="00BF3760">
      <w:pPr>
        <w:pStyle w:val="ListParagraph"/>
        <w:widowControl/>
        <w:numPr>
          <w:ilvl w:val="1"/>
          <w:numId w:val="3"/>
        </w:numPr>
        <w:spacing w:after="160"/>
      </w:pPr>
      <w:r w:rsidRPr="00BF3760">
        <w:t xml:space="preserve">Although </w:t>
      </w:r>
      <w:r w:rsidR="003E0055" w:rsidRPr="00BF3760">
        <w:t>q</w:t>
      </w:r>
      <w:r w:rsidRPr="00BF3760">
        <w:t xml:space="preserve">uality of </w:t>
      </w:r>
      <w:r w:rsidR="003E0055" w:rsidRPr="00BF3760">
        <w:t>l</w:t>
      </w:r>
      <w:r w:rsidRPr="00BF3760">
        <w:t xml:space="preserve">ife data derived from KN054 were used in the modelled economic evaluation, the submission </w:t>
      </w:r>
      <w:r w:rsidR="00485CE6">
        <w:t>did not</w:t>
      </w:r>
      <w:r w:rsidRPr="00BF3760">
        <w:t xml:space="preserve"> provide any detail on the </w:t>
      </w:r>
      <w:r w:rsidR="003B7BE7">
        <w:t>quality of life</w:t>
      </w:r>
      <w:r w:rsidRPr="00BF3760">
        <w:t xml:space="preserve"> data analysis.</w:t>
      </w:r>
    </w:p>
    <w:p w:rsidR="00675F6E" w:rsidRPr="00882085" w:rsidRDefault="00675F6E" w:rsidP="001754A8">
      <w:pPr>
        <w:pStyle w:val="Heading2"/>
        <w:keepNext/>
        <w:spacing w:after="120"/>
      </w:pPr>
      <w:bookmarkStart w:id="11" w:name="_Toc523840732"/>
      <w:r w:rsidRPr="00C9624D">
        <w:lastRenderedPageBreak/>
        <w:t>Comparative harms</w:t>
      </w:r>
      <w:bookmarkEnd w:id="11"/>
    </w:p>
    <w:p w:rsidR="00675F6E" w:rsidRDefault="00675F6E" w:rsidP="003F48CA">
      <w:pPr>
        <w:pStyle w:val="ListParagraph"/>
        <w:keepNext/>
        <w:widowControl/>
        <w:numPr>
          <w:ilvl w:val="1"/>
          <w:numId w:val="3"/>
        </w:numPr>
      </w:pPr>
      <w:r>
        <w:t xml:space="preserve">The key adverse events </w:t>
      </w:r>
      <w:r w:rsidR="003E0055">
        <w:t xml:space="preserve">in Trial KN054 </w:t>
      </w:r>
      <w:r>
        <w:t xml:space="preserve">are summarised below. </w:t>
      </w:r>
    </w:p>
    <w:p w:rsidR="00675F6E" w:rsidRPr="00B50DB8" w:rsidRDefault="00675F6E" w:rsidP="00675F6E">
      <w:pPr>
        <w:pStyle w:val="ListParagraph"/>
        <w:widowControl/>
      </w:pPr>
    </w:p>
    <w:p w:rsidR="00675F6E" w:rsidRDefault="00675F6E" w:rsidP="00107D96">
      <w:pPr>
        <w:pStyle w:val="Caption"/>
        <w:rPr>
          <w:rStyle w:val="CommentReference"/>
        </w:rPr>
      </w:pPr>
      <w:r>
        <w:t xml:space="preserve">Table </w:t>
      </w:r>
      <w:r w:rsidR="009C767B">
        <w:t>6</w:t>
      </w:r>
      <w:r w:rsidRPr="00AA7348">
        <w:rPr>
          <w:b w:val="0"/>
        </w:rPr>
        <w:t>:</w:t>
      </w:r>
      <w:r w:rsidRPr="00AA7348">
        <w:rPr>
          <w:rStyle w:val="CommentReference"/>
          <w:b/>
        </w:rPr>
        <w:t xml:space="preserve"> Summary of key adverse events in </w:t>
      </w:r>
      <w:r w:rsidR="003E0055">
        <w:rPr>
          <w:rStyle w:val="CommentReference"/>
          <w:b/>
        </w:rPr>
        <w:t xml:space="preserve">Trial KN054 (as treated </w:t>
      </w:r>
      <w:proofErr w:type="spellStart"/>
      <w:r w:rsidR="003E0055">
        <w:rPr>
          <w:rStyle w:val="CommentReference"/>
          <w:b/>
        </w:rPr>
        <w:t>population</w:t>
      </w:r>
      <w:r w:rsidR="003E0055">
        <w:rPr>
          <w:rStyle w:val="CommentReference"/>
          <w:b/>
          <w:vertAlign w:val="superscript"/>
        </w:rPr>
        <w:t>a</w:t>
      </w:r>
      <w:proofErr w:type="spellEnd"/>
      <w:r w:rsidR="003E0055">
        <w:rPr>
          <w:rStyle w:val="CommentReference"/>
          <w:b/>
        </w:rPr>
        <w:t>)</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3"/>
        <w:gridCol w:w="1419"/>
        <w:gridCol w:w="1403"/>
        <w:gridCol w:w="16"/>
        <w:gridCol w:w="1842"/>
        <w:gridCol w:w="1586"/>
      </w:tblGrid>
      <w:tr w:rsidR="00675F6E" w:rsidRPr="00F1313B" w:rsidTr="00C0025C">
        <w:tc>
          <w:tcPr>
            <w:tcW w:w="1459" w:type="pct"/>
          </w:tcPr>
          <w:p w:rsidR="00675F6E" w:rsidRPr="00F1313B" w:rsidRDefault="00675F6E" w:rsidP="00107D96">
            <w:pPr>
              <w:pStyle w:val="Tabletext"/>
              <w:keepNext/>
            </w:pPr>
          </w:p>
        </w:tc>
        <w:tc>
          <w:tcPr>
            <w:tcW w:w="802" w:type="pct"/>
          </w:tcPr>
          <w:p w:rsidR="00675F6E" w:rsidRPr="00F1313B" w:rsidRDefault="00675F6E" w:rsidP="00107D96">
            <w:pPr>
              <w:pStyle w:val="Tabletext"/>
              <w:keepNext/>
              <w:ind w:left="-57" w:right="-57"/>
              <w:jc w:val="center"/>
              <w:rPr>
                <w:b/>
              </w:rPr>
            </w:pPr>
            <w:proofErr w:type="spellStart"/>
            <w:r w:rsidRPr="00F1313B">
              <w:rPr>
                <w:b/>
              </w:rPr>
              <w:t>Pembrolizumab</w:t>
            </w:r>
            <w:proofErr w:type="spellEnd"/>
          </w:p>
          <w:p w:rsidR="00675F6E" w:rsidRPr="00F1313B" w:rsidRDefault="00675F6E" w:rsidP="00107D96">
            <w:pPr>
              <w:pStyle w:val="Tabletext"/>
              <w:keepNext/>
              <w:ind w:left="-57" w:right="-57"/>
              <w:jc w:val="center"/>
              <w:rPr>
                <w:b/>
              </w:rPr>
            </w:pPr>
            <w:r w:rsidRPr="00F1313B">
              <w:rPr>
                <w:b/>
              </w:rPr>
              <w:t>N=509</w:t>
            </w:r>
          </w:p>
        </w:tc>
        <w:tc>
          <w:tcPr>
            <w:tcW w:w="793" w:type="pct"/>
          </w:tcPr>
          <w:p w:rsidR="00675F6E" w:rsidRPr="00F1313B" w:rsidRDefault="00675F6E" w:rsidP="00107D96">
            <w:pPr>
              <w:pStyle w:val="Tabletext"/>
              <w:keepNext/>
              <w:jc w:val="center"/>
              <w:rPr>
                <w:b/>
              </w:rPr>
            </w:pPr>
            <w:r w:rsidRPr="00F1313B">
              <w:rPr>
                <w:b/>
              </w:rPr>
              <w:t>Placebo</w:t>
            </w:r>
          </w:p>
          <w:p w:rsidR="00675F6E" w:rsidRPr="00F1313B" w:rsidRDefault="00675F6E" w:rsidP="00107D96">
            <w:pPr>
              <w:pStyle w:val="Tabletext"/>
              <w:keepNext/>
              <w:jc w:val="center"/>
              <w:rPr>
                <w:b/>
              </w:rPr>
            </w:pPr>
            <w:r w:rsidRPr="00F1313B">
              <w:rPr>
                <w:b/>
              </w:rPr>
              <w:t>N=502</w:t>
            </w:r>
          </w:p>
        </w:tc>
        <w:tc>
          <w:tcPr>
            <w:tcW w:w="1050" w:type="pct"/>
            <w:gridSpan w:val="2"/>
          </w:tcPr>
          <w:p w:rsidR="00675F6E" w:rsidRPr="00F1313B" w:rsidRDefault="00675F6E" w:rsidP="00107D96">
            <w:pPr>
              <w:pStyle w:val="Tabletext"/>
              <w:keepNext/>
              <w:jc w:val="center"/>
              <w:rPr>
                <w:b/>
              </w:rPr>
            </w:pPr>
            <w:r w:rsidRPr="00F1313B">
              <w:rPr>
                <w:b/>
              </w:rPr>
              <w:t>Risk difference</w:t>
            </w:r>
          </w:p>
          <w:p w:rsidR="00675F6E" w:rsidRPr="00F1313B" w:rsidRDefault="00675F6E" w:rsidP="00107D96">
            <w:pPr>
              <w:pStyle w:val="Tabletext"/>
              <w:keepNext/>
              <w:jc w:val="center"/>
              <w:rPr>
                <w:b/>
              </w:rPr>
            </w:pPr>
            <w:r w:rsidRPr="00F1313B">
              <w:rPr>
                <w:b/>
              </w:rPr>
              <w:t>(95% CI)</w:t>
            </w:r>
          </w:p>
        </w:tc>
        <w:tc>
          <w:tcPr>
            <w:tcW w:w="895" w:type="pct"/>
          </w:tcPr>
          <w:p w:rsidR="00675F6E" w:rsidRPr="00F1313B" w:rsidRDefault="00675F6E" w:rsidP="00107D96">
            <w:pPr>
              <w:pStyle w:val="Tabletext"/>
              <w:keepNext/>
              <w:jc w:val="center"/>
              <w:rPr>
                <w:b/>
              </w:rPr>
            </w:pPr>
            <w:r w:rsidRPr="00F1313B">
              <w:rPr>
                <w:b/>
              </w:rPr>
              <w:t>Relative risk</w:t>
            </w:r>
          </w:p>
          <w:p w:rsidR="00675F6E" w:rsidRPr="00F1313B" w:rsidRDefault="00675F6E" w:rsidP="00107D96">
            <w:pPr>
              <w:pStyle w:val="Tabletext"/>
              <w:keepNext/>
              <w:jc w:val="center"/>
              <w:rPr>
                <w:b/>
              </w:rPr>
            </w:pPr>
            <w:r w:rsidRPr="00F1313B">
              <w:rPr>
                <w:b/>
              </w:rPr>
              <w:t>(95% CI)</w:t>
            </w:r>
          </w:p>
        </w:tc>
      </w:tr>
      <w:tr w:rsidR="00675F6E" w:rsidRPr="00F1313B" w:rsidTr="00C0025C">
        <w:tc>
          <w:tcPr>
            <w:tcW w:w="5000" w:type="pct"/>
            <w:gridSpan w:val="6"/>
          </w:tcPr>
          <w:p w:rsidR="00675F6E" w:rsidRPr="00F1313B" w:rsidRDefault="00675F6E" w:rsidP="00107D96">
            <w:pPr>
              <w:pStyle w:val="Tabletext"/>
              <w:keepNext/>
              <w:rPr>
                <w:b/>
              </w:rPr>
            </w:pPr>
            <w:r w:rsidRPr="00F1313B">
              <w:rPr>
                <w:b/>
              </w:rPr>
              <w:t>All-cause AEs, n (%)</w:t>
            </w:r>
          </w:p>
        </w:tc>
      </w:tr>
      <w:tr w:rsidR="00675F6E" w:rsidRPr="00F1313B" w:rsidTr="00C0025C">
        <w:tc>
          <w:tcPr>
            <w:tcW w:w="1459" w:type="pct"/>
          </w:tcPr>
          <w:p w:rsidR="00675F6E" w:rsidRPr="00F1313B" w:rsidRDefault="00675F6E" w:rsidP="00107D96">
            <w:pPr>
              <w:pStyle w:val="Tabletext"/>
              <w:keepNext/>
              <w:ind w:left="171"/>
            </w:pPr>
            <w:r w:rsidRPr="00F1313B">
              <w:t>Any grade</w:t>
            </w:r>
          </w:p>
        </w:tc>
        <w:tc>
          <w:tcPr>
            <w:tcW w:w="802" w:type="pct"/>
          </w:tcPr>
          <w:p w:rsidR="00675F6E" w:rsidRPr="00F1313B" w:rsidRDefault="00675F6E" w:rsidP="00107D96">
            <w:pPr>
              <w:pStyle w:val="Tabletext"/>
              <w:keepNext/>
              <w:jc w:val="center"/>
            </w:pPr>
            <w:r w:rsidRPr="00F1313B">
              <w:t>475 (93.3%)</w:t>
            </w:r>
          </w:p>
        </w:tc>
        <w:tc>
          <w:tcPr>
            <w:tcW w:w="793" w:type="pct"/>
          </w:tcPr>
          <w:p w:rsidR="00675F6E" w:rsidRPr="00F1313B" w:rsidRDefault="00675F6E" w:rsidP="00107D96">
            <w:pPr>
              <w:pStyle w:val="Tabletext"/>
              <w:keepNext/>
              <w:jc w:val="center"/>
            </w:pPr>
            <w:r w:rsidRPr="00F1313B">
              <w:t>453 (90.2%)</w:t>
            </w:r>
          </w:p>
        </w:tc>
        <w:tc>
          <w:tcPr>
            <w:tcW w:w="1050" w:type="pct"/>
            <w:gridSpan w:val="2"/>
          </w:tcPr>
          <w:p w:rsidR="00675F6E" w:rsidRPr="00F1313B" w:rsidRDefault="00675F6E" w:rsidP="00107D96">
            <w:pPr>
              <w:pStyle w:val="Tabletext"/>
              <w:keepNext/>
              <w:jc w:val="center"/>
            </w:pPr>
            <w:r w:rsidRPr="00F1313B">
              <w:t>0.03 (-0.00, 0.06)</w:t>
            </w:r>
          </w:p>
        </w:tc>
        <w:tc>
          <w:tcPr>
            <w:tcW w:w="895" w:type="pct"/>
          </w:tcPr>
          <w:p w:rsidR="00675F6E" w:rsidRPr="00F1313B" w:rsidRDefault="00675F6E" w:rsidP="00107D96">
            <w:pPr>
              <w:pStyle w:val="Tabletext"/>
              <w:keepNext/>
              <w:jc w:val="center"/>
            </w:pPr>
            <w:r w:rsidRPr="00F1313B">
              <w:t>1.03 (1.00, 1.07)</w:t>
            </w:r>
          </w:p>
        </w:tc>
      </w:tr>
      <w:tr w:rsidR="00675F6E" w:rsidRPr="00F1313B" w:rsidTr="00C0025C">
        <w:tc>
          <w:tcPr>
            <w:tcW w:w="1459" w:type="pct"/>
          </w:tcPr>
          <w:p w:rsidR="00675F6E" w:rsidRPr="00F1313B" w:rsidRDefault="00675F6E" w:rsidP="00107D96">
            <w:pPr>
              <w:pStyle w:val="Tabletext"/>
              <w:keepNext/>
              <w:ind w:left="171"/>
            </w:pPr>
            <w:r w:rsidRPr="00F1313B">
              <w:t>Grade 3-5</w:t>
            </w:r>
          </w:p>
        </w:tc>
        <w:tc>
          <w:tcPr>
            <w:tcW w:w="802" w:type="pct"/>
          </w:tcPr>
          <w:p w:rsidR="00675F6E" w:rsidRPr="00F1313B" w:rsidRDefault="00675F6E" w:rsidP="00107D96">
            <w:pPr>
              <w:pStyle w:val="Tabletext"/>
              <w:keepNext/>
              <w:jc w:val="center"/>
            </w:pPr>
            <w:r w:rsidRPr="00F1313B">
              <w:t>158 (31.0%)</w:t>
            </w:r>
          </w:p>
        </w:tc>
        <w:tc>
          <w:tcPr>
            <w:tcW w:w="793" w:type="pct"/>
          </w:tcPr>
          <w:p w:rsidR="00675F6E" w:rsidRPr="00F1313B" w:rsidRDefault="00675F6E" w:rsidP="00107D96">
            <w:pPr>
              <w:pStyle w:val="Tabletext"/>
              <w:keepNext/>
              <w:jc w:val="center"/>
            </w:pPr>
            <w:r w:rsidRPr="00F1313B">
              <w:t>96 (19.1%)</w:t>
            </w:r>
          </w:p>
        </w:tc>
        <w:tc>
          <w:tcPr>
            <w:tcW w:w="1050" w:type="pct"/>
            <w:gridSpan w:val="2"/>
          </w:tcPr>
          <w:p w:rsidR="00675F6E" w:rsidRPr="00F1313B" w:rsidRDefault="00675F6E" w:rsidP="00107D96">
            <w:pPr>
              <w:pStyle w:val="Tabletext"/>
              <w:keepNext/>
              <w:jc w:val="center"/>
              <w:rPr>
                <w:b/>
              </w:rPr>
            </w:pPr>
            <w:r w:rsidRPr="00F1313B">
              <w:rPr>
                <w:b/>
              </w:rPr>
              <w:t>0.12 (0.07, 0.17)</w:t>
            </w:r>
          </w:p>
        </w:tc>
        <w:tc>
          <w:tcPr>
            <w:tcW w:w="895" w:type="pct"/>
          </w:tcPr>
          <w:p w:rsidR="00675F6E" w:rsidRPr="00F1313B" w:rsidRDefault="00675F6E" w:rsidP="00107D96">
            <w:pPr>
              <w:pStyle w:val="Tabletext"/>
              <w:keepNext/>
              <w:jc w:val="center"/>
              <w:rPr>
                <w:b/>
              </w:rPr>
            </w:pPr>
            <w:r w:rsidRPr="00F1313B">
              <w:rPr>
                <w:b/>
              </w:rPr>
              <w:t>1.62 (1.30, 2.03)</w:t>
            </w:r>
          </w:p>
        </w:tc>
      </w:tr>
      <w:tr w:rsidR="00675F6E" w:rsidRPr="00F1313B" w:rsidTr="00C0025C">
        <w:tc>
          <w:tcPr>
            <w:tcW w:w="5000" w:type="pct"/>
            <w:gridSpan w:val="6"/>
          </w:tcPr>
          <w:p w:rsidR="00675F6E" w:rsidRPr="00F1313B" w:rsidRDefault="00675F6E" w:rsidP="00107D96">
            <w:pPr>
              <w:pStyle w:val="Tabletext"/>
              <w:keepNext/>
              <w:rPr>
                <w:b/>
              </w:rPr>
            </w:pPr>
            <w:r w:rsidRPr="00F1313B">
              <w:rPr>
                <w:b/>
              </w:rPr>
              <w:t>Treatment-related AEs, n (%)</w:t>
            </w:r>
          </w:p>
        </w:tc>
      </w:tr>
      <w:tr w:rsidR="00675F6E" w:rsidRPr="00F1313B" w:rsidTr="00C0025C">
        <w:tc>
          <w:tcPr>
            <w:tcW w:w="1459" w:type="pct"/>
          </w:tcPr>
          <w:p w:rsidR="00675F6E" w:rsidRPr="00F1313B" w:rsidRDefault="00675F6E" w:rsidP="00107D96">
            <w:pPr>
              <w:pStyle w:val="Tabletext"/>
              <w:keepNext/>
              <w:ind w:left="171"/>
            </w:pPr>
            <w:r w:rsidRPr="00F1313B">
              <w:t>Any grade</w:t>
            </w:r>
          </w:p>
        </w:tc>
        <w:tc>
          <w:tcPr>
            <w:tcW w:w="802" w:type="pct"/>
          </w:tcPr>
          <w:p w:rsidR="00675F6E" w:rsidRPr="00F1313B" w:rsidRDefault="00675F6E" w:rsidP="00107D96">
            <w:pPr>
              <w:pStyle w:val="Tabletext"/>
              <w:keepNext/>
              <w:jc w:val="center"/>
            </w:pPr>
            <w:r w:rsidRPr="00F1313B">
              <w:t>396 (77.8%)</w:t>
            </w:r>
          </w:p>
        </w:tc>
        <w:tc>
          <w:tcPr>
            <w:tcW w:w="802" w:type="pct"/>
            <w:gridSpan w:val="2"/>
          </w:tcPr>
          <w:p w:rsidR="00675F6E" w:rsidRPr="00F1313B" w:rsidRDefault="00675F6E" w:rsidP="00107D96">
            <w:pPr>
              <w:pStyle w:val="Tabletext"/>
              <w:keepNext/>
              <w:jc w:val="center"/>
            </w:pPr>
            <w:r w:rsidRPr="00F1313B">
              <w:t>332 (66.1%)</w:t>
            </w:r>
          </w:p>
        </w:tc>
        <w:tc>
          <w:tcPr>
            <w:tcW w:w="1041" w:type="pct"/>
          </w:tcPr>
          <w:p w:rsidR="00675F6E" w:rsidRPr="00F1313B" w:rsidRDefault="00675F6E" w:rsidP="00107D96">
            <w:pPr>
              <w:pStyle w:val="Tabletext"/>
              <w:keepNext/>
              <w:jc w:val="center"/>
              <w:rPr>
                <w:b/>
              </w:rPr>
            </w:pPr>
            <w:r w:rsidRPr="00F1313B">
              <w:rPr>
                <w:b/>
              </w:rPr>
              <w:t>0.12 (0.06, 0.17)</w:t>
            </w:r>
          </w:p>
        </w:tc>
        <w:tc>
          <w:tcPr>
            <w:tcW w:w="895" w:type="pct"/>
          </w:tcPr>
          <w:p w:rsidR="00675F6E" w:rsidRPr="00F1313B" w:rsidRDefault="00675F6E" w:rsidP="00107D96">
            <w:pPr>
              <w:pStyle w:val="Tabletext"/>
              <w:keepNext/>
              <w:jc w:val="center"/>
              <w:rPr>
                <w:b/>
              </w:rPr>
            </w:pPr>
            <w:r w:rsidRPr="00F1313B">
              <w:rPr>
                <w:b/>
              </w:rPr>
              <w:t>1.18 (1.09, 1.27)</w:t>
            </w:r>
          </w:p>
        </w:tc>
      </w:tr>
      <w:tr w:rsidR="00675F6E" w:rsidRPr="00F1313B" w:rsidTr="00C0025C">
        <w:tc>
          <w:tcPr>
            <w:tcW w:w="1459" w:type="pct"/>
          </w:tcPr>
          <w:p w:rsidR="00675F6E" w:rsidRPr="00F1313B" w:rsidRDefault="00675F6E" w:rsidP="00107D96">
            <w:pPr>
              <w:pStyle w:val="Tabletext"/>
              <w:keepNext/>
              <w:ind w:left="171"/>
            </w:pPr>
            <w:r w:rsidRPr="00F1313B">
              <w:t>Grade 3-5</w:t>
            </w:r>
          </w:p>
        </w:tc>
        <w:tc>
          <w:tcPr>
            <w:tcW w:w="802" w:type="pct"/>
          </w:tcPr>
          <w:p w:rsidR="00675F6E" w:rsidRPr="00F1313B" w:rsidRDefault="00675F6E" w:rsidP="00107D96">
            <w:pPr>
              <w:pStyle w:val="Tabletext"/>
              <w:keepNext/>
              <w:jc w:val="center"/>
            </w:pPr>
            <w:r w:rsidRPr="00F1313B">
              <w:t>74 (14.5%)</w:t>
            </w:r>
          </w:p>
        </w:tc>
        <w:tc>
          <w:tcPr>
            <w:tcW w:w="802" w:type="pct"/>
            <w:gridSpan w:val="2"/>
          </w:tcPr>
          <w:p w:rsidR="00675F6E" w:rsidRPr="00F1313B" w:rsidRDefault="00675F6E" w:rsidP="00107D96">
            <w:pPr>
              <w:pStyle w:val="Tabletext"/>
              <w:keepNext/>
              <w:jc w:val="center"/>
            </w:pPr>
            <w:r w:rsidRPr="00F1313B">
              <w:t>17 (3.4%)</w:t>
            </w:r>
          </w:p>
        </w:tc>
        <w:tc>
          <w:tcPr>
            <w:tcW w:w="1041" w:type="pct"/>
          </w:tcPr>
          <w:p w:rsidR="00675F6E" w:rsidRPr="00F1313B" w:rsidRDefault="00675F6E" w:rsidP="00107D96">
            <w:pPr>
              <w:pStyle w:val="Tabletext"/>
              <w:keepNext/>
              <w:jc w:val="center"/>
              <w:rPr>
                <w:b/>
              </w:rPr>
            </w:pPr>
            <w:r w:rsidRPr="00F1313B">
              <w:rPr>
                <w:b/>
              </w:rPr>
              <w:t>0.11 (0.08, 0.15)</w:t>
            </w:r>
          </w:p>
        </w:tc>
        <w:tc>
          <w:tcPr>
            <w:tcW w:w="895" w:type="pct"/>
          </w:tcPr>
          <w:p w:rsidR="00675F6E" w:rsidRPr="00F1313B" w:rsidRDefault="00675F6E" w:rsidP="00107D96">
            <w:pPr>
              <w:pStyle w:val="Tabletext"/>
              <w:keepNext/>
              <w:jc w:val="center"/>
              <w:rPr>
                <w:b/>
              </w:rPr>
            </w:pPr>
            <w:r w:rsidRPr="00F1313B">
              <w:rPr>
                <w:b/>
              </w:rPr>
              <w:t>4.29 (2.57, 7.17)</w:t>
            </w:r>
          </w:p>
        </w:tc>
      </w:tr>
      <w:tr w:rsidR="00675F6E" w:rsidRPr="00F1313B" w:rsidTr="00C0025C">
        <w:tc>
          <w:tcPr>
            <w:tcW w:w="1459" w:type="pct"/>
          </w:tcPr>
          <w:p w:rsidR="00675F6E" w:rsidRPr="00F1313B" w:rsidRDefault="00675F6E" w:rsidP="00107D96">
            <w:pPr>
              <w:pStyle w:val="Tabletext"/>
              <w:keepNext/>
              <w:ind w:left="171"/>
            </w:pPr>
            <w:r w:rsidRPr="00F1313B">
              <w:t>AEs leading to discontinuation</w:t>
            </w:r>
          </w:p>
        </w:tc>
        <w:tc>
          <w:tcPr>
            <w:tcW w:w="802" w:type="pct"/>
          </w:tcPr>
          <w:p w:rsidR="00675F6E" w:rsidRPr="00F1313B" w:rsidRDefault="00675F6E" w:rsidP="00107D96">
            <w:pPr>
              <w:pStyle w:val="Tabletext"/>
              <w:keepNext/>
              <w:jc w:val="center"/>
            </w:pPr>
            <w:r w:rsidRPr="00F1313B">
              <w:t>62 (12.2%)</w:t>
            </w:r>
          </w:p>
        </w:tc>
        <w:tc>
          <w:tcPr>
            <w:tcW w:w="802" w:type="pct"/>
            <w:gridSpan w:val="2"/>
          </w:tcPr>
          <w:p w:rsidR="00675F6E" w:rsidRPr="00F1313B" w:rsidRDefault="00675F6E" w:rsidP="00107D96">
            <w:pPr>
              <w:pStyle w:val="Tabletext"/>
              <w:keepNext/>
              <w:jc w:val="center"/>
            </w:pPr>
            <w:r w:rsidRPr="00F1313B">
              <w:t>8 (1.6%)</w:t>
            </w:r>
          </w:p>
        </w:tc>
        <w:tc>
          <w:tcPr>
            <w:tcW w:w="1041" w:type="pct"/>
          </w:tcPr>
          <w:p w:rsidR="00675F6E" w:rsidRPr="00F1313B" w:rsidRDefault="00675F6E" w:rsidP="00107D96">
            <w:pPr>
              <w:pStyle w:val="Tabletext"/>
              <w:keepNext/>
              <w:jc w:val="center"/>
              <w:rPr>
                <w:b/>
              </w:rPr>
            </w:pPr>
            <w:r w:rsidRPr="00F1313B">
              <w:rPr>
                <w:b/>
              </w:rPr>
              <w:t>0.11 (0.08, 0.14)</w:t>
            </w:r>
          </w:p>
        </w:tc>
        <w:tc>
          <w:tcPr>
            <w:tcW w:w="895" w:type="pct"/>
          </w:tcPr>
          <w:p w:rsidR="00675F6E" w:rsidRPr="00F1313B" w:rsidRDefault="00675F6E" w:rsidP="00107D96">
            <w:pPr>
              <w:pStyle w:val="Tabletext"/>
              <w:keepNext/>
              <w:jc w:val="center"/>
              <w:rPr>
                <w:b/>
              </w:rPr>
            </w:pPr>
            <w:r w:rsidRPr="00F1313B">
              <w:rPr>
                <w:b/>
              </w:rPr>
              <w:t>7.64 (3.70, 15.8)</w:t>
            </w:r>
          </w:p>
        </w:tc>
      </w:tr>
      <w:tr w:rsidR="00675F6E" w:rsidRPr="00F1313B" w:rsidTr="00C0025C">
        <w:tc>
          <w:tcPr>
            <w:tcW w:w="1459" w:type="pct"/>
          </w:tcPr>
          <w:p w:rsidR="00675F6E" w:rsidRPr="00F1313B" w:rsidRDefault="00675F6E" w:rsidP="00107D96">
            <w:pPr>
              <w:pStyle w:val="Tabletext"/>
              <w:keepNext/>
              <w:ind w:left="171"/>
            </w:pPr>
            <w:r w:rsidRPr="00F1313B">
              <w:t>Death</w:t>
            </w:r>
          </w:p>
        </w:tc>
        <w:tc>
          <w:tcPr>
            <w:tcW w:w="802" w:type="pct"/>
          </w:tcPr>
          <w:p w:rsidR="00675F6E" w:rsidRPr="00F1313B" w:rsidRDefault="00675F6E" w:rsidP="00107D96">
            <w:pPr>
              <w:pStyle w:val="Tabletext"/>
              <w:keepNext/>
              <w:jc w:val="center"/>
            </w:pPr>
            <w:r w:rsidRPr="00F1313B">
              <w:t>1 (0.2%)</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pPr>
            <w:r w:rsidRPr="00F1313B">
              <w:t>0.00 (-0.00, 0.01)</w:t>
            </w:r>
          </w:p>
        </w:tc>
        <w:tc>
          <w:tcPr>
            <w:tcW w:w="895" w:type="pct"/>
          </w:tcPr>
          <w:p w:rsidR="00675F6E" w:rsidRPr="00F1313B" w:rsidRDefault="00675F6E" w:rsidP="00107D96">
            <w:pPr>
              <w:pStyle w:val="Tabletext"/>
              <w:keepNext/>
              <w:jc w:val="center"/>
            </w:pPr>
            <w:r w:rsidRPr="00F1313B">
              <w:t>–</w:t>
            </w:r>
          </w:p>
        </w:tc>
      </w:tr>
      <w:tr w:rsidR="00675F6E" w:rsidRPr="00F1313B" w:rsidTr="00C0025C">
        <w:tc>
          <w:tcPr>
            <w:tcW w:w="5000" w:type="pct"/>
            <w:gridSpan w:val="6"/>
          </w:tcPr>
          <w:p w:rsidR="00675F6E" w:rsidRPr="00F1313B" w:rsidRDefault="00675F6E" w:rsidP="00107D96">
            <w:pPr>
              <w:pStyle w:val="Tabletext"/>
              <w:keepNext/>
              <w:rPr>
                <w:b/>
              </w:rPr>
            </w:pPr>
            <w:r w:rsidRPr="00F1313B">
              <w:rPr>
                <w:b/>
              </w:rPr>
              <w:t>Most frequent treatment-related AEs, Grade 3-5 (≥</w:t>
            </w:r>
            <w:r w:rsidR="00764779">
              <w:rPr>
                <w:b/>
              </w:rPr>
              <w:t xml:space="preserve"> </w:t>
            </w:r>
            <w:r w:rsidRPr="00F1313B">
              <w:rPr>
                <w:b/>
              </w:rPr>
              <w:t>1% of patients in either arm)</w:t>
            </w:r>
          </w:p>
        </w:tc>
      </w:tr>
      <w:tr w:rsidR="00675F6E" w:rsidRPr="00F1313B" w:rsidTr="00C0025C">
        <w:tc>
          <w:tcPr>
            <w:tcW w:w="1459" w:type="pct"/>
          </w:tcPr>
          <w:p w:rsidR="00675F6E" w:rsidRPr="00F1313B" w:rsidRDefault="00675F6E" w:rsidP="00107D96">
            <w:pPr>
              <w:pStyle w:val="Tabletext"/>
              <w:keepNext/>
              <w:ind w:left="171"/>
              <w:rPr>
                <w:b/>
              </w:rPr>
            </w:pPr>
            <w:r w:rsidRPr="00F1313B">
              <w:t>Colitis</w:t>
            </w:r>
          </w:p>
        </w:tc>
        <w:tc>
          <w:tcPr>
            <w:tcW w:w="802" w:type="pct"/>
          </w:tcPr>
          <w:p w:rsidR="00675F6E" w:rsidRPr="00F1313B" w:rsidRDefault="00675F6E" w:rsidP="00107D96">
            <w:pPr>
              <w:pStyle w:val="Tabletext"/>
              <w:keepNext/>
              <w:jc w:val="center"/>
            </w:pPr>
            <w:r w:rsidRPr="00F1313B">
              <w:t>6 (1.2%)</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pPr>
            <w:r w:rsidRPr="00F1313B">
              <w:t>0.01 (0.00, 0.02)</w:t>
            </w:r>
          </w:p>
        </w:tc>
        <w:tc>
          <w:tcPr>
            <w:tcW w:w="895" w:type="pct"/>
          </w:tcPr>
          <w:p w:rsidR="00675F6E" w:rsidRPr="00F1313B" w:rsidRDefault="00675F6E" w:rsidP="00107D96">
            <w:pPr>
              <w:pStyle w:val="Tabletext"/>
              <w:keepNext/>
              <w:jc w:val="center"/>
            </w:pPr>
            <w:r w:rsidRPr="00F1313B">
              <w:t>–</w:t>
            </w:r>
          </w:p>
        </w:tc>
      </w:tr>
      <w:tr w:rsidR="00675F6E" w:rsidRPr="00F1313B" w:rsidTr="00C0025C">
        <w:tc>
          <w:tcPr>
            <w:tcW w:w="1459" w:type="pct"/>
          </w:tcPr>
          <w:p w:rsidR="00675F6E" w:rsidRPr="00F1313B" w:rsidRDefault="00675F6E" w:rsidP="00107D96">
            <w:pPr>
              <w:pStyle w:val="Tabletext"/>
              <w:keepNext/>
              <w:ind w:left="171"/>
              <w:rPr>
                <w:b/>
              </w:rPr>
            </w:pPr>
            <w:r w:rsidRPr="00F1313B">
              <w:t>Type 1 diabetes</w:t>
            </w:r>
          </w:p>
        </w:tc>
        <w:tc>
          <w:tcPr>
            <w:tcW w:w="802" w:type="pct"/>
          </w:tcPr>
          <w:p w:rsidR="00675F6E" w:rsidRPr="00F1313B" w:rsidRDefault="00675F6E" w:rsidP="00107D96">
            <w:pPr>
              <w:pStyle w:val="Tabletext"/>
              <w:keepNext/>
              <w:jc w:val="center"/>
            </w:pPr>
            <w:r w:rsidRPr="00F1313B">
              <w:t>5 (1.0%)</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pPr>
            <w:r w:rsidRPr="00F1313B">
              <w:t>0.01 (0.00, 0.02)</w:t>
            </w:r>
          </w:p>
        </w:tc>
        <w:tc>
          <w:tcPr>
            <w:tcW w:w="895" w:type="pct"/>
          </w:tcPr>
          <w:p w:rsidR="00675F6E" w:rsidRPr="00F1313B" w:rsidRDefault="00675F6E" w:rsidP="00107D96">
            <w:pPr>
              <w:pStyle w:val="Tabletext"/>
              <w:keepNext/>
              <w:jc w:val="center"/>
            </w:pPr>
            <w:r w:rsidRPr="00F1313B">
              <w:t>–</w:t>
            </w:r>
          </w:p>
        </w:tc>
      </w:tr>
      <w:tr w:rsidR="00675F6E" w:rsidRPr="00F1313B" w:rsidTr="00C0025C">
        <w:tc>
          <w:tcPr>
            <w:tcW w:w="1459" w:type="pct"/>
          </w:tcPr>
          <w:p w:rsidR="00675F6E" w:rsidRPr="00F1313B" w:rsidRDefault="00675F6E" w:rsidP="00107D96">
            <w:pPr>
              <w:pStyle w:val="Tabletext"/>
              <w:keepNext/>
              <w:ind w:left="171"/>
              <w:rPr>
                <w:b/>
              </w:rPr>
            </w:pPr>
            <w:r w:rsidRPr="00F1313B">
              <w:t>Diarrhoea</w:t>
            </w:r>
          </w:p>
        </w:tc>
        <w:tc>
          <w:tcPr>
            <w:tcW w:w="802" w:type="pct"/>
          </w:tcPr>
          <w:p w:rsidR="00675F6E" w:rsidRPr="00F1313B" w:rsidRDefault="00675F6E" w:rsidP="00107D96">
            <w:pPr>
              <w:pStyle w:val="Tabletext"/>
              <w:keepNext/>
              <w:jc w:val="center"/>
            </w:pPr>
            <w:r w:rsidRPr="00F1313B">
              <w:t>4 (0.8%)</w:t>
            </w:r>
          </w:p>
        </w:tc>
        <w:tc>
          <w:tcPr>
            <w:tcW w:w="802" w:type="pct"/>
            <w:gridSpan w:val="2"/>
          </w:tcPr>
          <w:p w:rsidR="00675F6E" w:rsidRPr="00F1313B" w:rsidRDefault="00675F6E" w:rsidP="00107D96">
            <w:pPr>
              <w:pStyle w:val="Tabletext"/>
              <w:keepNext/>
              <w:jc w:val="center"/>
            </w:pPr>
            <w:r w:rsidRPr="00F1313B">
              <w:t>3 (0.6%)</w:t>
            </w:r>
          </w:p>
        </w:tc>
        <w:tc>
          <w:tcPr>
            <w:tcW w:w="1041" w:type="pct"/>
          </w:tcPr>
          <w:p w:rsidR="00675F6E" w:rsidRPr="00F1313B" w:rsidRDefault="00675F6E" w:rsidP="00107D96">
            <w:pPr>
              <w:pStyle w:val="Tabletext"/>
              <w:keepNext/>
              <w:jc w:val="center"/>
            </w:pPr>
            <w:r w:rsidRPr="00F1313B">
              <w:t>0.00 (-0.01, 0.01)</w:t>
            </w:r>
          </w:p>
        </w:tc>
        <w:tc>
          <w:tcPr>
            <w:tcW w:w="895" w:type="pct"/>
          </w:tcPr>
          <w:p w:rsidR="00675F6E" w:rsidRPr="00F1313B" w:rsidRDefault="00675F6E" w:rsidP="00107D96">
            <w:pPr>
              <w:pStyle w:val="Tabletext"/>
              <w:keepNext/>
              <w:jc w:val="center"/>
            </w:pPr>
            <w:r w:rsidRPr="00F1313B">
              <w:t>1.31 (0.30, 5.85)</w:t>
            </w:r>
          </w:p>
        </w:tc>
      </w:tr>
      <w:tr w:rsidR="00675F6E" w:rsidRPr="00F1313B" w:rsidTr="00C0025C">
        <w:tc>
          <w:tcPr>
            <w:tcW w:w="5000" w:type="pct"/>
            <w:gridSpan w:val="6"/>
          </w:tcPr>
          <w:p w:rsidR="00675F6E" w:rsidRPr="00F1313B" w:rsidRDefault="00675F6E" w:rsidP="00107D96">
            <w:pPr>
              <w:pStyle w:val="Tabletext"/>
              <w:keepNext/>
              <w:rPr>
                <w:b/>
              </w:rPr>
            </w:pPr>
            <w:r w:rsidRPr="00F1313B">
              <w:rPr>
                <w:b/>
              </w:rPr>
              <w:t>Adverse eve</w:t>
            </w:r>
            <w:r w:rsidR="003E0055" w:rsidRPr="00F1313B">
              <w:rPr>
                <w:b/>
              </w:rPr>
              <w:t>nts of special interest (AEOSI)</w:t>
            </w:r>
            <w:r w:rsidRPr="00F1313B">
              <w:rPr>
                <w:b/>
                <w:vertAlign w:val="superscript"/>
              </w:rPr>
              <w:t>b</w:t>
            </w:r>
          </w:p>
        </w:tc>
      </w:tr>
      <w:tr w:rsidR="00675F6E" w:rsidRPr="00F1313B" w:rsidTr="00C0025C">
        <w:tc>
          <w:tcPr>
            <w:tcW w:w="1459" w:type="pct"/>
          </w:tcPr>
          <w:p w:rsidR="00675F6E" w:rsidRPr="00F1313B" w:rsidRDefault="00675F6E" w:rsidP="00107D96">
            <w:pPr>
              <w:pStyle w:val="Tabletext"/>
              <w:keepNext/>
            </w:pPr>
            <w:r w:rsidRPr="00F1313B">
              <w:t>Any grade</w:t>
            </w:r>
          </w:p>
        </w:tc>
        <w:tc>
          <w:tcPr>
            <w:tcW w:w="802" w:type="pct"/>
          </w:tcPr>
          <w:p w:rsidR="00675F6E" w:rsidRPr="00F1313B" w:rsidRDefault="00675F6E" w:rsidP="00107D96">
            <w:pPr>
              <w:pStyle w:val="Tabletext"/>
              <w:keepNext/>
              <w:jc w:val="center"/>
            </w:pPr>
            <w:r w:rsidRPr="00F1313B">
              <w:t>173 (34.0%)</w:t>
            </w:r>
          </w:p>
        </w:tc>
        <w:tc>
          <w:tcPr>
            <w:tcW w:w="802" w:type="pct"/>
            <w:gridSpan w:val="2"/>
          </w:tcPr>
          <w:p w:rsidR="00675F6E" w:rsidRPr="00F1313B" w:rsidRDefault="00675F6E" w:rsidP="00107D96">
            <w:pPr>
              <w:pStyle w:val="Tabletext"/>
              <w:keepNext/>
              <w:jc w:val="center"/>
            </w:pPr>
            <w:r w:rsidRPr="00F1313B">
              <w:t>38 (7.6%)</w:t>
            </w:r>
          </w:p>
        </w:tc>
        <w:tc>
          <w:tcPr>
            <w:tcW w:w="1041" w:type="pct"/>
          </w:tcPr>
          <w:p w:rsidR="00675F6E" w:rsidRPr="00F1313B" w:rsidRDefault="00675F6E" w:rsidP="00107D96">
            <w:pPr>
              <w:pStyle w:val="Tabletext"/>
              <w:keepNext/>
              <w:jc w:val="center"/>
              <w:rPr>
                <w:b/>
              </w:rPr>
            </w:pPr>
            <w:r w:rsidRPr="00F1313B">
              <w:rPr>
                <w:b/>
              </w:rPr>
              <w:t>0.26 (0.22, 0.31)</w:t>
            </w:r>
          </w:p>
        </w:tc>
        <w:tc>
          <w:tcPr>
            <w:tcW w:w="895" w:type="pct"/>
          </w:tcPr>
          <w:p w:rsidR="00675F6E" w:rsidRPr="00F1313B" w:rsidRDefault="00675F6E" w:rsidP="00107D96">
            <w:pPr>
              <w:pStyle w:val="Tabletext"/>
              <w:keepNext/>
              <w:jc w:val="center"/>
              <w:rPr>
                <w:b/>
              </w:rPr>
            </w:pPr>
            <w:r w:rsidRPr="00F1313B">
              <w:rPr>
                <w:b/>
              </w:rPr>
              <w:t>4.49 (3.23, 6.24)</w:t>
            </w:r>
          </w:p>
        </w:tc>
      </w:tr>
      <w:tr w:rsidR="00675F6E" w:rsidRPr="00F1313B" w:rsidTr="00C0025C">
        <w:tc>
          <w:tcPr>
            <w:tcW w:w="1459" w:type="pct"/>
          </w:tcPr>
          <w:p w:rsidR="00675F6E" w:rsidRPr="00F1313B" w:rsidRDefault="00675F6E" w:rsidP="00107D96">
            <w:pPr>
              <w:pStyle w:val="Tabletext"/>
              <w:keepNext/>
            </w:pPr>
            <w:r w:rsidRPr="00F1313B">
              <w:t>Treatment-related</w:t>
            </w:r>
          </w:p>
        </w:tc>
        <w:tc>
          <w:tcPr>
            <w:tcW w:w="802" w:type="pct"/>
          </w:tcPr>
          <w:p w:rsidR="00675F6E" w:rsidRPr="00F1313B" w:rsidRDefault="00675F6E" w:rsidP="00107D96">
            <w:pPr>
              <w:pStyle w:val="Tabletext"/>
              <w:keepNext/>
              <w:jc w:val="center"/>
            </w:pPr>
            <w:r w:rsidRPr="00F1313B">
              <w:t>162 (31.8%)</w:t>
            </w:r>
          </w:p>
        </w:tc>
        <w:tc>
          <w:tcPr>
            <w:tcW w:w="802" w:type="pct"/>
            <w:gridSpan w:val="2"/>
          </w:tcPr>
          <w:p w:rsidR="00675F6E" w:rsidRPr="00F1313B" w:rsidRDefault="00675F6E" w:rsidP="00107D96">
            <w:pPr>
              <w:pStyle w:val="Tabletext"/>
              <w:keepNext/>
              <w:jc w:val="center"/>
            </w:pPr>
            <w:r w:rsidRPr="00F1313B">
              <w:t>28 (5.6%)</w:t>
            </w:r>
          </w:p>
        </w:tc>
        <w:tc>
          <w:tcPr>
            <w:tcW w:w="1041" w:type="pct"/>
          </w:tcPr>
          <w:p w:rsidR="00675F6E" w:rsidRPr="00F1313B" w:rsidRDefault="00675F6E" w:rsidP="00107D96">
            <w:pPr>
              <w:pStyle w:val="Tabletext"/>
              <w:keepNext/>
              <w:jc w:val="center"/>
              <w:rPr>
                <w:b/>
              </w:rPr>
            </w:pPr>
            <w:r w:rsidRPr="00F1313B">
              <w:rPr>
                <w:b/>
              </w:rPr>
              <w:t>0.26 (0.22, 0.31)</w:t>
            </w:r>
          </w:p>
        </w:tc>
        <w:tc>
          <w:tcPr>
            <w:tcW w:w="895" w:type="pct"/>
          </w:tcPr>
          <w:p w:rsidR="00675F6E" w:rsidRPr="00F1313B" w:rsidRDefault="00675F6E" w:rsidP="00107D96">
            <w:pPr>
              <w:pStyle w:val="Tabletext"/>
              <w:keepNext/>
              <w:jc w:val="center"/>
              <w:rPr>
                <w:b/>
              </w:rPr>
            </w:pPr>
            <w:r w:rsidRPr="00F1313B">
              <w:rPr>
                <w:b/>
              </w:rPr>
              <w:t>5.71 (3.90, 8.36)</w:t>
            </w:r>
          </w:p>
        </w:tc>
      </w:tr>
      <w:tr w:rsidR="00675F6E" w:rsidRPr="00F1313B" w:rsidTr="00C0025C">
        <w:tc>
          <w:tcPr>
            <w:tcW w:w="1459" w:type="pct"/>
          </w:tcPr>
          <w:p w:rsidR="00675F6E" w:rsidRPr="00F1313B" w:rsidRDefault="00675F6E" w:rsidP="00107D96">
            <w:pPr>
              <w:pStyle w:val="Tabletext"/>
              <w:keepNext/>
            </w:pPr>
            <w:r w:rsidRPr="00F1313B">
              <w:t>Grade 3-5</w:t>
            </w:r>
          </w:p>
        </w:tc>
        <w:tc>
          <w:tcPr>
            <w:tcW w:w="802" w:type="pct"/>
          </w:tcPr>
          <w:p w:rsidR="00675F6E" w:rsidRPr="00F1313B" w:rsidRDefault="00675F6E" w:rsidP="00107D96">
            <w:pPr>
              <w:pStyle w:val="Tabletext"/>
              <w:keepNext/>
              <w:jc w:val="center"/>
            </w:pPr>
            <w:r w:rsidRPr="00F1313B">
              <w:t>36 (7.1%)</w:t>
            </w:r>
          </w:p>
        </w:tc>
        <w:tc>
          <w:tcPr>
            <w:tcW w:w="802" w:type="pct"/>
            <w:gridSpan w:val="2"/>
          </w:tcPr>
          <w:p w:rsidR="00675F6E" w:rsidRPr="00F1313B" w:rsidRDefault="00675F6E" w:rsidP="00107D96">
            <w:pPr>
              <w:pStyle w:val="Tabletext"/>
              <w:keepNext/>
              <w:jc w:val="center"/>
            </w:pPr>
            <w:r w:rsidRPr="00F1313B">
              <w:t>3 (0.6%)</w:t>
            </w:r>
          </w:p>
        </w:tc>
        <w:tc>
          <w:tcPr>
            <w:tcW w:w="1041" w:type="pct"/>
          </w:tcPr>
          <w:p w:rsidR="00675F6E" w:rsidRPr="00F1313B" w:rsidRDefault="00675F6E" w:rsidP="00107D96">
            <w:pPr>
              <w:pStyle w:val="Tabletext"/>
              <w:keepNext/>
              <w:jc w:val="center"/>
              <w:rPr>
                <w:b/>
              </w:rPr>
            </w:pPr>
            <w:r w:rsidRPr="00F1313B">
              <w:rPr>
                <w:b/>
              </w:rPr>
              <w:t>0.06 (0.04, 0.09)</w:t>
            </w:r>
          </w:p>
        </w:tc>
        <w:tc>
          <w:tcPr>
            <w:tcW w:w="895" w:type="pct"/>
          </w:tcPr>
          <w:p w:rsidR="00675F6E" w:rsidRPr="00F1313B" w:rsidRDefault="00675F6E" w:rsidP="00107D96">
            <w:pPr>
              <w:pStyle w:val="Tabletext"/>
              <w:keepNext/>
              <w:jc w:val="center"/>
              <w:rPr>
                <w:b/>
              </w:rPr>
            </w:pPr>
            <w:r w:rsidRPr="00F1313B">
              <w:rPr>
                <w:b/>
              </w:rPr>
              <w:t>11.83 (3.67, 38.18)</w:t>
            </w:r>
          </w:p>
        </w:tc>
      </w:tr>
      <w:tr w:rsidR="00675F6E" w:rsidRPr="00F1313B" w:rsidTr="00C0025C">
        <w:tc>
          <w:tcPr>
            <w:tcW w:w="1459" w:type="pct"/>
          </w:tcPr>
          <w:p w:rsidR="00675F6E" w:rsidRPr="00F1313B" w:rsidRDefault="00675F6E" w:rsidP="00107D96">
            <w:pPr>
              <w:pStyle w:val="Tabletext"/>
              <w:keepNext/>
            </w:pPr>
            <w:r w:rsidRPr="00F1313B">
              <w:t>Leading to discontinuation</w:t>
            </w:r>
          </w:p>
        </w:tc>
        <w:tc>
          <w:tcPr>
            <w:tcW w:w="802" w:type="pct"/>
          </w:tcPr>
          <w:p w:rsidR="00675F6E" w:rsidRPr="00F1313B" w:rsidRDefault="00675F6E" w:rsidP="00107D96">
            <w:pPr>
              <w:pStyle w:val="Tabletext"/>
              <w:keepNext/>
              <w:jc w:val="center"/>
            </w:pPr>
            <w:r w:rsidRPr="00F1313B">
              <w:t>33 (6.5%)</w:t>
            </w:r>
          </w:p>
        </w:tc>
        <w:tc>
          <w:tcPr>
            <w:tcW w:w="802" w:type="pct"/>
            <w:gridSpan w:val="2"/>
          </w:tcPr>
          <w:p w:rsidR="00675F6E" w:rsidRPr="00F1313B" w:rsidRDefault="00675F6E" w:rsidP="00107D96">
            <w:pPr>
              <w:pStyle w:val="Tabletext"/>
              <w:keepNext/>
              <w:jc w:val="center"/>
            </w:pPr>
            <w:r w:rsidRPr="00F1313B">
              <w:t>6 (1.2%)</w:t>
            </w:r>
          </w:p>
        </w:tc>
        <w:tc>
          <w:tcPr>
            <w:tcW w:w="1041" w:type="pct"/>
          </w:tcPr>
          <w:p w:rsidR="00675F6E" w:rsidRPr="00F1313B" w:rsidRDefault="00675F6E" w:rsidP="00107D96">
            <w:pPr>
              <w:pStyle w:val="Tabletext"/>
              <w:keepNext/>
              <w:jc w:val="center"/>
              <w:rPr>
                <w:b/>
              </w:rPr>
            </w:pPr>
            <w:r w:rsidRPr="00F1313B">
              <w:rPr>
                <w:b/>
              </w:rPr>
              <w:t>0.05 (0.03, 0.08)</w:t>
            </w:r>
          </w:p>
        </w:tc>
        <w:tc>
          <w:tcPr>
            <w:tcW w:w="895" w:type="pct"/>
          </w:tcPr>
          <w:p w:rsidR="00675F6E" w:rsidRPr="00F1313B" w:rsidRDefault="00675F6E" w:rsidP="00107D96">
            <w:pPr>
              <w:pStyle w:val="Tabletext"/>
              <w:keepNext/>
              <w:jc w:val="center"/>
              <w:rPr>
                <w:b/>
              </w:rPr>
            </w:pPr>
            <w:r w:rsidRPr="00F1313B">
              <w:rPr>
                <w:b/>
              </w:rPr>
              <w:t>5.42 (2.29, 12.83)</w:t>
            </w:r>
          </w:p>
        </w:tc>
      </w:tr>
      <w:tr w:rsidR="00675F6E" w:rsidRPr="00F1313B" w:rsidTr="00C0025C">
        <w:tc>
          <w:tcPr>
            <w:tcW w:w="1459" w:type="pct"/>
          </w:tcPr>
          <w:p w:rsidR="00675F6E" w:rsidRPr="00F1313B" w:rsidRDefault="00675F6E" w:rsidP="00107D96">
            <w:pPr>
              <w:pStyle w:val="Tabletext"/>
              <w:keepNext/>
            </w:pPr>
            <w:r w:rsidRPr="00F1313B">
              <w:t>Death</w:t>
            </w:r>
          </w:p>
        </w:tc>
        <w:tc>
          <w:tcPr>
            <w:tcW w:w="802" w:type="pct"/>
          </w:tcPr>
          <w:p w:rsidR="00675F6E" w:rsidRPr="00F1313B" w:rsidRDefault="00675F6E" w:rsidP="00107D96">
            <w:pPr>
              <w:pStyle w:val="Tabletext"/>
              <w:keepNext/>
              <w:jc w:val="center"/>
            </w:pPr>
            <w:r w:rsidRPr="00F1313B">
              <w:t xml:space="preserve">0 </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pPr>
            <w:r w:rsidRPr="00F1313B">
              <w:t>0.00</w:t>
            </w:r>
          </w:p>
        </w:tc>
        <w:tc>
          <w:tcPr>
            <w:tcW w:w="895" w:type="pct"/>
          </w:tcPr>
          <w:p w:rsidR="00675F6E" w:rsidRPr="00F1313B" w:rsidRDefault="00675F6E" w:rsidP="00107D96">
            <w:pPr>
              <w:pStyle w:val="Tabletext"/>
              <w:keepNext/>
              <w:jc w:val="center"/>
            </w:pPr>
            <w:r w:rsidRPr="00F1313B">
              <w:t>–</w:t>
            </w:r>
          </w:p>
        </w:tc>
      </w:tr>
      <w:tr w:rsidR="00675F6E" w:rsidRPr="00F1313B" w:rsidTr="00C0025C">
        <w:tc>
          <w:tcPr>
            <w:tcW w:w="5000" w:type="pct"/>
            <w:gridSpan w:val="6"/>
          </w:tcPr>
          <w:p w:rsidR="00675F6E" w:rsidRPr="00F1313B" w:rsidRDefault="00675F6E" w:rsidP="00107D96">
            <w:pPr>
              <w:pStyle w:val="Tabletext"/>
              <w:keepNext/>
              <w:rPr>
                <w:b/>
              </w:rPr>
            </w:pPr>
            <w:r w:rsidRPr="00F1313B">
              <w:rPr>
                <w:b/>
              </w:rPr>
              <w:t>Frequent AEOSI, any grade (≥</w:t>
            </w:r>
            <w:r w:rsidR="00764779">
              <w:rPr>
                <w:b/>
              </w:rPr>
              <w:t xml:space="preserve"> </w:t>
            </w:r>
            <w:r w:rsidRPr="00F1313B">
              <w:rPr>
                <w:b/>
              </w:rPr>
              <w:t>1% of patients in either arm)</w:t>
            </w:r>
            <w:r w:rsidR="003E0055" w:rsidRPr="00F1313B">
              <w:rPr>
                <w:b/>
                <w:vertAlign w:val="superscript"/>
              </w:rPr>
              <w:t>b</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Hypothyroidism</w:t>
            </w:r>
          </w:p>
        </w:tc>
        <w:tc>
          <w:tcPr>
            <w:tcW w:w="802" w:type="pct"/>
          </w:tcPr>
          <w:p w:rsidR="00675F6E" w:rsidRPr="00F1313B" w:rsidRDefault="00675F6E" w:rsidP="00107D96">
            <w:pPr>
              <w:pStyle w:val="Tabletext"/>
              <w:keepNext/>
              <w:jc w:val="center"/>
            </w:pPr>
            <w:r w:rsidRPr="00F1313B">
              <w:t>75 (14.7%)</w:t>
            </w:r>
          </w:p>
        </w:tc>
        <w:tc>
          <w:tcPr>
            <w:tcW w:w="802" w:type="pct"/>
            <w:gridSpan w:val="2"/>
          </w:tcPr>
          <w:p w:rsidR="00675F6E" w:rsidRPr="00F1313B" w:rsidRDefault="00675F6E" w:rsidP="00107D96">
            <w:pPr>
              <w:pStyle w:val="Tabletext"/>
              <w:keepNext/>
              <w:jc w:val="center"/>
            </w:pPr>
            <w:r w:rsidRPr="00F1313B">
              <w:t>14 (2.8%)</w:t>
            </w:r>
          </w:p>
        </w:tc>
        <w:tc>
          <w:tcPr>
            <w:tcW w:w="1041" w:type="pct"/>
          </w:tcPr>
          <w:p w:rsidR="00675F6E" w:rsidRPr="00F1313B" w:rsidRDefault="00675F6E" w:rsidP="00107D96">
            <w:pPr>
              <w:pStyle w:val="Tabletext"/>
              <w:keepNext/>
              <w:jc w:val="center"/>
              <w:rPr>
                <w:b/>
              </w:rPr>
            </w:pPr>
            <w:r w:rsidRPr="00F1313B">
              <w:rPr>
                <w:b/>
              </w:rPr>
              <w:t>0.12 (0.09, 0.15)</w:t>
            </w:r>
          </w:p>
        </w:tc>
        <w:tc>
          <w:tcPr>
            <w:tcW w:w="895" w:type="pct"/>
          </w:tcPr>
          <w:p w:rsidR="00675F6E" w:rsidRPr="00F1313B" w:rsidRDefault="00675F6E" w:rsidP="00107D96">
            <w:pPr>
              <w:pStyle w:val="Tabletext"/>
              <w:keepNext/>
              <w:jc w:val="center"/>
              <w:rPr>
                <w:b/>
              </w:rPr>
            </w:pPr>
            <w:r w:rsidRPr="00F1313B">
              <w:rPr>
                <w:b/>
              </w:rPr>
              <w:t>5.28 (3.03, 9.22)</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 xml:space="preserve">Hyperthyroidism </w:t>
            </w:r>
          </w:p>
        </w:tc>
        <w:tc>
          <w:tcPr>
            <w:tcW w:w="802" w:type="pct"/>
          </w:tcPr>
          <w:p w:rsidR="00675F6E" w:rsidRPr="00F1313B" w:rsidRDefault="00675F6E" w:rsidP="00107D96">
            <w:pPr>
              <w:pStyle w:val="Tabletext"/>
              <w:keepNext/>
              <w:jc w:val="center"/>
            </w:pPr>
            <w:r w:rsidRPr="00F1313B">
              <w:t>53 (10.4%)</w:t>
            </w:r>
          </w:p>
        </w:tc>
        <w:tc>
          <w:tcPr>
            <w:tcW w:w="802" w:type="pct"/>
            <w:gridSpan w:val="2"/>
          </w:tcPr>
          <w:p w:rsidR="00675F6E" w:rsidRPr="00F1313B" w:rsidRDefault="00675F6E" w:rsidP="00107D96">
            <w:pPr>
              <w:pStyle w:val="Tabletext"/>
              <w:keepNext/>
              <w:jc w:val="center"/>
            </w:pPr>
            <w:r w:rsidRPr="00F1313B">
              <w:t>6 (1.2%)</w:t>
            </w:r>
          </w:p>
        </w:tc>
        <w:tc>
          <w:tcPr>
            <w:tcW w:w="1041" w:type="pct"/>
          </w:tcPr>
          <w:p w:rsidR="00675F6E" w:rsidRPr="00F1313B" w:rsidRDefault="00675F6E" w:rsidP="00107D96">
            <w:pPr>
              <w:pStyle w:val="Tabletext"/>
              <w:keepNext/>
              <w:jc w:val="center"/>
              <w:rPr>
                <w:b/>
              </w:rPr>
            </w:pPr>
            <w:r w:rsidRPr="00F1313B">
              <w:rPr>
                <w:b/>
              </w:rPr>
              <w:t>0.09 (0.06, 0.12)</w:t>
            </w:r>
          </w:p>
        </w:tc>
        <w:tc>
          <w:tcPr>
            <w:tcW w:w="895" w:type="pct"/>
          </w:tcPr>
          <w:p w:rsidR="00675F6E" w:rsidRPr="00F1313B" w:rsidRDefault="00675F6E" w:rsidP="00107D96">
            <w:pPr>
              <w:pStyle w:val="Tabletext"/>
              <w:keepNext/>
              <w:jc w:val="center"/>
              <w:rPr>
                <w:b/>
              </w:rPr>
            </w:pPr>
            <w:r w:rsidRPr="00F1313B">
              <w:rPr>
                <w:b/>
              </w:rPr>
              <w:t>8.71 (3.78, 20.08)</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 xml:space="preserve">Pneumonitis </w:t>
            </w:r>
          </w:p>
        </w:tc>
        <w:tc>
          <w:tcPr>
            <w:tcW w:w="802" w:type="pct"/>
          </w:tcPr>
          <w:p w:rsidR="00675F6E" w:rsidRPr="00F1313B" w:rsidRDefault="00675F6E" w:rsidP="00107D96">
            <w:pPr>
              <w:pStyle w:val="Tabletext"/>
              <w:keepNext/>
              <w:jc w:val="center"/>
            </w:pPr>
            <w:r w:rsidRPr="00F1313B">
              <w:t>16 (3.1%)</w:t>
            </w:r>
          </w:p>
        </w:tc>
        <w:tc>
          <w:tcPr>
            <w:tcW w:w="802" w:type="pct"/>
            <w:gridSpan w:val="2"/>
          </w:tcPr>
          <w:p w:rsidR="00675F6E" w:rsidRPr="00F1313B" w:rsidRDefault="00675F6E" w:rsidP="00107D96">
            <w:pPr>
              <w:pStyle w:val="Tabletext"/>
              <w:keepNext/>
              <w:jc w:val="center"/>
            </w:pPr>
            <w:r w:rsidRPr="00F1313B">
              <w:t>3 (0.6%)</w:t>
            </w:r>
          </w:p>
        </w:tc>
        <w:tc>
          <w:tcPr>
            <w:tcW w:w="1041" w:type="pct"/>
          </w:tcPr>
          <w:p w:rsidR="00675F6E" w:rsidRPr="00F1313B" w:rsidRDefault="00675F6E" w:rsidP="00107D96">
            <w:pPr>
              <w:pStyle w:val="Tabletext"/>
              <w:keepNext/>
              <w:jc w:val="center"/>
              <w:rPr>
                <w:b/>
              </w:rPr>
            </w:pPr>
            <w:r w:rsidRPr="00F1313B">
              <w:rPr>
                <w:b/>
              </w:rPr>
              <w:t>0.03 (0.01, 0.04)</w:t>
            </w:r>
          </w:p>
        </w:tc>
        <w:tc>
          <w:tcPr>
            <w:tcW w:w="895" w:type="pct"/>
          </w:tcPr>
          <w:p w:rsidR="00675F6E" w:rsidRPr="00F1313B" w:rsidRDefault="00675F6E" w:rsidP="00107D96">
            <w:pPr>
              <w:pStyle w:val="Tabletext"/>
              <w:keepNext/>
              <w:jc w:val="center"/>
              <w:rPr>
                <w:b/>
              </w:rPr>
            </w:pPr>
            <w:r w:rsidRPr="00F1313B">
              <w:rPr>
                <w:b/>
              </w:rPr>
              <w:t>5.26 (1.54, 17.94)</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Thyroiditis</w:t>
            </w:r>
          </w:p>
        </w:tc>
        <w:tc>
          <w:tcPr>
            <w:tcW w:w="802" w:type="pct"/>
          </w:tcPr>
          <w:p w:rsidR="00675F6E" w:rsidRPr="00F1313B" w:rsidRDefault="00675F6E" w:rsidP="00107D96">
            <w:pPr>
              <w:pStyle w:val="Tabletext"/>
              <w:keepNext/>
              <w:jc w:val="center"/>
            </w:pPr>
            <w:r w:rsidRPr="00F1313B">
              <w:t>12 (2.4%)</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rPr>
                <w:b/>
              </w:rPr>
            </w:pPr>
            <w:r w:rsidRPr="00F1313B">
              <w:rPr>
                <w:b/>
              </w:rPr>
              <w:t>0.02 (0.01, 0.04)</w:t>
            </w:r>
          </w:p>
        </w:tc>
        <w:tc>
          <w:tcPr>
            <w:tcW w:w="895" w:type="pct"/>
          </w:tcPr>
          <w:p w:rsidR="00675F6E" w:rsidRPr="00436979" w:rsidRDefault="00675F6E" w:rsidP="00107D96">
            <w:pPr>
              <w:pStyle w:val="Tabletext"/>
              <w:keepNext/>
              <w:jc w:val="center"/>
            </w:pPr>
            <w:r w:rsidRPr="00436979">
              <w:t>–</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Colitis</w:t>
            </w:r>
          </w:p>
        </w:tc>
        <w:tc>
          <w:tcPr>
            <w:tcW w:w="802" w:type="pct"/>
          </w:tcPr>
          <w:p w:rsidR="00675F6E" w:rsidRPr="00F1313B" w:rsidRDefault="00675F6E" w:rsidP="00107D96">
            <w:pPr>
              <w:pStyle w:val="Tabletext"/>
              <w:keepNext/>
              <w:jc w:val="center"/>
            </w:pPr>
            <w:r w:rsidRPr="00F1313B">
              <w:t>13 (2.6%)</w:t>
            </w:r>
          </w:p>
        </w:tc>
        <w:tc>
          <w:tcPr>
            <w:tcW w:w="802" w:type="pct"/>
            <w:gridSpan w:val="2"/>
          </w:tcPr>
          <w:p w:rsidR="00675F6E" w:rsidRPr="00F1313B" w:rsidRDefault="00675F6E" w:rsidP="00107D96">
            <w:pPr>
              <w:pStyle w:val="Tabletext"/>
              <w:keepNext/>
              <w:jc w:val="center"/>
            </w:pPr>
            <w:r w:rsidRPr="00F1313B">
              <w:t>2 (0.4%)</w:t>
            </w:r>
          </w:p>
        </w:tc>
        <w:tc>
          <w:tcPr>
            <w:tcW w:w="1041" w:type="pct"/>
          </w:tcPr>
          <w:p w:rsidR="00675F6E" w:rsidRPr="00F1313B" w:rsidRDefault="00675F6E" w:rsidP="00107D96">
            <w:pPr>
              <w:pStyle w:val="Tabletext"/>
              <w:keepNext/>
              <w:jc w:val="center"/>
              <w:rPr>
                <w:b/>
              </w:rPr>
            </w:pPr>
            <w:r w:rsidRPr="00F1313B">
              <w:rPr>
                <w:b/>
              </w:rPr>
              <w:t>0.02 (0.01, 0.04)</w:t>
            </w:r>
          </w:p>
        </w:tc>
        <w:tc>
          <w:tcPr>
            <w:tcW w:w="895" w:type="pct"/>
          </w:tcPr>
          <w:p w:rsidR="00675F6E" w:rsidRPr="00F1313B" w:rsidRDefault="00675F6E" w:rsidP="00107D96">
            <w:pPr>
              <w:pStyle w:val="Tabletext"/>
              <w:keepNext/>
              <w:jc w:val="center"/>
              <w:rPr>
                <w:b/>
              </w:rPr>
            </w:pPr>
            <w:r w:rsidRPr="00F1313B">
              <w:rPr>
                <w:b/>
              </w:rPr>
              <w:t>6.41 (1.45, 28.26)</w:t>
            </w:r>
          </w:p>
        </w:tc>
      </w:tr>
      <w:tr w:rsidR="00675F6E" w:rsidRPr="00F1313B" w:rsidTr="00C0025C">
        <w:tc>
          <w:tcPr>
            <w:tcW w:w="1459" w:type="pct"/>
          </w:tcPr>
          <w:p w:rsidR="00675F6E" w:rsidRPr="00F1313B" w:rsidRDefault="00436979" w:rsidP="00436979">
            <w:pPr>
              <w:pStyle w:val="Tabletext"/>
              <w:keepNext/>
            </w:pPr>
            <w:r>
              <w:t xml:space="preserve">    </w:t>
            </w:r>
            <w:proofErr w:type="spellStart"/>
            <w:r w:rsidR="00675F6E" w:rsidRPr="00F1313B">
              <w:t>Hypophysitis</w:t>
            </w:r>
            <w:proofErr w:type="spellEnd"/>
          </w:p>
        </w:tc>
        <w:tc>
          <w:tcPr>
            <w:tcW w:w="802" w:type="pct"/>
          </w:tcPr>
          <w:p w:rsidR="00675F6E" w:rsidRPr="00F1313B" w:rsidRDefault="00675F6E" w:rsidP="00107D96">
            <w:pPr>
              <w:pStyle w:val="Tabletext"/>
              <w:keepNext/>
              <w:jc w:val="center"/>
            </w:pPr>
            <w:r w:rsidRPr="00F1313B">
              <w:t>8 (1.6%)</w:t>
            </w:r>
          </w:p>
        </w:tc>
        <w:tc>
          <w:tcPr>
            <w:tcW w:w="802" w:type="pct"/>
            <w:gridSpan w:val="2"/>
          </w:tcPr>
          <w:p w:rsidR="00675F6E" w:rsidRPr="00F1313B" w:rsidRDefault="00675F6E" w:rsidP="00107D96">
            <w:pPr>
              <w:pStyle w:val="Tabletext"/>
              <w:keepNext/>
              <w:jc w:val="center"/>
            </w:pPr>
            <w:r w:rsidRPr="00F1313B">
              <w:t xml:space="preserve">0 </w:t>
            </w:r>
          </w:p>
        </w:tc>
        <w:tc>
          <w:tcPr>
            <w:tcW w:w="1041" w:type="pct"/>
          </w:tcPr>
          <w:p w:rsidR="00675F6E" w:rsidRPr="00F1313B" w:rsidRDefault="00675F6E" w:rsidP="00107D96">
            <w:pPr>
              <w:pStyle w:val="Tabletext"/>
              <w:keepNext/>
              <w:jc w:val="center"/>
              <w:rPr>
                <w:b/>
              </w:rPr>
            </w:pPr>
            <w:r w:rsidRPr="00F1313B">
              <w:rPr>
                <w:b/>
              </w:rPr>
              <w:t>0.02 (0.00, 0.03)</w:t>
            </w:r>
          </w:p>
        </w:tc>
        <w:tc>
          <w:tcPr>
            <w:tcW w:w="895" w:type="pct"/>
          </w:tcPr>
          <w:p w:rsidR="00675F6E" w:rsidRPr="00436979" w:rsidRDefault="00675F6E" w:rsidP="00107D96">
            <w:pPr>
              <w:pStyle w:val="Tabletext"/>
              <w:keepNext/>
              <w:jc w:val="center"/>
            </w:pPr>
            <w:r w:rsidRPr="00436979">
              <w:t>–</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Sarcoidosis</w:t>
            </w:r>
          </w:p>
        </w:tc>
        <w:tc>
          <w:tcPr>
            <w:tcW w:w="802" w:type="pct"/>
          </w:tcPr>
          <w:p w:rsidR="00675F6E" w:rsidRPr="00F1313B" w:rsidRDefault="00675F6E" w:rsidP="00107D96">
            <w:pPr>
              <w:pStyle w:val="Tabletext"/>
              <w:keepNext/>
              <w:jc w:val="center"/>
            </w:pPr>
            <w:r w:rsidRPr="00F1313B">
              <w:t>7 (1.4%)</w:t>
            </w:r>
          </w:p>
        </w:tc>
        <w:tc>
          <w:tcPr>
            <w:tcW w:w="802" w:type="pct"/>
            <w:gridSpan w:val="2"/>
          </w:tcPr>
          <w:p w:rsidR="00675F6E" w:rsidRPr="00F1313B" w:rsidRDefault="003F48CA" w:rsidP="00107D96">
            <w:pPr>
              <w:pStyle w:val="Tabletext"/>
              <w:keepNext/>
              <w:jc w:val="center"/>
            </w:pPr>
            <w:r w:rsidRPr="00F1313B">
              <w:t>0</w:t>
            </w:r>
          </w:p>
        </w:tc>
        <w:tc>
          <w:tcPr>
            <w:tcW w:w="1041" w:type="pct"/>
          </w:tcPr>
          <w:p w:rsidR="00675F6E" w:rsidRPr="00F1313B" w:rsidRDefault="00675F6E" w:rsidP="00107D96">
            <w:pPr>
              <w:pStyle w:val="Tabletext"/>
              <w:keepNext/>
              <w:jc w:val="center"/>
              <w:rPr>
                <w:b/>
              </w:rPr>
            </w:pPr>
            <w:r w:rsidRPr="00F1313B">
              <w:rPr>
                <w:b/>
              </w:rPr>
              <w:t>0.01 (0.00, 0.02)</w:t>
            </w:r>
          </w:p>
        </w:tc>
        <w:tc>
          <w:tcPr>
            <w:tcW w:w="895" w:type="pct"/>
          </w:tcPr>
          <w:p w:rsidR="00675F6E" w:rsidRPr="00436979" w:rsidRDefault="00675F6E" w:rsidP="00107D96">
            <w:pPr>
              <w:pStyle w:val="Tabletext"/>
              <w:keepNext/>
              <w:jc w:val="center"/>
            </w:pPr>
            <w:r w:rsidRPr="00436979">
              <w:t>–</w:t>
            </w:r>
          </w:p>
        </w:tc>
      </w:tr>
      <w:tr w:rsidR="00675F6E" w:rsidRPr="00F1313B" w:rsidTr="00C0025C">
        <w:tc>
          <w:tcPr>
            <w:tcW w:w="1459" w:type="pct"/>
          </w:tcPr>
          <w:p w:rsidR="00675F6E" w:rsidRPr="00F1313B" w:rsidRDefault="00436979" w:rsidP="00436979">
            <w:pPr>
              <w:pStyle w:val="Tabletext"/>
              <w:keepNext/>
            </w:pPr>
            <w:r>
              <w:t xml:space="preserve">    </w:t>
            </w:r>
            <w:r w:rsidR="00675F6E" w:rsidRPr="00F1313B">
              <w:t>Hepatitis</w:t>
            </w:r>
          </w:p>
        </w:tc>
        <w:tc>
          <w:tcPr>
            <w:tcW w:w="802" w:type="pct"/>
          </w:tcPr>
          <w:p w:rsidR="00675F6E" w:rsidRPr="00F1313B" w:rsidRDefault="00675F6E" w:rsidP="00107D96">
            <w:pPr>
              <w:pStyle w:val="Tabletext"/>
              <w:keepNext/>
              <w:jc w:val="center"/>
            </w:pPr>
            <w:r w:rsidRPr="00F1313B">
              <w:t>6 (1.2%)</w:t>
            </w:r>
          </w:p>
        </w:tc>
        <w:tc>
          <w:tcPr>
            <w:tcW w:w="802" w:type="pct"/>
            <w:gridSpan w:val="2"/>
          </w:tcPr>
          <w:p w:rsidR="00675F6E" w:rsidRPr="00F1313B" w:rsidRDefault="00675F6E" w:rsidP="00107D96">
            <w:pPr>
              <w:pStyle w:val="Tabletext"/>
              <w:keepNext/>
              <w:jc w:val="center"/>
            </w:pPr>
            <w:r w:rsidRPr="00F1313B">
              <w:t>1 (0.2%)</w:t>
            </w:r>
          </w:p>
        </w:tc>
        <w:tc>
          <w:tcPr>
            <w:tcW w:w="1041" w:type="pct"/>
          </w:tcPr>
          <w:p w:rsidR="00675F6E" w:rsidRPr="00F1313B" w:rsidRDefault="00675F6E" w:rsidP="00107D96">
            <w:pPr>
              <w:pStyle w:val="Tabletext"/>
              <w:keepNext/>
              <w:jc w:val="center"/>
            </w:pPr>
            <w:r w:rsidRPr="00F1313B">
              <w:t>0.01 (0, 0.02)</w:t>
            </w:r>
          </w:p>
        </w:tc>
        <w:tc>
          <w:tcPr>
            <w:tcW w:w="895" w:type="pct"/>
          </w:tcPr>
          <w:p w:rsidR="00675F6E" w:rsidRPr="00F1313B" w:rsidRDefault="00675F6E" w:rsidP="00107D96">
            <w:pPr>
              <w:pStyle w:val="Tabletext"/>
              <w:keepNext/>
              <w:jc w:val="center"/>
            </w:pPr>
            <w:r w:rsidRPr="00F1313B">
              <w:t>5.92 (0.71, 48.98)</w:t>
            </w:r>
          </w:p>
        </w:tc>
      </w:tr>
    </w:tbl>
    <w:p w:rsidR="00675F6E" w:rsidRPr="00F1313B" w:rsidRDefault="00675F6E" w:rsidP="00675F6E">
      <w:pPr>
        <w:pStyle w:val="TableFooter"/>
        <w:rPr>
          <w:b/>
        </w:rPr>
      </w:pPr>
      <w:r w:rsidRPr="00F1313B">
        <w:rPr>
          <w:b/>
        </w:rPr>
        <w:t>Note: Statistically significant results are bolded</w:t>
      </w:r>
    </w:p>
    <w:p w:rsidR="00675F6E" w:rsidRPr="00F1313B" w:rsidRDefault="00675F6E" w:rsidP="00675F6E">
      <w:pPr>
        <w:pStyle w:val="TableFooter"/>
      </w:pPr>
      <w:r w:rsidRPr="00F1313B">
        <w:t>AE = adverse events;</w:t>
      </w:r>
      <w:r w:rsidR="00436979">
        <w:t xml:space="preserve"> AEOSI = adverse event of special interest;</w:t>
      </w:r>
      <w:r w:rsidRPr="00F1313B">
        <w:t xml:space="preserve"> CI = confidence interval</w:t>
      </w:r>
    </w:p>
    <w:p w:rsidR="00675F6E" w:rsidRPr="00F1313B" w:rsidRDefault="00675F6E" w:rsidP="00675F6E">
      <w:pPr>
        <w:pStyle w:val="TableFooter"/>
      </w:pPr>
      <w:proofErr w:type="gramStart"/>
      <w:r w:rsidRPr="00F1313B">
        <w:rPr>
          <w:vertAlign w:val="superscript"/>
        </w:rPr>
        <w:t>a</w:t>
      </w:r>
      <w:proofErr w:type="gramEnd"/>
      <w:r w:rsidRPr="00F1313B">
        <w:t xml:space="preserve"> </w:t>
      </w:r>
      <w:proofErr w:type="spellStart"/>
      <w:r w:rsidR="005D571F" w:rsidRPr="00F1313B">
        <w:t>A</w:t>
      </w:r>
      <w:proofErr w:type="spellEnd"/>
      <w:r w:rsidR="005D571F" w:rsidRPr="00F1313B">
        <w:t xml:space="preserve"> total of 8 randomised subjects did not receive treatment with either </w:t>
      </w:r>
      <w:proofErr w:type="spellStart"/>
      <w:r w:rsidR="005D571F" w:rsidRPr="00F1313B">
        <w:t>pembrolizumab</w:t>
      </w:r>
      <w:proofErr w:type="spellEnd"/>
      <w:r w:rsidR="005D571F" w:rsidRPr="00F1313B">
        <w:t xml:space="preserve"> or placebo. Five subjects randomised to </w:t>
      </w:r>
      <w:proofErr w:type="spellStart"/>
      <w:r w:rsidR="005D571F" w:rsidRPr="00F1313B">
        <w:t>pembrolizumab</w:t>
      </w:r>
      <w:proofErr w:type="spellEnd"/>
      <w:r w:rsidR="005D571F" w:rsidRPr="00F1313B">
        <w:t xml:space="preserve"> did not receive treatment due to subject withdrawal (3 subjects), ineligibility due to brain metastasis (1 subject), and other reason (1 subject). Three subjects randomised to placebo did not receive treatment due to subject withdrawal (2 subjects) and progressive disease (1 subject).</w:t>
      </w:r>
    </w:p>
    <w:p w:rsidR="00675F6E" w:rsidRPr="00F1313B" w:rsidRDefault="00675F6E" w:rsidP="00675F6E">
      <w:pPr>
        <w:pStyle w:val="TableFooter"/>
      </w:pPr>
      <w:proofErr w:type="gramStart"/>
      <w:r w:rsidRPr="00F1313B">
        <w:rPr>
          <w:vertAlign w:val="superscript"/>
        </w:rPr>
        <w:t>b</w:t>
      </w:r>
      <w:proofErr w:type="gramEnd"/>
      <w:r w:rsidRPr="00F1313B">
        <w:t xml:space="preserve"> Risk differences and relative risks </w:t>
      </w:r>
      <w:r w:rsidR="003E0055" w:rsidRPr="00F1313B">
        <w:t xml:space="preserve">for AEOSI </w:t>
      </w:r>
      <w:r w:rsidRPr="00F1313B">
        <w:t>were calculated during the evaluation, using Stata v14.2</w:t>
      </w:r>
    </w:p>
    <w:p w:rsidR="00CF2473" w:rsidRDefault="00675F6E" w:rsidP="00FC7B39">
      <w:pPr>
        <w:pStyle w:val="TableFooter"/>
        <w:spacing w:after="240"/>
      </w:pPr>
      <w:r w:rsidRPr="00F1313B">
        <w:t>Source: Table 2-24, p78</w:t>
      </w:r>
      <w:r w:rsidR="00BC087F" w:rsidRPr="00F1313B">
        <w:t>,</w:t>
      </w:r>
      <w:r w:rsidRPr="00F1313B">
        <w:t xml:space="preserve"> Table 2-25, pp79-80, </w:t>
      </w:r>
      <w:r w:rsidR="00BC087F" w:rsidRPr="00F1313B">
        <w:t xml:space="preserve">and </w:t>
      </w:r>
      <w:r w:rsidRPr="00F1313B">
        <w:t>Table 2-47, p97 of the submission; Table 12-12, p66 of the KN054 clinical study report of the submission.</w:t>
      </w:r>
      <w:r w:rsidR="00CF2473">
        <w:br w:type="page"/>
      </w:r>
    </w:p>
    <w:p w:rsidR="00675F6E" w:rsidRPr="00E4278C" w:rsidRDefault="00675F6E" w:rsidP="00675F6E">
      <w:pPr>
        <w:pStyle w:val="ListParagraph"/>
        <w:widowControl/>
        <w:numPr>
          <w:ilvl w:val="1"/>
          <w:numId w:val="3"/>
        </w:numPr>
        <w:spacing w:after="160"/>
      </w:pPr>
      <w:r w:rsidRPr="00E4278C">
        <w:lastRenderedPageBreak/>
        <w:t xml:space="preserve">The occurrence of all-cause </w:t>
      </w:r>
      <w:r w:rsidR="007742DB">
        <w:t>adverse event</w:t>
      </w:r>
      <w:r w:rsidRPr="00E4278C">
        <w:t xml:space="preserve">s, treatment-related </w:t>
      </w:r>
      <w:r w:rsidR="007742DB">
        <w:t>adverse events</w:t>
      </w:r>
      <w:r w:rsidRPr="00E4278C">
        <w:t xml:space="preserve">, treatment-related Grade 3-5 </w:t>
      </w:r>
      <w:r w:rsidR="007742DB">
        <w:t>adverse event</w:t>
      </w:r>
      <w:r w:rsidRPr="00E4278C">
        <w:t xml:space="preserve">s, </w:t>
      </w:r>
      <w:r w:rsidR="003E0055" w:rsidRPr="00E4278C">
        <w:t xml:space="preserve">and </w:t>
      </w:r>
      <w:r w:rsidR="007742DB">
        <w:t>adverse events</w:t>
      </w:r>
      <w:r w:rsidRPr="00E4278C">
        <w:t xml:space="preserve"> leading to discontinuation were consistently higher in patients receiving </w:t>
      </w:r>
      <w:proofErr w:type="spellStart"/>
      <w:r w:rsidRPr="00E4278C">
        <w:t>pembrolizumab</w:t>
      </w:r>
      <w:proofErr w:type="spellEnd"/>
      <w:r w:rsidRPr="00E4278C">
        <w:t xml:space="preserve"> than in the placebo patients</w:t>
      </w:r>
      <w:r w:rsidR="00237B5E" w:rsidRPr="00E4278C">
        <w:t>, although the differences were not always statistically significant.</w:t>
      </w:r>
    </w:p>
    <w:p w:rsidR="00675F6E" w:rsidRPr="00E4278C" w:rsidRDefault="00675F6E" w:rsidP="00675F6E">
      <w:pPr>
        <w:pStyle w:val="ListParagraph"/>
        <w:widowControl/>
        <w:numPr>
          <w:ilvl w:val="1"/>
          <w:numId w:val="3"/>
        </w:numPr>
        <w:spacing w:after="160"/>
      </w:pPr>
      <w:r w:rsidRPr="00E4278C">
        <w:t xml:space="preserve">In KN054, adverse events of special interest were defined as immune-mediated events and infusion-related reactions considered to be risks or potential risks specifically identified for </w:t>
      </w:r>
      <w:proofErr w:type="spellStart"/>
      <w:r w:rsidRPr="00E4278C">
        <w:t>pembrolizumab</w:t>
      </w:r>
      <w:proofErr w:type="spellEnd"/>
      <w:r w:rsidRPr="00E4278C">
        <w:t xml:space="preserve">. More patients in the </w:t>
      </w:r>
      <w:proofErr w:type="spellStart"/>
      <w:r w:rsidRPr="00E4278C">
        <w:t>pembrolizumab</w:t>
      </w:r>
      <w:proofErr w:type="spellEnd"/>
      <w:r w:rsidRPr="00E4278C">
        <w:t xml:space="preserve"> arm experienced </w:t>
      </w:r>
      <w:r w:rsidR="007742DB">
        <w:t>adverse events of special interest</w:t>
      </w:r>
      <w:r w:rsidRPr="00E4278C">
        <w:t xml:space="preserve"> than </w:t>
      </w:r>
      <w:r w:rsidR="00376151" w:rsidRPr="00E4278C">
        <w:t xml:space="preserve">in </w:t>
      </w:r>
      <w:r w:rsidRPr="00E4278C">
        <w:t>the placebo group (173 (34.0%) v</w:t>
      </w:r>
      <w:r w:rsidR="00436979">
        <w:t>ersu</w:t>
      </w:r>
      <w:r w:rsidRPr="00E4278C">
        <w:t xml:space="preserve">s 38 (7.6%)). Most were Grade 1 or 2 in severity and were treatment-related. The most frequently reported </w:t>
      </w:r>
      <w:r w:rsidR="007742DB">
        <w:t>events of special interest</w:t>
      </w:r>
      <w:r w:rsidRPr="00E4278C">
        <w:t xml:space="preserve"> (any grade) were hypothyroidism (14.7%), hyperthyroidism (10.4%), pneumonitis (3.1%), colitis (2.6%) and thyroiditis (2.4%). These events were reported in a statistically significantly higher proportion of </w:t>
      </w:r>
      <w:r w:rsidR="00B9313D">
        <w:t>patients</w:t>
      </w:r>
      <w:r w:rsidR="00B9313D" w:rsidRPr="00E4278C">
        <w:t xml:space="preserve"> </w:t>
      </w:r>
      <w:r w:rsidRPr="00E4278C">
        <w:t xml:space="preserve">in the </w:t>
      </w:r>
      <w:proofErr w:type="spellStart"/>
      <w:r w:rsidRPr="00E4278C">
        <w:t>pembrolizumab</w:t>
      </w:r>
      <w:proofErr w:type="spellEnd"/>
      <w:r w:rsidRPr="00E4278C">
        <w:t xml:space="preserve"> group than in the placebo group.</w:t>
      </w:r>
      <w:r w:rsidR="000A7F93">
        <w:t xml:space="preserve">  </w:t>
      </w:r>
    </w:p>
    <w:p w:rsidR="00675F6E" w:rsidRPr="00E4278C" w:rsidRDefault="00675F6E" w:rsidP="00675F6E">
      <w:pPr>
        <w:pStyle w:val="ListParagraph"/>
        <w:widowControl/>
        <w:numPr>
          <w:ilvl w:val="1"/>
          <w:numId w:val="3"/>
        </w:numPr>
        <w:spacing w:after="160"/>
      </w:pPr>
      <w:r w:rsidRPr="00E4278C">
        <w:t xml:space="preserve">Overall, the </w:t>
      </w:r>
      <w:r w:rsidR="007742DB">
        <w:t>adverse events of special interest</w:t>
      </w:r>
      <w:r w:rsidRPr="00E4278C">
        <w:t xml:space="preserve"> reported in KN054 were consistent with the immune-associated </w:t>
      </w:r>
      <w:r w:rsidR="007742DB">
        <w:t>adverse events</w:t>
      </w:r>
      <w:r w:rsidRPr="00E4278C">
        <w:t xml:space="preserve"> in other </w:t>
      </w:r>
      <w:proofErr w:type="spellStart"/>
      <w:r w:rsidRPr="00E4278C">
        <w:t>pembrolizumab</w:t>
      </w:r>
      <w:proofErr w:type="spellEnd"/>
      <w:r w:rsidRPr="00E4278C">
        <w:t xml:space="preserve"> trials for different indications. No new safety signals were identified.</w:t>
      </w:r>
    </w:p>
    <w:p w:rsidR="00675F6E" w:rsidRDefault="00675F6E" w:rsidP="001754A8">
      <w:pPr>
        <w:pStyle w:val="Heading2"/>
        <w:spacing w:after="120"/>
      </w:pPr>
      <w:bookmarkStart w:id="12" w:name="_Toc523840733"/>
      <w:r w:rsidRPr="00C9624D">
        <w:t>Benefits/harms</w:t>
      </w:r>
      <w:bookmarkEnd w:id="12"/>
    </w:p>
    <w:p w:rsidR="00675F6E" w:rsidRPr="004151CF" w:rsidRDefault="00675F6E" w:rsidP="00675F6E">
      <w:pPr>
        <w:pStyle w:val="ListParagraph"/>
        <w:widowControl/>
        <w:numPr>
          <w:ilvl w:val="1"/>
          <w:numId w:val="3"/>
        </w:numPr>
        <w:spacing w:after="160"/>
      </w:pPr>
      <w:r>
        <w:t xml:space="preserve">A summary of the comparative benefits and harms for </w:t>
      </w:r>
      <w:proofErr w:type="spellStart"/>
      <w:r>
        <w:t>pembrolizumab</w:t>
      </w:r>
      <w:proofErr w:type="spellEnd"/>
      <w:r>
        <w:t xml:space="preserve"> versus placebo is presented in the table below.</w:t>
      </w:r>
    </w:p>
    <w:p w:rsidR="00675F6E" w:rsidRPr="00AA7348" w:rsidRDefault="00675F6E" w:rsidP="00675F6E">
      <w:pPr>
        <w:pStyle w:val="Caption"/>
        <w:rPr>
          <w:rStyle w:val="CommentReference"/>
          <w:b/>
        </w:rPr>
      </w:pPr>
      <w:r>
        <w:t xml:space="preserve">Table </w:t>
      </w:r>
      <w:r w:rsidR="009C767B">
        <w:t>7</w:t>
      </w:r>
      <w:r w:rsidRPr="00AA7348">
        <w:t xml:space="preserve">: </w:t>
      </w:r>
      <w:r w:rsidRPr="00AA7348">
        <w:rPr>
          <w:rStyle w:val="CommentReference"/>
          <w:b/>
        </w:rPr>
        <w:t xml:space="preserve">Summary of comparative benefits and harms for </w:t>
      </w:r>
      <w:proofErr w:type="spellStart"/>
      <w:r>
        <w:rPr>
          <w:rStyle w:val="CommentReference"/>
          <w:b/>
        </w:rPr>
        <w:t>pembrolizumab</w:t>
      </w:r>
      <w:proofErr w:type="spellEnd"/>
      <w:r w:rsidRPr="00AA7348">
        <w:rPr>
          <w:rStyle w:val="CommentReference"/>
          <w:b/>
        </w:rPr>
        <w:t xml:space="preserve"> and </w:t>
      </w:r>
      <w:r>
        <w:rPr>
          <w:rStyle w:val="CommentReference"/>
          <w:b/>
        </w:rPr>
        <w:t>placebo</w:t>
      </w:r>
    </w:p>
    <w:tbl>
      <w:tblPr>
        <w:tblW w:w="5000" w:type="pct"/>
        <w:tblLayout w:type="fixed"/>
        <w:tblCellMar>
          <w:left w:w="28" w:type="dxa"/>
          <w:right w:w="28" w:type="dxa"/>
        </w:tblCellMar>
        <w:tblLook w:val="04A0" w:firstRow="1" w:lastRow="0" w:firstColumn="1" w:lastColumn="0" w:noHBand="0" w:noVBand="1"/>
      </w:tblPr>
      <w:tblGrid>
        <w:gridCol w:w="1577"/>
        <w:gridCol w:w="1400"/>
        <w:gridCol w:w="148"/>
        <w:gridCol w:w="1127"/>
        <w:gridCol w:w="281"/>
        <w:gridCol w:w="844"/>
        <w:gridCol w:w="564"/>
        <w:gridCol w:w="842"/>
        <w:gridCol w:w="142"/>
        <w:gridCol w:w="985"/>
        <w:gridCol w:w="1107"/>
      </w:tblGrid>
      <w:tr w:rsidR="00675F6E" w:rsidRPr="00E2771E" w:rsidTr="00237B5E">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675F6E" w:rsidRDefault="00BC087F" w:rsidP="00BC087F">
            <w:pPr>
              <w:rPr>
                <w:rFonts w:ascii="Arial Narrow" w:hAnsi="Arial Narrow"/>
                <w:b/>
                <w:color w:val="000000"/>
                <w:sz w:val="20"/>
                <w:szCs w:val="18"/>
              </w:rPr>
            </w:pPr>
            <w:r>
              <w:rPr>
                <w:rFonts w:ascii="Arial Narrow" w:hAnsi="Arial Narrow"/>
                <w:b/>
                <w:color w:val="000000"/>
                <w:sz w:val="20"/>
                <w:szCs w:val="18"/>
              </w:rPr>
              <w:t>Benefits</w:t>
            </w:r>
          </w:p>
          <w:p w:rsidR="00BC087F" w:rsidRPr="00BC087F" w:rsidRDefault="00BC087F" w:rsidP="00BC087F">
            <w:pPr>
              <w:rPr>
                <w:rFonts w:ascii="Arial Narrow" w:hAnsi="Arial Narrow"/>
                <w:color w:val="000000"/>
                <w:sz w:val="20"/>
                <w:szCs w:val="18"/>
              </w:rPr>
            </w:pPr>
            <w:r w:rsidRPr="00BC087F">
              <w:rPr>
                <w:rFonts w:ascii="Arial Narrow" w:hAnsi="Arial Narrow"/>
                <w:color w:val="000000"/>
                <w:sz w:val="20"/>
                <w:szCs w:val="18"/>
              </w:rPr>
              <w:t>RFS</w:t>
            </w:r>
            <w:r>
              <w:rPr>
                <w:rFonts w:ascii="Arial Narrow" w:hAnsi="Arial Narrow"/>
                <w:color w:val="000000"/>
                <w:sz w:val="20"/>
                <w:szCs w:val="18"/>
              </w:rPr>
              <w:t>: Trial KN054</w:t>
            </w:r>
            <w:r>
              <w:rPr>
                <w:rFonts w:ascii="Arial Narrow" w:hAnsi="Arial Narrow"/>
                <w:color w:val="000000"/>
                <w:sz w:val="20"/>
                <w:szCs w:val="18"/>
                <w:vertAlign w:val="superscript"/>
              </w:rPr>
              <w:t>a</w:t>
            </w:r>
          </w:p>
        </w:tc>
      </w:tr>
      <w:tr w:rsidR="000F58F4" w:rsidRPr="00E2771E" w:rsidTr="0026234F">
        <w:tc>
          <w:tcPr>
            <w:tcW w:w="17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8F4" w:rsidRPr="00E2771E" w:rsidRDefault="000F58F4" w:rsidP="00675F6E">
            <w:pPr>
              <w:jc w:val="center"/>
              <w:rPr>
                <w:rFonts w:ascii="Arial Narrow" w:hAnsi="Arial Narrow"/>
                <w:color w:val="000000"/>
                <w:sz w:val="20"/>
                <w:szCs w:val="18"/>
              </w:rPr>
            </w:pPr>
          </w:p>
        </w:tc>
        <w:tc>
          <w:tcPr>
            <w:tcW w:w="781"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b/>
                <w:color w:val="000000"/>
                <w:sz w:val="20"/>
                <w:szCs w:val="18"/>
              </w:rPr>
            </w:pPr>
            <w:proofErr w:type="spellStart"/>
            <w:r>
              <w:rPr>
                <w:rFonts w:ascii="Arial Narrow" w:hAnsi="Arial Narrow"/>
                <w:b/>
                <w:color w:val="000000"/>
                <w:sz w:val="20"/>
                <w:szCs w:val="18"/>
              </w:rPr>
              <w:t>Pembrolizumab</w:t>
            </w:r>
            <w:proofErr w:type="spellEnd"/>
          </w:p>
        </w:tc>
        <w:tc>
          <w:tcPr>
            <w:tcW w:w="781"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b/>
                <w:color w:val="000000"/>
                <w:sz w:val="20"/>
                <w:szCs w:val="18"/>
              </w:rPr>
            </w:pPr>
            <w:r>
              <w:rPr>
                <w:rFonts w:ascii="Arial Narrow" w:hAnsi="Arial Narrow"/>
                <w:b/>
                <w:color w:val="000000"/>
                <w:sz w:val="20"/>
                <w:szCs w:val="18"/>
              </w:rPr>
              <w:t>Placebo</w:t>
            </w:r>
          </w:p>
        </w:tc>
        <w:tc>
          <w:tcPr>
            <w:tcW w:w="546"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Pr>
                <w:rFonts w:ascii="Arial Narrow" w:hAnsi="Arial Narrow"/>
                <w:b/>
                <w:color w:val="000000"/>
                <w:sz w:val="20"/>
                <w:szCs w:val="18"/>
              </w:rPr>
              <w:t>d</w:t>
            </w:r>
            <w:r w:rsidRPr="00E2771E">
              <w:rPr>
                <w:rFonts w:ascii="Arial Narrow" w:hAnsi="Arial Narrow"/>
                <w:b/>
                <w:color w:val="000000"/>
                <w:sz w:val="20"/>
                <w:szCs w:val="18"/>
              </w:rPr>
              <w:t>ifference</w:t>
            </w:r>
          </w:p>
        </w:tc>
        <w:tc>
          <w:tcPr>
            <w:tcW w:w="546" w:type="pct"/>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b/>
                <w:color w:val="000000"/>
                <w:sz w:val="20"/>
                <w:szCs w:val="18"/>
              </w:rPr>
            </w:pPr>
            <w:r>
              <w:rPr>
                <w:rFonts w:ascii="Arial Narrow" w:hAnsi="Arial Narrow"/>
                <w:b/>
                <w:color w:val="000000"/>
                <w:sz w:val="20"/>
                <w:szCs w:val="18"/>
              </w:rPr>
              <w:t>Relative risk</w:t>
            </w:r>
          </w:p>
        </w:tc>
        <w:tc>
          <w:tcPr>
            <w:tcW w:w="614" w:type="pct"/>
            <w:tcBorders>
              <w:top w:val="single" w:sz="4" w:space="0" w:color="auto"/>
              <w:left w:val="single" w:sz="4" w:space="0" w:color="auto"/>
              <w:bottom w:val="single" w:sz="4" w:space="0" w:color="auto"/>
              <w:right w:val="single" w:sz="4" w:space="0" w:color="auto"/>
            </w:tcBorders>
            <w:vAlign w:val="center"/>
          </w:tcPr>
          <w:p w:rsidR="000F58F4" w:rsidRPr="00E2771E" w:rsidRDefault="000F58F4" w:rsidP="00376151">
            <w:pPr>
              <w:jc w:val="center"/>
              <w:rPr>
                <w:rFonts w:ascii="Arial Narrow" w:hAnsi="Arial Narrow"/>
                <w:b/>
                <w:color w:val="000000"/>
                <w:sz w:val="20"/>
                <w:szCs w:val="18"/>
              </w:rPr>
            </w:pPr>
            <w:r w:rsidRPr="00E2771E">
              <w:rPr>
                <w:rFonts w:ascii="Arial Narrow" w:hAnsi="Arial Narrow"/>
                <w:b/>
                <w:color w:val="000000"/>
                <w:sz w:val="20"/>
                <w:szCs w:val="18"/>
              </w:rPr>
              <w:t xml:space="preserve">HR </w:t>
            </w:r>
            <w:r w:rsidR="005D4B33">
              <w:rPr>
                <w:rFonts w:ascii="Arial Narrow" w:hAnsi="Arial Narrow"/>
                <w:b/>
                <w:color w:val="000000"/>
                <w:sz w:val="20"/>
                <w:szCs w:val="18"/>
              </w:rPr>
              <w:br/>
            </w:r>
            <w:r w:rsidRPr="00E2771E">
              <w:rPr>
                <w:rFonts w:ascii="Arial Narrow" w:hAnsi="Arial Narrow"/>
                <w:b/>
                <w:color w:val="000000"/>
                <w:sz w:val="20"/>
                <w:szCs w:val="18"/>
              </w:rPr>
              <w:t>(9</w:t>
            </w:r>
            <w:r>
              <w:rPr>
                <w:rFonts w:ascii="Arial Narrow" w:hAnsi="Arial Narrow"/>
                <w:b/>
                <w:color w:val="000000"/>
                <w:sz w:val="20"/>
                <w:szCs w:val="18"/>
              </w:rPr>
              <w:t>8.4</w:t>
            </w:r>
            <w:r w:rsidRPr="00E2771E">
              <w:rPr>
                <w:rFonts w:ascii="Arial Narrow" w:hAnsi="Arial Narrow"/>
                <w:b/>
                <w:color w:val="000000"/>
                <w:sz w:val="20"/>
                <w:szCs w:val="18"/>
              </w:rPr>
              <w:t>% CI)</w:t>
            </w:r>
          </w:p>
        </w:tc>
      </w:tr>
      <w:tr w:rsidR="000F58F4" w:rsidRPr="00E2771E" w:rsidTr="0026234F">
        <w:tc>
          <w:tcPr>
            <w:tcW w:w="17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8F4" w:rsidRPr="00E2771E" w:rsidRDefault="000F58F4" w:rsidP="008D5908">
            <w:pPr>
              <w:jc w:val="left"/>
              <w:rPr>
                <w:rFonts w:ascii="Arial Narrow" w:hAnsi="Arial Narrow"/>
                <w:color w:val="000000"/>
                <w:sz w:val="20"/>
                <w:szCs w:val="18"/>
              </w:rPr>
            </w:pPr>
            <w:r>
              <w:rPr>
                <w:rFonts w:ascii="Arial Narrow" w:hAnsi="Arial Narrow"/>
                <w:color w:val="000000"/>
                <w:sz w:val="20"/>
                <w:szCs w:val="18"/>
              </w:rPr>
              <w:t>Recurrence or death events, n/N (%)</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sz w:val="20"/>
              </w:rPr>
            </w:pPr>
            <w:r>
              <w:rPr>
                <w:rFonts w:ascii="Arial Narrow" w:hAnsi="Arial Narrow"/>
                <w:sz w:val="20"/>
              </w:rPr>
              <w:t>135</w:t>
            </w:r>
            <w:r w:rsidRPr="00E2771E">
              <w:rPr>
                <w:rFonts w:ascii="Arial Narrow" w:hAnsi="Arial Narrow"/>
                <w:sz w:val="20"/>
              </w:rPr>
              <w:t>/</w:t>
            </w:r>
            <w:r>
              <w:rPr>
                <w:rFonts w:ascii="Arial Narrow" w:hAnsi="Arial Narrow"/>
                <w:sz w:val="20"/>
              </w:rPr>
              <w:t>514 (26.3%)</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sz w:val="20"/>
              </w:rPr>
            </w:pPr>
            <w:r>
              <w:rPr>
                <w:rFonts w:ascii="Arial Narrow" w:hAnsi="Arial Narrow"/>
                <w:sz w:val="20"/>
              </w:rPr>
              <w:t>216</w:t>
            </w:r>
            <w:r w:rsidRPr="00E2771E">
              <w:rPr>
                <w:rFonts w:ascii="Arial Narrow" w:hAnsi="Arial Narrow"/>
                <w:sz w:val="20"/>
              </w:rPr>
              <w:t>/</w:t>
            </w:r>
            <w:r>
              <w:rPr>
                <w:rFonts w:ascii="Arial Narrow" w:hAnsi="Arial Narrow"/>
                <w:sz w:val="20"/>
              </w:rPr>
              <w:t>505</w:t>
            </w:r>
            <w:r w:rsidRPr="00E2771E">
              <w:rPr>
                <w:rFonts w:ascii="Arial Narrow" w:hAnsi="Arial Narrow"/>
                <w:sz w:val="20"/>
              </w:rPr>
              <w:t xml:space="preserve"> </w:t>
            </w:r>
            <w:r>
              <w:rPr>
                <w:rFonts w:ascii="Arial Narrow" w:hAnsi="Arial Narrow"/>
                <w:sz w:val="20"/>
              </w:rPr>
              <w:t>(42.8%)</w:t>
            </w:r>
          </w:p>
        </w:tc>
        <w:tc>
          <w:tcPr>
            <w:tcW w:w="546" w:type="pct"/>
            <w:gridSpan w:val="2"/>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color w:val="000000"/>
                <w:sz w:val="20"/>
                <w:szCs w:val="18"/>
              </w:rPr>
            </w:pPr>
            <w:r>
              <w:rPr>
                <w:rFonts w:ascii="Arial Narrow" w:hAnsi="Arial Narrow"/>
                <w:color w:val="000000"/>
                <w:sz w:val="20"/>
                <w:szCs w:val="18"/>
              </w:rPr>
              <w:t>-16.5%</w:t>
            </w:r>
          </w:p>
        </w:tc>
        <w:tc>
          <w:tcPr>
            <w:tcW w:w="546" w:type="pct"/>
            <w:tcBorders>
              <w:top w:val="single" w:sz="4" w:space="0" w:color="auto"/>
              <w:left w:val="single" w:sz="4" w:space="0" w:color="auto"/>
              <w:bottom w:val="single" w:sz="4" w:space="0" w:color="auto"/>
              <w:right w:val="single" w:sz="4" w:space="0" w:color="auto"/>
            </w:tcBorders>
            <w:vAlign w:val="center"/>
          </w:tcPr>
          <w:p w:rsidR="000F58F4" w:rsidRPr="00E2771E" w:rsidRDefault="005D4B33" w:rsidP="00675F6E">
            <w:pPr>
              <w:jc w:val="center"/>
              <w:rPr>
                <w:rFonts w:ascii="Arial Narrow" w:hAnsi="Arial Narrow"/>
                <w:color w:val="000000"/>
                <w:sz w:val="20"/>
                <w:szCs w:val="18"/>
              </w:rPr>
            </w:pPr>
            <w:r>
              <w:rPr>
                <w:rFonts w:ascii="Arial Narrow" w:hAnsi="Arial Narrow"/>
                <w:color w:val="000000"/>
                <w:sz w:val="20"/>
                <w:szCs w:val="18"/>
              </w:rPr>
              <w:t>0.614</w:t>
            </w:r>
          </w:p>
        </w:tc>
        <w:tc>
          <w:tcPr>
            <w:tcW w:w="614" w:type="pct"/>
            <w:tcBorders>
              <w:top w:val="single" w:sz="4" w:space="0" w:color="auto"/>
              <w:left w:val="single" w:sz="4" w:space="0" w:color="auto"/>
              <w:bottom w:val="single" w:sz="4" w:space="0" w:color="auto"/>
              <w:right w:val="single" w:sz="4" w:space="0" w:color="auto"/>
            </w:tcBorders>
            <w:vAlign w:val="center"/>
          </w:tcPr>
          <w:p w:rsidR="000F58F4" w:rsidRPr="00E2771E" w:rsidRDefault="000F58F4" w:rsidP="00675F6E">
            <w:pPr>
              <w:jc w:val="center"/>
              <w:rPr>
                <w:rFonts w:ascii="Arial Narrow" w:hAnsi="Arial Narrow"/>
                <w:color w:val="000000"/>
                <w:sz w:val="20"/>
                <w:szCs w:val="18"/>
              </w:rPr>
            </w:pPr>
            <w:r>
              <w:rPr>
                <w:rFonts w:ascii="Arial Narrow" w:hAnsi="Arial Narrow"/>
                <w:sz w:val="20"/>
              </w:rPr>
              <w:t>–</w:t>
            </w:r>
          </w:p>
        </w:tc>
      </w:tr>
      <w:tr w:rsidR="000F58F4" w:rsidRPr="00E2771E" w:rsidTr="0026234F">
        <w:tc>
          <w:tcPr>
            <w:tcW w:w="1732"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0F58F4" w:rsidRPr="00E2771E" w:rsidRDefault="000F58F4" w:rsidP="008D5908">
            <w:pPr>
              <w:rPr>
                <w:rFonts w:ascii="Arial Narrow" w:hAnsi="Arial Narrow"/>
                <w:color w:val="000000"/>
                <w:sz w:val="20"/>
                <w:szCs w:val="18"/>
              </w:rPr>
            </w:pPr>
            <w:r w:rsidRPr="00E2771E">
              <w:rPr>
                <w:rFonts w:ascii="Arial Narrow" w:hAnsi="Arial Narrow"/>
                <w:color w:val="000000"/>
                <w:sz w:val="20"/>
                <w:szCs w:val="18"/>
              </w:rPr>
              <w:t xml:space="preserve">Median </w:t>
            </w:r>
            <w:r>
              <w:rPr>
                <w:rFonts w:ascii="Arial Narrow" w:hAnsi="Arial Narrow"/>
                <w:color w:val="000000"/>
                <w:sz w:val="20"/>
                <w:szCs w:val="18"/>
              </w:rPr>
              <w:t>RFS, months</w:t>
            </w:r>
          </w:p>
        </w:tc>
        <w:tc>
          <w:tcPr>
            <w:tcW w:w="781" w:type="pct"/>
            <w:gridSpan w:val="2"/>
            <w:tcBorders>
              <w:top w:val="single" w:sz="4" w:space="0" w:color="auto"/>
              <w:left w:val="single" w:sz="4" w:space="0" w:color="auto"/>
              <w:bottom w:val="double" w:sz="4" w:space="0" w:color="auto"/>
              <w:right w:val="single" w:sz="4" w:space="0" w:color="auto"/>
            </w:tcBorders>
            <w:vAlign w:val="center"/>
          </w:tcPr>
          <w:p w:rsidR="000F58F4" w:rsidRPr="00E2771E" w:rsidRDefault="000F58F4" w:rsidP="00675F6E">
            <w:pPr>
              <w:jc w:val="center"/>
              <w:rPr>
                <w:rFonts w:ascii="Arial Narrow" w:hAnsi="Arial Narrow"/>
                <w:sz w:val="20"/>
              </w:rPr>
            </w:pPr>
            <w:r>
              <w:rPr>
                <w:rFonts w:ascii="Arial Narrow" w:hAnsi="Arial Narrow"/>
                <w:sz w:val="20"/>
              </w:rPr>
              <w:t>NR</w:t>
            </w:r>
          </w:p>
        </w:tc>
        <w:tc>
          <w:tcPr>
            <w:tcW w:w="781" w:type="pct"/>
            <w:gridSpan w:val="2"/>
            <w:tcBorders>
              <w:top w:val="single" w:sz="4" w:space="0" w:color="auto"/>
              <w:left w:val="single" w:sz="4" w:space="0" w:color="auto"/>
              <w:bottom w:val="double" w:sz="4" w:space="0" w:color="auto"/>
              <w:right w:val="single" w:sz="4" w:space="0" w:color="auto"/>
            </w:tcBorders>
            <w:vAlign w:val="center"/>
          </w:tcPr>
          <w:p w:rsidR="000F58F4" w:rsidRPr="00E2771E" w:rsidRDefault="000F58F4" w:rsidP="00376151">
            <w:pPr>
              <w:jc w:val="center"/>
              <w:rPr>
                <w:rFonts w:ascii="Arial Narrow" w:hAnsi="Arial Narrow"/>
                <w:sz w:val="20"/>
              </w:rPr>
            </w:pPr>
            <w:r>
              <w:rPr>
                <w:rFonts w:ascii="Arial Narrow" w:hAnsi="Arial Narrow"/>
                <w:sz w:val="20"/>
              </w:rPr>
              <w:t>20.4</w:t>
            </w:r>
            <w:r w:rsidRPr="00E2771E">
              <w:rPr>
                <w:rFonts w:ascii="Arial Narrow" w:hAnsi="Arial Narrow"/>
                <w:sz w:val="20"/>
              </w:rPr>
              <w:t xml:space="preserve"> (</w:t>
            </w:r>
            <w:r>
              <w:rPr>
                <w:rFonts w:ascii="Arial Narrow" w:hAnsi="Arial Narrow"/>
                <w:sz w:val="20"/>
              </w:rPr>
              <w:t>16.2</w:t>
            </w:r>
            <w:r w:rsidRPr="00E2771E">
              <w:rPr>
                <w:rFonts w:ascii="Arial Narrow" w:hAnsi="Arial Narrow"/>
                <w:sz w:val="20"/>
              </w:rPr>
              <w:t xml:space="preserve">, </w:t>
            </w:r>
            <w:r>
              <w:rPr>
                <w:rFonts w:ascii="Arial Narrow" w:hAnsi="Arial Narrow"/>
                <w:sz w:val="20"/>
              </w:rPr>
              <w:t>–</w:t>
            </w:r>
            <w:r w:rsidRPr="00E2771E">
              <w:rPr>
                <w:rFonts w:ascii="Arial Narrow" w:hAnsi="Arial Narrow"/>
                <w:sz w:val="20"/>
              </w:rPr>
              <w:t>)</w:t>
            </w:r>
          </w:p>
        </w:tc>
        <w:tc>
          <w:tcPr>
            <w:tcW w:w="546" w:type="pct"/>
            <w:gridSpan w:val="2"/>
            <w:tcBorders>
              <w:top w:val="single" w:sz="4" w:space="0" w:color="auto"/>
              <w:left w:val="single" w:sz="4" w:space="0" w:color="auto"/>
              <w:bottom w:val="double" w:sz="4" w:space="0" w:color="auto"/>
              <w:right w:val="single" w:sz="4" w:space="0" w:color="auto"/>
            </w:tcBorders>
            <w:vAlign w:val="center"/>
          </w:tcPr>
          <w:p w:rsidR="000F58F4" w:rsidRPr="00E2771E" w:rsidRDefault="000F58F4" w:rsidP="00675F6E">
            <w:pPr>
              <w:jc w:val="center"/>
              <w:rPr>
                <w:rFonts w:ascii="Arial Narrow" w:hAnsi="Arial Narrow"/>
                <w:color w:val="000000"/>
                <w:sz w:val="20"/>
                <w:szCs w:val="18"/>
              </w:rPr>
            </w:pPr>
            <w:r>
              <w:rPr>
                <w:rFonts w:ascii="Arial Narrow" w:hAnsi="Arial Narrow"/>
                <w:sz w:val="20"/>
              </w:rPr>
              <w:t>–</w:t>
            </w:r>
          </w:p>
        </w:tc>
        <w:tc>
          <w:tcPr>
            <w:tcW w:w="546" w:type="pct"/>
            <w:tcBorders>
              <w:top w:val="single" w:sz="4" w:space="0" w:color="auto"/>
              <w:left w:val="single" w:sz="4" w:space="0" w:color="auto"/>
              <w:bottom w:val="double" w:sz="4" w:space="0" w:color="auto"/>
              <w:right w:val="single" w:sz="4" w:space="0" w:color="auto"/>
            </w:tcBorders>
            <w:vAlign w:val="center"/>
          </w:tcPr>
          <w:p w:rsidR="000F58F4" w:rsidRPr="00E2771E" w:rsidRDefault="000F58F4" w:rsidP="00675F6E">
            <w:pPr>
              <w:jc w:val="center"/>
              <w:rPr>
                <w:rFonts w:ascii="Arial Narrow" w:hAnsi="Arial Narrow"/>
                <w:color w:val="000000"/>
                <w:sz w:val="20"/>
                <w:szCs w:val="18"/>
              </w:rPr>
            </w:pPr>
            <w:r>
              <w:rPr>
                <w:rFonts w:ascii="Arial Narrow" w:hAnsi="Arial Narrow"/>
                <w:sz w:val="20"/>
              </w:rPr>
              <w:t>–</w:t>
            </w:r>
          </w:p>
        </w:tc>
        <w:tc>
          <w:tcPr>
            <w:tcW w:w="614" w:type="pct"/>
            <w:tcBorders>
              <w:top w:val="single" w:sz="4" w:space="0" w:color="auto"/>
              <w:left w:val="single" w:sz="4" w:space="0" w:color="auto"/>
              <w:bottom w:val="double" w:sz="4" w:space="0" w:color="auto"/>
              <w:right w:val="single" w:sz="4" w:space="0" w:color="auto"/>
            </w:tcBorders>
            <w:vAlign w:val="center"/>
          </w:tcPr>
          <w:p w:rsidR="000F58F4" w:rsidRPr="00E2771E" w:rsidRDefault="000F58F4" w:rsidP="00675F6E">
            <w:pPr>
              <w:jc w:val="center"/>
              <w:rPr>
                <w:rFonts w:ascii="Arial Narrow" w:hAnsi="Arial Narrow"/>
                <w:color w:val="000000"/>
                <w:sz w:val="20"/>
                <w:szCs w:val="18"/>
              </w:rPr>
            </w:pPr>
            <w:r w:rsidRPr="00E2771E">
              <w:rPr>
                <w:rFonts w:ascii="Arial Narrow" w:hAnsi="Arial Narrow"/>
                <w:sz w:val="20"/>
              </w:rPr>
              <w:t>0.</w:t>
            </w:r>
            <w:r>
              <w:rPr>
                <w:rFonts w:ascii="Arial Narrow" w:hAnsi="Arial Narrow"/>
                <w:sz w:val="20"/>
              </w:rPr>
              <w:t>57</w:t>
            </w:r>
            <w:r w:rsidRPr="00E2771E">
              <w:rPr>
                <w:rFonts w:ascii="Arial Narrow" w:hAnsi="Arial Narrow"/>
                <w:sz w:val="20"/>
              </w:rPr>
              <w:t xml:space="preserve"> </w:t>
            </w:r>
            <w:r w:rsidR="005D4B33">
              <w:rPr>
                <w:rFonts w:ascii="Arial Narrow" w:hAnsi="Arial Narrow"/>
                <w:sz w:val="20"/>
              </w:rPr>
              <w:br/>
            </w:r>
            <w:r w:rsidRPr="00E2771E">
              <w:rPr>
                <w:rFonts w:ascii="Arial Narrow" w:hAnsi="Arial Narrow"/>
                <w:sz w:val="20"/>
              </w:rPr>
              <w:t>(0.</w:t>
            </w:r>
            <w:r>
              <w:rPr>
                <w:rFonts w:ascii="Arial Narrow" w:hAnsi="Arial Narrow"/>
                <w:sz w:val="20"/>
              </w:rPr>
              <w:t>43</w:t>
            </w:r>
            <w:r w:rsidRPr="00E2771E">
              <w:rPr>
                <w:rFonts w:ascii="Arial Narrow" w:hAnsi="Arial Narrow"/>
                <w:sz w:val="20"/>
              </w:rPr>
              <w:t>, 0.</w:t>
            </w:r>
            <w:r>
              <w:rPr>
                <w:rFonts w:ascii="Arial Narrow" w:hAnsi="Arial Narrow"/>
                <w:sz w:val="20"/>
              </w:rPr>
              <w:t>74</w:t>
            </w:r>
            <w:r w:rsidRPr="00E2771E">
              <w:rPr>
                <w:rFonts w:ascii="Arial Narrow" w:hAnsi="Arial Narrow"/>
                <w:sz w:val="20"/>
              </w:rPr>
              <w:t>)</w:t>
            </w:r>
          </w:p>
        </w:tc>
      </w:tr>
      <w:tr w:rsidR="00675F6E" w:rsidRPr="00E2771E" w:rsidTr="00675F6E">
        <w:tc>
          <w:tcPr>
            <w:tcW w:w="5000" w:type="pct"/>
            <w:gridSpan w:val="11"/>
            <w:tcBorders>
              <w:top w:val="double" w:sz="4" w:space="0" w:color="auto"/>
              <w:left w:val="single" w:sz="4" w:space="0" w:color="auto"/>
              <w:bottom w:val="single" w:sz="4" w:space="0" w:color="auto"/>
              <w:right w:val="single" w:sz="4" w:space="0" w:color="auto"/>
            </w:tcBorders>
            <w:shd w:val="clear" w:color="auto" w:fill="auto"/>
            <w:vAlign w:val="center"/>
          </w:tcPr>
          <w:p w:rsidR="00675F6E" w:rsidRDefault="00675F6E" w:rsidP="00675F6E">
            <w:pPr>
              <w:rPr>
                <w:rFonts w:ascii="Arial Narrow" w:hAnsi="Arial Narrow"/>
                <w:b/>
                <w:color w:val="000000"/>
                <w:sz w:val="20"/>
                <w:szCs w:val="18"/>
              </w:rPr>
            </w:pPr>
            <w:r w:rsidRPr="00E2771E">
              <w:rPr>
                <w:rFonts w:ascii="Arial Narrow" w:hAnsi="Arial Narrow"/>
                <w:b/>
                <w:color w:val="000000"/>
                <w:sz w:val="20"/>
                <w:szCs w:val="18"/>
              </w:rPr>
              <w:t xml:space="preserve">Harms </w:t>
            </w:r>
          </w:p>
          <w:p w:rsidR="00BC087F" w:rsidRPr="00BC087F" w:rsidRDefault="00BC087F" w:rsidP="00675F6E">
            <w:pPr>
              <w:rPr>
                <w:rFonts w:ascii="Arial Narrow" w:hAnsi="Arial Narrow"/>
                <w:color w:val="000000"/>
                <w:sz w:val="20"/>
                <w:szCs w:val="18"/>
              </w:rPr>
            </w:pPr>
            <w:r w:rsidRPr="00BC087F">
              <w:rPr>
                <w:rFonts w:ascii="Arial Narrow" w:hAnsi="Arial Narrow"/>
                <w:color w:val="000000"/>
                <w:sz w:val="20"/>
                <w:szCs w:val="18"/>
              </w:rPr>
              <w:t>AEs</w:t>
            </w:r>
            <w:r>
              <w:rPr>
                <w:rFonts w:ascii="Arial Narrow" w:hAnsi="Arial Narrow"/>
                <w:color w:val="000000"/>
                <w:sz w:val="20"/>
                <w:szCs w:val="18"/>
              </w:rPr>
              <w:t>: Trial KN054</w:t>
            </w:r>
            <w:r w:rsidRPr="00BC087F">
              <w:rPr>
                <w:rFonts w:ascii="Arial Narrow" w:hAnsi="Arial Narrow"/>
                <w:color w:val="000000"/>
                <w:sz w:val="20"/>
                <w:szCs w:val="18"/>
                <w:vertAlign w:val="superscript"/>
              </w:rPr>
              <w:t>a</w:t>
            </w:r>
          </w:p>
        </w:tc>
      </w:tr>
      <w:tr w:rsidR="00C0025C" w:rsidRPr="00E2771E" w:rsidTr="0026234F">
        <w:trPr>
          <w:trHeight w:val="70"/>
        </w:trPr>
        <w:tc>
          <w:tcPr>
            <w:tcW w:w="87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5F6E" w:rsidRPr="00E2771E" w:rsidRDefault="00675F6E" w:rsidP="00675F6E">
            <w:pPr>
              <w:rPr>
                <w:rFonts w:ascii="Arial Narrow" w:hAnsi="Arial Narrow"/>
                <w:b/>
                <w:color w:val="000000"/>
                <w:sz w:val="20"/>
                <w:szCs w:val="18"/>
              </w:rPr>
            </w:pP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675F6E" w:rsidRDefault="00675F6E" w:rsidP="00675F6E">
            <w:pPr>
              <w:jc w:val="center"/>
              <w:rPr>
                <w:rFonts w:ascii="Arial Narrow" w:hAnsi="Arial Narrow"/>
                <w:b/>
                <w:color w:val="000000"/>
                <w:sz w:val="20"/>
                <w:szCs w:val="18"/>
              </w:rPr>
            </w:pPr>
            <w:proofErr w:type="spellStart"/>
            <w:r>
              <w:rPr>
                <w:rFonts w:ascii="Arial Narrow" w:hAnsi="Arial Narrow"/>
                <w:b/>
                <w:color w:val="000000"/>
                <w:sz w:val="20"/>
                <w:szCs w:val="18"/>
              </w:rPr>
              <w:t>Pembrolizumab</w:t>
            </w:r>
            <w:proofErr w:type="spellEnd"/>
          </w:p>
          <w:p w:rsidR="00675F6E" w:rsidRPr="00E2771E" w:rsidRDefault="00675F6E" w:rsidP="00675F6E">
            <w:pPr>
              <w:jc w:val="center"/>
              <w:rPr>
                <w:rFonts w:ascii="Arial Narrow" w:hAnsi="Arial Narrow"/>
                <w:b/>
                <w:color w:val="000000"/>
                <w:sz w:val="20"/>
                <w:szCs w:val="18"/>
              </w:rPr>
            </w:pPr>
            <w:r>
              <w:rPr>
                <w:rFonts w:ascii="Arial Narrow" w:hAnsi="Arial Narrow"/>
                <w:b/>
                <w:color w:val="000000"/>
                <w:sz w:val="20"/>
                <w:szCs w:val="18"/>
              </w:rPr>
              <w:t>n/N</w:t>
            </w:r>
          </w:p>
        </w:tc>
        <w:tc>
          <w:tcPr>
            <w:tcW w:w="707" w:type="pct"/>
            <w:gridSpan w:val="2"/>
            <w:vMerge w:val="restart"/>
            <w:tcBorders>
              <w:top w:val="single" w:sz="4" w:space="0" w:color="auto"/>
              <w:left w:val="single" w:sz="4" w:space="0" w:color="auto"/>
              <w:bottom w:val="single" w:sz="4" w:space="0" w:color="auto"/>
              <w:right w:val="single" w:sz="4" w:space="0" w:color="auto"/>
            </w:tcBorders>
            <w:vAlign w:val="center"/>
          </w:tcPr>
          <w:p w:rsidR="00675F6E" w:rsidRDefault="00675F6E" w:rsidP="00675F6E">
            <w:pPr>
              <w:jc w:val="center"/>
              <w:rPr>
                <w:rFonts w:ascii="Arial Narrow" w:hAnsi="Arial Narrow"/>
                <w:b/>
                <w:color w:val="000000"/>
                <w:sz w:val="20"/>
                <w:szCs w:val="18"/>
              </w:rPr>
            </w:pPr>
            <w:r>
              <w:rPr>
                <w:rFonts w:ascii="Arial Narrow" w:hAnsi="Arial Narrow"/>
                <w:b/>
                <w:color w:val="000000"/>
                <w:sz w:val="20"/>
                <w:szCs w:val="18"/>
              </w:rPr>
              <w:t>Placebo</w:t>
            </w:r>
          </w:p>
          <w:p w:rsidR="00675F6E" w:rsidRPr="00E2771E" w:rsidRDefault="00675F6E" w:rsidP="00675F6E">
            <w:pPr>
              <w:jc w:val="center"/>
              <w:rPr>
                <w:rFonts w:ascii="Arial Narrow" w:hAnsi="Arial Narrow"/>
                <w:b/>
                <w:color w:val="000000"/>
                <w:sz w:val="20"/>
                <w:szCs w:val="18"/>
              </w:rPr>
            </w:pPr>
            <w:r>
              <w:rPr>
                <w:rFonts w:ascii="Arial Narrow" w:hAnsi="Arial Narrow"/>
                <w:b/>
                <w:color w:val="000000"/>
                <w:sz w:val="20"/>
                <w:szCs w:val="18"/>
              </w:rPr>
              <w:t>n/N</w:t>
            </w:r>
          </w:p>
        </w:tc>
        <w:tc>
          <w:tcPr>
            <w:tcW w:w="624" w:type="pct"/>
            <w:gridSpan w:val="2"/>
            <w:vMerge w:val="restar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r w:rsidRPr="00E2771E">
              <w:rPr>
                <w:rFonts w:ascii="Arial Narrow" w:hAnsi="Arial Narrow"/>
                <w:b/>
                <w:color w:val="000000"/>
                <w:sz w:val="20"/>
                <w:szCs w:val="18"/>
              </w:rPr>
              <w:t>RR</w:t>
            </w:r>
          </w:p>
          <w:p w:rsidR="00675F6E" w:rsidRPr="00E2771E" w:rsidRDefault="00675F6E" w:rsidP="00675F6E">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405" w:type="pct"/>
            <w:gridSpan w:val="4"/>
            <w:tcBorders>
              <w:top w:val="single" w:sz="4" w:space="0" w:color="auto"/>
              <w:left w:val="single" w:sz="4" w:space="0" w:color="auto"/>
              <w:bottom w:val="single" w:sz="4" w:space="0" w:color="auto"/>
              <w:right w:val="single" w:sz="4" w:space="0" w:color="auto"/>
            </w:tcBorders>
            <w:vAlign w:val="center"/>
          </w:tcPr>
          <w:p w:rsidR="00675F6E" w:rsidRPr="00E2771E" w:rsidRDefault="00675F6E" w:rsidP="00BC087F">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614" w:type="pct"/>
            <w:vMerge w:val="restar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r w:rsidRPr="00E2771E">
              <w:rPr>
                <w:rFonts w:ascii="Arial Narrow" w:hAnsi="Arial Narrow"/>
                <w:b/>
                <w:color w:val="000000"/>
                <w:sz w:val="20"/>
                <w:szCs w:val="18"/>
              </w:rPr>
              <w:t>RD</w:t>
            </w:r>
          </w:p>
          <w:p w:rsidR="00675F6E" w:rsidRPr="00E2771E" w:rsidRDefault="00675F6E" w:rsidP="00675F6E">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C0025C" w:rsidRPr="00E2771E" w:rsidTr="0026234F">
        <w:trPr>
          <w:trHeight w:val="50"/>
        </w:trPr>
        <w:tc>
          <w:tcPr>
            <w:tcW w:w="874" w:type="pct"/>
            <w:vMerge/>
            <w:tcBorders>
              <w:top w:val="single" w:sz="4" w:space="0" w:color="auto"/>
              <w:left w:val="single" w:sz="4" w:space="0" w:color="auto"/>
              <w:bottom w:val="single" w:sz="4" w:space="0" w:color="auto"/>
              <w:right w:val="single" w:sz="4" w:space="0" w:color="auto"/>
            </w:tcBorders>
            <w:shd w:val="clear" w:color="auto" w:fill="auto"/>
            <w:vAlign w:val="center"/>
          </w:tcPr>
          <w:p w:rsidR="00675F6E" w:rsidRPr="00E2771E" w:rsidRDefault="00675F6E" w:rsidP="00675F6E">
            <w:pPr>
              <w:rPr>
                <w:rFonts w:ascii="Arial Narrow" w:hAnsi="Arial Narrow"/>
                <w:b/>
                <w:color w:val="000000"/>
                <w:sz w:val="20"/>
                <w:szCs w:val="18"/>
              </w:rPr>
            </w:pPr>
          </w:p>
        </w:tc>
        <w:tc>
          <w:tcPr>
            <w:tcW w:w="776" w:type="pct"/>
            <w:vMerge/>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p>
        </w:tc>
        <w:tc>
          <w:tcPr>
            <w:tcW w:w="707" w:type="pct"/>
            <w:gridSpan w:val="2"/>
            <w:vMerge/>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p>
        </w:tc>
        <w:tc>
          <w:tcPr>
            <w:tcW w:w="624" w:type="pct"/>
            <w:gridSpan w:val="2"/>
            <w:vMerge/>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p>
        </w:tc>
        <w:tc>
          <w:tcPr>
            <w:tcW w:w="780"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proofErr w:type="spellStart"/>
            <w:r>
              <w:rPr>
                <w:rFonts w:ascii="Arial Narrow" w:hAnsi="Arial Narrow"/>
                <w:b/>
                <w:color w:val="000000"/>
                <w:sz w:val="20"/>
                <w:szCs w:val="18"/>
              </w:rPr>
              <w:t>Pembrolizumab</w:t>
            </w:r>
            <w:proofErr w:type="spellEnd"/>
          </w:p>
        </w:tc>
        <w:tc>
          <w:tcPr>
            <w:tcW w:w="625"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r>
              <w:rPr>
                <w:rFonts w:ascii="Arial Narrow" w:hAnsi="Arial Narrow"/>
                <w:b/>
                <w:color w:val="000000"/>
                <w:sz w:val="20"/>
                <w:szCs w:val="18"/>
              </w:rPr>
              <w:t xml:space="preserve">Placebo </w:t>
            </w:r>
          </w:p>
        </w:tc>
        <w:tc>
          <w:tcPr>
            <w:tcW w:w="614" w:type="pct"/>
            <w:vMerge/>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b/>
                <w:color w:val="000000"/>
                <w:sz w:val="20"/>
                <w:szCs w:val="18"/>
              </w:rPr>
            </w:pPr>
          </w:p>
        </w:tc>
      </w:tr>
      <w:tr w:rsidR="00C0025C" w:rsidRPr="00E2771E" w:rsidTr="0026234F">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75F6E" w:rsidRPr="00E2771E" w:rsidRDefault="00675F6E" w:rsidP="000E571B">
            <w:pPr>
              <w:jc w:val="left"/>
              <w:rPr>
                <w:rFonts w:ascii="Arial Narrow" w:hAnsi="Arial Narrow"/>
                <w:color w:val="000000"/>
                <w:sz w:val="20"/>
                <w:szCs w:val="18"/>
              </w:rPr>
            </w:pPr>
            <w:r>
              <w:rPr>
                <w:rFonts w:ascii="Arial Narrow" w:hAnsi="Arial Narrow"/>
                <w:color w:val="000000"/>
                <w:sz w:val="20"/>
                <w:szCs w:val="18"/>
              </w:rPr>
              <w:t>Grade 3-5</w:t>
            </w:r>
            <w:r w:rsidR="006E08A7">
              <w:rPr>
                <w:rFonts w:ascii="Arial Narrow" w:hAnsi="Arial Narrow"/>
                <w:color w:val="000000"/>
                <w:sz w:val="20"/>
                <w:szCs w:val="18"/>
              </w:rPr>
              <w:t xml:space="preserve"> AE</w:t>
            </w:r>
          </w:p>
        </w:tc>
        <w:tc>
          <w:tcPr>
            <w:tcW w:w="776"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158</w:t>
            </w:r>
            <w:r w:rsidRPr="00E2771E">
              <w:rPr>
                <w:rFonts w:ascii="Arial Narrow" w:hAnsi="Arial Narrow"/>
                <w:color w:val="000000"/>
                <w:sz w:val="20"/>
                <w:szCs w:val="18"/>
              </w:rPr>
              <w:t>/</w:t>
            </w:r>
            <w:r>
              <w:rPr>
                <w:rFonts w:ascii="Arial Narrow" w:hAnsi="Arial Narrow"/>
                <w:color w:val="000000"/>
                <w:sz w:val="20"/>
                <w:szCs w:val="18"/>
              </w:rPr>
              <w:t>509</w:t>
            </w:r>
          </w:p>
        </w:tc>
        <w:tc>
          <w:tcPr>
            <w:tcW w:w="707"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96</w:t>
            </w:r>
            <w:r w:rsidRPr="00E2771E">
              <w:rPr>
                <w:rFonts w:ascii="Arial Narrow" w:hAnsi="Arial Narrow"/>
                <w:color w:val="000000"/>
                <w:sz w:val="20"/>
                <w:szCs w:val="18"/>
              </w:rPr>
              <w:t>/</w:t>
            </w:r>
            <w:r>
              <w:rPr>
                <w:rFonts w:ascii="Arial Narrow" w:hAnsi="Arial Narrow"/>
                <w:color w:val="000000"/>
                <w:sz w:val="20"/>
                <w:szCs w:val="18"/>
              </w:rPr>
              <w:t>502</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1.62</w:t>
            </w:r>
          </w:p>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(1.</w:t>
            </w:r>
            <w:r>
              <w:rPr>
                <w:rFonts w:ascii="Arial Narrow" w:hAnsi="Arial Narrow"/>
                <w:color w:val="000000"/>
                <w:sz w:val="20"/>
                <w:szCs w:val="18"/>
              </w:rPr>
              <w:t>30</w:t>
            </w:r>
            <w:r w:rsidRPr="00E2771E">
              <w:rPr>
                <w:rFonts w:ascii="Arial Narrow" w:hAnsi="Arial Narrow"/>
                <w:color w:val="000000"/>
                <w:sz w:val="20"/>
                <w:szCs w:val="18"/>
              </w:rPr>
              <w:t xml:space="preserve">, </w:t>
            </w:r>
            <w:r>
              <w:rPr>
                <w:rFonts w:ascii="Arial Narrow" w:hAnsi="Arial Narrow"/>
                <w:color w:val="000000"/>
                <w:sz w:val="20"/>
                <w:szCs w:val="18"/>
              </w:rPr>
              <w:t>2.03</w:t>
            </w:r>
            <w:r w:rsidRPr="00E2771E">
              <w:rPr>
                <w:rFonts w:ascii="Arial Narrow" w:hAnsi="Arial Narrow"/>
                <w:color w:val="000000"/>
                <w:sz w:val="20"/>
                <w:szCs w:val="18"/>
              </w:rPr>
              <w:t>)</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31.0</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19.1</w:t>
            </w:r>
          </w:p>
        </w:tc>
        <w:tc>
          <w:tcPr>
            <w:tcW w:w="614"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0.</w:t>
            </w:r>
            <w:r>
              <w:rPr>
                <w:rFonts w:ascii="Arial Narrow" w:hAnsi="Arial Narrow"/>
                <w:color w:val="000000"/>
                <w:sz w:val="20"/>
                <w:szCs w:val="18"/>
              </w:rPr>
              <w:t>12</w:t>
            </w:r>
          </w:p>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(0.0</w:t>
            </w:r>
            <w:r>
              <w:rPr>
                <w:rFonts w:ascii="Arial Narrow" w:hAnsi="Arial Narrow"/>
                <w:color w:val="000000"/>
                <w:sz w:val="20"/>
                <w:szCs w:val="18"/>
              </w:rPr>
              <w:t>7</w:t>
            </w:r>
            <w:r w:rsidRPr="00E2771E">
              <w:rPr>
                <w:rFonts w:ascii="Arial Narrow" w:hAnsi="Arial Narrow"/>
                <w:color w:val="000000"/>
                <w:sz w:val="20"/>
                <w:szCs w:val="18"/>
              </w:rPr>
              <w:t>, 0.</w:t>
            </w:r>
            <w:r>
              <w:rPr>
                <w:rFonts w:ascii="Arial Narrow" w:hAnsi="Arial Narrow"/>
                <w:color w:val="000000"/>
                <w:sz w:val="20"/>
                <w:szCs w:val="18"/>
              </w:rPr>
              <w:t>17</w:t>
            </w:r>
            <w:r w:rsidRPr="00E2771E">
              <w:rPr>
                <w:rFonts w:ascii="Arial Narrow" w:hAnsi="Arial Narrow"/>
                <w:color w:val="000000"/>
                <w:sz w:val="20"/>
                <w:szCs w:val="18"/>
              </w:rPr>
              <w:t>)</w:t>
            </w:r>
          </w:p>
        </w:tc>
      </w:tr>
      <w:tr w:rsidR="00C0025C" w:rsidRPr="00E2771E" w:rsidTr="0026234F">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75F6E" w:rsidRPr="00E2771E" w:rsidRDefault="00675F6E" w:rsidP="000E571B">
            <w:pPr>
              <w:jc w:val="left"/>
              <w:rPr>
                <w:rFonts w:ascii="Arial Narrow" w:hAnsi="Arial Narrow"/>
                <w:color w:val="000000"/>
                <w:sz w:val="20"/>
                <w:szCs w:val="18"/>
              </w:rPr>
            </w:pPr>
            <w:r>
              <w:rPr>
                <w:rFonts w:ascii="Arial Narrow" w:hAnsi="Arial Narrow"/>
                <w:color w:val="000000"/>
                <w:sz w:val="20"/>
                <w:szCs w:val="18"/>
              </w:rPr>
              <w:t>T</w:t>
            </w:r>
            <w:r w:rsidR="006C153A">
              <w:rPr>
                <w:rFonts w:ascii="Arial Narrow" w:hAnsi="Arial Narrow"/>
                <w:color w:val="000000"/>
                <w:sz w:val="20"/>
                <w:szCs w:val="18"/>
              </w:rPr>
              <w:t>R-</w:t>
            </w:r>
            <w:r>
              <w:rPr>
                <w:rFonts w:ascii="Arial Narrow" w:hAnsi="Arial Narrow"/>
                <w:color w:val="000000"/>
                <w:sz w:val="20"/>
                <w:szCs w:val="18"/>
              </w:rPr>
              <w:t xml:space="preserve">AE leading to </w:t>
            </w:r>
            <w:proofErr w:type="spellStart"/>
            <w:r>
              <w:rPr>
                <w:rFonts w:ascii="Arial Narrow" w:hAnsi="Arial Narrow"/>
                <w:color w:val="000000"/>
                <w:sz w:val="20"/>
                <w:szCs w:val="18"/>
              </w:rPr>
              <w:t>discontinuation</w:t>
            </w:r>
            <w:r w:rsidR="00BC087F" w:rsidRPr="00376151">
              <w:rPr>
                <w:rFonts w:ascii="Arial Narrow" w:hAnsi="Arial Narrow"/>
                <w:b/>
                <w:color w:val="000000"/>
                <w:sz w:val="20"/>
                <w:szCs w:val="18"/>
                <w:vertAlign w:val="superscript"/>
              </w:rPr>
              <w:t>a</w:t>
            </w:r>
            <w:proofErr w:type="spellEnd"/>
          </w:p>
        </w:tc>
        <w:tc>
          <w:tcPr>
            <w:tcW w:w="776"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62</w:t>
            </w:r>
            <w:r w:rsidRPr="00E2771E">
              <w:rPr>
                <w:rFonts w:ascii="Arial Narrow" w:hAnsi="Arial Narrow"/>
                <w:color w:val="000000"/>
                <w:sz w:val="20"/>
                <w:szCs w:val="18"/>
              </w:rPr>
              <w:t>/</w:t>
            </w:r>
            <w:r>
              <w:rPr>
                <w:rFonts w:ascii="Arial Narrow" w:hAnsi="Arial Narrow"/>
                <w:color w:val="000000"/>
                <w:sz w:val="20"/>
                <w:szCs w:val="18"/>
              </w:rPr>
              <w:t>509</w:t>
            </w:r>
          </w:p>
        </w:tc>
        <w:tc>
          <w:tcPr>
            <w:tcW w:w="707"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8</w:t>
            </w:r>
            <w:r w:rsidRPr="00E2771E">
              <w:rPr>
                <w:rFonts w:ascii="Arial Narrow" w:hAnsi="Arial Narrow"/>
                <w:color w:val="000000"/>
                <w:sz w:val="20"/>
                <w:szCs w:val="18"/>
              </w:rPr>
              <w:t>/</w:t>
            </w:r>
            <w:r>
              <w:rPr>
                <w:rFonts w:ascii="Arial Narrow" w:hAnsi="Arial Narrow"/>
                <w:color w:val="000000"/>
                <w:sz w:val="20"/>
                <w:szCs w:val="18"/>
              </w:rPr>
              <w:t>502</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7.64</w:t>
            </w:r>
          </w:p>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3.70</w:t>
            </w:r>
            <w:r w:rsidRPr="00E2771E">
              <w:rPr>
                <w:rFonts w:ascii="Arial Narrow" w:hAnsi="Arial Narrow"/>
                <w:color w:val="000000"/>
                <w:sz w:val="20"/>
                <w:szCs w:val="18"/>
              </w:rPr>
              <w:t xml:space="preserve">, </w:t>
            </w:r>
            <w:r>
              <w:rPr>
                <w:rFonts w:ascii="Arial Narrow" w:hAnsi="Arial Narrow"/>
                <w:color w:val="000000"/>
                <w:sz w:val="20"/>
                <w:szCs w:val="18"/>
              </w:rPr>
              <w:t>15.8</w:t>
            </w:r>
            <w:r w:rsidRPr="00E2771E">
              <w:rPr>
                <w:rFonts w:ascii="Arial Narrow" w:hAnsi="Arial Narrow"/>
                <w:color w:val="000000"/>
                <w:sz w:val="20"/>
                <w:szCs w:val="18"/>
              </w:rPr>
              <w:t>)</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12.2</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szCs w:val="18"/>
              </w:rPr>
              <w:t>1.6</w:t>
            </w:r>
          </w:p>
        </w:tc>
        <w:tc>
          <w:tcPr>
            <w:tcW w:w="614"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0.</w:t>
            </w:r>
            <w:r>
              <w:rPr>
                <w:rFonts w:ascii="Arial Narrow" w:hAnsi="Arial Narrow"/>
                <w:color w:val="000000"/>
                <w:sz w:val="20"/>
                <w:szCs w:val="18"/>
              </w:rPr>
              <w:t>11</w:t>
            </w:r>
          </w:p>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szCs w:val="18"/>
              </w:rPr>
              <w:t>(</w:t>
            </w:r>
            <w:r>
              <w:rPr>
                <w:rFonts w:ascii="Arial Narrow" w:hAnsi="Arial Narrow"/>
                <w:color w:val="000000"/>
                <w:sz w:val="20"/>
                <w:szCs w:val="18"/>
              </w:rPr>
              <w:t>0.08</w:t>
            </w:r>
            <w:r w:rsidRPr="00E2771E">
              <w:rPr>
                <w:rFonts w:ascii="Arial Narrow" w:hAnsi="Arial Narrow"/>
                <w:color w:val="000000"/>
                <w:sz w:val="20"/>
                <w:szCs w:val="18"/>
              </w:rPr>
              <w:t>, 0.</w:t>
            </w:r>
            <w:r>
              <w:rPr>
                <w:rFonts w:ascii="Arial Narrow" w:hAnsi="Arial Narrow"/>
                <w:color w:val="000000"/>
                <w:sz w:val="20"/>
                <w:szCs w:val="18"/>
              </w:rPr>
              <w:t>14</w:t>
            </w:r>
            <w:r w:rsidRPr="00E2771E">
              <w:rPr>
                <w:rFonts w:ascii="Arial Narrow" w:hAnsi="Arial Narrow"/>
                <w:color w:val="000000"/>
                <w:sz w:val="20"/>
                <w:szCs w:val="18"/>
              </w:rPr>
              <w:t>)</w:t>
            </w:r>
          </w:p>
        </w:tc>
      </w:tr>
      <w:tr w:rsidR="00C0025C" w:rsidRPr="00E2771E" w:rsidTr="0026234F">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675F6E" w:rsidRPr="00E2771E" w:rsidRDefault="00675F6E" w:rsidP="00BC087F">
            <w:pPr>
              <w:jc w:val="left"/>
              <w:rPr>
                <w:rFonts w:ascii="Arial Narrow" w:hAnsi="Arial Narrow"/>
                <w:color w:val="000000"/>
                <w:sz w:val="20"/>
                <w:szCs w:val="18"/>
              </w:rPr>
            </w:pPr>
            <w:r>
              <w:rPr>
                <w:rFonts w:ascii="Arial Narrow" w:hAnsi="Arial Narrow"/>
                <w:color w:val="000000"/>
                <w:sz w:val="20"/>
                <w:szCs w:val="18"/>
              </w:rPr>
              <w:t xml:space="preserve">Treatment-related Grade 3-5 </w:t>
            </w:r>
            <w:proofErr w:type="spellStart"/>
            <w:r>
              <w:rPr>
                <w:rFonts w:ascii="Arial Narrow" w:hAnsi="Arial Narrow"/>
                <w:color w:val="000000"/>
                <w:sz w:val="20"/>
                <w:szCs w:val="18"/>
              </w:rPr>
              <w:t>AEOSI</w:t>
            </w:r>
            <w:r w:rsidR="00BC087F" w:rsidRPr="00376151">
              <w:rPr>
                <w:rFonts w:ascii="Arial Narrow" w:hAnsi="Arial Narrow"/>
                <w:b/>
                <w:color w:val="000000"/>
                <w:sz w:val="20"/>
                <w:szCs w:val="18"/>
                <w:vertAlign w:val="superscript"/>
              </w:rPr>
              <w:t>a</w:t>
            </w:r>
            <w:proofErr w:type="spellEnd"/>
          </w:p>
        </w:tc>
        <w:tc>
          <w:tcPr>
            <w:tcW w:w="776"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rPr>
              <w:t>36</w:t>
            </w:r>
            <w:r w:rsidRPr="00E2771E">
              <w:rPr>
                <w:rFonts w:ascii="Arial Narrow" w:hAnsi="Arial Narrow"/>
                <w:color w:val="000000"/>
                <w:sz w:val="20"/>
              </w:rPr>
              <w:t>/</w:t>
            </w:r>
            <w:r>
              <w:rPr>
                <w:rFonts w:ascii="Arial Narrow" w:hAnsi="Arial Narrow"/>
                <w:color w:val="000000"/>
                <w:sz w:val="20"/>
              </w:rPr>
              <w:t>509</w:t>
            </w:r>
          </w:p>
        </w:tc>
        <w:tc>
          <w:tcPr>
            <w:tcW w:w="707"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rPr>
              <w:t>3</w:t>
            </w:r>
            <w:r w:rsidRPr="00E2771E">
              <w:rPr>
                <w:rFonts w:ascii="Arial Narrow" w:hAnsi="Arial Narrow"/>
                <w:color w:val="000000"/>
                <w:sz w:val="20"/>
              </w:rPr>
              <w:t>/</w:t>
            </w:r>
            <w:r>
              <w:rPr>
                <w:rFonts w:ascii="Arial Narrow" w:hAnsi="Arial Narrow"/>
                <w:color w:val="000000"/>
                <w:sz w:val="20"/>
              </w:rPr>
              <w:t>502</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rPr>
            </w:pPr>
            <w:r>
              <w:rPr>
                <w:rFonts w:ascii="Arial Narrow" w:hAnsi="Arial Narrow"/>
                <w:color w:val="000000"/>
                <w:sz w:val="20"/>
              </w:rPr>
              <w:t>11.83</w:t>
            </w:r>
          </w:p>
          <w:p w:rsidR="00675F6E" w:rsidRPr="00E2771E" w:rsidRDefault="00675F6E" w:rsidP="00675F6E">
            <w:pPr>
              <w:jc w:val="center"/>
              <w:rPr>
                <w:rFonts w:ascii="Arial Narrow" w:hAnsi="Arial Narrow"/>
                <w:color w:val="000000"/>
                <w:sz w:val="20"/>
                <w:szCs w:val="18"/>
              </w:rPr>
            </w:pPr>
            <w:r w:rsidRPr="00E2771E">
              <w:rPr>
                <w:rFonts w:ascii="Arial Narrow" w:hAnsi="Arial Narrow"/>
                <w:color w:val="000000"/>
                <w:sz w:val="20"/>
              </w:rPr>
              <w:t>(</w:t>
            </w:r>
            <w:r>
              <w:rPr>
                <w:rFonts w:ascii="Arial Narrow" w:hAnsi="Arial Narrow"/>
                <w:color w:val="000000"/>
                <w:sz w:val="20"/>
              </w:rPr>
              <w:t>3.67</w:t>
            </w:r>
            <w:r w:rsidRPr="00E2771E">
              <w:rPr>
                <w:rFonts w:ascii="Arial Narrow" w:hAnsi="Arial Narrow"/>
                <w:color w:val="000000"/>
                <w:sz w:val="20"/>
              </w:rPr>
              <w:t xml:space="preserve">, </w:t>
            </w:r>
            <w:r>
              <w:rPr>
                <w:rFonts w:ascii="Arial Narrow" w:hAnsi="Arial Narrow"/>
                <w:color w:val="000000"/>
                <w:sz w:val="20"/>
              </w:rPr>
              <w:t>38.18</w:t>
            </w:r>
            <w:r w:rsidRPr="00E2771E">
              <w:rPr>
                <w:rFonts w:ascii="Arial Narrow" w:hAnsi="Arial Narrow"/>
                <w:color w:val="000000"/>
                <w:sz w:val="20"/>
              </w:rPr>
              <w:t>)</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rPr>
              <w:t>7.1</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rPr>
              <w:t>0.6</w:t>
            </w:r>
          </w:p>
        </w:tc>
        <w:tc>
          <w:tcPr>
            <w:tcW w:w="614" w:type="pct"/>
            <w:tcBorders>
              <w:top w:val="single" w:sz="4" w:space="0" w:color="auto"/>
              <w:left w:val="single" w:sz="4" w:space="0" w:color="auto"/>
              <w:bottom w:val="single" w:sz="4" w:space="0" w:color="auto"/>
              <w:right w:val="single" w:sz="4" w:space="0" w:color="auto"/>
            </w:tcBorders>
            <w:vAlign w:val="center"/>
          </w:tcPr>
          <w:p w:rsidR="00675F6E" w:rsidRPr="00E2771E" w:rsidRDefault="00675F6E" w:rsidP="00675F6E">
            <w:pPr>
              <w:jc w:val="center"/>
              <w:rPr>
                <w:rFonts w:ascii="Arial Narrow" w:hAnsi="Arial Narrow"/>
                <w:color w:val="000000"/>
                <w:sz w:val="20"/>
              </w:rPr>
            </w:pPr>
            <w:r w:rsidRPr="00E2771E">
              <w:rPr>
                <w:rFonts w:ascii="Arial Narrow" w:hAnsi="Arial Narrow"/>
                <w:color w:val="000000"/>
                <w:sz w:val="20"/>
              </w:rPr>
              <w:t>0.0</w:t>
            </w:r>
            <w:r>
              <w:rPr>
                <w:rFonts w:ascii="Arial Narrow" w:hAnsi="Arial Narrow"/>
                <w:color w:val="000000"/>
                <w:sz w:val="20"/>
              </w:rPr>
              <w:t>6</w:t>
            </w:r>
          </w:p>
          <w:p w:rsidR="00675F6E" w:rsidRPr="00E2771E" w:rsidRDefault="00675F6E" w:rsidP="00675F6E">
            <w:pPr>
              <w:jc w:val="center"/>
              <w:rPr>
                <w:rFonts w:ascii="Arial Narrow" w:hAnsi="Arial Narrow"/>
                <w:color w:val="000000"/>
                <w:sz w:val="20"/>
                <w:szCs w:val="18"/>
              </w:rPr>
            </w:pPr>
            <w:r>
              <w:rPr>
                <w:rFonts w:ascii="Arial Narrow" w:hAnsi="Arial Narrow"/>
                <w:color w:val="000000"/>
                <w:sz w:val="20"/>
              </w:rPr>
              <w:t>(0.04</w:t>
            </w:r>
            <w:r w:rsidRPr="00E2771E">
              <w:rPr>
                <w:rFonts w:ascii="Arial Narrow" w:hAnsi="Arial Narrow"/>
                <w:color w:val="000000"/>
                <w:sz w:val="20"/>
              </w:rPr>
              <w:t>, 0.</w:t>
            </w:r>
            <w:r>
              <w:rPr>
                <w:rFonts w:ascii="Arial Narrow" w:hAnsi="Arial Narrow"/>
                <w:color w:val="000000"/>
                <w:sz w:val="20"/>
              </w:rPr>
              <w:t>09</w:t>
            </w:r>
            <w:r w:rsidRPr="00E2771E">
              <w:rPr>
                <w:rFonts w:ascii="Arial Narrow" w:hAnsi="Arial Narrow"/>
                <w:color w:val="000000"/>
                <w:sz w:val="20"/>
              </w:rPr>
              <w:t>)</w:t>
            </w:r>
          </w:p>
        </w:tc>
      </w:tr>
    </w:tbl>
    <w:p w:rsidR="00675F6E" w:rsidRPr="0072416F" w:rsidRDefault="006E08A7" w:rsidP="00675F6E">
      <w:pPr>
        <w:pStyle w:val="TableFooter"/>
      </w:pPr>
      <w:r>
        <w:t xml:space="preserve">AE = adverse events </w:t>
      </w:r>
      <w:r w:rsidR="00376151">
        <w:t xml:space="preserve">AEOSI = adverse event of special interest; CI = confidence interval; </w:t>
      </w:r>
      <w:r w:rsidR="00675F6E">
        <w:t xml:space="preserve">HR = hazard ratio; </w:t>
      </w:r>
      <w:r w:rsidR="00376151">
        <w:t xml:space="preserve">NR = not reached; </w:t>
      </w:r>
      <w:r w:rsidR="00675F6E" w:rsidRPr="0072416F">
        <w:t xml:space="preserve">RD = risk difference; </w:t>
      </w:r>
      <w:r w:rsidR="00376151">
        <w:t xml:space="preserve">RFS = recurrence-free survival; </w:t>
      </w:r>
      <w:r w:rsidR="00675F6E" w:rsidRPr="0072416F">
        <w:t xml:space="preserve">RR = </w:t>
      </w:r>
      <w:r w:rsidR="00376151">
        <w:t>relative risk</w:t>
      </w:r>
      <w:r w:rsidR="006C153A">
        <w:t>; TR-AE = treatment</w:t>
      </w:r>
      <w:r w:rsidR="000E571B">
        <w:t>-</w:t>
      </w:r>
      <w:r w:rsidR="006C153A">
        <w:t>related adverse event</w:t>
      </w:r>
    </w:p>
    <w:p w:rsidR="00376151" w:rsidRPr="0072416F" w:rsidRDefault="00376151" w:rsidP="00376151">
      <w:pPr>
        <w:pStyle w:val="TableFooter"/>
      </w:pPr>
      <w:proofErr w:type="gramStart"/>
      <w:r>
        <w:rPr>
          <w:vertAlign w:val="superscript"/>
        </w:rPr>
        <w:t>a</w:t>
      </w:r>
      <w:proofErr w:type="gramEnd"/>
      <w:r w:rsidRPr="0072416F">
        <w:t xml:space="preserve"> </w:t>
      </w:r>
      <w:r>
        <w:t>Median duration of follow-up 16 months</w:t>
      </w:r>
    </w:p>
    <w:p w:rsidR="00675F6E" w:rsidRPr="00B1011F" w:rsidRDefault="00675F6E" w:rsidP="00FC7B39">
      <w:pPr>
        <w:pStyle w:val="TableFooter"/>
        <w:spacing w:after="240"/>
        <w:rPr>
          <w:sz w:val="20"/>
        </w:rPr>
      </w:pPr>
      <w:r>
        <w:t xml:space="preserve">Source: </w:t>
      </w:r>
      <w:r w:rsidRPr="00B312BC">
        <w:t>Table 2-20, p73, Table 2-24, p78 and Table 2-25, pp79-80 of the submission</w:t>
      </w:r>
      <w:r>
        <w:t>; Table 12-12, p66 of the KN054 clinical study report.</w:t>
      </w:r>
    </w:p>
    <w:p w:rsidR="00675F6E" w:rsidRPr="00E4278C" w:rsidRDefault="00675F6E" w:rsidP="00675F6E">
      <w:pPr>
        <w:pStyle w:val="ListParagraph"/>
        <w:widowControl/>
        <w:numPr>
          <w:ilvl w:val="1"/>
          <w:numId w:val="3"/>
        </w:numPr>
        <w:spacing w:after="160"/>
        <w:rPr>
          <w:lang w:val="en-US"/>
        </w:rPr>
      </w:pPr>
      <w:r w:rsidRPr="00E4278C">
        <w:t xml:space="preserve">On the basis of evidence presented by the submission, for every 100 patients treated with </w:t>
      </w:r>
      <w:proofErr w:type="spellStart"/>
      <w:r w:rsidRPr="00E4278C">
        <w:t>pembrolizumab</w:t>
      </w:r>
      <w:proofErr w:type="spellEnd"/>
      <w:r w:rsidRPr="00E4278C">
        <w:t xml:space="preserve"> in comparison to placebo and over a median duration of follow-up of 16 months:</w:t>
      </w:r>
    </w:p>
    <w:p w:rsidR="00675F6E" w:rsidRPr="00E4278C" w:rsidRDefault="00675F6E" w:rsidP="0090357A">
      <w:pPr>
        <w:pStyle w:val="ListParagraph"/>
        <w:widowControl/>
        <w:numPr>
          <w:ilvl w:val="0"/>
          <w:numId w:val="2"/>
        </w:numPr>
        <w:spacing w:after="120"/>
        <w:ind w:left="993" w:hanging="284"/>
      </w:pPr>
      <w:r w:rsidRPr="00E4278C">
        <w:rPr>
          <w:rFonts w:cs="Calibri"/>
          <w:snapToGrid/>
          <w:szCs w:val="24"/>
          <w:lang w:val="en-US" w:eastAsia="en-AU"/>
        </w:rPr>
        <w:lastRenderedPageBreak/>
        <w:t>Approximately 1</w:t>
      </w:r>
      <w:r w:rsidR="001D2693" w:rsidRPr="00E4278C">
        <w:rPr>
          <w:rFonts w:cs="Calibri"/>
          <w:snapToGrid/>
          <w:szCs w:val="24"/>
          <w:lang w:val="en-US" w:eastAsia="en-AU"/>
        </w:rPr>
        <w:t xml:space="preserve">7 </w:t>
      </w:r>
      <w:r w:rsidRPr="00E4278C">
        <w:rPr>
          <w:rFonts w:cs="Calibri"/>
          <w:snapToGrid/>
          <w:szCs w:val="24"/>
          <w:lang w:val="en-US" w:eastAsia="en-AU"/>
        </w:rPr>
        <w:t xml:space="preserve">more patients remained recurrence-free. </w:t>
      </w:r>
      <w:r w:rsidR="004E0CC4">
        <w:rPr>
          <w:rFonts w:cs="Calibri"/>
          <w:snapToGrid/>
          <w:szCs w:val="24"/>
          <w:lang w:val="en-US" w:eastAsia="en-AU"/>
        </w:rPr>
        <w:t>H</w:t>
      </w:r>
      <w:r w:rsidRPr="00E4278C">
        <w:rPr>
          <w:rFonts w:cs="Calibri"/>
          <w:snapToGrid/>
          <w:szCs w:val="24"/>
          <w:lang w:val="en-US" w:eastAsia="en-AU"/>
        </w:rPr>
        <w:t xml:space="preserve">owever, </w:t>
      </w:r>
      <w:r w:rsidR="004E0CC4">
        <w:rPr>
          <w:rFonts w:cs="Calibri"/>
          <w:snapToGrid/>
          <w:szCs w:val="24"/>
          <w:lang w:val="en-US" w:eastAsia="en-AU"/>
        </w:rPr>
        <w:t>it is currently unknown if this will impact on patient’s overall survival</w:t>
      </w:r>
      <w:r w:rsidRPr="00E4278C">
        <w:rPr>
          <w:rFonts w:cs="Calibri"/>
          <w:snapToGrid/>
          <w:szCs w:val="24"/>
          <w:lang w:val="en-US" w:eastAsia="en-AU"/>
        </w:rPr>
        <w:t>.</w:t>
      </w:r>
      <w:r w:rsidRPr="00E4278C">
        <w:t xml:space="preserve"> </w:t>
      </w:r>
    </w:p>
    <w:p w:rsidR="00675F6E" w:rsidRPr="00E4278C" w:rsidRDefault="00675F6E" w:rsidP="0090357A">
      <w:pPr>
        <w:pStyle w:val="ListParagraph"/>
        <w:widowControl/>
        <w:numPr>
          <w:ilvl w:val="0"/>
          <w:numId w:val="2"/>
        </w:numPr>
        <w:spacing w:after="120"/>
        <w:ind w:left="993" w:hanging="284"/>
      </w:pPr>
      <w:r w:rsidRPr="00E4278C">
        <w:t xml:space="preserve">Approximately 12 additional patients would experience a Grade 3-5 all-cause </w:t>
      </w:r>
      <w:r w:rsidR="007742DB">
        <w:t>adverse event</w:t>
      </w:r>
      <w:r w:rsidRPr="00E4278C">
        <w:t>.</w:t>
      </w:r>
    </w:p>
    <w:p w:rsidR="00675F6E" w:rsidRPr="00E4278C" w:rsidRDefault="00675F6E" w:rsidP="0090357A">
      <w:pPr>
        <w:pStyle w:val="ListParagraph"/>
        <w:widowControl/>
        <w:numPr>
          <w:ilvl w:val="0"/>
          <w:numId w:val="2"/>
        </w:numPr>
        <w:spacing w:after="120"/>
        <w:ind w:left="993" w:hanging="284"/>
      </w:pPr>
      <w:r w:rsidRPr="00E4278C">
        <w:t xml:space="preserve">Approximately 11 additional patients would experience a treatment-related </w:t>
      </w:r>
      <w:r w:rsidR="007742DB">
        <w:t>adverse event</w:t>
      </w:r>
      <w:r w:rsidRPr="00E4278C">
        <w:t xml:space="preserve"> leading to discontinuation.</w:t>
      </w:r>
    </w:p>
    <w:p w:rsidR="00675F6E" w:rsidRPr="00882085" w:rsidRDefault="00675F6E" w:rsidP="00675F6E">
      <w:pPr>
        <w:pStyle w:val="ListParagraph"/>
        <w:widowControl/>
        <w:numPr>
          <w:ilvl w:val="0"/>
          <w:numId w:val="2"/>
        </w:numPr>
        <w:spacing w:after="120"/>
        <w:ind w:left="993" w:hanging="284"/>
      </w:pPr>
      <w:r w:rsidRPr="00E4278C">
        <w:t xml:space="preserve">Approximately 6 additional patients would experience a treatment-related Grade 3-5 </w:t>
      </w:r>
      <w:r w:rsidR="007742DB">
        <w:t>adverse event of special interest</w:t>
      </w:r>
      <w:r w:rsidRPr="00E4278C">
        <w:t>.</w:t>
      </w:r>
    </w:p>
    <w:p w:rsidR="00675F6E" w:rsidRPr="00882085" w:rsidRDefault="00675F6E" w:rsidP="001754A8">
      <w:pPr>
        <w:pStyle w:val="Heading2"/>
        <w:spacing w:after="120"/>
      </w:pPr>
      <w:bookmarkStart w:id="13" w:name="_Toc523840734"/>
      <w:r w:rsidRPr="00C9624D">
        <w:t>Clinical claim</w:t>
      </w:r>
      <w:bookmarkEnd w:id="13"/>
    </w:p>
    <w:p w:rsidR="00675F6E" w:rsidRDefault="00675F6E" w:rsidP="00675F6E">
      <w:pPr>
        <w:pStyle w:val="ListParagraph"/>
        <w:widowControl/>
        <w:numPr>
          <w:ilvl w:val="1"/>
          <w:numId w:val="3"/>
        </w:numPr>
        <w:spacing w:after="160"/>
      </w:pPr>
      <w:r w:rsidRPr="00D13A3E">
        <w:t>The submission describe</w:t>
      </w:r>
      <w:r>
        <w:t>d</w:t>
      </w:r>
      <w:r w:rsidRPr="00D13A3E">
        <w:t xml:space="preserve"> </w:t>
      </w:r>
      <w:proofErr w:type="spellStart"/>
      <w:r>
        <w:t>pembrolizumab</w:t>
      </w:r>
      <w:proofErr w:type="spellEnd"/>
      <w:r>
        <w:t xml:space="preserve"> </w:t>
      </w:r>
      <w:r w:rsidRPr="00D13A3E">
        <w:t xml:space="preserve">as </w:t>
      </w:r>
      <w:r>
        <w:t xml:space="preserve">superior </w:t>
      </w:r>
      <w:r w:rsidRPr="00D13A3E">
        <w:t xml:space="preserve">in terms of effectiveness </w:t>
      </w:r>
      <w:r w:rsidR="001D2693">
        <w:t>compared with placebo and a</w:t>
      </w:r>
      <w:r>
        <w:t>s well tolerated.</w:t>
      </w:r>
    </w:p>
    <w:p w:rsidR="00F942A9" w:rsidRDefault="00675F6E" w:rsidP="00675F6E">
      <w:pPr>
        <w:pStyle w:val="ListParagraph"/>
        <w:widowControl/>
        <w:numPr>
          <w:ilvl w:val="1"/>
          <w:numId w:val="3"/>
        </w:numPr>
        <w:spacing w:after="160"/>
      </w:pPr>
      <w:r w:rsidRPr="00F1313B">
        <w:t xml:space="preserve">The </w:t>
      </w:r>
      <w:r w:rsidR="000C782D">
        <w:t>PBAC</w:t>
      </w:r>
      <w:r w:rsidR="000C782D" w:rsidRPr="00F1313B">
        <w:t xml:space="preserve"> </w:t>
      </w:r>
      <w:r w:rsidR="00835F97" w:rsidRPr="00F1313B">
        <w:t xml:space="preserve">considered that the </w:t>
      </w:r>
      <w:r w:rsidRPr="00F1313B">
        <w:t xml:space="preserve">submission’s claim that </w:t>
      </w:r>
      <w:proofErr w:type="spellStart"/>
      <w:r w:rsidRPr="00F1313B">
        <w:t>pembrolizumab</w:t>
      </w:r>
      <w:proofErr w:type="spellEnd"/>
      <w:r w:rsidRPr="00F1313B">
        <w:t xml:space="preserve"> was superior to placebo in terms of RFS for treatment of completely resected Stage III malignant melanoma </w:t>
      </w:r>
      <w:r w:rsidR="004E0CC4" w:rsidRPr="00F1313B">
        <w:t>was</w:t>
      </w:r>
      <w:r w:rsidRPr="00F1313B">
        <w:t xml:space="preserve"> reasonable, based on the interim analysis from Trial KN054</w:t>
      </w:r>
      <w:r w:rsidR="001948ED" w:rsidRPr="00F1313B">
        <w:t>. T</w:t>
      </w:r>
      <w:r w:rsidRPr="00F1313B">
        <w:t xml:space="preserve">he </w:t>
      </w:r>
      <w:r w:rsidR="000C782D">
        <w:t>PBAC</w:t>
      </w:r>
      <w:r w:rsidR="000C782D" w:rsidRPr="00F1313B">
        <w:t xml:space="preserve"> </w:t>
      </w:r>
      <w:r w:rsidR="00835F97" w:rsidRPr="00F1313B">
        <w:t xml:space="preserve">noted that the </w:t>
      </w:r>
      <w:r w:rsidRPr="00F1313B">
        <w:t xml:space="preserve">magnitude of the RFS benefits associated with </w:t>
      </w:r>
      <w:proofErr w:type="spellStart"/>
      <w:r w:rsidRPr="00F1313B">
        <w:t>pembrolizumab</w:t>
      </w:r>
      <w:proofErr w:type="spellEnd"/>
      <w:r w:rsidR="00835F97" w:rsidRPr="00F1313B">
        <w:t xml:space="preserve"> </w:t>
      </w:r>
      <w:r w:rsidR="00E06120" w:rsidRPr="00F1313B">
        <w:t xml:space="preserve">could not </w:t>
      </w:r>
      <w:r w:rsidRPr="00F1313B">
        <w:t>be reliably determined due to the immaturity of the RFS data.</w:t>
      </w:r>
      <w:r w:rsidR="002555D5" w:rsidRPr="00F1313B">
        <w:t xml:space="preserve"> </w:t>
      </w:r>
    </w:p>
    <w:p w:rsidR="00F942A9" w:rsidRPr="00CA5339" w:rsidRDefault="00F942A9" w:rsidP="00F942A9">
      <w:pPr>
        <w:pStyle w:val="ListParagraph"/>
        <w:widowControl/>
        <w:numPr>
          <w:ilvl w:val="1"/>
          <w:numId w:val="3"/>
        </w:numPr>
        <w:spacing w:after="160"/>
      </w:pPr>
      <w:r w:rsidRPr="00CA5339">
        <w:t xml:space="preserve">The PBAC </w:t>
      </w:r>
      <w:r w:rsidR="00EB2E9F" w:rsidRPr="00CA5339">
        <w:t>noted</w:t>
      </w:r>
      <w:r w:rsidRPr="00CA5339">
        <w:t xml:space="preserve"> that the magnitude of </w:t>
      </w:r>
      <w:r w:rsidR="00EB2E9F" w:rsidRPr="00CA5339">
        <w:t xml:space="preserve">RFS </w:t>
      </w:r>
      <w:r w:rsidRPr="00CA5339">
        <w:t>benefit for patien</w:t>
      </w:r>
      <w:r w:rsidR="000E571B">
        <w:t>ts with Stage IIIA (metastases greater than</w:t>
      </w:r>
      <w:r w:rsidRPr="00CA5339">
        <w:t xml:space="preserve"> 1 mm) </w:t>
      </w:r>
      <w:r w:rsidR="00EB2E9F" w:rsidRPr="00CA5339">
        <w:t xml:space="preserve">should be considered highly uncertain </w:t>
      </w:r>
      <w:r w:rsidRPr="00CA5339">
        <w:t xml:space="preserve">due to the small proportion of patients with this </w:t>
      </w:r>
      <w:r w:rsidR="00761608" w:rsidRPr="00CA5339">
        <w:t>sub-</w:t>
      </w:r>
      <w:r w:rsidRPr="00CA5339">
        <w:t xml:space="preserve">stage </w:t>
      </w:r>
      <w:r w:rsidR="00761608" w:rsidRPr="00CA5339">
        <w:t xml:space="preserve">of </w:t>
      </w:r>
      <w:r w:rsidRPr="00CA5339">
        <w:t>disease recruited into the trial.</w:t>
      </w:r>
    </w:p>
    <w:p w:rsidR="00675F6E" w:rsidRPr="00F1313B" w:rsidRDefault="00835F97" w:rsidP="00837C8C">
      <w:pPr>
        <w:pStyle w:val="ListParagraph"/>
        <w:widowControl/>
        <w:numPr>
          <w:ilvl w:val="1"/>
          <w:numId w:val="3"/>
        </w:numPr>
        <w:spacing w:after="160"/>
      </w:pPr>
      <w:r w:rsidRPr="00CA5339">
        <w:t xml:space="preserve">The </w:t>
      </w:r>
      <w:r w:rsidR="000C782D" w:rsidRPr="00CA5339">
        <w:t xml:space="preserve">PBAC </w:t>
      </w:r>
      <w:r w:rsidRPr="00CA5339">
        <w:t>noted that n</w:t>
      </w:r>
      <w:r w:rsidR="00675F6E" w:rsidRPr="00CA5339">
        <w:t xml:space="preserve">o formal analysis could be performed for </w:t>
      </w:r>
      <w:r w:rsidR="003B7BE7">
        <w:t>overall survival</w:t>
      </w:r>
      <w:r w:rsidR="00675F6E" w:rsidRPr="00CA5339">
        <w:t xml:space="preserve"> </w:t>
      </w:r>
      <w:r w:rsidR="00200CDA">
        <w:t>as</w:t>
      </w:r>
      <w:r w:rsidR="00675F6E" w:rsidRPr="00CA5339">
        <w:t xml:space="preserve"> </w:t>
      </w:r>
      <w:r w:rsidR="00200CDA">
        <w:t xml:space="preserve">a small number of </w:t>
      </w:r>
      <w:r w:rsidR="00675F6E" w:rsidRPr="00CA5339">
        <w:t>death events (</w:t>
      </w:r>
      <w:r w:rsidR="002018B5">
        <w:rPr>
          <w:noProof/>
          <w:color w:val="000000"/>
          <w:highlight w:val="black"/>
        </w:rPr>
        <w:t xml:space="preserve">'''''''''''' </w:t>
      </w:r>
      <w:proofErr w:type="gramStart"/>
      <w:r w:rsidR="002018B5">
        <w:rPr>
          <w:noProof/>
          <w:color w:val="000000"/>
          <w:highlight w:val="black"/>
        </w:rPr>
        <w:t>''''''</w:t>
      </w:r>
      <w:r w:rsidR="00675F6E" w:rsidRPr="00CA5339">
        <w:t>%</w:t>
      </w:r>
      <w:proofErr w:type="gramEnd"/>
      <w:r w:rsidR="00675F6E" w:rsidRPr="00CA5339">
        <w:t>) occurred during the observation</w:t>
      </w:r>
      <w:r w:rsidR="00675F6E" w:rsidRPr="00F1313B">
        <w:t xml:space="preserve"> period of the trial. </w:t>
      </w:r>
      <w:r w:rsidR="00837C8C" w:rsidRPr="00F1313B">
        <w:t xml:space="preserve">The validity of surrogacy of RFS for </w:t>
      </w:r>
      <w:r w:rsidR="003B7BE7">
        <w:t>overall survival</w:t>
      </w:r>
      <w:r w:rsidR="00837C8C" w:rsidRPr="00F1313B">
        <w:t xml:space="preserve"> </w:t>
      </w:r>
      <w:r w:rsidR="00C96B42" w:rsidRPr="00F1313B">
        <w:t xml:space="preserve">remained </w:t>
      </w:r>
      <w:r w:rsidR="00837C8C" w:rsidRPr="00F1313B">
        <w:t>uncertain.</w:t>
      </w:r>
    </w:p>
    <w:p w:rsidR="00675F6E" w:rsidRDefault="00B9313D" w:rsidP="00675F6E">
      <w:pPr>
        <w:pStyle w:val="ListParagraph"/>
        <w:widowControl/>
        <w:numPr>
          <w:ilvl w:val="1"/>
          <w:numId w:val="3"/>
        </w:numPr>
        <w:spacing w:after="160"/>
      </w:pPr>
      <w:r w:rsidRPr="00F1313B">
        <w:t>T</w:t>
      </w:r>
      <w:r w:rsidR="00675F6E" w:rsidRPr="00F1313B">
        <w:t xml:space="preserve">he </w:t>
      </w:r>
      <w:r w:rsidR="000C782D">
        <w:t xml:space="preserve">PBAC noted that the </w:t>
      </w:r>
      <w:r w:rsidR="00675F6E" w:rsidRPr="00F1313B">
        <w:t xml:space="preserve">submission </w:t>
      </w:r>
      <w:r w:rsidR="00C96B42" w:rsidRPr="00F1313B">
        <w:t>did not make</w:t>
      </w:r>
      <w:r w:rsidR="00675F6E" w:rsidRPr="00F1313B">
        <w:t xml:space="preserve"> a clinical claim, in terms of safety, for </w:t>
      </w:r>
      <w:proofErr w:type="spellStart"/>
      <w:r w:rsidR="00675F6E" w:rsidRPr="00F1313B">
        <w:t>pembrolizumab</w:t>
      </w:r>
      <w:proofErr w:type="spellEnd"/>
      <w:r w:rsidR="00675F6E" w:rsidRPr="00F1313B">
        <w:t xml:space="preserve"> in comparison with the main comparator, placebo. </w:t>
      </w:r>
      <w:r w:rsidR="00835F97" w:rsidRPr="00F1313B">
        <w:t xml:space="preserve">The </w:t>
      </w:r>
      <w:r w:rsidR="000C782D">
        <w:t>PBAC</w:t>
      </w:r>
      <w:r w:rsidR="000C782D" w:rsidRPr="00F1313B">
        <w:t xml:space="preserve"> </w:t>
      </w:r>
      <w:r w:rsidR="00835F97" w:rsidRPr="00F1313B">
        <w:t xml:space="preserve">considered </w:t>
      </w:r>
      <w:proofErr w:type="spellStart"/>
      <w:r w:rsidR="00835F97" w:rsidRPr="00F1313B">
        <w:t>p</w:t>
      </w:r>
      <w:r w:rsidR="00675F6E" w:rsidRPr="00F1313B">
        <w:t>embrolizumab</w:t>
      </w:r>
      <w:proofErr w:type="spellEnd"/>
      <w:r w:rsidR="00235EB3" w:rsidRPr="00F1313B">
        <w:t xml:space="preserve"> </w:t>
      </w:r>
      <w:r w:rsidR="00C96B42" w:rsidRPr="00F1313B">
        <w:t>wa</w:t>
      </w:r>
      <w:r w:rsidR="00235EB3" w:rsidRPr="00F1313B">
        <w:t>s</w:t>
      </w:r>
      <w:r w:rsidR="00675F6E" w:rsidRPr="00F1313B">
        <w:t xml:space="preserve"> inferior to placebo in term of safety</w:t>
      </w:r>
      <w:r w:rsidR="005D571F" w:rsidRPr="00F1313B">
        <w:t>.</w:t>
      </w:r>
      <w:r w:rsidR="00675F6E" w:rsidRPr="00F1313B">
        <w:t xml:space="preserve"> </w:t>
      </w:r>
    </w:p>
    <w:p w:rsidR="004E615D" w:rsidRPr="001754A8" w:rsidRDefault="004E615D" w:rsidP="001754A8">
      <w:pPr>
        <w:pStyle w:val="Heading2"/>
        <w:spacing w:after="120"/>
        <w:rPr>
          <w:snapToGrid/>
        </w:rPr>
      </w:pPr>
      <w:bookmarkStart w:id="14" w:name="_Toc523840735"/>
      <w:r>
        <w:t>Economic analysis</w:t>
      </w:r>
      <w:bookmarkEnd w:id="14"/>
      <w:r>
        <w:t xml:space="preserve"> </w:t>
      </w:r>
    </w:p>
    <w:p w:rsidR="004E615D" w:rsidRDefault="004E615D" w:rsidP="004E615D">
      <w:pPr>
        <w:pStyle w:val="ListParagraph"/>
        <w:widowControl/>
        <w:numPr>
          <w:ilvl w:val="1"/>
          <w:numId w:val="3"/>
        </w:numPr>
        <w:snapToGrid w:val="0"/>
        <w:spacing w:after="160"/>
      </w:pPr>
      <w:r>
        <w:t>The submission presented a modelled economic evaluation based on KN054 and data from a range of literature. The type of economic evaluation presented was a cost-utility analysis. The model structure and rationale are summarised below.</w:t>
      </w:r>
    </w:p>
    <w:p w:rsidR="004E615D" w:rsidRPr="0075348C" w:rsidRDefault="004E615D" w:rsidP="006C153A">
      <w:pPr>
        <w:pStyle w:val="Caption"/>
      </w:pPr>
      <w:r w:rsidRPr="0075348C">
        <w:lastRenderedPageBreak/>
        <w:t xml:space="preserve">Table </w:t>
      </w:r>
      <w:r w:rsidR="009C767B">
        <w:t>8</w:t>
      </w:r>
      <w:r w:rsidRPr="0075348C">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5"/>
        <w:gridCol w:w="7722"/>
      </w:tblGrid>
      <w:tr w:rsidR="004E615D" w:rsidTr="006C153A">
        <w:trPr>
          <w:tblHeader/>
        </w:trPr>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rPr>
                <w:b/>
              </w:rPr>
              <w:t>Component</w:t>
            </w:r>
          </w:p>
        </w:tc>
        <w:tc>
          <w:tcPr>
            <w:tcW w:w="428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jc w:val="center"/>
              <w:rPr>
                <w:b/>
              </w:rPr>
            </w:pPr>
            <w:r>
              <w:rPr>
                <w:b/>
              </w:rPr>
              <w:t>Summary</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Time horizon</w:t>
            </w:r>
          </w:p>
        </w:tc>
        <w:tc>
          <w:tcPr>
            <w:tcW w:w="428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10 years in the model base case versus 16 months in the KN054 trial</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Outcomes</w:t>
            </w:r>
          </w:p>
        </w:tc>
        <w:tc>
          <w:tcPr>
            <w:tcW w:w="428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LYG and QALYs</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Methods used to generate results</w:t>
            </w:r>
          </w:p>
        </w:tc>
        <w:tc>
          <w:tcPr>
            <w:tcW w:w="428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Markov cohort model</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Health states</w:t>
            </w:r>
          </w:p>
        </w:tc>
        <w:tc>
          <w:tcPr>
            <w:tcW w:w="4282" w:type="pct"/>
            <w:tcBorders>
              <w:top w:val="single" w:sz="4" w:space="0" w:color="auto"/>
              <w:left w:val="single" w:sz="4" w:space="0" w:color="auto"/>
              <w:bottom w:val="single" w:sz="4" w:space="0" w:color="auto"/>
              <w:right w:val="single" w:sz="4" w:space="0" w:color="auto"/>
            </w:tcBorders>
            <w:hideMark/>
          </w:tcPr>
          <w:p w:rsidR="004E615D" w:rsidRDefault="004E615D" w:rsidP="006C153A">
            <w:pPr>
              <w:pStyle w:val="Tabletext"/>
              <w:keepNext/>
            </w:pPr>
            <w:r>
              <w:t xml:space="preserve">Four health states: Recurrence-free (RF); </w:t>
            </w:r>
            <w:proofErr w:type="spellStart"/>
            <w:r>
              <w:t>Locoregional</w:t>
            </w:r>
            <w:proofErr w:type="spellEnd"/>
            <w:r>
              <w:t xml:space="preserve"> recurrence (LR); Distant metastases (DM); Death</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Cycle length</w:t>
            </w:r>
          </w:p>
        </w:tc>
        <w:tc>
          <w:tcPr>
            <w:tcW w:w="428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1 week</w:t>
            </w:r>
          </w:p>
        </w:tc>
      </w:tr>
      <w:tr w:rsidR="004E615D" w:rsidTr="006C153A">
        <w:tc>
          <w:tcPr>
            <w:tcW w:w="718"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pPr>
            <w:r>
              <w:t>Transition probabilities</w:t>
            </w:r>
          </w:p>
        </w:tc>
        <w:tc>
          <w:tcPr>
            <w:tcW w:w="4282" w:type="pct"/>
            <w:tcBorders>
              <w:top w:val="single" w:sz="4" w:space="0" w:color="auto"/>
              <w:left w:val="single" w:sz="4" w:space="0" w:color="auto"/>
              <w:bottom w:val="single" w:sz="4" w:space="0" w:color="auto"/>
              <w:right w:val="single" w:sz="4" w:space="0" w:color="auto"/>
            </w:tcBorders>
            <w:vAlign w:val="center"/>
            <w:hideMark/>
          </w:tcPr>
          <w:p w:rsidR="002E2C71" w:rsidRDefault="004E615D" w:rsidP="00C6669B">
            <w:pPr>
              <w:pStyle w:val="Tabletext"/>
              <w:keepNext/>
              <w:numPr>
                <w:ilvl w:val="0"/>
                <w:numId w:val="10"/>
              </w:numPr>
              <w:ind w:left="324" w:hanging="284"/>
            </w:pPr>
            <w:r>
              <w:t xml:space="preserve">Probabilities for transitions from </w:t>
            </w:r>
            <w:r w:rsidR="004E0CC4">
              <w:t>RF</w:t>
            </w:r>
            <w:r>
              <w:t xml:space="preserve"> health state were based on parametric function curves derived by fitting parametric functions to the observed trial data. Trial data were not</w:t>
            </w:r>
            <w:r w:rsidR="005F78FF">
              <w:t xml:space="preserve"> directly</w:t>
            </w:r>
            <w:r>
              <w:t xml:space="preserve"> used in the model. </w:t>
            </w:r>
          </w:p>
          <w:p w:rsidR="002E2C71" w:rsidRDefault="004E615D" w:rsidP="00C6669B">
            <w:pPr>
              <w:pStyle w:val="Tabletext"/>
              <w:keepNext/>
              <w:numPr>
                <w:ilvl w:val="0"/>
                <w:numId w:val="10"/>
              </w:numPr>
              <w:ind w:left="324" w:hanging="284"/>
            </w:pPr>
            <w:r>
              <w:t xml:space="preserve">Transition probabilities from LR to DM were based on Flatiron database, from LR to death were based on KN054 and extrapolated beyond trial duration, or background mortality, whichever is greater; </w:t>
            </w:r>
          </w:p>
          <w:p w:rsidR="004E615D" w:rsidRDefault="004E615D" w:rsidP="00C6669B">
            <w:pPr>
              <w:pStyle w:val="Tabletext"/>
              <w:keepNext/>
              <w:numPr>
                <w:ilvl w:val="0"/>
                <w:numId w:val="10"/>
              </w:numPr>
              <w:ind w:left="324" w:hanging="284"/>
            </w:pPr>
            <w:r>
              <w:t xml:space="preserve">Transition probabilities from DM to death were based on KN006 trial for those who received </w:t>
            </w:r>
            <w:proofErr w:type="spellStart"/>
            <w:r>
              <w:t>pembrolizumab</w:t>
            </w:r>
            <w:proofErr w:type="spellEnd"/>
            <w:r>
              <w:t xml:space="preserve"> in the advanced setting and a network meta-analysis of trials of other first-line treatments for patients who receive anti-cancer treatments other than </w:t>
            </w:r>
            <w:proofErr w:type="spellStart"/>
            <w:r>
              <w:t>pembrolizumab</w:t>
            </w:r>
            <w:proofErr w:type="spellEnd"/>
            <w:r>
              <w:t>. Exponential models of OS and PFS were used for extrapolation.</w:t>
            </w:r>
          </w:p>
          <w:p w:rsidR="004E615D" w:rsidRDefault="004E615D" w:rsidP="00C6669B">
            <w:pPr>
              <w:pStyle w:val="Tabletext"/>
              <w:keepNext/>
              <w:numPr>
                <w:ilvl w:val="0"/>
                <w:numId w:val="10"/>
              </w:numPr>
              <w:ind w:left="324" w:hanging="284"/>
            </w:pPr>
            <w:r>
              <w:t xml:space="preserve">The submission assumed that transition probabilities from LR to either DM or death were the same for both </w:t>
            </w:r>
            <w:proofErr w:type="spellStart"/>
            <w:r>
              <w:t>pembrolizumab</w:t>
            </w:r>
            <w:proofErr w:type="spellEnd"/>
            <w:r>
              <w:t xml:space="preserve"> and observation adjuvant treatment arms.</w:t>
            </w:r>
          </w:p>
          <w:p w:rsidR="004E615D" w:rsidRDefault="004E615D" w:rsidP="00C6669B">
            <w:pPr>
              <w:pStyle w:val="Tabletext"/>
              <w:keepNext/>
              <w:numPr>
                <w:ilvl w:val="0"/>
                <w:numId w:val="10"/>
              </w:numPr>
              <w:ind w:left="324" w:hanging="284"/>
            </w:pPr>
            <w:r>
              <w:t xml:space="preserve">For each adjuvant treatment arm, the transition probability from </w:t>
            </w:r>
            <w:r w:rsidR="004E0CC4">
              <w:t>DM</w:t>
            </w:r>
            <w:r>
              <w:t xml:space="preserve"> to death depended on the first-line treatments received for advanced melanoma.</w:t>
            </w:r>
          </w:p>
        </w:tc>
      </w:tr>
    </w:tbl>
    <w:p w:rsidR="000E571B" w:rsidRPr="00FE46EA" w:rsidRDefault="000E571B" w:rsidP="000E571B">
      <w:pPr>
        <w:pStyle w:val="TableFooter"/>
      </w:pPr>
      <w:r>
        <w:t xml:space="preserve">DM = distant metastases; LR = </w:t>
      </w:r>
      <w:proofErr w:type="spellStart"/>
      <w:r>
        <w:t>locoregional</w:t>
      </w:r>
      <w:proofErr w:type="spellEnd"/>
      <w:r>
        <w:t xml:space="preserve"> recurrence; </w:t>
      </w:r>
      <w:r w:rsidR="004E615D" w:rsidRPr="00FE46EA">
        <w:t xml:space="preserve">LYG = life years gained; </w:t>
      </w:r>
      <w:r>
        <w:t>OS = overall survival; PFS = progression-free survival;</w:t>
      </w:r>
    </w:p>
    <w:p w:rsidR="004E615D" w:rsidRPr="00FE46EA" w:rsidRDefault="004E615D" w:rsidP="004E615D">
      <w:pPr>
        <w:pStyle w:val="TableFooter"/>
      </w:pPr>
      <w:r w:rsidRPr="00FE46EA">
        <w:t>QALY = quality</w:t>
      </w:r>
      <w:r w:rsidR="000E571B">
        <w:t>-</w:t>
      </w:r>
      <w:r w:rsidRPr="00FE46EA">
        <w:t>adjusted life year</w:t>
      </w:r>
      <w:r w:rsidR="005F0113">
        <w:t xml:space="preserve">; RF = recurrence-free </w:t>
      </w:r>
    </w:p>
    <w:p w:rsidR="004E615D" w:rsidRPr="00FE46EA" w:rsidRDefault="004E615D" w:rsidP="00FC7B39">
      <w:pPr>
        <w:pStyle w:val="TableFooter"/>
        <w:spacing w:after="240"/>
      </w:pPr>
      <w:r w:rsidRPr="00FE46EA">
        <w:t>Source: Compiled during the evaluation based on information presented in Section 3 of the submission.</w:t>
      </w:r>
    </w:p>
    <w:p w:rsidR="004E615D" w:rsidRPr="00E4278C" w:rsidRDefault="004E615D" w:rsidP="004E615D">
      <w:pPr>
        <w:pStyle w:val="ListParagraph"/>
        <w:widowControl/>
        <w:numPr>
          <w:ilvl w:val="1"/>
          <w:numId w:val="3"/>
        </w:numPr>
        <w:snapToGrid w:val="0"/>
        <w:spacing w:after="160"/>
      </w:pPr>
      <w:r w:rsidRPr="00E4278C">
        <w:t xml:space="preserve">The population </w:t>
      </w:r>
      <w:r w:rsidR="00200CDA">
        <w:t>of</w:t>
      </w:r>
      <w:r w:rsidRPr="00E4278C">
        <w:t xml:space="preserve"> the model</w:t>
      </w:r>
      <w:r w:rsidR="00200CDA">
        <w:t xml:space="preserve"> was</w:t>
      </w:r>
      <w:r w:rsidRPr="00E4278C">
        <w:t xml:space="preserve"> assumed to be the same as th</w:t>
      </w:r>
      <w:r w:rsidR="00200CDA">
        <w:t>at</w:t>
      </w:r>
      <w:r w:rsidRPr="00E4278C">
        <w:t xml:space="preserve"> in the KN054 trial. However, the </w:t>
      </w:r>
      <w:r w:rsidR="00200CDA">
        <w:t xml:space="preserve">trial </w:t>
      </w:r>
      <w:r w:rsidRPr="00E4278C">
        <w:t>population may not be representative of the population for whom the PBS listing is sought, in terms of disease se</w:t>
      </w:r>
      <w:r w:rsidR="005F0113" w:rsidRPr="00E4278C">
        <w:t>verity</w:t>
      </w:r>
      <w:r w:rsidR="005F0113" w:rsidRPr="00CA5339">
        <w:t xml:space="preserve">. </w:t>
      </w:r>
      <w:r w:rsidR="00FD5256" w:rsidRPr="00CA5339">
        <w:t xml:space="preserve">The PBAC noted that approximately 84% of patients recruited to the trial </w:t>
      </w:r>
      <w:r w:rsidR="005C483D" w:rsidRPr="00CA5339">
        <w:t>had either Stage IIIB or IIIC melanoma, classified using the 7</w:t>
      </w:r>
      <w:r w:rsidR="005C483D" w:rsidRPr="00CA5339">
        <w:rPr>
          <w:vertAlign w:val="superscript"/>
        </w:rPr>
        <w:t>th</w:t>
      </w:r>
      <w:r w:rsidR="005C483D" w:rsidRPr="00CA5339">
        <w:t xml:space="preserve"> edition of the AJCC melanoma staging system. The PBAC were concerned that the </w:t>
      </w:r>
      <w:r w:rsidR="00FD5256" w:rsidRPr="00CA5339">
        <w:t>model population</w:t>
      </w:r>
      <w:r w:rsidR="005C483D" w:rsidRPr="00CA5339">
        <w:t xml:space="preserve"> was therefore representative of patients with </w:t>
      </w:r>
      <w:r w:rsidR="002C7A94" w:rsidRPr="00CA5339">
        <w:t>more severe late stage</w:t>
      </w:r>
      <w:r w:rsidR="005C483D" w:rsidRPr="00CA5339">
        <w:t xml:space="preserve"> disease and that this had implications when assessing the cost-effectiveness of adjuvant </w:t>
      </w:r>
      <w:proofErr w:type="spellStart"/>
      <w:r w:rsidR="005C483D" w:rsidRPr="00CA5339">
        <w:t>pembrolizumab</w:t>
      </w:r>
      <w:proofErr w:type="spellEnd"/>
      <w:r w:rsidR="005C483D" w:rsidRPr="00CA5339">
        <w:t xml:space="preserve"> in patients with </w:t>
      </w:r>
      <w:r w:rsidR="002C7A94" w:rsidRPr="00CA5339">
        <w:t>earlier stage and less severe</w:t>
      </w:r>
      <w:r w:rsidR="005C483D" w:rsidRPr="00CA5339">
        <w:t xml:space="preserve"> melanoma (i.e. Stages IIIA</w:t>
      </w:r>
      <w:r w:rsidR="000E571B">
        <w:t xml:space="preserve"> and III</w:t>
      </w:r>
      <w:r w:rsidR="00822EAD" w:rsidRPr="00CA5339">
        <w:t>B</w:t>
      </w:r>
      <w:r w:rsidR="005C483D" w:rsidRPr="00CA5339">
        <w:t>, using the 8</w:t>
      </w:r>
      <w:r w:rsidR="005C483D" w:rsidRPr="00CA5339">
        <w:rPr>
          <w:vertAlign w:val="superscript"/>
        </w:rPr>
        <w:t>th</w:t>
      </w:r>
      <w:r w:rsidR="005C483D" w:rsidRPr="00CA5339">
        <w:t xml:space="preserve"> edition of the AJCC melanoma staging system).</w:t>
      </w:r>
      <w:r w:rsidR="00FD5256" w:rsidRPr="00CA5339">
        <w:t xml:space="preserve"> </w:t>
      </w:r>
    </w:p>
    <w:p w:rsidR="004E615D" w:rsidRPr="00E4278C" w:rsidRDefault="004E615D" w:rsidP="004E615D">
      <w:pPr>
        <w:pStyle w:val="ListParagraph"/>
        <w:widowControl/>
        <w:numPr>
          <w:ilvl w:val="1"/>
          <w:numId w:val="3"/>
        </w:numPr>
        <w:snapToGrid w:val="0"/>
        <w:spacing w:after="160"/>
      </w:pPr>
      <w:r w:rsidRPr="00E4278C">
        <w:t>In the distant metastases</w:t>
      </w:r>
      <w:r w:rsidR="004B1C78">
        <w:t xml:space="preserve"> (DM)</w:t>
      </w:r>
      <w:r w:rsidRPr="00E4278C">
        <w:t xml:space="preserve"> health state, progressions to death were based on:</w:t>
      </w:r>
    </w:p>
    <w:p w:rsidR="004E615D" w:rsidRPr="00E4278C" w:rsidRDefault="004E615D" w:rsidP="0090357A">
      <w:pPr>
        <w:pStyle w:val="ListParagraph"/>
        <w:widowControl/>
        <w:numPr>
          <w:ilvl w:val="0"/>
          <w:numId w:val="2"/>
        </w:numPr>
        <w:snapToGrid w:val="0"/>
        <w:spacing w:after="120"/>
        <w:ind w:left="1077" w:hanging="357"/>
      </w:pPr>
      <w:r w:rsidRPr="00E4278C">
        <w:t xml:space="preserve">The expected market share of subsequent therapies. For the observation arm, these were based on the DUSC Melanoma Report (2018). In the adjuvant </w:t>
      </w:r>
      <w:proofErr w:type="spellStart"/>
      <w:r w:rsidRPr="00E4278C">
        <w:t>pembrolizumab</w:t>
      </w:r>
      <w:proofErr w:type="spellEnd"/>
      <w:r w:rsidRPr="00E4278C">
        <w:t xml:space="preserve"> arm, the market share differed based on whether </w:t>
      </w:r>
      <w:r w:rsidR="00ED2E8C" w:rsidRPr="00E4278C">
        <w:t xml:space="preserve">patients </w:t>
      </w:r>
      <w:r w:rsidRPr="00E4278C">
        <w:t xml:space="preserve">would be eligible for retreatment with </w:t>
      </w:r>
      <w:proofErr w:type="spellStart"/>
      <w:r w:rsidRPr="00E4278C">
        <w:t>pembrolizumab</w:t>
      </w:r>
      <w:proofErr w:type="spellEnd"/>
      <w:r w:rsidRPr="00E4278C">
        <w:t xml:space="preserve">. </w:t>
      </w:r>
    </w:p>
    <w:p w:rsidR="00CF2473" w:rsidRDefault="004E615D" w:rsidP="0090357A">
      <w:pPr>
        <w:pStyle w:val="ListParagraph"/>
        <w:widowControl/>
        <w:numPr>
          <w:ilvl w:val="0"/>
          <w:numId w:val="2"/>
        </w:numPr>
        <w:snapToGrid w:val="0"/>
        <w:spacing w:after="120"/>
        <w:ind w:left="1077" w:hanging="357"/>
      </w:pPr>
      <w:r w:rsidRPr="00E4278C">
        <w:t xml:space="preserve">PFS and </w:t>
      </w:r>
      <w:r w:rsidR="003B7BE7">
        <w:t>overall survival</w:t>
      </w:r>
      <w:r w:rsidRPr="00E4278C">
        <w:t xml:space="preserve"> estimates for first-line </w:t>
      </w:r>
      <w:proofErr w:type="spellStart"/>
      <w:r w:rsidRPr="00E4278C">
        <w:t>pembrolizumab</w:t>
      </w:r>
      <w:proofErr w:type="spellEnd"/>
      <w:r w:rsidRPr="00E4278C">
        <w:t xml:space="preserve"> in</w:t>
      </w:r>
      <w:r w:rsidR="005F0113" w:rsidRPr="00E4278C">
        <w:t xml:space="preserve"> the</w:t>
      </w:r>
      <w:r w:rsidRPr="00E4278C">
        <w:t xml:space="preserve"> </w:t>
      </w:r>
      <w:proofErr w:type="spellStart"/>
      <w:r w:rsidRPr="00E4278C">
        <w:t>unresectable</w:t>
      </w:r>
      <w:proofErr w:type="spellEnd"/>
      <w:r w:rsidRPr="00E4278C">
        <w:t xml:space="preserve"> setting were derived</w:t>
      </w:r>
      <w:r w:rsidR="005F0113" w:rsidRPr="00E4278C">
        <w:t xml:space="preserve"> from the PFS and </w:t>
      </w:r>
      <w:r w:rsidR="003B7BE7">
        <w:t>overall survival</w:t>
      </w:r>
      <w:r w:rsidR="005F0113" w:rsidRPr="00E4278C">
        <w:t xml:space="preserve"> curves from KN006, using an exponential parametric function</w:t>
      </w:r>
      <w:r w:rsidRPr="00E4278C">
        <w:t xml:space="preserve">. KN006 is a </w:t>
      </w:r>
      <w:proofErr w:type="spellStart"/>
      <w:r w:rsidRPr="00E4278C">
        <w:t>pembrolizumab</w:t>
      </w:r>
      <w:proofErr w:type="spellEnd"/>
      <w:r w:rsidRPr="00E4278C">
        <w:t xml:space="preserve"> trial in the first-line setting for the treatment of </w:t>
      </w:r>
      <w:proofErr w:type="spellStart"/>
      <w:r w:rsidRPr="00E4278C">
        <w:t>unresectable</w:t>
      </w:r>
      <w:proofErr w:type="spellEnd"/>
      <w:r w:rsidRPr="00E4278C">
        <w:t xml:space="preserve"> melanoma. </w:t>
      </w:r>
    </w:p>
    <w:p w:rsidR="00CF2473" w:rsidRDefault="00CF2473">
      <w:pPr>
        <w:widowControl/>
        <w:jc w:val="left"/>
      </w:pPr>
      <w:r>
        <w:br w:type="page"/>
      </w:r>
    </w:p>
    <w:p w:rsidR="004E615D" w:rsidRPr="00F1313B" w:rsidRDefault="004E615D" w:rsidP="004B1C78">
      <w:pPr>
        <w:pStyle w:val="ListParagraph"/>
        <w:widowControl/>
        <w:numPr>
          <w:ilvl w:val="1"/>
          <w:numId w:val="3"/>
        </w:numPr>
        <w:snapToGrid w:val="0"/>
        <w:spacing w:after="160"/>
      </w:pPr>
      <w:r w:rsidRPr="00F1313B">
        <w:lastRenderedPageBreak/>
        <w:t xml:space="preserve">The </w:t>
      </w:r>
      <w:r w:rsidR="000E571B">
        <w:t>hazard ratios</w:t>
      </w:r>
      <w:r w:rsidRPr="00F1313B">
        <w:t xml:space="preserve"> for PFS and </w:t>
      </w:r>
      <w:r w:rsidR="003B7BE7">
        <w:t>overall survival</w:t>
      </w:r>
      <w:r w:rsidRPr="00F1313B">
        <w:t xml:space="preserve"> for each of the advanced treatments in comparison with </w:t>
      </w:r>
      <w:proofErr w:type="spellStart"/>
      <w:r w:rsidRPr="00F1313B">
        <w:t>pembrolizumab</w:t>
      </w:r>
      <w:proofErr w:type="spellEnd"/>
      <w:r w:rsidRPr="00F1313B">
        <w:t xml:space="preserve"> were derived from a network meta-analysis. The submission did not discuss potential limitations with these indirect comparisons in terms of the transitivity of the trials, nor whether the proportional hazards assumptions held. </w:t>
      </w:r>
      <w:r w:rsidR="00FF3190" w:rsidRPr="00F1313B">
        <w:t xml:space="preserve">The PSCR provided more information on the network meta-analysis </w:t>
      </w:r>
      <w:r w:rsidR="00A92518" w:rsidRPr="00F1313B">
        <w:t>to</w:t>
      </w:r>
      <w:r w:rsidR="00FF3190" w:rsidRPr="00F1313B">
        <w:t xml:space="preserve"> address these concerns. </w:t>
      </w:r>
      <w:r w:rsidRPr="00F1313B">
        <w:t xml:space="preserve">None of the patients in these studies received adjuvant </w:t>
      </w:r>
      <w:proofErr w:type="spellStart"/>
      <w:r w:rsidRPr="00F1313B">
        <w:t>pembrolizumab</w:t>
      </w:r>
      <w:proofErr w:type="spellEnd"/>
      <w:r w:rsidRPr="00F1313B">
        <w:t>, and therefore w</w:t>
      </w:r>
      <w:r w:rsidR="00ED2E8C" w:rsidRPr="00F1313B">
        <w:t>ould</w:t>
      </w:r>
      <w:r w:rsidRPr="00F1313B">
        <w:t xml:space="preserve"> not be representative of a population who have received </w:t>
      </w:r>
      <w:proofErr w:type="spellStart"/>
      <w:r w:rsidRPr="00F1313B">
        <w:t>pembrolizumab</w:t>
      </w:r>
      <w:proofErr w:type="spellEnd"/>
      <w:r w:rsidRPr="00F1313B">
        <w:t xml:space="preserve"> treatment in the adjuvant setting.</w:t>
      </w:r>
      <w:r w:rsidR="004B1C78" w:rsidRPr="00F1313B">
        <w:t xml:space="preserve"> The PSCR stated that in the modelled base case, patients were not eligible to receive </w:t>
      </w:r>
      <w:proofErr w:type="spellStart"/>
      <w:r w:rsidR="004B1C78" w:rsidRPr="00F1313B">
        <w:t>pembrolizumab</w:t>
      </w:r>
      <w:proofErr w:type="spellEnd"/>
      <w:r w:rsidR="004B1C78" w:rsidRPr="00F1313B">
        <w:t xml:space="preserve"> in the advanced setting unless they completed the adjuvant course (12 months) and remained recurrence-free for an additional six months. Those who recurred earlier than 18 months </w:t>
      </w:r>
      <w:r w:rsidR="00B900F5" w:rsidRPr="00F1313B">
        <w:t>were not eligible to receive a PD-1 inhibito</w:t>
      </w:r>
      <w:r w:rsidR="00EB52A4" w:rsidRPr="00F1313B">
        <w:t>r</w:t>
      </w:r>
      <w:r w:rsidR="004B1C78" w:rsidRPr="00F1313B">
        <w:t xml:space="preserve">. </w:t>
      </w:r>
    </w:p>
    <w:p w:rsidR="006A0DD8" w:rsidRPr="00F1313B" w:rsidRDefault="004E615D" w:rsidP="006A0DD8">
      <w:pPr>
        <w:pStyle w:val="ListParagraph"/>
        <w:widowControl/>
        <w:numPr>
          <w:ilvl w:val="1"/>
          <w:numId w:val="3"/>
        </w:numPr>
        <w:snapToGrid w:val="0"/>
        <w:spacing w:after="160"/>
      </w:pPr>
      <w:r w:rsidRPr="00F1313B">
        <w:t>The modelled RFS data were based on immature trial evidence. At a median duration of follow-up of 16 months, the majority of patients in each arm remained</w:t>
      </w:r>
      <w:r w:rsidR="004B1C78" w:rsidRPr="00F1313B">
        <w:t xml:space="preserve"> in the</w:t>
      </w:r>
      <w:r w:rsidRPr="00F1313B">
        <w:t xml:space="preserve"> recurrence-free</w:t>
      </w:r>
      <w:r w:rsidR="004B1C78" w:rsidRPr="00F1313B">
        <w:t xml:space="preserve"> (RF) health state</w:t>
      </w:r>
      <w:r w:rsidRPr="00F1313B">
        <w:t xml:space="preserve">. </w:t>
      </w:r>
      <w:r w:rsidR="006A0DD8" w:rsidRPr="00F1313B">
        <w:t xml:space="preserve">The ESC considered that the predicted profiles for recurrence appeared favourable to the adjuvant </w:t>
      </w:r>
      <w:proofErr w:type="spellStart"/>
      <w:r w:rsidR="006A0DD8" w:rsidRPr="00F1313B">
        <w:t>pembrolizumab</w:t>
      </w:r>
      <w:proofErr w:type="spellEnd"/>
      <w:r w:rsidR="006A0DD8" w:rsidRPr="00F1313B">
        <w:t xml:space="preserve"> arm, showing a substantial difference (25.8%) in recurrence survival rate at 10 years (the time horizon of the model) between the two arms (i.e. at 10 years the modelled RFS of 16.3% in the observation arm vs 42.1% in the adjuvant </w:t>
      </w:r>
      <w:proofErr w:type="spellStart"/>
      <w:r w:rsidR="006A0DD8" w:rsidRPr="00F1313B">
        <w:t>pembrolizumab</w:t>
      </w:r>
      <w:proofErr w:type="spellEnd"/>
      <w:r w:rsidR="006A0DD8" w:rsidRPr="00F1313B">
        <w:t xml:space="preserve"> arm).</w:t>
      </w:r>
      <w:r w:rsidR="001530F6" w:rsidRPr="00F1313B">
        <w:t xml:space="preserve"> </w:t>
      </w:r>
      <w:r w:rsidR="008C556F" w:rsidRPr="00F1313B">
        <w:t>The ESC considered that the magnitude of treatment effect remains uncertain given the short duration of follow up in KN054 (16 months).</w:t>
      </w:r>
    </w:p>
    <w:p w:rsidR="001530F6" w:rsidRPr="00F1313B" w:rsidRDefault="001530F6" w:rsidP="00D1208F">
      <w:pPr>
        <w:pStyle w:val="ListParagraph"/>
        <w:widowControl/>
        <w:numPr>
          <w:ilvl w:val="1"/>
          <w:numId w:val="3"/>
        </w:numPr>
        <w:snapToGrid w:val="0"/>
        <w:spacing w:after="160"/>
      </w:pPr>
      <w:r w:rsidRPr="00F1313B">
        <w:t xml:space="preserve">Figure </w:t>
      </w:r>
      <w:r w:rsidR="009C767B">
        <w:t>4</w:t>
      </w:r>
      <w:r w:rsidRPr="00F1313B">
        <w:t xml:space="preserve"> compares the base case selected for RFS</w:t>
      </w:r>
      <w:r w:rsidR="008C556F" w:rsidRPr="00F1313B">
        <w:t xml:space="preserve"> </w:t>
      </w:r>
      <w:r w:rsidRPr="00F1313B">
        <w:t xml:space="preserve">with other </w:t>
      </w:r>
      <w:r w:rsidR="008C556F" w:rsidRPr="00F1313B">
        <w:t xml:space="preserve">parametric </w:t>
      </w:r>
      <w:r w:rsidRPr="00F1313B">
        <w:t>functions</w:t>
      </w:r>
      <w:r w:rsidR="008C556F" w:rsidRPr="00F1313B">
        <w:t>. In addition, data from the</w:t>
      </w:r>
      <w:r w:rsidRPr="00F1313B">
        <w:t xml:space="preserve"> placebo arm </w:t>
      </w:r>
      <w:r w:rsidR="008C556F" w:rsidRPr="00F1313B">
        <w:t xml:space="preserve">of </w:t>
      </w:r>
      <w:proofErr w:type="spellStart"/>
      <w:r w:rsidRPr="00F1313B">
        <w:t>Eggermont</w:t>
      </w:r>
      <w:proofErr w:type="spellEnd"/>
      <w:r w:rsidRPr="00F1313B">
        <w:t xml:space="preserve"> et al, 2015</w:t>
      </w:r>
      <w:r w:rsidR="008C556F" w:rsidRPr="00F1313B">
        <w:t xml:space="preserve"> (which compared </w:t>
      </w:r>
      <w:proofErr w:type="spellStart"/>
      <w:r w:rsidR="008C556F" w:rsidRPr="00F1313B">
        <w:t>ipilimumab</w:t>
      </w:r>
      <w:proofErr w:type="spellEnd"/>
      <w:r w:rsidR="008C556F" w:rsidRPr="00F1313B">
        <w:t xml:space="preserve"> to placebo and had a median follow up of 5.3 years) was included. This provided a comparison with the RFS function in the observation arm of the model.  </w:t>
      </w:r>
    </w:p>
    <w:p w:rsidR="001530F6" w:rsidRPr="0075348C" w:rsidRDefault="001530F6" w:rsidP="00150AF4">
      <w:pPr>
        <w:pStyle w:val="Caption"/>
        <w:keepLines/>
      </w:pPr>
      <w:r w:rsidRPr="0075348C">
        <w:lastRenderedPageBreak/>
        <w:t xml:space="preserve">Figure </w:t>
      </w:r>
      <w:r w:rsidR="009C767B">
        <w:t>4</w:t>
      </w:r>
      <w:r w:rsidRPr="0075348C">
        <w:t>: Parametric survival functions for RFS used in the base case and sensitivity analysis</w:t>
      </w:r>
      <w:r>
        <w:t xml:space="preserve"> and</w:t>
      </w:r>
      <w:r w:rsidRPr="0075348C">
        <w:t xml:space="preserve"> compared with the placebo arm from </w:t>
      </w:r>
      <w:proofErr w:type="spellStart"/>
      <w:r w:rsidRPr="0075348C">
        <w:t>Eggermont</w:t>
      </w:r>
      <w:proofErr w:type="spellEnd"/>
      <w:r w:rsidRPr="0075348C">
        <w:t xml:space="preserve"> (2015)</w:t>
      </w:r>
      <w:r>
        <w:rPr>
          <w:rStyle w:val="FootnoteReference"/>
        </w:rPr>
        <w:footnoteReference w:id="9"/>
      </w:r>
    </w:p>
    <w:p w:rsidR="001530F6" w:rsidRDefault="001530F6" w:rsidP="005B320C">
      <w:pPr>
        <w:pStyle w:val="ListParagraph"/>
        <w:widowControl/>
        <w:spacing w:after="160"/>
        <w:ind w:left="-142"/>
        <w:rPr>
          <w:i/>
        </w:rPr>
      </w:pPr>
      <w:r>
        <w:rPr>
          <w:noProof/>
          <w:lang w:eastAsia="en-AU"/>
        </w:rPr>
        <w:drawing>
          <wp:inline distT="0" distB="0" distL="0" distR="0" wp14:anchorId="3D619526" wp14:editId="403977E5">
            <wp:extent cx="5836920" cy="340522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2776" cy="3408639"/>
                    </a:xfrm>
                    <a:prstGeom prst="rect">
                      <a:avLst/>
                    </a:prstGeom>
                    <a:noFill/>
                    <a:ln>
                      <a:noFill/>
                    </a:ln>
                  </pic:spPr>
                </pic:pic>
              </a:graphicData>
            </a:graphic>
          </wp:inline>
        </w:drawing>
      </w:r>
    </w:p>
    <w:p w:rsidR="001530F6" w:rsidRDefault="000E571B" w:rsidP="005B320C">
      <w:pPr>
        <w:pStyle w:val="TableFooter"/>
      </w:pPr>
      <w:r>
        <w:t xml:space="preserve">DM = distant metastases; LF = </w:t>
      </w:r>
      <w:proofErr w:type="spellStart"/>
      <w:r>
        <w:t>locoregional</w:t>
      </w:r>
      <w:proofErr w:type="spellEnd"/>
      <w:r>
        <w:t xml:space="preserve">; RF = recurrence-free; </w:t>
      </w:r>
      <w:r w:rsidR="001530F6">
        <w:t>RFS = recurrence-free survival</w:t>
      </w:r>
    </w:p>
    <w:p w:rsidR="001530F6" w:rsidRDefault="001530F6" w:rsidP="005B320C">
      <w:pPr>
        <w:pStyle w:val="TableFooter"/>
      </w:pPr>
      <w:r>
        <w:t>Note: The time horizon of the submission’s base case was 10 years. The base case model used parametric models (</w:t>
      </w:r>
      <w:r w:rsidR="000E571B">
        <w:t>RF</w:t>
      </w:r>
      <w:r>
        <w:t xml:space="preserve"> → </w:t>
      </w:r>
      <w:r w:rsidR="000E571B">
        <w:t xml:space="preserve">LR </w:t>
      </w:r>
      <w:r>
        <w:t xml:space="preserve">recurrence = </w:t>
      </w:r>
      <w:proofErr w:type="spellStart"/>
      <w:r>
        <w:t>Gompertz</w:t>
      </w:r>
      <w:proofErr w:type="spellEnd"/>
      <w:r>
        <w:t xml:space="preserve">; </w:t>
      </w:r>
      <w:r w:rsidR="000E571B">
        <w:t>RF</w:t>
      </w:r>
      <w:r>
        <w:t xml:space="preserve"> → </w:t>
      </w:r>
      <w:r w:rsidR="000E571B">
        <w:t>DM</w:t>
      </w:r>
      <w:r>
        <w:t xml:space="preserve"> = generalised gamma) fitted individually to each treatment arm. </w:t>
      </w:r>
    </w:p>
    <w:p w:rsidR="001530F6" w:rsidRDefault="001530F6" w:rsidP="005B320C">
      <w:pPr>
        <w:pStyle w:val="TableFooter"/>
      </w:pPr>
      <w:r>
        <w:t xml:space="preserve">The sensitivity analysis described as ‘Constant treatment-effect’ used parametric models (Weibull for both </w:t>
      </w:r>
      <w:r w:rsidR="000E571B">
        <w:t>RF</w:t>
      </w:r>
      <w:r>
        <w:t xml:space="preserve"> → </w:t>
      </w:r>
      <w:r w:rsidR="000E571B">
        <w:t>LR</w:t>
      </w:r>
      <w:r>
        <w:t xml:space="preserve"> recurrence and </w:t>
      </w:r>
      <w:r w:rsidR="000E571B">
        <w:t>RF</w:t>
      </w:r>
      <w:r>
        <w:t xml:space="preserve"> → </w:t>
      </w:r>
      <w:r w:rsidR="000E571B">
        <w:t>DM</w:t>
      </w:r>
      <w:r>
        <w:t xml:space="preserve">) that incorporated a time-constant treatment effect. </w:t>
      </w:r>
    </w:p>
    <w:p w:rsidR="001530F6" w:rsidRDefault="001530F6" w:rsidP="005B320C">
      <w:pPr>
        <w:pStyle w:val="TableFooter"/>
      </w:pPr>
      <w:r>
        <w:t xml:space="preserve">The sensitivity analysis described as ‘Exponential, individually estimated’ referred to the sensitivity analysis conducted by the submission (Section 3.9) where exponential parametric functions were individually fitted to the </w:t>
      </w:r>
      <w:r w:rsidR="000E571B">
        <w:t>RF</w:t>
      </w:r>
      <w:r>
        <w:t xml:space="preserve"> → </w:t>
      </w:r>
      <w:r w:rsidR="000E571B">
        <w:t>LR</w:t>
      </w:r>
      <w:r>
        <w:t xml:space="preserve"> recurrence and </w:t>
      </w:r>
      <w:r w:rsidR="000E571B">
        <w:t>RF</w:t>
      </w:r>
      <w:r>
        <w:t xml:space="preserve"> → </w:t>
      </w:r>
      <w:r w:rsidR="000E571B">
        <w:t>DM</w:t>
      </w:r>
      <w:r>
        <w:t xml:space="preserve"> in each of the adjuvant treatment arms. </w:t>
      </w:r>
    </w:p>
    <w:p w:rsidR="005B320C" w:rsidRDefault="001530F6" w:rsidP="00FC7B39">
      <w:pPr>
        <w:pStyle w:val="TableFooter"/>
        <w:spacing w:after="240"/>
      </w:pPr>
      <w:r>
        <w:t>Source: Compiled during the evaluation based on informati</w:t>
      </w:r>
      <w:r w:rsidR="00FC7B39">
        <w:t xml:space="preserve">on presented in </w:t>
      </w:r>
      <w:proofErr w:type="spellStart"/>
      <w:r w:rsidR="00FC7B39">
        <w:t>Att</w:t>
      </w:r>
      <w:proofErr w:type="spellEnd"/>
      <w:r w:rsidR="00FC7B39">
        <w:t xml:space="preserve"> 18 CEM.xlsx</w:t>
      </w:r>
    </w:p>
    <w:p w:rsidR="00CF2473" w:rsidRDefault="00856B06" w:rsidP="00856B06">
      <w:pPr>
        <w:pStyle w:val="ListParagraph"/>
        <w:widowControl/>
        <w:numPr>
          <w:ilvl w:val="1"/>
          <w:numId w:val="3"/>
        </w:numPr>
        <w:snapToGrid w:val="0"/>
        <w:spacing w:after="160"/>
      </w:pPr>
      <w:r w:rsidRPr="00F1313B">
        <w:t>In order to fit parametric models to each of the individual health state transitions</w:t>
      </w:r>
      <w:r w:rsidR="00340F6C" w:rsidRPr="00F1313B">
        <w:t xml:space="preserve"> (RF to </w:t>
      </w:r>
      <w:proofErr w:type="spellStart"/>
      <w:r w:rsidR="00340F6C" w:rsidRPr="00F1313B">
        <w:t>locoregional</w:t>
      </w:r>
      <w:proofErr w:type="spellEnd"/>
      <w:r w:rsidR="00340F6C" w:rsidRPr="00F1313B">
        <w:t xml:space="preserve"> (LR) </w:t>
      </w:r>
      <w:r w:rsidR="000E571B">
        <w:t xml:space="preserve">recurrence </w:t>
      </w:r>
      <w:r w:rsidR="00340F6C" w:rsidRPr="00F1313B">
        <w:t>and</w:t>
      </w:r>
      <w:r w:rsidRPr="00F1313B">
        <w:t xml:space="preserve"> RF to DM), standard survival-analysis methods were used with one modification to account for competing risks: when analysing time to each specific type of RFS failure; the two competing failure types were treated as censoring events. The submission </w:t>
      </w:r>
      <w:r w:rsidR="00340F6C" w:rsidRPr="00F1313B">
        <w:t>selected</w:t>
      </w:r>
      <w:r w:rsidRPr="00F1313B">
        <w:t xml:space="preserve"> the </w:t>
      </w:r>
      <w:proofErr w:type="spellStart"/>
      <w:r w:rsidRPr="00F1313B">
        <w:t>Gompertz</w:t>
      </w:r>
      <w:proofErr w:type="spellEnd"/>
      <w:r w:rsidRPr="00F1313B">
        <w:t xml:space="preserve"> function for RF to LR </w:t>
      </w:r>
      <w:r w:rsidR="000E571B">
        <w:t xml:space="preserve">recurrence </w:t>
      </w:r>
      <w:r w:rsidRPr="00F1313B">
        <w:t>and the generalised gamma function for RF to DM</w:t>
      </w:r>
      <w:r w:rsidR="00340F6C" w:rsidRPr="00F1313B">
        <w:t xml:space="preserve">. </w:t>
      </w:r>
      <w:r w:rsidRPr="00F1313B">
        <w:t>The ESC noted that the fit of alternative parametric curves to the transitions were not presented.</w:t>
      </w:r>
      <w:r w:rsidR="001530F6" w:rsidRPr="00F1313B">
        <w:t xml:space="preserve"> Different parametric functions were tested in the sensitivity analyses.</w:t>
      </w:r>
      <w:r w:rsidRPr="00F1313B">
        <w:t xml:space="preserve"> </w:t>
      </w:r>
    </w:p>
    <w:p w:rsidR="00CF2473" w:rsidRDefault="00CF2473">
      <w:pPr>
        <w:widowControl/>
        <w:jc w:val="left"/>
      </w:pPr>
      <w:r>
        <w:br w:type="page"/>
      </w:r>
    </w:p>
    <w:p w:rsidR="00340F6C" w:rsidRPr="00F1313B" w:rsidRDefault="00340F6C" w:rsidP="00856B06">
      <w:pPr>
        <w:pStyle w:val="ListParagraph"/>
        <w:widowControl/>
        <w:numPr>
          <w:ilvl w:val="1"/>
          <w:numId w:val="3"/>
        </w:numPr>
        <w:snapToGrid w:val="0"/>
        <w:spacing w:after="160"/>
      </w:pPr>
      <w:r w:rsidRPr="00F1313B">
        <w:lastRenderedPageBreak/>
        <w:t xml:space="preserve">The majority of RFS failures were due to distant metastases, with a much smaller proportion of patients experiencing a </w:t>
      </w:r>
      <w:proofErr w:type="spellStart"/>
      <w:r w:rsidRPr="00F1313B">
        <w:t>locoregional</w:t>
      </w:r>
      <w:proofErr w:type="spellEnd"/>
      <w:r w:rsidRPr="00F1313B">
        <w:t xml:space="preserve"> recurrence. It was noted that the</w:t>
      </w:r>
      <w:r>
        <w:rPr>
          <w:i/>
        </w:rPr>
        <w:t xml:space="preserve"> </w:t>
      </w:r>
      <w:r w:rsidRPr="00F1313B">
        <w:t xml:space="preserve">parametric functions used to estimate the transition probabilities from the </w:t>
      </w:r>
      <w:r w:rsidR="00D1208F" w:rsidRPr="00F1313B">
        <w:t>RF</w:t>
      </w:r>
      <w:r w:rsidRPr="00F1313B">
        <w:t xml:space="preserve"> health state resulted in very few patients transitioning to the </w:t>
      </w:r>
      <w:r w:rsidR="00D1208F" w:rsidRPr="00F1313B">
        <w:t>LR</w:t>
      </w:r>
      <w:r w:rsidRPr="00F1313B">
        <w:t xml:space="preserve"> </w:t>
      </w:r>
      <w:r w:rsidR="000E571B">
        <w:t xml:space="preserve">recurrence </w:t>
      </w:r>
      <w:r w:rsidRPr="00F1313B">
        <w:t xml:space="preserve">health state after approximately 2 years – see Figure </w:t>
      </w:r>
      <w:r w:rsidR="009C767B">
        <w:t>5</w:t>
      </w:r>
      <w:r w:rsidRPr="00F1313B">
        <w:t>.</w:t>
      </w:r>
    </w:p>
    <w:p w:rsidR="00340F6C" w:rsidRPr="00340F6C" w:rsidRDefault="00340F6C" w:rsidP="00340F6C">
      <w:pPr>
        <w:widowControl/>
        <w:snapToGrid w:val="0"/>
        <w:spacing w:after="160"/>
        <w:rPr>
          <w:rStyle w:val="CommentReference"/>
        </w:rPr>
      </w:pPr>
      <w:r w:rsidRPr="00340F6C">
        <w:rPr>
          <w:rStyle w:val="CommentReference"/>
        </w:rPr>
        <w:t xml:space="preserve">Figure </w:t>
      </w:r>
      <w:r w:rsidR="009C767B">
        <w:rPr>
          <w:rStyle w:val="CommentReference"/>
        </w:rPr>
        <w:t>5</w:t>
      </w:r>
      <w:r w:rsidRPr="00340F6C">
        <w:rPr>
          <w:rStyle w:val="CommentReference"/>
        </w:rPr>
        <w:t xml:space="preserve">: Cumulative incidence of each RFS failure type – Left panel: </w:t>
      </w:r>
      <w:proofErr w:type="spellStart"/>
      <w:r w:rsidRPr="00340F6C">
        <w:rPr>
          <w:rStyle w:val="CommentReference"/>
        </w:rPr>
        <w:t>pembrolizumab</w:t>
      </w:r>
      <w:proofErr w:type="spellEnd"/>
      <w:r w:rsidRPr="00340F6C">
        <w:rPr>
          <w:rStyle w:val="CommentReference"/>
        </w:rPr>
        <w:t xml:space="preserve"> arm; Right panel: observation arm</w:t>
      </w:r>
    </w:p>
    <w:p w:rsidR="00340F6C" w:rsidRDefault="00340F6C" w:rsidP="00340F6C">
      <w:pPr>
        <w:widowControl/>
        <w:snapToGrid w:val="0"/>
        <w:spacing w:after="160"/>
        <w:rPr>
          <w:i/>
        </w:rPr>
      </w:pPr>
      <w:r>
        <w:rPr>
          <w:noProof/>
          <w:lang w:eastAsia="en-AU"/>
        </w:rPr>
        <w:drawing>
          <wp:inline distT="0" distB="0" distL="0" distR="0" wp14:anchorId="000A19D6" wp14:editId="320DF77F">
            <wp:extent cx="2796540" cy="18288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l="1237" t="9770" r="1237" b="2013"/>
                    <a:stretch>
                      <a:fillRect/>
                    </a:stretch>
                  </pic:blipFill>
                  <pic:spPr bwMode="auto">
                    <a:xfrm>
                      <a:off x="0" y="0"/>
                      <a:ext cx="2795527" cy="1828138"/>
                    </a:xfrm>
                    <a:prstGeom prst="rect">
                      <a:avLst/>
                    </a:prstGeom>
                    <a:noFill/>
                    <a:ln>
                      <a:noFill/>
                    </a:ln>
                  </pic:spPr>
                </pic:pic>
              </a:graphicData>
            </a:graphic>
          </wp:inline>
        </w:drawing>
      </w:r>
      <w:r>
        <w:rPr>
          <w:noProof/>
          <w:lang w:eastAsia="en-AU"/>
        </w:rPr>
        <w:drawing>
          <wp:inline distT="0" distB="0" distL="0" distR="0" wp14:anchorId="437A46E3" wp14:editId="1708EE4A">
            <wp:extent cx="2872740" cy="1828801"/>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l="1590" t="10344" r="1414" b="1723"/>
                    <a:stretch>
                      <a:fillRect/>
                    </a:stretch>
                  </pic:blipFill>
                  <pic:spPr bwMode="auto">
                    <a:xfrm>
                      <a:off x="0" y="0"/>
                      <a:ext cx="2869603" cy="1826804"/>
                    </a:xfrm>
                    <a:prstGeom prst="rect">
                      <a:avLst/>
                    </a:prstGeom>
                    <a:noFill/>
                    <a:ln>
                      <a:noFill/>
                    </a:ln>
                  </pic:spPr>
                </pic:pic>
              </a:graphicData>
            </a:graphic>
          </wp:inline>
        </w:drawing>
      </w:r>
    </w:p>
    <w:p w:rsidR="000E571B" w:rsidRPr="00E12B34" w:rsidRDefault="000E571B" w:rsidP="000E571B">
      <w:pPr>
        <w:pStyle w:val="TableFooter"/>
        <w:rPr>
          <w:rStyle w:val="CommentReference"/>
          <w:b w:val="0"/>
          <w:sz w:val="18"/>
          <w:szCs w:val="22"/>
        </w:rPr>
      </w:pPr>
      <w:r w:rsidRPr="00E12B34">
        <w:rPr>
          <w:rStyle w:val="CommentReference"/>
          <w:b w:val="0"/>
          <w:sz w:val="18"/>
          <w:szCs w:val="22"/>
        </w:rPr>
        <w:t>DM = distant metastases</w:t>
      </w:r>
      <w:r>
        <w:rPr>
          <w:rStyle w:val="CommentReference"/>
          <w:b w:val="0"/>
          <w:sz w:val="18"/>
          <w:szCs w:val="22"/>
        </w:rPr>
        <w:t xml:space="preserve">; LR = </w:t>
      </w:r>
      <w:proofErr w:type="spellStart"/>
      <w:r>
        <w:rPr>
          <w:rStyle w:val="CommentReference"/>
          <w:b w:val="0"/>
          <w:sz w:val="18"/>
          <w:szCs w:val="22"/>
        </w:rPr>
        <w:t>locoregional</w:t>
      </w:r>
      <w:proofErr w:type="spellEnd"/>
      <w:r w:rsidRPr="00E12B34">
        <w:rPr>
          <w:rStyle w:val="CommentReference"/>
          <w:b w:val="0"/>
          <w:sz w:val="18"/>
          <w:szCs w:val="22"/>
        </w:rPr>
        <w:t>; RF = recu</w:t>
      </w:r>
      <w:r>
        <w:rPr>
          <w:rStyle w:val="CommentReference"/>
          <w:b w:val="0"/>
          <w:sz w:val="18"/>
          <w:szCs w:val="22"/>
        </w:rPr>
        <w:t>rrence-free; RFS = recurrence-free survival</w:t>
      </w:r>
    </w:p>
    <w:p w:rsidR="004E615D" w:rsidRDefault="00340F6C" w:rsidP="00FC7B39">
      <w:pPr>
        <w:pStyle w:val="TableFooter"/>
        <w:spacing w:after="240"/>
      </w:pPr>
      <w:r w:rsidRPr="00E12B34">
        <w:rPr>
          <w:rStyle w:val="CommentReference"/>
          <w:b w:val="0"/>
          <w:sz w:val="18"/>
          <w:szCs w:val="22"/>
        </w:rPr>
        <w:t>Source: Complied during the evaluation based on information presented in ‘Trace_AdjReg1’ sheet in ‘</w:t>
      </w:r>
      <w:proofErr w:type="spellStart"/>
      <w:r w:rsidRPr="00E12B34">
        <w:rPr>
          <w:rStyle w:val="CommentReference"/>
          <w:b w:val="0"/>
          <w:sz w:val="18"/>
          <w:szCs w:val="22"/>
        </w:rPr>
        <w:t>Att</w:t>
      </w:r>
      <w:proofErr w:type="spellEnd"/>
      <w:r w:rsidRPr="00E12B34">
        <w:rPr>
          <w:rStyle w:val="CommentReference"/>
          <w:b w:val="0"/>
          <w:sz w:val="18"/>
          <w:szCs w:val="22"/>
        </w:rPr>
        <w:t xml:space="preserve"> 18 CEM.xlsx’</w:t>
      </w:r>
      <w:r>
        <w:rPr>
          <w:rStyle w:val="CommentReference"/>
          <w:b w:val="0"/>
          <w:sz w:val="18"/>
          <w:szCs w:val="22"/>
        </w:rPr>
        <w:t xml:space="preserve"> and </w:t>
      </w:r>
      <w:r w:rsidRPr="00E12B34">
        <w:rPr>
          <w:rStyle w:val="CommentReference"/>
          <w:b w:val="0"/>
          <w:sz w:val="18"/>
          <w:szCs w:val="22"/>
        </w:rPr>
        <w:t>‘Trace_AdjReg2’ sheet in ‘</w:t>
      </w:r>
      <w:proofErr w:type="spellStart"/>
      <w:r w:rsidRPr="00E12B34">
        <w:rPr>
          <w:rStyle w:val="CommentReference"/>
          <w:b w:val="0"/>
          <w:sz w:val="18"/>
          <w:szCs w:val="22"/>
        </w:rPr>
        <w:t>Att</w:t>
      </w:r>
      <w:proofErr w:type="spellEnd"/>
      <w:r w:rsidRPr="00E12B34">
        <w:rPr>
          <w:rStyle w:val="CommentReference"/>
          <w:b w:val="0"/>
          <w:sz w:val="18"/>
          <w:szCs w:val="22"/>
        </w:rPr>
        <w:t xml:space="preserve"> 18 CEM.xlsx’ </w:t>
      </w:r>
    </w:p>
    <w:p w:rsidR="005B320C" w:rsidRDefault="005B320C" w:rsidP="004E615D">
      <w:pPr>
        <w:pStyle w:val="ListParagraph"/>
        <w:widowControl/>
        <w:numPr>
          <w:ilvl w:val="1"/>
          <w:numId w:val="3"/>
        </w:numPr>
        <w:snapToGrid w:val="0"/>
        <w:spacing w:after="160"/>
      </w:pPr>
      <w:r w:rsidRPr="00F1313B">
        <w:t>The ESC noted that distant metastases free survival (DMFS) was a composite of RF to LR, LR to DM and RF to DM. As there was limited trial data to estimate LR to DM transitions, external data from the Flatiron database was used. The same probabilities were assumed for both arms. The submission fitted an exponential parametric function to observed data on time to distant metastases from the time of entry into the LR state, resulting in an equivalent annual probability of 0.365 of moving from LR to DM being applied to both treatment arms.</w:t>
      </w:r>
    </w:p>
    <w:p w:rsidR="00A71DF7" w:rsidRPr="00F1313B" w:rsidRDefault="00A71DF7" w:rsidP="004E615D">
      <w:pPr>
        <w:pStyle w:val="ListParagraph"/>
        <w:widowControl/>
        <w:numPr>
          <w:ilvl w:val="1"/>
          <w:numId w:val="3"/>
        </w:numPr>
        <w:snapToGrid w:val="0"/>
        <w:spacing w:after="160"/>
      </w:pPr>
      <w:r w:rsidRPr="00F6711D">
        <w:t xml:space="preserve">The PBAC noted that </w:t>
      </w:r>
      <w:r w:rsidR="00F6711D" w:rsidRPr="00F6711D">
        <w:t xml:space="preserve">the modelled </w:t>
      </w:r>
      <w:r w:rsidRPr="00F6711D">
        <w:rPr>
          <w:rFonts w:asciiTheme="minorHAnsi" w:hAnsiTheme="minorHAnsi"/>
          <w:bCs/>
          <w:lang w:val="en-GB"/>
        </w:rPr>
        <w:t xml:space="preserve">overall survival in both the </w:t>
      </w:r>
      <w:proofErr w:type="spellStart"/>
      <w:r w:rsidRPr="00F6711D">
        <w:rPr>
          <w:rFonts w:asciiTheme="minorHAnsi" w:hAnsiTheme="minorHAnsi"/>
          <w:bCs/>
          <w:lang w:val="en-GB"/>
        </w:rPr>
        <w:t>pembrolizumab</w:t>
      </w:r>
      <w:proofErr w:type="spellEnd"/>
      <w:r w:rsidRPr="00F6711D">
        <w:rPr>
          <w:rFonts w:asciiTheme="minorHAnsi" w:hAnsiTheme="minorHAnsi"/>
          <w:bCs/>
          <w:lang w:val="en-GB"/>
        </w:rPr>
        <w:t xml:space="preserve"> (</w:t>
      </w:r>
      <w:r w:rsidR="002018B5">
        <w:rPr>
          <w:rFonts w:asciiTheme="minorHAnsi" w:hAnsiTheme="minorHAnsi"/>
          <w:bCs/>
          <w:noProof/>
          <w:color w:val="000000"/>
          <w:highlight w:val="black"/>
          <w:lang w:val="en-GB"/>
        </w:rPr>
        <w:t>''''''''</w:t>
      </w:r>
      <w:r w:rsidRPr="00455248">
        <w:rPr>
          <w:rFonts w:asciiTheme="minorHAnsi" w:hAnsiTheme="minorHAnsi"/>
          <w:bCs/>
          <w:lang w:val="en-GB"/>
        </w:rPr>
        <w:t>%</w:t>
      </w:r>
      <w:r w:rsidR="002018B5">
        <w:rPr>
          <w:rFonts w:asciiTheme="minorHAnsi" w:hAnsiTheme="minorHAnsi"/>
          <w:bCs/>
          <w:noProof/>
          <w:color w:val="000000"/>
          <w:highlight w:val="black"/>
          <w:lang w:val="en-GB"/>
        </w:rPr>
        <w:t xml:space="preserve"> </w:t>
      </w:r>
      <w:r w:rsidRPr="00455248">
        <w:rPr>
          <w:rFonts w:asciiTheme="minorHAnsi" w:hAnsiTheme="minorHAnsi"/>
          <w:bCs/>
          <w:lang w:val="en-GB"/>
        </w:rPr>
        <w:t>at 5 years and</w:t>
      </w:r>
      <w:r w:rsidR="002018B5">
        <w:rPr>
          <w:rFonts w:asciiTheme="minorHAnsi" w:hAnsiTheme="minorHAnsi"/>
          <w:bCs/>
          <w:noProof/>
          <w:color w:val="000000"/>
          <w:highlight w:val="black"/>
          <w:lang w:val="en-GB"/>
        </w:rPr>
        <w:t xml:space="preserve"> ''''''''</w:t>
      </w:r>
      <w:r w:rsidRPr="00455248">
        <w:rPr>
          <w:rFonts w:asciiTheme="minorHAnsi" w:hAnsiTheme="minorHAnsi"/>
          <w:bCs/>
          <w:lang w:val="en-GB"/>
        </w:rPr>
        <w:t>% at 10 years</w:t>
      </w:r>
      <w:r w:rsidRPr="00F6711D">
        <w:rPr>
          <w:rFonts w:asciiTheme="minorHAnsi" w:hAnsiTheme="minorHAnsi"/>
          <w:bCs/>
          <w:lang w:val="en-GB"/>
        </w:rPr>
        <w:t>) and placebo (</w:t>
      </w:r>
      <w:r w:rsidR="002018B5">
        <w:rPr>
          <w:rFonts w:asciiTheme="minorHAnsi" w:hAnsiTheme="minorHAnsi"/>
          <w:bCs/>
          <w:noProof/>
          <w:color w:val="000000"/>
          <w:highlight w:val="black"/>
          <w:lang w:val="en-GB"/>
        </w:rPr>
        <w:t>'''''''''</w:t>
      </w:r>
      <w:r w:rsidRPr="00455248">
        <w:rPr>
          <w:rFonts w:asciiTheme="minorHAnsi" w:hAnsiTheme="minorHAnsi"/>
          <w:bCs/>
          <w:lang w:val="en-GB"/>
        </w:rPr>
        <w:t xml:space="preserve">% at 5 years and </w:t>
      </w:r>
      <w:r w:rsidR="002018B5">
        <w:rPr>
          <w:rFonts w:asciiTheme="minorHAnsi" w:hAnsiTheme="minorHAnsi"/>
          <w:bCs/>
          <w:noProof/>
          <w:color w:val="000000"/>
          <w:highlight w:val="black"/>
          <w:lang w:val="en-GB"/>
        </w:rPr>
        <w:t>'''''''''</w:t>
      </w:r>
      <w:r w:rsidRPr="00455248">
        <w:rPr>
          <w:rFonts w:asciiTheme="minorHAnsi" w:hAnsiTheme="minorHAnsi"/>
          <w:bCs/>
          <w:lang w:val="en-GB"/>
        </w:rPr>
        <w:t>% at 10 years</w:t>
      </w:r>
      <w:r w:rsidRPr="00F6711D">
        <w:rPr>
          <w:rFonts w:asciiTheme="minorHAnsi" w:hAnsiTheme="minorHAnsi"/>
          <w:bCs/>
          <w:lang w:val="en-GB"/>
        </w:rPr>
        <w:t>) arms were low when compared to survival rates presented in the 8</w:t>
      </w:r>
      <w:r w:rsidRPr="00F6711D">
        <w:rPr>
          <w:rFonts w:asciiTheme="minorHAnsi" w:hAnsiTheme="minorHAnsi"/>
          <w:bCs/>
          <w:vertAlign w:val="superscript"/>
          <w:lang w:val="en-GB"/>
        </w:rPr>
        <w:t>th</w:t>
      </w:r>
      <w:r w:rsidRPr="00F6711D">
        <w:rPr>
          <w:rFonts w:asciiTheme="minorHAnsi" w:hAnsiTheme="minorHAnsi"/>
          <w:bCs/>
          <w:lang w:val="en-GB"/>
        </w:rPr>
        <w:t xml:space="preserve"> edition of the AJCC S</w:t>
      </w:r>
      <w:r w:rsidR="00341A5A" w:rsidRPr="00F6711D">
        <w:rPr>
          <w:rFonts w:asciiTheme="minorHAnsi" w:hAnsiTheme="minorHAnsi"/>
          <w:bCs/>
          <w:lang w:val="en-GB"/>
        </w:rPr>
        <w:t>taging Manual, which estimated five</w:t>
      </w:r>
      <w:r w:rsidRPr="00F6711D">
        <w:rPr>
          <w:rFonts w:asciiTheme="minorHAnsi" w:hAnsiTheme="minorHAnsi"/>
          <w:bCs/>
          <w:lang w:val="en-GB"/>
        </w:rPr>
        <w:t xml:space="preserve">- and 10-year </w:t>
      </w:r>
      <w:r w:rsidR="00776301" w:rsidRPr="00F6711D">
        <w:rPr>
          <w:rFonts w:asciiTheme="minorHAnsi" w:hAnsiTheme="minorHAnsi"/>
          <w:bCs/>
          <w:lang w:val="en-GB"/>
        </w:rPr>
        <w:t xml:space="preserve">melanoma specific </w:t>
      </w:r>
      <w:r w:rsidRPr="00F6711D">
        <w:rPr>
          <w:rFonts w:asciiTheme="minorHAnsi" w:hAnsiTheme="minorHAnsi"/>
          <w:bCs/>
          <w:lang w:val="en-GB"/>
        </w:rPr>
        <w:t xml:space="preserve">survival </w:t>
      </w:r>
      <w:r w:rsidR="00776301" w:rsidRPr="00F6711D">
        <w:rPr>
          <w:rFonts w:asciiTheme="minorHAnsi" w:hAnsiTheme="minorHAnsi"/>
          <w:bCs/>
          <w:lang w:val="en-GB"/>
        </w:rPr>
        <w:t>probabilities</w:t>
      </w:r>
      <w:r w:rsidRPr="00F6711D">
        <w:rPr>
          <w:rFonts w:asciiTheme="minorHAnsi" w:hAnsiTheme="minorHAnsi"/>
          <w:bCs/>
          <w:lang w:val="en-GB"/>
        </w:rPr>
        <w:t xml:space="preserve"> of 77% and 69% respectively for all Stage III patients.</w:t>
      </w:r>
      <w:r>
        <w:rPr>
          <w:rFonts w:asciiTheme="minorHAnsi" w:hAnsiTheme="minorHAnsi"/>
          <w:bCs/>
          <w:lang w:val="en-GB"/>
        </w:rPr>
        <w:t xml:space="preserve"> </w:t>
      </w:r>
    </w:p>
    <w:p w:rsidR="004E615D" w:rsidRPr="00F1313B" w:rsidRDefault="004E615D" w:rsidP="004E615D">
      <w:pPr>
        <w:pStyle w:val="ListParagraph"/>
        <w:widowControl/>
        <w:numPr>
          <w:ilvl w:val="1"/>
          <w:numId w:val="3"/>
        </w:numPr>
        <w:snapToGrid w:val="0"/>
        <w:spacing w:after="160"/>
      </w:pPr>
      <w:r w:rsidRPr="00F1313B">
        <w:t xml:space="preserve">Utilities for </w:t>
      </w:r>
      <w:r w:rsidR="00BE2DC5" w:rsidRPr="00F1313B">
        <w:t>RF</w:t>
      </w:r>
      <w:r w:rsidRPr="00F1313B">
        <w:t xml:space="preserve">, </w:t>
      </w:r>
      <w:r w:rsidR="00BE2DC5" w:rsidRPr="00F1313B">
        <w:t>LR</w:t>
      </w:r>
      <w:r w:rsidRPr="00F1313B">
        <w:t xml:space="preserve"> and </w:t>
      </w:r>
      <w:r w:rsidR="00BE2DC5" w:rsidRPr="00F1313B">
        <w:t>DM</w:t>
      </w:r>
      <w:r w:rsidRPr="00F1313B">
        <w:t xml:space="preserve"> (pre-progression) </w:t>
      </w:r>
      <w:r w:rsidR="00BE2DC5" w:rsidRPr="00F1313B">
        <w:t xml:space="preserve">health states </w:t>
      </w:r>
      <w:r w:rsidR="00FA79B2" w:rsidRPr="00F1313B">
        <w:t>(see Table 9</w:t>
      </w:r>
      <w:r w:rsidR="003F51DB" w:rsidRPr="00F1313B">
        <w:t xml:space="preserve"> below) </w:t>
      </w:r>
      <w:r w:rsidRPr="00F1313B">
        <w:t>were derived from KN054. The submission did not provide adequate information to assess the appropriateness of these estimates. Response rates to the EQ-5D-3L questionnaires at each of the nominated follow up points were not provided. Therefore it is unknown whether the data were derived from a representative sample of the trial population. Further analyses of the risk of bias associated with lost to follow up and its relationship to the timing of the data collection would be helpful.</w:t>
      </w:r>
      <w:r w:rsidR="00A55D91" w:rsidRPr="00F1313B">
        <w:t xml:space="preserve"> Utilities for DM (post-progression) were based on </w:t>
      </w:r>
      <w:proofErr w:type="spellStart"/>
      <w:r w:rsidR="00A55D91" w:rsidRPr="00F1313B">
        <w:t>Beusterien</w:t>
      </w:r>
      <w:proofErr w:type="spellEnd"/>
      <w:r w:rsidR="00A55D91" w:rsidRPr="00F1313B">
        <w:t xml:space="preserve"> et al, 2009.</w:t>
      </w:r>
      <w:r w:rsidRPr="00F1313B">
        <w:t xml:space="preserve"> </w:t>
      </w:r>
      <w:r w:rsidR="00AD6758" w:rsidRPr="00F1313B">
        <w:t>T</w:t>
      </w:r>
      <w:r w:rsidRPr="00F1313B">
        <w:t>he model was not particularly sensitive to the utility values used.</w:t>
      </w:r>
      <w:r w:rsidR="00AD6758" w:rsidRPr="00F1313B">
        <w:t xml:space="preserve"> </w:t>
      </w:r>
      <w:r w:rsidR="003F51DB" w:rsidRPr="00F1313B">
        <w:t xml:space="preserve">The ESC noted that the </w:t>
      </w:r>
      <w:r w:rsidR="00A55D91" w:rsidRPr="00F1313B">
        <w:t xml:space="preserve">utility value for </w:t>
      </w:r>
      <w:r w:rsidR="00A55D91" w:rsidRPr="00F1313B">
        <w:lastRenderedPageBreak/>
        <w:t xml:space="preserve">DM (post-progression) from </w:t>
      </w:r>
      <w:proofErr w:type="spellStart"/>
      <w:r w:rsidR="00A55D91" w:rsidRPr="00F1313B">
        <w:t>Beusterien</w:t>
      </w:r>
      <w:proofErr w:type="spellEnd"/>
      <w:r w:rsidR="00A55D91" w:rsidRPr="00F1313B">
        <w:t xml:space="preserve"> et al, 2009 was </w:t>
      </w:r>
      <w:r w:rsidR="007D0CE2" w:rsidRPr="00F1313B">
        <w:t xml:space="preserve">considerably </w:t>
      </w:r>
      <w:r w:rsidR="00E67273" w:rsidRPr="00F1313B">
        <w:t>low</w:t>
      </w:r>
      <w:r w:rsidR="007D0CE2" w:rsidRPr="00F1313B">
        <w:t>er</w:t>
      </w:r>
      <w:r w:rsidR="00E67273" w:rsidRPr="00F1313B">
        <w:t xml:space="preserve"> </w:t>
      </w:r>
      <w:r w:rsidR="007D0CE2" w:rsidRPr="00F1313B">
        <w:t xml:space="preserve">than the value used in the March 2016 submission for progression in </w:t>
      </w:r>
      <w:proofErr w:type="spellStart"/>
      <w:r w:rsidR="007D0CE2" w:rsidRPr="00F1313B">
        <w:t>unresectable</w:t>
      </w:r>
      <w:proofErr w:type="spellEnd"/>
      <w:r w:rsidR="007D0CE2" w:rsidRPr="00F1313B">
        <w:t xml:space="preserve"> Stage III/IV disease</w:t>
      </w:r>
      <w:r w:rsidR="00395DE5" w:rsidRPr="00F1313B">
        <w:t xml:space="preserve"> (see Table </w:t>
      </w:r>
      <w:r w:rsidR="0090357A" w:rsidRPr="00F1313B">
        <w:t>8</w:t>
      </w:r>
      <w:r w:rsidR="00395DE5" w:rsidRPr="00F1313B">
        <w:t>)</w:t>
      </w:r>
      <w:r w:rsidR="007D0CE2" w:rsidRPr="00F1313B">
        <w:t>.</w:t>
      </w:r>
      <w:r w:rsidR="00AD6758" w:rsidRPr="00F1313B">
        <w:t xml:space="preserve"> </w:t>
      </w:r>
      <w:r w:rsidR="00046E99" w:rsidRPr="00F1313B">
        <w:t>A sensitivity analysis incorporating the utility values from March 2016 resulted in an ICER of</w:t>
      </w:r>
      <w:r w:rsidR="00FC7B39">
        <w:t xml:space="preserve"> $15,000/QALY - $45,000/QALY</w:t>
      </w:r>
      <w:r w:rsidR="00395DE5" w:rsidRPr="00F1313B">
        <w:t>.</w:t>
      </w:r>
      <w:r w:rsidR="00553A38">
        <w:t xml:space="preserve"> </w:t>
      </w:r>
      <w:r w:rsidR="00553A38" w:rsidRPr="00B46267">
        <w:t>The pre-PBAC Response noted that the utility weights for RF, LR and pre-progression DM were derived from EQ-5D-3L questionnaires completed in KN-054 between baseline (n = 1,011) and week 48 (n = 652)</w:t>
      </w:r>
      <w:r w:rsidR="004C1BC7" w:rsidRPr="00B46267">
        <w:t>, with compliance ranging from 88.4% to 93.4%. As there were inadequate patient numbers at post-progression DM to inform the model, a literature-based estimate was used.</w:t>
      </w:r>
    </w:p>
    <w:p w:rsidR="003F51DB" w:rsidRPr="00F1313B" w:rsidRDefault="0090357A" w:rsidP="00150AF4">
      <w:pPr>
        <w:keepNext/>
        <w:keepLines/>
        <w:widowControl/>
        <w:snapToGrid w:val="0"/>
        <w:spacing w:after="40"/>
        <w:rPr>
          <w:rStyle w:val="CommentReference"/>
        </w:rPr>
      </w:pPr>
      <w:r w:rsidRPr="00F1313B">
        <w:rPr>
          <w:rStyle w:val="CommentReference"/>
        </w:rPr>
        <w:t xml:space="preserve">Table </w:t>
      </w:r>
      <w:r w:rsidR="009C767B">
        <w:rPr>
          <w:rStyle w:val="CommentReference"/>
        </w:rPr>
        <w:t>9</w:t>
      </w:r>
      <w:r w:rsidR="003F51DB" w:rsidRPr="00F1313B">
        <w:rPr>
          <w:rStyle w:val="CommentReference"/>
        </w:rPr>
        <w:t>: Utility values applied in the model</w:t>
      </w:r>
    </w:p>
    <w:tbl>
      <w:tblPr>
        <w:tblStyle w:val="TableGrid"/>
        <w:tblW w:w="0" w:type="auto"/>
        <w:tblInd w:w="108" w:type="dxa"/>
        <w:tblLook w:val="04A0" w:firstRow="1" w:lastRow="0" w:firstColumn="1" w:lastColumn="0" w:noHBand="0" w:noVBand="1"/>
        <w:tblCaption w:val="Utility values applied in the model"/>
      </w:tblPr>
      <w:tblGrid>
        <w:gridCol w:w="3177"/>
        <w:gridCol w:w="2944"/>
        <w:gridCol w:w="2788"/>
      </w:tblGrid>
      <w:tr w:rsidR="007D0CE2" w:rsidRPr="00F1313B" w:rsidTr="007156A6">
        <w:trPr>
          <w:cantSplit/>
          <w:trHeight w:val="201"/>
          <w:tblHeader/>
        </w:trPr>
        <w:tc>
          <w:tcPr>
            <w:tcW w:w="3238" w:type="dxa"/>
          </w:tcPr>
          <w:p w:rsidR="007D0CE2" w:rsidRPr="00F1313B" w:rsidRDefault="007D0CE2" w:rsidP="00150AF4">
            <w:pPr>
              <w:keepNext/>
              <w:keepLines/>
              <w:widowControl/>
              <w:snapToGrid w:val="0"/>
              <w:rPr>
                <w:rFonts w:ascii="Arial Narrow" w:hAnsi="Arial Narrow"/>
                <w:b/>
                <w:sz w:val="20"/>
                <w:szCs w:val="20"/>
              </w:rPr>
            </w:pPr>
            <w:r w:rsidRPr="00F1313B">
              <w:rPr>
                <w:rFonts w:ascii="Arial Narrow" w:hAnsi="Arial Narrow"/>
                <w:b/>
                <w:sz w:val="20"/>
                <w:szCs w:val="20"/>
              </w:rPr>
              <w:t>Health state</w:t>
            </w:r>
          </w:p>
        </w:tc>
        <w:tc>
          <w:tcPr>
            <w:tcW w:w="2999" w:type="dxa"/>
          </w:tcPr>
          <w:p w:rsidR="007D0CE2" w:rsidRPr="00F1313B" w:rsidRDefault="007D0CE2" w:rsidP="00150AF4">
            <w:pPr>
              <w:keepNext/>
              <w:keepLines/>
              <w:widowControl/>
              <w:snapToGrid w:val="0"/>
              <w:jc w:val="center"/>
              <w:rPr>
                <w:rFonts w:ascii="Arial Narrow" w:hAnsi="Arial Narrow"/>
                <w:b/>
                <w:sz w:val="20"/>
                <w:szCs w:val="20"/>
              </w:rPr>
            </w:pPr>
            <w:r w:rsidRPr="00F1313B">
              <w:rPr>
                <w:rFonts w:ascii="Arial Narrow" w:hAnsi="Arial Narrow"/>
                <w:b/>
                <w:sz w:val="20"/>
                <w:szCs w:val="20"/>
              </w:rPr>
              <w:t xml:space="preserve">Utility values applied in </w:t>
            </w:r>
            <w:r w:rsidRPr="00F1313B">
              <w:rPr>
                <w:rFonts w:ascii="Arial Narrow" w:hAnsi="Arial Narrow"/>
                <w:b/>
                <w:sz w:val="20"/>
                <w:szCs w:val="20"/>
              </w:rPr>
              <w:br/>
              <w:t>November 2018 submission for resected Stage III disease</w:t>
            </w:r>
          </w:p>
        </w:tc>
        <w:tc>
          <w:tcPr>
            <w:tcW w:w="2835" w:type="dxa"/>
          </w:tcPr>
          <w:p w:rsidR="007D0CE2" w:rsidRPr="00F1313B" w:rsidRDefault="007D0CE2" w:rsidP="00150AF4">
            <w:pPr>
              <w:keepNext/>
              <w:keepLines/>
              <w:widowControl/>
              <w:snapToGrid w:val="0"/>
              <w:jc w:val="center"/>
              <w:rPr>
                <w:rFonts w:ascii="Arial Narrow" w:hAnsi="Arial Narrow"/>
                <w:b/>
                <w:sz w:val="20"/>
                <w:szCs w:val="20"/>
              </w:rPr>
            </w:pPr>
            <w:r w:rsidRPr="00F1313B">
              <w:rPr>
                <w:rFonts w:ascii="Arial Narrow" w:hAnsi="Arial Narrow"/>
                <w:b/>
                <w:sz w:val="20"/>
                <w:szCs w:val="20"/>
              </w:rPr>
              <w:t xml:space="preserve">Utility values applied in </w:t>
            </w:r>
            <w:r w:rsidRPr="00F1313B">
              <w:rPr>
                <w:rFonts w:ascii="Arial Narrow" w:hAnsi="Arial Narrow"/>
                <w:b/>
                <w:sz w:val="20"/>
                <w:szCs w:val="20"/>
              </w:rPr>
              <w:br/>
              <w:t xml:space="preserve">March 2016 submission for </w:t>
            </w:r>
            <w:proofErr w:type="spellStart"/>
            <w:r w:rsidRPr="00F1313B">
              <w:rPr>
                <w:rFonts w:ascii="Arial Narrow" w:hAnsi="Arial Narrow"/>
                <w:b/>
                <w:sz w:val="20"/>
                <w:szCs w:val="20"/>
              </w:rPr>
              <w:t>unresectable</w:t>
            </w:r>
            <w:proofErr w:type="spellEnd"/>
            <w:r w:rsidRPr="00F1313B">
              <w:rPr>
                <w:rFonts w:ascii="Arial Narrow" w:hAnsi="Arial Narrow"/>
                <w:b/>
                <w:sz w:val="20"/>
                <w:szCs w:val="20"/>
              </w:rPr>
              <w:t xml:space="preserve"> Stage III/IV disease</w:t>
            </w:r>
          </w:p>
        </w:tc>
      </w:tr>
      <w:tr w:rsidR="007D0CE2" w:rsidRPr="00F1313B" w:rsidTr="007D0CE2">
        <w:tc>
          <w:tcPr>
            <w:tcW w:w="3238" w:type="dxa"/>
          </w:tcPr>
          <w:p w:rsidR="007D0CE2" w:rsidRPr="00F1313B" w:rsidRDefault="007D0CE2" w:rsidP="00150AF4">
            <w:pPr>
              <w:keepNext/>
              <w:keepLines/>
              <w:widowControl/>
              <w:snapToGrid w:val="0"/>
              <w:rPr>
                <w:rFonts w:ascii="Arial Narrow" w:hAnsi="Arial Narrow"/>
                <w:sz w:val="20"/>
                <w:szCs w:val="20"/>
              </w:rPr>
            </w:pPr>
            <w:r w:rsidRPr="00F1313B">
              <w:rPr>
                <w:rFonts w:ascii="Arial Narrow" w:hAnsi="Arial Narrow"/>
                <w:sz w:val="20"/>
                <w:szCs w:val="20"/>
              </w:rPr>
              <w:t>Recurrence-free (without toxicity)</w:t>
            </w:r>
          </w:p>
        </w:tc>
        <w:tc>
          <w:tcPr>
            <w:tcW w:w="2999"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835"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D0CE2" w:rsidRPr="00F1313B" w:rsidTr="007D0CE2">
        <w:tc>
          <w:tcPr>
            <w:tcW w:w="3238" w:type="dxa"/>
          </w:tcPr>
          <w:p w:rsidR="007D0CE2" w:rsidRPr="00F1313B" w:rsidRDefault="007D0CE2" w:rsidP="00150AF4">
            <w:pPr>
              <w:keepNext/>
              <w:keepLines/>
              <w:widowControl/>
              <w:snapToGrid w:val="0"/>
              <w:rPr>
                <w:rFonts w:ascii="Arial Narrow" w:hAnsi="Arial Narrow"/>
                <w:sz w:val="20"/>
                <w:szCs w:val="20"/>
              </w:rPr>
            </w:pPr>
            <w:proofErr w:type="spellStart"/>
            <w:r w:rsidRPr="00F1313B">
              <w:rPr>
                <w:rFonts w:ascii="Arial Narrow" w:hAnsi="Arial Narrow"/>
                <w:sz w:val="20"/>
                <w:szCs w:val="20"/>
              </w:rPr>
              <w:t>Locoregional</w:t>
            </w:r>
            <w:proofErr w:type="spellEnd"/>
            <w:r w:rsidRPr="00F1313B">
              <w:rPr>
                <w:rFonts w:ascii="Arial Narrow" w:hAnsi="Arial Narrow"/>
                <w:sz w:val="20"/>
                <w:szCs w:val="20"/>
              </w:rPr>
              <w:t xml:space="preserve"> recurrence</w:t>
            </w:r>
          </w:p>
        </w:tc>
        <w:tc>
          <w:tcPr>
            <w:tcW w:w="2999"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835"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D0CE2" w:rsidRPr="00F1313B" w:rsidTr="007D0CE2">
        <w:tc>
          <w:tcPr>
            <w:tcW w:w="3238" w:type="dxa"/>
          </w:tcPr>
          <w:p w:rsidR="007D0CE2" w:rsidRPr="00F1313B" w:rsidRDefault="007D0CE2" w:rsidP="00150AF4">
            <w:pPr>
              <w:keepNext/>
              <w:keepLines/>
              <w:widowControl/>
              <w:snapToGrid w:val="0"/>
              <w:rPr>
                <w:rFonts w:ascii="Arial Narrow" w:hAnsi="Arial Narrow"/>
                <w:sz w:val="20"/>
                <w:szCs w:val="20"/>
              </w:rPr>
            </w:pPr>
            <w:r w:rsidRPr="00F1313B">
              <w:rPr>
                <w:rFonts w:ascii="Arial Narrow" w:hAnsi="Arial Narrow"/>
                <w:sz w:val="20"/>
                <w:szCs w:val="20"/>
              </w:rPr>
              <w:t>Distant metastases (pre-progression)</w:t>
            </w:r>
          </w:p>
        </w:tc>
        <w:tc>
          <w:tcPr>
            <w:tcW w:w="2999"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835"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D0CE2" w:rsidRPr="00F1313B" w:rsidTr="007D0CE2">
        <w:tc>
          <w:tcPr>
            <w:tcW w:w="3238" w:type="dxa"/>
          </w:tcPr>
          <w:p w:rsidR="007D0CE2" w:rsidRPr="00F1313B" w:rsidRDefault="007D0CE2" w:rsidP="00150AF4">
            <w:pPr>
              <w:keepNext/>
              <w:keepLines/>
              <w:widowControl/>
              <w:snapToGrid w:val="0"/>
              <w:rPr>
                <w:rFonts w:ascii="Arial Narrow" w:hAnsi="Arial Narrow"/>
                <w:sz w:val="20"/>
                <w:szCs w:val="20"/>
              </w:rPr>
            </w:pPr>
            <w:r w:rsidRPr="00F1313B">
              <w:rPr>
                <w:rFonts w:ascii="Arial Narrow" w:hAnsi="Arial Narrow"/>
                <w:sz w:val="20"/>
                <w:szCs w:val="20"/>
              </w:rPr>
              <w:t>Distant metastases (post-progression)</w:t>
            </w:r>
          </w:p>
        </w:tc>
        <w:tc>
          <w:tcPr>
            <w:tcW w:w="2999"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835" w:type="dxa"/>
          </w:tcPr>
          <w:p w:rsidR="007D0CE2" w:rsidRPr="002018B5" w:rsidRDefault="002018B5" w:rsidP="00150AF4">
            <w:pPr>
              <w:keepNext/>
              <w:keepLines/>
              <w:widowControl/>
              <w:snapToGrid w:val="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4E615D" w:rsidRPr="00F1313B" w:rsidRDefault="003F51DB" w:rsidP="00150AF4">
      <w:pPr>
        <w:keepNext/>
        <w:keepLines/>
        <w:widowControl/>
        <w:snapToGrid w:val="0"/>
        <w:spacing w:after="160"/>
        <w:rPr>
          <w:rFonts w:ascii="Arial Narrow" w:hAnsi="Arial Narrow"/>
          <w:sz w:val="18"/>
          <w:szCs w:val="18"/>
        </w:rPr>
      </w:pPr>
      <w:r w:rsidRPr="00F1313B">
        <w:rPr>
          <w:rFonts w:ascii="Arial Narrow" w:hAnsi="Arial Narrow"/>
          <w:sz w:val="18"/>
          <w:szCs w:val="18"/>
        </w:rPr>
        <w:t>Source: Table 3-12, p33 of the submission</w:t>
      </w:r>
      <w:r w:rsidR="00E67273" w:rsidRPr="00F1313B">
        <w:rPr>
          <w:rFonts w:ascii="Arial Narrow" w:hAnsi="Arial Narrow"/>
          <w:sz w:val="18"/>
          <w:szCs w:val="18"/>
        </w:rPr>
        <w:t xml:space="preserve"> and March 2015 submission for </w:t>
      </w:r>
      <w:proofErr w:type="spellStart"/>
      <w:r w:rsidR="00E67273" w:rsidRPr="00F1313B">
        <w:rPr>
          <w:rFonts w:ascii="Arial Narrow" w:hAnsi="Arial Narrow"/>
          <w:sz w:val="18"/>
          <w:szCs w:val="18"/>
        </w:rPr>
        <w:t>pembrolizumab</w:t>
      </w:r>
      <w:proofErr w:type="spellEnd"/>
    </w:p>
    <w:p w:rsidR="00150AF4" w:rsidRPr="00F1313B" w:rsidRDefault="00150AF4" w:rsidP="004E615D">
      <w:pPr>
        <w:pStyle w:val="ListParagraph"/>
        <w:widowControl/>
        <w:numPr>
          <w:ilvl w:val="1"/>
          <w:numId w:val="3"/>
        </w:numPr>
        <w:snapToGrid w:val="0"/>
        <w:spacing w:after="160"/>
      </w:pPr>
      <w:r w:rsidRPr="00F1313B">
        <w:t xml:space="preserve">The submission stated that most of the treatments used in the advanced setting (i.e. </w:t>
      </w:r>
      <w:proofErr w:type="spellStart"/>
      <w:r w:rsidRPr="00F1313B">
        <w:t>unresectable</w:t>
      </w:r>
      <w:proofErr w:type="spellEnd"/>
      <w:r w:rsidRPr="00F1313B">
        <w:t xml:space="preserve"> melanoma) were subject to SPAs. Therefore, in the base case a </w:t>
      </w:r>
      <w:r w:rsidR="002018B5">
        <w:rPr>
          <w:noProof/>
          <w:color w:val="000000"/>
          <w:highlight w:val="black"/>
        </w:rPr>
        <w:t>'''''</w:t>
      </w:r>
      <w:r w:rsidRPr="00F1313B">
        <w:t xml:space="preserve">% discount was applied to the published ex-manufacturer prices across all advanced treatments, with </w:t>
      </w:r>
      <w:r w:rsidR="002018B5">
        <w:rPr>
          <w:noProof/>
          <w:color w:val="000000"/>
          <w:highlight w:val="black"/>
        </w:rPr>
        <w:t>'''''</w:t>
      </w:r>
      <w:r w:rsidRPr="00F1313B">
        <w:t>% discount applied to the MEK inhibitors used in combination with BRAF inhibitors to provide an effective price for the combination that is marginally higher than the BRAF inhibitors as monotherapy.</w:t>
      </w:r>
    </w:p>
    <w:p w:rsidR="004E615D" w:rsidRPr="00E4278C" w:rsidRDefault="004E615D" w:rsidP="004E615D">
      <w:pPr>
        <w:pStyle w:val="ListParagraph"/>
        <w:widowControl/>
        <w:numPr>
          <w:ilvl w:val="1"/>
          <w:numId w:val="3"/>
        </w:numPr>
        <w:snapToGrid w:val="0"/>
        <w:spacing w:after="160"/>
      </w:pPr>
      <w:r w:rsidRPr="00E4278C">
        <w:t xml:space="preserve">The cost of subsequent therapies in the advanced setting for </w:t>
      </w:r>
      <w:proofErr w:type="spellStart"/>
      <w:r w:rsidRPr="00E4278C">
        <w:t>unresectable</w:t>
      </w:r>
      <w:proofErr w:type="spellEnd"/>
      <w:r w:rsidRPr="00E4278C">
        <w:t xml:space="preserve"> melanoma contributed su</w:t>
      </w:r>
      <w:r w:rsidR="005F0113" w:rsidRPr="00E4278C">
        <w:t xml:space="preserve">bstantially to the cost offsets, reducing </w:t>
      </w:r>
      <w:r w:rsidRPr="00E4278C">
        <w:t xml:space="preserve">the total incremental costs of </w:t>
      </w:r>
      <w:proofErr w:type="spellStart"/>
      <w:r w:rsidRPr="00E4278C">
        <w:t>pembrolizumab</w:t>
      </w:r>
      <w:proofErr w:type="spellEnd"/>
      <w:r w:rsidRPr="00E4278C">
        <w:t xml:space="preserve"> over observation. The duration of the subsequent treatments and the proportions of patients receiving subsequent treat</w:t>
      </w:r>
      <w:r w:rsidR="005F0113" w:rsidRPr="00E4278C">
        <w:t>ments in each arm are uncertain:</w:t>
      </w:r>
    </w:p>
    <w:p w:rsidR="004E615D" w:rsidRPr="00F1313B" w:rsidRDefault="004E615D" w:rsidP="004E615D">
      <w:pPr>
        <w:pStyle w:val="ListParagraph"/>
        <w:widowControl/>
        <w:numPr>
          <w:ilvl w:val="0"/>
          <w:numId w:val="2"/>
        </w:numPr>
        <w:snapToGrid w:val="0"/>
        <w:ind w:left="993" w:hanging="284"/>
      </w:pPr>
      <w:r w:rsidRPr="00F1313B">
        <w:t xml:space="preserve">The duration of first-line treatments in advanced </w:t>
      </w:r>
      <w:proofErr w:type="spellStart"/>
      <w:r w:rsidRPr="00F1313B">
        <w:t>unresectable</w:t>
      </w:r>
      <w:proofErr w:type="spellEnd"/>
      <w:r w:rsidRPr="00F1313B">
        <w:t xml:space="preserve"> melanoma was based on their respective PFS curves (derived from KN006 and network meta-analysis for other first-line treatments) and extrapolated using</w:t>
      </w:r>
      <w:r w:rsidR="005F0113" w:rsidRPr="00F1313B">
        <w:t xml:space="preserve"> an</w:t>
      </w:r>
      <w:r w:rsidRPr="00F1313B">
        <w:t xml:space="preserve"> exponential function</w:t>
      </w:r>
      <w:r w:rsidR="002C54EB" w:rsidRPr="00F1313B">
        <w:t xml:space="preserve">. The PSCR stated that the exponential distribution was the only appropriate form and that other forms would require assessment of how long patients had been in the distant metastases health state, making the model significantly more complex. The ESC considered that use of the PFS in longer-term clinical trials would likely favour </w:t>
      </w:r>
      <w:proofErr w:type="spellStart"/>
      <w:r w:rsidR="002C54EB" w:rsidRPr="00F1313B">
        <w:t>pembrolizumab</w:t>
      </w:r>
      <w:proofErr w:type="spellEnd"/>
      <w:r w:rsidR="003F51DB" w:rsidRPr="00F1313B">
        <w:t>, as PFS is generally the maximum time on treatment</w:t>
      </w:r>
      <w:r w:rsidR="004C1BC7">
        <w:t xml:space="preserve">. </w:t>
      </w:r>
      <w:r w:rsidR="004C1BC7" w:rsidRPr="00B46267">
        <w:t>The pre-PBAC Response disagreed, stating that time on treatment was not expected to underestimate treatment costs, as a treat until progression approach was consistent with the PBS criteria</w:t>
      </w:r>
      <w:r w:rsidRPr="00F1313B">
        <w:t>;</w:t>
      </w:r>
    </w:p>
    <w:p w:rsidR="004E615D" w:rsidRPr="00F1313B" w:rsidRDefault="004E615D" w:rsidP="004E615D">
      <w:pPr>
        <w:pStyle w:val="ListParagraph"/>
        <w:widowControl/>
        <w:numPr>
          <w:ilvl w:val="0"/>
          <w:numId w:val="2"/>
        </w:numPr>
        <w:snapToGrid w:val="0"/>
        <w:ind w:left="993" w:hanging="284"/>
      </w:pPr>
      <w:r w:rsidRPr="00F1313B">
        <w:t xml:space="preserve">The model assumed that all patients entering </w:t>
      </w:r>
      <w:r w:rsidR="00BE2DC5" w:rsidRPr="00F1313B">
        <w:t>DM</w:t>
      </w:r>
      <w:r w:rsidRPr="00F1313B">
        <w:t xml:space="preserve"> state would be eligible for </w:t>
      </w:r>
      <w:r w:rsidR="00FA79B2" w:rsidRPr="00F1313B">
        <w:t>further</w:t>
      </w:r>
      <w:r w:rsidRPr="00F1313B">
        <w:t xml:space="preserve"> treatments. Given that there were a larger proportion of patients entering </w:t>
      </w:r>
      <w:r w:rsidR="00BE2DC5" w:rsidRPr="00F1313B">
        <w:t>DM</w:t>
      </w:r>
      <w:r w:rsidRPr="00F1313B">
        <w:t xml:space="preserve"> state in the placebo arm (82%) than in the adjuvant </w:t>
      </w:r>
      <w:proofErr w:type="spellStart"/>
      <w:r w:rsidRPr="00F1313B">
        <w:t>pembrolizumab</w:t>
      </w:r>
      <w:proofErr w:type="spellEnd"/>
      <w:r w:rsidRPr="00F1313B">
        <w:t xml:space="preserve"> arm (55%) during the modelled time horizon, there were greater costs of subsequent therapies in the </w:t>
      </w:r>
      <w:r w:rsidRPr="00F1313B">
        <w:lastRenderedPageBreak/>
        <w:t xml:space="preserve">observation arm than in the adjuvant </w:t>
      </w:r>
      <w:proofErr w:type="spellStart"/>
      <w:r w:rsidRPr="00F1313B">
        <w:t>pembrolizumab</w:t>
      </w:r>
      <w:proofErr w:type="spellEnd"/>
      <w:r w:rsidRPr="00F1313B">
        <w:t xml:space="preserve"> arm. The proportion of the patients in the </w:t>
      </w:r>
      <w:r w:rsidR="00BE2DC5" w:rsidRPr="00F1313B">
        <w:t>DM</w:t>
      </w:r>
      <w:r w:rsidRPr="00F1313B">
        <w:t xml:space="preserve"> health state in each arm </w:t>
      </w:r>
      <w:r w:rsidR="00BE2DC5" w:rsidRPr="00F1313B">
        <w:t xml:space="preserve">was </w:t>
      </w:r>
      <w:r w:rsidRPr="00F1313B">
        <w:t>uncertain, since it was based on immature RFS data and the model is sensitive to the parametric functions chosen for extrapolation</w:t>
      </w:r>
      <w:r w:rsidR="005B320C" w:rsidRPr="00F1313B">
        <w:t>; and</w:t>
      </w:r>
    </w:p>
    <w:p w:rsidR="003F51DB" w:rsidRPr="00F1313B" w:rsidRDefault="003F51DB" w:rsidP="00C17290">
      <w:pPr>
        <w:pStyle w:val="ListParagraph"/>
        <w:widowControl/>
        <w:numPr>
          <w:ilvl w:val="0"/>
          <w:numId w:val="2"/>
        </w:numPr>
        <w:snapToGrid w:val="0"/>
        <w:spacing w:after="240"/>
        <w:ind w:left="993" w:hanging="284"/>
      </w:pPr>
      <w:r w:rsidRPr="00F1313B">
        <w:t xml:space="preserve">The ESC noted that </w:t>
      </w:r>
      <w:r w:rsidR="002018B5">
        <w:rPr>
          <w:noProof/>
          <w:color w:val="000000"/>
          <w:highlight w:val="black"/>
        </w:rPr>
        <w:t>'''''</w:t>
      </w:r>
      <w:r w:rsidRPr="00F1313B">
        <w:t xml:space="preserve">% of adjuvant </w:t>
      </w:r>
      <w:proofErr w:type="spellStart"/>
      <w:r w:rsidRPr="00F1313B">
        <w:t>pembrolizumab</w:t>
      </w:r>
      <w:proofErr w:type="spellEnd"/>
      <w:r w:rsidRPr="00F1313B">
        <w:t xml:space="preserve"> patients who experienced a distant metastasis at least 18 months from baseline were retreated with </w:t>
      </w:r>
      <w:proofErr w:type="spellStart"/>
      <w:r w:rsidRPr="00F1313B">
        <w:t>pembrolizumab</w:t>
      </w:r>
      <w:proofErr w:type="spellEnd"/>
      <w:r w:rsidRPr="00F1313B">
        <w:t xml:space="preserve">; the remaining </w:t>
      </w:r>
      <w:r w:rsidR="002018B5">
        <w:rPr>
          <w:noProof/>
          <w:color w:val="000000"/>
          <w:highlight w:val="black"/>
        </w:rPr>
        <w:t>'''''</w:t>
      </w:r>
      <w:r w:rsidRPr="00F1313B">
        <w:t xml:space="preserve">% received </w:t>
      </w:r>
      <w:proofErr w:type="spellStart"/>
      <w:r w:rsidRPr="00F1313B">
        <w:t>ipilimumab</w:t>
      </w:r>
      <w:proofErr w:type="spellEnd"/>
      <w:r w:rsidRPr="00F1313B">
        <w:t>. The weighted cost was $</w:t>
      </w:r>
      <w:r w:rsidR="002018B5">
        <w:rPr>
          <w:noProof/>
          <w:color w:val="000000"/>
          <w:highlight w:val="black"/>
        </w:rPr>
        <w:t>''''''''''''</w:t>
      </w:r>
      <w:r w:rsidRPr="00F1313B">
        <w:t xml:space="preserve">. For those who did not receive adjuvant </w:t>
      </w:r>
      <w:proofErr w:type="spellStart"/>
      <w:r w:rsidRPr="00F1313B">
        <w:t>pembrolizumab</w:t>
      </w:r>
      <w:proofErr w:type="spellEnd"/>
      <w:r w:rsidRPr="00F1313B">
        <w:t xml:space="preserve">, the model assumed </w:t>
      </w:r>
      <w:r w:rsidR="002018B5">
        <w:rPr>
          <w:noProof/>
          <w:color w:val="000000"/>
          <w:highlight w:val="black"/>
        </w:rPr>
        <w:t>'''''</w:t>
      </w:r>
      <w:r w:rsidRPr="00F1313B">
        <w:t xml:space="preserve">% received </w:t>
      </w:r>
      <w:proofErr w:type="spellStart"/>
      <w:r w:rsidRPr="00F1313B">
        <w:t>pembrolizumab</w:t>
      </w:r>
      <w:proofErr w:type="spellEnd"/>
      <w:r w:rsidRPr="00F1313B">
        <w:t xml:space="preserve">, </w:t>
      </w:r>
      <w:r w:rsidR="002018B5">
        <w:rPr>
          <w:noProof/>
          <w:color w:val="000000"/>
          <w:highlight w:val="black"/>
        </w:rPr>
        <w:t>'''''</w:t>
      </w:r>
      <w:r w:rsidRPr="00F1313B">
        <w:t xml:space="preserve">% received DAB+TRAM, </w:t>
      </w:r>
      <w:r w:rsidR="002018B5">
        <w:rPr>
          <w:noProof/>
          <w:color w:val="000000"/>
          <w:highlight w:val="black"/>
        </w:rPr>
        <w:t>'''''</w:t>
      </w:r>
      <w:r w:rsidRPr="00F1313B">
        <w:t xml:space="preserve">% </w:t>
      </w:r>
      <w:proofErr w:type="spellStart"/>
      <w:r w:rsidRPr="00F1313B">
        <w:t>ipilimumab</w:t>
      </w:r>
      <w:proofErr w:type="spellEnd"/>
      <w:r w:rsidRPr="00F1313B">
        <w:t xml:space="preserve"> and </w:t>
      </w:r>
      <w:r w:rsidR="002018B5">
        <w:rPr>
          <w:noProof/>
          <w:color w:val="000000"/>
          <w:highlight w:val="black"/>
        </w:rPr>
        <w:t>'''''</w:t>
      </w:r>
      <w:r w:rsidRPr="00F1313B">
        <w:t xml:space="preserve">% </w:t>
      </w:r>
      <w:proofErr w:type="spellStart"/>
      <w:r w:rsidRPr="00F1313B">
        <w:t>nivolumab</w:t>
      </w:r>
      <w:proofErr w:type="spellEnd"/>
      <w:r w:rsidRPr="00F1313B">
        <w:t>. The weighted cost for these patients was $</w:t>
      </w:r>
      <w:r w:rsidR="002018B5">
        <w:rPr>
          <w:noProof/>
          <w:color w:val="000000"/>
          <w:highlight w:val="black"/>
        </w:rPr>
        <w:t>'''''''''''''''</w:t>
      </w:r>
      <w:r w:rsidRPr="00F1313B">
        <w:t>.</w:t>
      </w:r>
    </w:p>
    <w:p w:rsidR="004E615D" w:rsidRPr="00E4278C" w:rsidRDefault="004E615D" w:rsidP="004E615D">
      <w:pPr>
        <w:pStyle w:val="ListParagraph"/>
        <w:widowControl/>
        <w:numPr>
          <w:ilvl w:val="1"/>
          <w:numId w:val="3"/>
        </w:numPr>
        <w:snapToGrid w:val="0"/>
        <w:spacing w:after="160"/>
      </w:pPr>
      <w:r w:rsidRPr="00E4278C">
        <w:t>The key drivers of the model are summarised below.</w:t>
      </w:r>
    </w:p>
    <w:p w:rsidR="004E615D" w:rsidRPr="0075348C" w:rsidRDefault="004E615D" w:rsidP="006C153A">
      <w:pPr>
        <w:pStyle w:val="Caption"/>
      </w:pPr>
      <w:r w:rsidRPr="0075348C">
        <w:t xml:space="preserve">Table </w:t>
      </w:r>
      <w:r w:rsidR="009C767B">
        <w:t>10</w:t>
      </w:r>
      <w:r w:rsidRPr="0075348C">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5"/>
        <w:gridCol w:w="6334"/>
        <w:gridCol w:w="1248"/>
      </w:tblGrid>
      <w:tr w:rsidR="004E615D" w:rsidTr="0033617C">
        <w:trPr>
          <w:tblHeader/>
        </w:trPr>
        <w:tc>
          <w:tcPr>
            <w:tcW w:w="796"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rPr>
                <w:lang w:val="en-US"/>
              </w:rPr>
            </w:pPr>
            <w:r>
              <w:rPr>
                <w:b/>
                <w:lang w:val="en-US"/>
              </w:rPr>
              <w:t>Description</w:t>
            </w:r>
          </w:p>
        </w:tc>
        <w:tc>
          <w:tcPr>
            <w:tcW w:w="3512"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jc w:val="center"/>
              <w:rPr>
                <w:b/>
                <w:lang w:val="en-US"/>
              </w:rPr>
            </w:pPr>
            <w:r>
              <w:rPr>
                <w:b/>
                <w:lang w:val="en-US"/>
              </w:rPr>
              <w:t>Method/Value</w:t>
            </w:r>
          </w:p>
        </w:tc>
        <w:tc>
          <w:tcPr>
            <w:tcW w:w="693"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jc w:val="center"/>
              <w:rPr>
                <w:b/>
                <w:lang w:val="en-US"/>
              </w:rPr>
            </w:pPr>
            <w:r>
              <w:rPr>
                <w:b/>
                <w:lang w:val="en-US"/>
              </w:rPr>
              <w:t>Impact</w:t>
            </w:r>
          </w:p>
        </w:tc>
      </w:tr>
      <w:tr w:rsidR="004E615D" w:rsidTr="0033617C">
        <w:tc>
          <w:tcPr>
            <w:tcW w:w="796"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6C153A">
            <w:pPr>
              <w:pStyle w:val="Tabletext"/>
              <w:keepNext/>
              <w:rPr>
                <w:lang w:val="en-US"/>
              </w:rPr>
            </w:pPr>
            <w:r>
              <w:rPr>
                <w:lang w:val="en-US"/>
              </w:rPr>
              <w:t>RFS estimate</w:t>
            </w:r>
          </w:p>
        </w:tc>
        <w:tc>
          <w:tcPr>
            <w:tcW w:w="3512"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6C153A">
            <w:pPr>
              <w:pStyle w:val="Tabletext"/>
              <w:keepNext/>
              <w:rPr>
                <w:lang w:val="en-US"/>
              </w:rPr>
            </w:pPr>
            <w:r w:rsidRPr="00F1313B">
              <w:rPr>
                <w:lang w:val="en-US"/>
              </w:rPr>
              <w:t>Parametric functions were fitted to the observed immature RFS data to select the models for RFS estimates</w:t>
            </w:r>
          </w:p>
        </w:tc>
        <w:tc>
          <w:tcPr>
            <w:tcW w:w="69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275E">
            <w:pPr>
              <w:pStyle w:val="Tabletext"/>
              <w:keepNext/>
              <w:rPr>
                <w:lang w:val="en-US"/>
              </w:rPr>
            </w:pPr>
            <w:r w:rsidRPr="00F1313B">
              <w:rPr>
                <w:lang w:val="en-US"/>
              </w:rPr>
              <w:t xml:space="preserve">High, </w:t>
            </w:r>
            <w:proofErr w:type="spellStart"/>
            <w:r w:rsidR="0015275E" w:rsidRPr="00F1313B">
              <w:rPr>
                <w:lang w:val="en-US"/>
              </w:rPr>
              <w:t>favours</w:t>
            </w:r>
            <w:proofErr w:type="spellEnd"/>
            <w:r w:rsidR="0015275E" w:rsidRPr="00F1313B">
              <w:rPr>
                <w:lang w:val="en-US"/>
              </w:rPr>
              <w:t xml:space="preserve"> </w:t>
            </w:r>
            <w:proofErr w:type="spellStart"/>
            <w:r w:rsidR="0015275E" w:rsidRPr="00F1313B">
              <w:rPr>
                <w:lang w:val="en-US"/>
              </w:rPr>
              <w:t>pembrolizumab</w:t>
            </w:r>
            <w:proofErr w:type="spellEnd"/>
          </w:p>
        </w:tc>
      </w:tr>
      <w:tr w:rsidR="004E615D" w:rsidTr="0033617C">
        <w:tc>
          <w:tcPr>
            <w:tcW w:w="796"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2E2C71">
            <w:pPr>
              <w:pStyle w:val="Tabletext"/>
              <w:keepNext/>
              <w:rPr>
                <w:lang w:val="en-US"/>
              </w:rPr>
            </w:pPr>
            <w:r>
              <w:rPr>
                <w:lang w:val="en-US"/>
              </w:rPr>
              <w:t>Costs of subsequent first-line treatments</w:t>
            </w:r>
            <w:r w:rsidR="00AE5ACC">
              <w:rPr>
                <w:lang w:val="en-US"/>
              </w:rPr>
              <w:t xml:space="preserve"> for disease</w:t>
            </w:r>
            <w:r w:rsidR="002E2C71">
              <w:rPr>
                <w:lang w:val="en-US"/>
              </w:rPr>
              <w:t xml:space="preserve"> recurrence</w:t>
            </w:r>
          </w:p>
        </w:tc>
        <w:tc>
          <w:tcPr>
            <w:tcW w:w="3512"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6C153A">
            <w:pPr>
              <w:pStyle w:val="Tabletext"/>
              <w:keepNext/>
              <w:rPr>
                <w:lang w:val="en-US"/>
              </w:rPr>
            </w:pPr>
            <w:r w:rsidRPr="00F1313B">
              <w:rPr>
                <w:lang w:val="en-US"/>
              </w:rPr>
              <w:t>Duration of the first-line treatment was based on KN006 trial and a network meta-analysis</w:t>
            </w:r>
            <w:r w:rsidR="0015275E" w:rsidRPr="00F1313B">
              <w:rPr>
                <w:lang w:val="en-US"/>
              </w:rPr>
              <w:t xml:space="preserve">. The ESC noted time on treatment was linked to PFS, which was likely to overestimate treatment costs and hence, cost offsets given the higher proportion of observation patients experiencing </w:t>
            </w:r>
            <w:r w:rsidR="000E571B">
              <w:rPr>
                <w:lang w:val="en-US"/>
              </w:rPr>
              <w:t>DM</w:t>
            </w:r>
            <w:r w:rsidR="0015275E" w:rsidRPr="00F1313B">
              <w:rPr>
                <w:lang w:val="en-US"/>
              </w:rPr>
              <w:t>.</w:t>
            </w:r>
          </w:p>
          <w:p w:rsidR="004E615D" w:rsidRPr="00F1313B" w:rsidRDefault="004E615D" w:rsidP="000E571B">
            <w:pPr>
              <w:pStyle w:val="Tabletext"/>
              <w:keepNext/>
              <w:rPr>
                <w:lang w:val="en-US"/>
              </w:rPr>
            </w:pPr>
            <w:r w:rsidRPr="00F1313B">
              <w:rPr>
                <w:lang w:val="en-US"/>
              </w:rPr>
              <w:t xml:space="preserve">The proportion of patients receiving a first-line treatment was based on the modelled proportion of patients entering </w:t>
            </w:r>
            <w:r w:rsidR="000E571B">
              <w:rPr>
                <w:lang w:val="en-US"/>
              </w:rPr>
              <w:t>DM</w:t>
            </w:r>
            <w:r w:rsidRPr="00F1313B">
              <w:rPr>
                <w:lang w:val="en-US"/>
              </w:rPr>
              <w:t>, which was derived from the modelled RFS</w:t>
            </w:r>
          </w:p>
        </w:tc>
        <w:tc>
          <w:tcPr>
            <w:tcW w:w="69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275E">
            <w:pPr>
              <w:pStyle w:val="Tabletext"/>
              <w:keepNext/>
              <w:rPr>
                <w:lang w:val="en-US"/>
              </w:rPr>
            </w:pPr>
            <w:r w:rsidRPr="00F1313B">
              <w:rPr>
                <w:lang w:val="en-US"/>
              </w:rPr>
              <w:t xml:space="preserve">High, </w:t>
            </w:r>
            <w:proofErr w:type="spellStart"/>
            <w:r w:rsidR="0015275E" w:rsidRPr="00F1313B">
              <w:rPr>
                <w:lang w:val="en-US"/>
              </w:rPr>
              <w:t>favours</w:t>
            </w:r>
            <w:proofErr w:type="spellEnd"/>
            <w:r w:rsidR="0015275E" w:rsidRPr="00F1313B">
              <w:rPr>
                <w:lang w:val="en-US"/>
              </w:rPr>
              <w:t xml:space="preserve"> </w:t>
            </w:r>
            <w:proofErr w:type="spellStart"/>
            <w:r w:rsidR="0015275E" w:rsidRPr="00F1313B">
              <w:rPr>
                <w:lang w:val="en-US"/>
              </w:rPr>
              <w:t>pembrolizumab</w:t>
            </w:r>
            <w:proofErr w:type="spellEnd"/>
          </w:p>
        </w:tc>
      </w:tr>
      <w:tr w:rsidR="00D262B5" w:rsidTr="0033617C">
        <w:tc>
          <w:tcPr>
            <w:tcW w:w="796" w:type="pct"/>
            <w:tcBorders>
              <w:top w:val="single" w:sz="4" w:space="0" w:color="auto"/>
              <w:left w:val="single" w:sz="4" w:space="0" w:color="auto"/>
              <w:bottom w:val="single" w:sz="4" w:space="0" w:color="auto"/>
              <w:right w:val="single" w:sz="4" w:space="0" w:color="auto"/>
            </w:tcBorders>
            <w:vAlign w:val="center"/>
          </w:tcPr>
          <w:p w:rsidR="00D262B5" w:rsidRDefault="00D262B5" w:rsidP="000E571B">
            <w:pPr>
              <w:pStyle w:val="Tabletext"/>
              <w:keepNext/>
              <w:rPr>
                <w:lang w:val="en-US"/>
              </w:rPr>
            </w:pPr>
            <w:r>
              <w:rPr>
                <w:lang w:val="en-US"/>
              </w:rPr>
              <w:t xml:space="preserve">Transitions from </w:t>
            </w:r>
            <w:r w:rsidR="000E571B">
              <w:rPr>
                <w:lang w:val="en-US"/>
              </w:rPr>
              <w:t>DM</w:t>
            </w:r>
            <w:r>
              <w:rPr>
                <w:lang w:val="en-US"/>
              </w:rPr>
              <w:t xml:space="preserve"> to death</w:t>
            </w:r>
          </w:p>
        </w:tc>
        <w:tc>
          <w:tcPr>
            <w:tcW w:w="3512" w:type="pct"/>
            <w:tcBorders>
              <w:top w:val="single" w:sz="4" w:space="0" w:color="auto"/>
              <w:left w:val="single" w:sz="4" w:space="0" w:color="auto"/>
              <w:bottom w:val="single" w:sz="4" w:space="0" w:color="auto"/>
              <w:right w:val="single" w:sz="4" w:space="0" w:color="auto"/>
            </w:tcBorders>
            <w:vAlign w:val="center"/>
          </w:tcPr>
          <w:p w:rsidR="00D262B5" w:rsidRPr="00F1313B" w:rsidRDefault="004A4FB3" w:rsidP="000E571B">
            <w:pPr>
              <w:pStyle w:val="Tabletext"/>
              <w:rPr>
                <w:lang w:val="en-US"/>
              </w:rPr>
            </w:pPr>
            <w:r w:rsidRPr="00F1313B">
              <w:t>DM to death w</w:t>
            </w:r>
            <w:r w:rsidR="00E4278C" w:rsidRPr="00F1313B">
              <w:t>as</w:t>
            </w:r>
            <w:r w:rsidRPr="00F1313B">
              <w:t xml:space="preserve"> based on KN006 trial for those who received </w:t>
            </w:r>
            <w:proofErr w:type="spellStart"/>
            <w:r w:rsidRPr="00F1313B">
              <w:t>pembrolizumab</w:t>
            </w:r>
            <w:proofErr w:type="spellEnd"/>
            <w:r w:rsidRPr="00F1313B">
              <w:t xml:space="preserve"> in the advanced setting and a network meta-analysis of trials of other first-line treatments for patients who receive anti-cancer treatments other than </w:t>
            </w:r>
            <w:proofErr w:type="spellStart"/>
            <w:r w:rsidRPr="00F1313B">
              <w:t>pembrolizumab</w:t>
            </w:r>
            <w:proofErr w:type="spellEnd"/>
            <w:r w:rsidRPr="00F1313B">
              <w:t>. Exponential models of OS and PFS were used for extrapolation. No other parametric functions were considered.</w:t>
            </w:r>
            <w:r w:rsidR="0015275E" w:rsidRPr="00F1313B">
              <w:t xml:space="preserve"> The ESC noted that the potential effects of adjuvant </w:t>
            </w:r>
            <w:proofErr w:type="spellStart"/>
            <w:r w:rsidR="0015275E" w:rsidRPr="00F1313B">
              <w:t>pembrolizumab</w:t>
            </w:r>
            <w:proofErr w:type="spellEnd"/>
            <w:r w:rsidR="0015275E" w:rsidRPr="00F1313B">
              <w:t xml:space="preserve"> on the effectiveness of therapies received following </w:t>
            </w:r>
            <w:r w:rsidR="000E571B">
              <w:t>DM</w:t>
            </w:r>
            <w:r w:rsidR="0015275E" w:rsidRPr="00F1313B">
              <w:t xml:space="preserve"> were unknown.</w:t>
            </w:r>
          </w:p>
        </w:tc>
        <w:tc>
          <w:tcPr>
            <w:tcW w:w="693" w:type="pct"/>
            <w:tcBorders>
              <w:top w:val="single" w:sz="4" w:space="0" w:color="auto"/>
              <w:left w:val="single" w:sz="4" w:space="0" w:color="auto"/>
              <w:bottom w:val="single" w:sz="4" w:space="0" w:color="auto"/>
              <w:right w:val="single" w:sz="4" w:space="0" w:color="auto"/>
            </w:tcBorders>
            <w:vAlign w:val="center"/>
          </w:tcPr>
          <w:p w:rsidR="00D262B5" w:rsidRPr="00F1313B" w:rsidRDefault="00D262B5" w:rsidP="004A4FB3">
            <w:pPr>
              <w:pStyle w:val="Tabletext"/>
              <w:keepNext/>
              <w:rPr>
                <w:lang w:val="en-US"/>
              </w:rPr>
            </w:pPr>
            <w:r w:rsidRPr="00F1313B">
              <w:rPr>
                <w:lang w:val="en-US"/>
              </w:rPr>
              <w:t xml:space="preserve">High, </w:t>
            </w:r>
            <w:r w:rsidR="004A4FB3" w:rsidRPr="00F1313B">
              <w:rPr>
                <w:lang w:val="en-US"/>
              </w:rPr>
              <w:t xml:space="preserve">direction is unclear. </w:t>
            </w:r>
          </w:p>
        </w:tc>
      </w:tr>
    </w:tbl>
    <w:p w:rsidR="005F0113" w:rsidRDefault="000E571B" w:rsidP="004E615D">
      <w:pPr>
        <w:pStyle w:val="TableFooter"/>
      </w:pPr>
      <w:r>
        <w:t xml:space="preserve">DM = distant metastases; ESC = Economic Sub-Committee; OS = overall survival; </w:t>
      </w:r>
      <w:r w:rsidR="0015275E">
        <w:t xml:space="preserve">PFS = progression free survival; </w:t>
      </w:r>
      <w:r w:rsidR="005F0113">
        <w:t>RFS = recurrence-free survival</w:t>
      </w:r>
    </w:p>
    <w:p w:rsidR="004E615D" w:rsidRDefault="004E615D" w:rsidP="00544160">
      <w:pPr>
        <w:pStyle w:val="TableFooter"/>
        <w:spacing w:after="240"/>
      </w:pPr>
      <w:r>
        <w:t xml:space="preserve">Source: Compiled during the evaluation based </w:t>
      </w:r>
      <w:r w:rsidR="00544160">
        <w:t>on Section 3 of the submission.</w:t>
      </w:r>
    </w:p>
    <w:p w:rsidR="004E615D" w:rsidRPr="00BE2DC5" w:rsidRDefault="004E615D" w:rsidP="004E615D">
      <w:pPr>
        <w:pStyle w:val="ListParagraph"/>
        <w:widowControl/>
        <w:numPr>
          <w:ilvl w:val="1"/>
          <w:numId w:val="3"/>
        </w:numPr>
        <w:snapToGrid w:val="0"/>
        <w:spacing w:after="160"/>
        <w:rPr>
          <w:i/>
        </w:rPr>
      </w:pPr>
      <w:r w:rsidRPr="00F1313B">
        <w:t xml:space="preserve">The results of the modelled </w:t>
      </w:r>
      <w:r w:rsidR="00544160">
        <w:t>economic evaluation are summari</w:t>
      </w:r>
      <w:r w:rsidRPr="00F1313B">
        <w:t>s</w:t>
      </w:r>
      <w:r w:rsidR="00544160">
        <w:t>ed</w:t>
      </w:r>
      <w:r w:rsidRPr="00F1313B">
        <w:t xml:space="preserve"> below.</w:t>
      </w:r>
      <w:r w:rsidR="007A0AA9" w:rsidRPr="00F1313B">
        <w:t xml:space="preserve"> The PSCR</w:t>
      </w:r>
      <w:r w:rsidR="00E957A9" w:rsidRPr="00F1313B">
        <w:t xml:space="preserve"> </w:t>
      </w:r>
      <w:r w:rsidR="007A0AA9" w:rsidRPr="00F1313B">
        <w:t xml:space="preserve">provided an updated model incorporating updated estimated SPA discounts for PBS listed treatment in the advanced setting. </w:t>
      </w:r>
      <w:r w:rsidR="00E957A9" w:rsidRPr="00F1313B">
        <w:t>It was unclear how the PSCR estimated the SPA discounts.</w:t>
      </w:r>
      <w:r w:rsidR="00F33AAE" w:rsidRPr="00F1313B">
        <w:t xml:space="preserve"> The effect on the ICER was minimal</w:t>
      </w:r>
      <w:r w:rsidR="00F33AAE">
        <w:rPr>
          <w:i/>
        </w:rPr>
        <w:t>.</w:t>
      </w:r>
    </w:p>
    <w:p w:rsidR="004E615D" w:rsidRPr="0075348C" w:rsidRDefault="004E615D" w:rsidP="00150AF4">
      <w:pPr>
        <w:pStyle w:val="Caption"/>
        <w:keepLines/>
      </w:pPr>
      <w:r w:rsidRPr="0075348C">
        <w:lastRenderedPageBreak/>
        <w:t>Table</w:t>
      </w:r>
      <w:r w:rsidR="0090357A">
        <w:rPr>
          <w:noProof/>
        </w:rPr>
        <w:t xml:space="preserve"> 1</w:t>
      </w:r>
      <w:r w:rsidR="009C767B">
        <w:rPr>
          <w:noProof/>
        </w:rPr>
        <w:t>1</w:t>
      </w:r>
      <w:r w:rsidRPr="0075348C">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1"/>
        <w:gridCol w:w="2169"/>
        <w:gridCol w:w="2451"/>
        <w:gridCol w:w="2298"/>
        <w:gridCol w:w="1508"/>
      </w:tblGrid>
      <w:tr w:rsidR="004E615D" w:rsidTr="005F0113">
        <w:trPr>
          <w:tblHeader/>
        </w:trPr>
        <w:tc>
          <w:tcPr>
            <w:tcW w:w="1531" w:type="pct"/>
            <w:gridSpan w:val="2"/>
            <w:tcBorders>
              <w:top w:val="single" w:sz="4" w:space="0" w:color="auto"/>
              <w:left w:val="single" w:sz="4" w:space="0" w:color="auto"/>
              <w:bottom w:val="single" w:sz="4" w:space="0" w:color="auto"/>
              <w:right w:val="single" w:sz="4" w:space="0" w:color="auto"/>
            </w:tcBorders>
            <w:vAlign w:val="center"/>
            <w:hideMark/>
          </w:tcPr>
          <w:p w:rsidR="004E615D" w:rsidRDefault="004E615D" w:rsidP="00150AF4">
            <w:pPr>
              <w:keepNext/>
              <w:keepLines/>
              <w:widowControl/>
              <w:jc w:val="left"/>
              <w:rPr>
                <w:rFonts w:cs="Times New Roman"/>
                <w:b/>
              </w:rPr>
            </w:pPr>
            <w:r>
              <w:rPr>
                <w:rFonts w:ascii="Arial Narrow" w:hAnsi="Arial Narrow" w:cs="Times New Roman"/>
                <w:b/>
                <w:sz w:val="20"/>
              </w:rPr>
              <w:t>Component</w:t>
            </w:r>
          </w:p>
        </w:tc>
        <w:tc>
          <w:tcPr>
            <w:tcW w:w="1359" w:type="pct"/>
            <w:tcBorders>
              <w:top w:val="single" w:sz="4" w:space="0" w:color="auto"/>
              <w:left w:val="single" w:sz="4" w:space="0" w:color="auto"/>
              <w:bottom w:val="single" w:sz="4" w:space="0" w:color="auto"/>
              <w:right w:val="single" w:sz="4" w:space="0" w:color="auto"/>
            </w:tcBorders>
            <w:hideMark/>
          </w:tcPr>
          <w:p w:rsidR="004E615D" w:rsidRDefault="004E615D" w:rsidP="00150AF4">
            <w:pPr>
              <w:keepNext/>
              <w:keepLines/>
              <w:widowControl/>
              <w:jc w:val="center"/>
              <w:rPr>
                <w:rFonts w:ascii="Arial Narrow" w:hAnsi="Arial Narrow" w:cs="Times New Roman"/>
                <w:b/>
                <w:sz w:val="20"/>
              </w:rPr>
            </w:pPr>
            <w:proofErr w:type="spellStart"/>
            <w:r>
              <w:rPr>
                <w:rFonts w:ascii="Arial Narrow" w:hAnsi="Arial Narrow" w:cs="Times New Roman"/>
                <w:b/>
                <w:sz w:val="20"/>
                <w:szCs w:val="16"/>
              </w:rPr>
              <w:t>Pembrolizumab</w:t>
            </w:r>
            <w:proofErr w:type="spellEnd"/>
          </w:p>
        </w:tc>
        <w:tc>
          <w:tcPr>
            <w:tcW w:w="1274" w:type="pct"/>
            <w:tcBorders>
              <w:top w:val="single" w:sz="4" w:space="0" w:color="auto"/>
              <w:left w:val="single" w:sz="4" w:space="0" w:color="auto"/>
              <w:bottom w:val="single" w:sz="4" w:space="0" w:color="auto"/>
              <w:right w:val="single" w:sz="4" w:space="0" w:color="auto"/>
            </w:tcBorders>
            <w:hideMark/>
          </w:tcPr>
          <w:p w:rsidR="004E615D" w:rsidRDefault="004E615D" w:rsidP="00150AF4">
            <w:pPr>
              <w:keepNext/>
              <w:keepLines/>
              <w:widowControl/>
              <w:jc w:val="center"/>
              <w:rPr>
                <w:rFonts w:ascii="Arial Narrow" w:hAnsi="Arial Narrow" w:cs="Times New Roman"/>
                <w:b/>
                <w:sz w:val="20"/>
              </w:rPr>
            </w:pPr>
            <w:r>
              <w:rPr>
                <w:rFonts w:ascii="Arial Narrow" w:hAnsi="Arial Narrow" w:cs="Times New Roman"/>
                <w:b/>
                <w:sz w:val="20"/>
                <w:szCs w:val="16"/>
              </w:rPr>
              <w:t>Observation</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Default="004E615D" w:rsidP="00150AF4">
            <w:pPr>
              <w:keepNext/>
              <w:keepLines/>
              <w:widowControl/>
              <w:jc w:val="center"/>
              <w:rPr>
                <w:rFonts w:ascii="Arial Narrow" w:hAnsi="Arial Narrow" w:cs="Times New Roman"/>
                <w:b/>
                <w:sz w:val="20"/>
              </w:rPr>
            </w:pPr>
            <w:r>
              <w:rPr>
                <w:rFonts w:ascii="Arial Narrow" w:hAnsi="Arial Narrow" w:cs="Times New Roman"/>
                <w:b/>
                <w:sz w:val="20"/>
              </w:rPr>
              <w:t>Increment</w:t>
            </w:r>
          </w:p>
        </w:tc>
      </w:tr>
      <w:tr w:rsidR="004E615D" w:rsidRPr="00F1313B" w:rsidTr="005F0113">
        <w:trPr>
          <w:trHeight w:val="28"/>
        </w:trPr>
        <w:tc>
          <w:tcPr>
            <w:tcW w:w="328" w:type="pct"/>
            <w:vMerge w:val="restar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r w:rsidRPr="00F1313B">
              <w:rPr>
                <w:rFonts w:ascii="Arial Narrow" w:hAnsi="Arial Narrow" w:cs="Times New Roman"/>
                <w:sz w:val="20"/>
              </w:rPr>
              <w:t>Costs</w:t>
            </w: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Adjuvant therapy</w:t>
            </w:r>
          </w:p>
        </w:tc>
        <w:tc>
          <w:tcPr>
            <w:tcW w:w="1359"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r w:rsidR="004E615D" w:rsidRPr="00F1313B" w:rsidTr="005F0113">
        <w:trPr>
          <w:trHeight w:val="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Subsequent therapies</w:t>
            </w:r>
          </w:p>
        </w:tc>
        <w:tc>
          <w:tcPr>
            <w:tcW w:w="1359"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r w:rsidR="004E615D" w:rsidRPr="00F1313B" w:rsidTr="005F0113">
        <w:trPr>
          <w:trHeight w:val="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0D7886">
            <w:pPr>
              <w:keepNext/>
              <w:keepLines/>
              <w:widowControl/>
              <w:jc w:val="left"/>
              <w:rPr>
                <w:rFonts w:ascii="Arial Narrow" w:hAnsi="Arial Narrow" w:cs="Times New Roman"/>
                <w:sz w:val="20"/>
              </w:rPr>
            </w:pPr>
            <w:r w:rsidRPr="00F1313B">
              <w:rPr>
                <w:rFonts w:ascii="Arial Narrow" w:hAnsi="Arial Narrow" w:cs="Times New Roman"/>
                <w:sz w:val="20"/>
              </w:rPr>
              <w:t>Managing AE</w:t>
            </w:r>
            <w:r w:rsidR="000D7886">
              <w:rPr>
                <w:rFonts w:ascii="Arial Narrow" w:hAnsi="Arial Narrow" w:cs="Times New Roman"/>
                <w:sz w:val="20"/>
              </w:rPr>
              <w:t>s</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r w:rsidR="004E615D" w:rsidRPr="00F1313B" w:rsidTr="005F0113">
        <w:trPr>
          <w:trHeight w:val="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Disease management</w:t>
            </w:r>
          </w:p>
        </w:tc>
        <w:tc>
          <w:tcPr>
            <w:tcW w:w="1359"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r w:rsidR="004E615D" w:rsidRPr="00F1313B" w:rsidTr="005F0113">
        <w:trPr>
          <w:trHeight w:val="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Terminal care</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53483B" w:rsidRPr="00F1313B" w:rsidRDefault="004E615D" w:rsidP="00150AF4">
            <w:pPr>
              <w:keepNext/>
              <w:keepLines/>
              <w:widowControl/>
              <w:jc w:val="center"/>
              <w:rPr>
                <w:rFonts w:ascii="Arial Narrow" w:hAnsi="Arial Narrow" w:cs="Times New Roman"/>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r w:rsidR="004E615D" w:rsidRPr="00F1313B" w:rsidTr="005F0113">
        <w:trPr>
          <w:trHeight w:val="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b/>
                <w:sz w:val="20"/>
              </w:rPr>
            </w:pPr>
            <w:r w:rsidRPr="00F1313B">
              <w:rPr>
                <w:rFonts w:ascii="Arial Narrow" w:hAnsi="Arial Narrow" w:cs="Times New Roman"/>
                <w:b/>
                <w:sz w:val="20"/>
              </w:rPr>
              <w:t>Total</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b/>
                <w:sz w:val="20"/>
              </w:rPr>
            </w:pPr>
            <w:r w:rsidRPr="00F1313B">
              <w:rPr>
                <w:rFonts w:ascii="Arial Narrow" w:hAnsi="Arial Narrow" w:cs="Times New Roman"/>
                <w:b/>
                <w:sz w:val="20"/>
              </w:rPr>
              <w:t>$</w:t>
            </w:r>
            <w:r w:rsidR="002018B5">
              <w:rPr>
                <w:rFonts w:ascii="Arial Narrow" w:hAnsi="Arial Narrow" w:cs="Times New Roman"/>
                <w:b/>
                <w:noProof/>
                <w:color w:val="000000"/>
                <w:sz w:val="20"/>
                <w:highlight w:val="black"/>
              </w:rPr>
              <w:t>''''''''''''''''</w:t>
            </w:r>
          </w:p>
          <w:p w:rsidR="0053483B" w:rsidRPr="00F1313B" w:rsidRDefault="0053483B" w:rsidP="00150AF4">
            <w:pPr>
              <w:keepNext/>
              <w:keepLines/>
              <w:widowControl/>
              <w:jc w:val="center"/>
              <w:rPr>
                <w:rFonts w:ascii="Arial Narrow" w:hAnsi="Arial Narrow" w:cs="Times New Roman"/>
                <w:b/>
                <w:sz w:val="20"/>
              </w:rPr>
            </w:pPr>
            <w:r w:rsidRPr="00F1313B">
              <w:rPr>
                <w:rFonts w:ascii="Arial Narrow" w:hAnsi="Arial Narrow" w:cs="Times New Roman"/>
                <w:b/>
                <w:sz w:val="20"/>
              </w:rPr>
              <w:t>PSCR: $</w:t>
            </w:r>
            <w:r w:rsidR="002018B5">
              <w:rPr>
                <w:rFonts w:ascii="Arial Narrow" w:hAnsi="Arial Narrow" w:cs="Times New Roman"/>
                <w:b/>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b/>
                <w:sz w:val="20"/>
              </w:rPr>
            </w:pPr>
            <w:r w:rsidRPr="00F1313B">
              <w:rPr>
                <w:rFonts w:ascii="Arial Narrow" w:hAnsi="Arial Narrow" w:cs="Times New Roman"/>
                <w:b/>
                <w:sz w:val="20"/>
              </w:rPr>
              <w:t>$</w:t>
            </w:r>
            <w:r w:rsidR="002018B5">
              <w:rPr>
                <w:rFonts w:ascii="Arial Narrow" w:hAnsi="Arial Narrow" w:cs="Times New Roman"/>
                <w:b/>
                <w:noProof/>
                <w:color w:val="000000"/>
                <w:sz w:val="20"/>
                <w:highlight w:val="black"/>
              </w:rPr>
              <w:t>'''''''''''''''''</w:t>
            </w:r>
          </w:p>
          <w:p w:rsidR="0053483B" w:rsidRPr="00F1313B" w:rsidRDefault="0053483B" w:rsidP="00150AF4">
            <w:pPr>
              <w:keepNext/>
              <w:keepLines/>
              <w:widowControl/>
              <w:jc w:val="center"/>
              <w:rPr>
                <w:rFonts w:ascii="Arial Narrow" w:hAnsi="Arial Narrow" w:cs="Times New Roman"/>
                <w:b/>
                <w:sz w:val="20"/>
              </w:rPr>
            </w:pPr>
            <w:r w:rsidRPr="00F1313B">
              <w:rPr>
                <w:rFonts w:ascii="Arial Narrow" w:hAnsi="Arial Narrow" w:cs="Times New Roman"/>
                <w:b/>
                <w:sz w:val="20"/>
              </w:rPr>
              <w:t>PSCR: $</w:t>
            </w:r>
            <w:r w:rsidR="002018B5">
              <w:rPr>
                <w:rFonts w:ascii="Arial Narrow" w:hAnsi="Arial Narrow" w:cs="Times New Roman"/>
                <w:b/>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b/>
                <w:sz w:val="20"/>
              </w:rPr>
            </w:pPr>
            <w:r w:rsidRPr="00F1313B">
              <w:rPr>
                <w:rFonts w:ascii="Arial Narrow" w:hAnsi="Arial Narrow" w:cs="Times New Roman"/>
                <w:b/>
                <w:sz w:val="20"/>
              </w:rPr>
              <w:t>$</w:t>
            </w:r>
            <w:r w:rsidR="002018B5">
              <w:rPr>
                <w:rFonts w:ascii="Arial Narrow" w:hAnsi="Arial Narrow" w:cs="Times New Roman"/>
                <w:b/>
                <w:noProof/>
                <w:color w:val="000000"/>
                <w:sz w:val="20"/>
                <w:highlight w:val="black"/>
              </w:rPr>
              <w:t>''''''''''''</w:t>
            </w:r>
          </w:p>
          <w:p w:rsidR="0053483B" w:rsidRPr="00F1313B" w:rsidRDefault="0053483B" w:rsidP="00150AF4">
            <w:pPr>
              <w:keepNext/>
              <w:keepLines/>
              <w:widowControl/>
              <w:jc w:val="center"/>
              <w:rPr>
                <w:rFonts w:ascii="Arial Narrow" w:hAnsi="Arial Narrow" w:cs="Times New Roman"/>
                <w:b/>
                <w:sz w:val="20"/>
              </w:rPr>
            </w:pPr>
            <w:r w:rsidRPr="00F1313B">
              <w:rPr>
                <w:rFonts w:ascii="Arial Narrow" w:hAnsi="Arial Narrow" w:cs="Times New Roman"/>
                <w:b/>
                <w:sz w:val="20"/>
              </w:rPr>
              <w:t>PSCR: $</w:t>
            </w:r>
            <w:r w:rsidR="002018B5">
              <w:rPr>
                <w:rFonts w:ascii="Arial Narrow" w:hAnsi="Arial Narrow" w:cs="Times New Roman"/>
                <w:b/>
                <w:noProof/>
                <w:color w:val="000000"/>
                <w:sz w:val="20"/>
                <w:highlight w:val="black"/>
              </w:rPr>
              <w:t>'''''''''''''</w:t>
            </w:r>
          </w:p>
        </w:tc>
      </w:tr>
      <w:tr w:rsidR="004E615D" w:rsidRPr="00F1313B" w:rsidTr="005F0113">
        <w:trPr>
          <w:trHeight w:val="55"/>
        </w:trPr>
        <w:tc>
          <w:tcPr>
            <w:tcW w:w="328" w:type="pct"/>
            <w:vMerge w:val="restar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r w:rsidRPr="00F1313B">
              <w:rPr>
                <w:rFonts w:ascii="Arial Narrow" w:hAnsi="Arial Narrow" w:cs="Times New Roman"/>
                <w:sz w:val="20"/>
              </w:rPr>
              <w:t>QALYs</w:t>
            </w: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Recurrence-free</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proofErr w:type="spellStart"/>
            <w:r w:rsidRPr="00F1313B">
              <w:rPr>
                <w:rFonts w:ascii="Arial Narrow" w:hAnsi="Arial Narrow" w:cs="Times New Roman"/>
                <w:sz w:val="20"/>
              </w:rPr>
              <w:t>Locoregional</w:t>
            </w:r>
            <w:proofErr w:type="spellEnd"/>
            <w:r w:rsidRPr="00F1313B">
              <w:rPr>
                <w:rFonts w:ascii="Arial Narrow" w:hAnsi="Arial Narrow" w:cs="Times New Roman"/>
                <w:sz w:val="20"/>
              </w:rPr>
              <w:t xml:space="preserve"> recurrence</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Distant metastases</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b/>
                <w:sz w:val="20"/>
              </w:rPr>
            </w:pPr>
            <w:r w:rsidRPr="00F1313B">
              <w:rPr>
                <w:rFonts w:ascii="Arial Narrow" w:hAnsi="Arial Narrow" w:cs="Times New Roman"/>
                <w:b/>
                <w:sz w:val="20"/>
              </w:rPr>
              <w:t>Total</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4E615D" w:rsidRPr="00F1313B" w:rsidTr="005F0113">
        <w:trPr>
          <w:trHeight w:val="55"/>
        </w:trPr>
        <w:tc>
          <w:tcPr>
            <w:tcW w:w="328" w:type="pct"/>
            <w:vMerge w:val="restar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LYG</w:t>
            </w: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Recurrence-free</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proofErr w:type="spellStart"/>
            <w:r w:rsidRPr="00F1313B">
              <w:rPr>
                <w:rFonts w:ascii="Arial Narrow" w:hAnsi="Arial Narrow" w:cs="Times New Roman"/>
                <w:sz w:val="20"/>
              </w:rPr>
              <w:t>Locoregional</w:t>
            </w:r>
            <w:proofErr w:type="spellEnd"/>
            <w:r w:rsidRPr="00F1313B">
              <w:rPr>
                <w:rFonts w:ascii="Arial Narrow" w:hAnsi="Arial Narrow" w:cs="Times New Roman"/>
                <w:sz w:val="20"/>
              </w:rPr>
              <w:t xml:space="preserve"> recurrence</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r w:rsidRPr="00F1313B">
              <w:rPr>
                <w:rFonts w:ascii="Arial Narrow" w:hAnsi="Arial Narrow" w:cs="Times New Roman"/>
                <w:sz w:val="20"/>
              </w:rPr>
              <w:t>Distant metastases</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E615D" w:rsidRPr="00F1313B" w:rsidTr="005F0113">
        <w:trPr>
          <w:trHeight w:val="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sz w:val="20"/>
              </w:rPr>
            </w:pPr>
          </w:p>
        </w:tc>
        <w:tc>
          <w:tcPr>
            <w:tcW w:w="1203"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b/>
                <w:sz w:val="20"/>
              </w:rPr>
            </w:pPr>
            <w:r w:rsidRPr="00F1313B">
              <w:rPr>
                <w:rFonts w:ascii="Arial Narrow" w:hAnsi="Arial Narrow" w:cs="Times New Roman"/>
                <w:b/>
                <w:sz w:val="20"/>
              </w:rPr>
              <w:t>Total</w:t>
            </w:r>
          </w:p>
        </w:tc>
        <w:tc>
          <w:tcPr>
            <w:tcW w:w="1359"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2018B5" w:rsidP="00150AF4">
            <w:pPr>
              <w:keepNext/>
              <w:keepLines/>
              <w:widowControl/>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r>
      <w:tr w:rsidR="004E615D" w:rsidRPr="00F1313B" w:rsidTr="005F0113">
        <w:tc>
          <w:tcPr>
            <w:tcW w:w="4164" w:type="pct"/>
            <w:gridSpan w:val="4"/>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Times" w:hAnsi="Times" w:cs="Times New Roman"/>
                <w:b/>
                <w:sz w:val="20"/>
              </w:rPr>
            </w:pPr>
            <w:r w:rsidRPr="00F1313B">
              <w:rPr>
                <w:rFonts w:ascii="Arial Narrow" w:hAnsi="Arial Narrow" w:cs="Times New Roman"/>
                <w:b/>
                <w:sz w:val="20"/>
              </w:rPr>
              <w:t>Incremental cost/extra QALY</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2018B5" w:rsidRDefault="004E615D" w:rsidP="00150AF4">
            <w:pPr>
              <w:keepNext/>
              <w:keepLines/>
              <w:widowControl/>
              <w:jc w:val="center"/>
              <w:rPr>
                <w:rFonts w:ascii="Arial Narrow" w:hAnsi="Arial Narrow" w:cs="Times New Roman"/>
                <w:b/>
                <w:sz w:val="20"/>
              </w:rPr>
            </w:pPr>
            <w:r w:rsidRPr="00F1313B">
              <w:rPr>
                <w:rFonts w:ascii="Arial Narrow" w:hAnsi="Arial Narrow" w:cs="Times New Roman"/>
                <w:b/>
                <w:sz w:val="20"/>
              </w:rPr>
              <w:t>$</w:t>
            </w:r>
            <w:r w:rsidR="002018B5">
              <w:rPr>
                <w:rFonts w:ascii="Arial Narrow" w:hAnsi="Arial Narrow" w:cs="Times New Roman"/>
                <w:b/>
                <w:noProof/>
                <w:color w:val="000000"/>
                <w:sz w:val="20"/>
                <w:highlight w:val="black"/>
              </w:rPr>
              <w:t>''''''''''''</w:t>
            </w:r>
          </w:p>
          <w:p w:rsidR="0053483B" w:rsidRPr="00F1313B" w:rsidRDefault="0053483B" w:rsidP="00150AF4">
            <w:pPr>
              <w:keepNext/>
              <w:keepLines/>
              <w:widowControl/>
              <w:jc w:val="center"/>
              <w:rPr>
                <w:rFonts w:ascii="Times" w:hAnsi="Times" w:cs="Times New Roman"/>
                <w:b/>
                <w:sz w:val="20"/>
              </w:rPr>
            </w:pPr>
            <w:r w:rsidRPr="00F1313B">
              <w:rPr>
                <w:rFonts w:ascii="Arial Narrow" w:hAnsi="Arial Narrow" w:cs="Times New Roman"/>
                <w:b/>
                <w:sz w:val="20"/>
              </w:rPr>
              <w:t>PSCR: $</w:t>
            </w:r>
            <w:r w:rsidR="002018B5">
              <w:rPr>
                <w:rFonts w:ascii="Arial Narrow" w:hAnsi="Arial Narrow" w:cs="Times New Roman"/>
                <w:b/>
                <w:noProof/>
                <w:color w:val="000000"/>
                <w:sz w:val="20"/>
                <w:highlight w:val="black"/>
              </w:rPr>
              <w:t>''''''''''''</w:t>
            </w:r>
          </w:p>
        </w:tc>
      </w:tr>
      <w:tr w:rsidR="004E615D" w:rsidRPr="00F1313B" w:rsidTr="005F0113">
        <w:tc>
          <w:tcPr>
            <w:tcW w:w="4164" w:type="pct"/>
            <w:gridSpan w:val="4"/>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left"/>
              <w:rPr>
                <w:rFonts w:ascii="Arial Narrow" w:hAnsi="Arial Narrow" w:cs="Times New Roman"/>
                <w:b/>
                <w:sz w:val="20"/>
              </w:rPr>
            </w:pPr>
            <w:r w:rsidRPr="00F1313B">
              <w:rPr>
                <w:rFonts w:ascii="Arial Narrow" w:hAnsi="Arial Narrow" w:cs="Times New Roman"/>
                <w:b/>
                <w:sz w:val="20"/>
              </w:rPr>
              <w:t>Incremental cost/extra LYG</w:t>
            </w:r>
          </w:p>
        </w:tc>
        <w:tc>
          <w:tcPr>
            <w:tcW w:w="836" w:type="pct"/>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150AF4">
            <w:pPr>
              <w:keepNext/>
              <w:keepLines/>
              <w:widowControl/>
              <w:jc w:val="center"/>
              <w:rPr>
                <w:rFonts w:ascii="Arial Narrow" w:hAnsi="Arial Narrow" w:cs="Times New Roman"/>
                <w:b/>
                <w:sz w:val="20"/>
              </w:rPr>
            </w:pPr>
            <w:r w:rsidRPr="00F1313B">
              <w:rPr>
                <w:rFonts w:ascii="Arial Narrow" w:hAnsi="Arial Narrow" w:cs="Times New Roman"/>
                <w:sz w:val="20"/>
              </w:rPr>
              <w:t>$</w:t>
            </w:r>
            <w:r w:rsidR="002018B5">
              <w:rPr>
                <w:rFonts w:ascii="Arial Narrow" w:hAnsi="Arial Narrow" w:cs="Times New Roman"/>
                <w:noProof/>
                <w:color w:val="000000"/>
                <w:sz w:val="20"/>
                <w:highlight w:val="black"/>
              </w:rPr>
              <w:t>'''''''''''''''''</w:t>
            </w:r>
          </w:p>
        </w:tc>
      </w:tr>
    </w:tbl>
    <w:p w:rsidR="004E615D" w:rsidRPr="00F1313B" w:rsidRDefault="004E615D" w:rsidP="00150AF4">
      <w:pPr>
        <w:pStyle w:val="TableFooter"/>
        <w:keepNext/>
        <w:keepLines/>
      </w:pPr>
      <w:r w:rsidRPr="00F1313B">
        <w:t xml:space="preserve">AE = adverse event; </w:t>
      </w:r>
      <w:r w:rsidR="00FF3190" w:rsidRPr="00F1313B">
        <w:t xml:space="preserve">AEMP = approved ex-manufacturer price; DPMQ = dispensed price for maximum quantity; </w:t>
      </w:r>
      <w:r w:rsidRPr="00F1313B">
        <w:t>LYG = life year gained</w:t>
      </w:r>
      <w:r w:rsidR="00FF3190" w:rsidRPr="00F1313B">
        <w:t>; PFS = progression free survival; PSCR = Pre-Sub-Committee Response; QALY = quality-adjusted life year; SPA = Special Pricing Arrangement</w:t>
      </w:r>
      <w:r w:rsidRPr="00F1313B">
        <w:t>.</w:t>
      </w:r>
    </w:p>
    <w:p w:rsidR="004E615D" w:rsidRPr="00F1313B" w:rsidRDefault="004E615D" w:rsidP="00150AF4">
      <w:pPr>
        <w:pStyle w:val="TableFooter"/>
        <w:keepNext/>
        <w:keepLines/>
      </w:pPr>
      <w:r w:rsidRPr="00F1313B">
        <w:t>Source: Tables 3-23 and 3-24, Section 3 of the submission</w:t>
      </w:r>
      <w:r w:rsidR="00144989" w:rsidRPr="00F1313B">
        <w:t xml:space="preserve"> and Amended base case provided in the PSCR</w:t>
      </w:r>
      <w:r w:rsidRPr="00F1313B">
        <w:t>.</w:t>
      </w:r>
    </w:p>
    <w:p w:rsidR="0053483B" w:rsidRDefault="0053483B" w:rsidP="00113F3F">
      <w:pPr>
        <w:pStyle w:val="TableFooter"/>
        <w:keepNext/>
        <w:keepLines/>
        <w:spacing w:after="240"/>
      </w:pPr>
      <w:r w:rsidRPr="00F1313B">
        <w:t>PSCR changes: application of estimated SPA discounts applied to the AEMP instea</w:t>
      </w:r>
      <w:r w:rsidR="00FF3190" w:rsidRPr="00F1313B">
        <w:t>d</w:t>
      </w:r>
      <w:r w:rsidRPr="00F1313B">
        <w:t xml:space="preserve"> of the DPMQ</w:t>
      </w:r>
      <w:r w:rsidR="00FF3190" w:rsidRPr="00F1313B">
        <w:t xml:space="preserve">, adding the distinct option for treatment with </w:t>
      </w:r>
      <w:proofErr w:type="spellStart"/>
      <w:r w:rsidR="00FF3190" w:rsidRPr="00F1313B">
        <w:t>vemurafenib+cobimetinib</w:t>
      </w:r>
      <w:proofErr w:type="spellEnd"/>
      <w:r w:rsidR="00FF3190" w:rsidRPr="00F1313B">
        <w:t xml:space="preserve"> in the advanced setting, provision of additional specificity in the value for estimated PFS from KN006, and fees and mark-ups updated to be effective 1 July 2018.</w:t>
      </w:r>
    </w:p>
    <w:p w:rsidR="0039205F" w:rsidRPr="002018B5" w:rsidRDefault="0039205F" w:rsidP="00113F3F">
      <w:pPr>
        <w:pStyle w:val="TableFooter"/>
        <w:keepNext/>
        <w:keepLines/>
        <w:spacing w:after="240"/>
        <w:rPr>
          <w:rStyle w:val="CommentReference"/>
          <w:rFonts w:asciiTheme="minorHAnsi" w:hAnsiTheme="minorHAnsi" w:cstheme="minorHAnsi"/>
          <w:i/>
          <w:sz w:val="24"/>
          <w:szCs w:val="24"/>
        </w:rPr>
      </w:pPr>
      <w:r w:rsidRPr="002018B5">
        <w:rPr>
          <w:rFonts w:asciiTheme="minorHAnsi" w:hAnsiTheme="minorHAnsi" w:cstheme="minorHAnsi"/>
          <w:i/>
          <w:sz w:val="24"/>
          <w:szCs w:val="24"/>
        </w:rPr>
        <w:t>The redacted table shows ICERs in the range of $15,000 - $45,000 per QALY or LY gained.</w:t>
      </w:r>
    </w:p>
    <w:p w:rsidR="004E615D" w:rsidRDefault="004E615D" w:rsidP="004E615D">
      <w:pPr>
        <w:pStyle w:val="ListParagraph"/>
        <w:widowControl/>
        <w:numPr>
          <w:ilvl w:val="1"/>
          <w:numId w:val="3"/>
        </w:numPr>
        <w:snapToGrid w:val="0"/>
        <w:spacing w:after="160"/>
      </w:pPr>
      <w:r w:rsidRPr="00E4278C">
        <w:t xml:space="preserve">The incremental cost-effectiveness ratio (ICER) stabilised </w:t>
      </w:r>
      <w:r w:rsidR="008C556F">
        <w:t>at approximately</w:t>
      </w:r>
      <w:r w:rsidR="008C556F" w:rsidRPr="00E4278C">
        <w:t xml:space="preserve"> </w:t>
      </w:r>
      <w:r w:rsidRPr="00E4278C">
        <w:t>10 years</w:t>
      </w:r>
      <w:r w:rsidR="005F0113" w:rsidRPr="00E4278C">
        <w:t xml:space="preserve"> (the time horizon in the submission’s base case)</w:t>
      </w:r>
      <w:r w:rsidRPr="00E4278C">
        <w:t xml:space="preserve">. </w:t>
      </w:r>
    </w:p>
    <w:p w:rsidR="0075109A" w:rsidRDefault="004E615D" w:rsidP="0075109A">
      <w:pPr>
        <w:pStyle w:val="ListParagraph"/>
        <w:widowControl/>
        <w:numPr>
          <w:ilvl w:val="1"/>
          <w:numId w:val="3"/>
        </w:numPr>
        <w:snapToGrid w:val="0"/>
        <w:spacing w:after="160"/>
      </w:pPr>
      <w:r w:rsidRPr="00E4278C">
        <w:t>The submission presented a range of univariate sensitivity analyses. As noted earlier, the model is sensitive to the distribution models used to estimate the treatment effect. The other key uncertainties associated with the treatment effect of first-line therapies in advanced setting could be not addressed in sensitivity analyses.</w:t>
      </w:r>
    </w:p>
    <w:p w:rsidR="00090A93" w:rsidRPr="00F1313B" w:rsidRDefault="00090A93" w:rsidP="004E615D">
      <w:pPr>
        <w:pStyle w:val="ListParagraph"/>
        <w:widowControl/>
        <w:numPr>
          <w:ilvl w:val="1"/>
          <w:numId w:val="3"/>
        </w:numPr>
        <w:snapToGrid w:val="0"/>
        <w:spacing w:after="160"/>
      </w:pPr>
      <w:r w:rsidRPr="00F1313B">
        <w:t xml:space="preserve">The PSCR provided a number of sensitivity analyses to test the impact of the theory that patients who received adjuvant </w:t>
      </w:r>
      <w:proofErr w:type="spellStart"/>
      <w:r w:rsidRPr="00F1313B">
        <w:t>pembrolizumab</w:t>
      </w:r>
      <w:proofErr w:type="spellEnd"/>
      <w:r w:rsidRPr="00F1313B">
        <w:t xml:space="preserve"> respond differently to treatment in the advanced setting (see Table 1</w:t>
      </w:r>
      <w:r w:rsidR="00E6687B">
        <w:t>2</w:t>
      </w:r>
      <w:r w:rsidRPr="00F1313B">
        <w:t>). The PSCR claimed that the relative effectiveness of treatment in the advanced setting was not a significant driver of the model.</w:t>
      </w:r>
      <w:r w:rsidR="0078026E" w:rsidRPr="00F1313B">
        <w:t xml:space="preserve"> The ESC considered the small changes in the ICER were due to both the costs and benefits being adjusted.</w:t>
      </w:r>
    </w:p>
    <w:p w:rsidR="0075109A" w:rsidRPr="00F1313B" w:rsidRDefault="0078026E" w:rsidP="004E615D">
      <w:pPr>
        <w:pStyle w:val="ListParagraph"/>
        <w:widowControl/>
        <w:numPr>
          <w:ilvl w:val="1"/>
          <w:numId w:val="3"/>
        </w:numPr>
        <w:snapToGrid w:val="0"/>
        <w:spacing w:after="160"/>
      </w:pPr>
      <w:r w:rsidRPr="00F1313B">
        <w:t xml:space="preserve">A number of additional sensitivity analyses suggested by ESC are also presented. </w:t>
      </w:r>
    </w:p>
    <w:p w:rsidR="00090A93" w:rsidRPr="00F1313B" w:rsidRDefault="00090A93" w:rsidP="00FC023B">
      <w:pPr>
        <w:pStyle w:val="Caption"/>
        <w:rPr>
          <w:rStyle w:val="CommentReference"/>
          <w:b/>
        </w:rPr>
      </w:pPr>
      <w:r w:rsidRPr="00F1313B">
        <w:rPr>
          <w:rStyle w:val="CommentReference"/>
          <w:b/>
        </w:rPr>
        <w:lastRenderedPageBreak/>
        <w:t>Table 1</w:t>
      </w:r>
      <w:r w:rsidR="007742DB">
        <w:rPr>
          <w:rStyle w:val="CommentReference"/>
          <w:b/>
        </w:rPr>
        <w:t>2</w:t>
      </w:r>
      <w:r w:rsidRPr="00F1313B">
        <w:rPr>
          <w:rStyle w:val="CommentReference"/>
          <w:b/>
        </w:rPr>
        <w:t xml:space="preserve">: </w:t>
      </w:r>
      <w:r w:rsidR="0078026E" w:rsidRPr="00F1313B">
        <w:rPr>
          <w:rStyle w:val="CommentReference"/>
          <w:b/>
        </w:rPr>
        <w:t>Sensitivity analyses</w:t>
      </w:r>
    </w:p>
    <w:tbl>
      <w:tblPr>
        <w:tblStyle w:val="TableGrid"/>
        <w:tblW w:w="9100" w:type="dxa"/>
        <w:tblLayout w:type="fixed"/>
        <w:tblLook w:val="04A0" w:firstRow="1" w:lastRow="0" w:firstColumn="1" w:lastColumn="0" w:noHBand="0" w:noVBand="1"/>
        <w:tblCaption w:val=": Sensitivity analyses"/>
      </w:tblPr>
      <w:tblGrid>
        <w:gridCol w:w="312"/>
        <w:gridCol w:w="7654"/>
        <w:gridCol w:w="1134"/>
      </w:tblGrid>
      <w:tr w:rsidR="00090A93" w:rsidRPr="00F1313B" w:rsidTr="007156A6">
        <w:trPr>
          <w:cantSplit/>
          <w:tblHeader/>
        </w:trPr>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090A93" w:rsidRPr="00F1313B" w:rsidRDefault="00090A93" w:rsidP="00EE5120">
            <w:pPr>
              <w:keepNext/>
              <w:keepLines/>
              <w:rPr>
                <w:rFonts w:ascii="Arial Narrow" w:hAnsi="Arial Narrow"/>
                <w:b/>
                <w:sz w:val="20"/>
                <w:szCs w:val="20"/>
              </w:rPr>
            </w:pP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b/>
                <w:sz w:val="20"/>
                <w:szCs w:val="20"/>
              </w:rPr>
            </w:pPr>
            <w:r w:rsidRPr="00F1313B">
              <w:rPr>
                <w:rFonts w:ascii="Arial Narrow" w:hAnsi="Arial Narrow"/>
                <w:b/>
                <w:sz w:val="20"/>
                <w:szCs w:val="20"/>
              </w:rPr>
              <w:t>Scenario</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78026E">
            <w:pPr>
              <w:keepNext/>
              <w:keepLines/>
              <w:jc w:val="center"/>
              <w:rPr>
                <w:rFonts w:ascii="Arial Narrow" w:hAnsi="Arial Narrow"/>
                <w:b/>
                <w:sz w:val="20"/>
                <w:szCs w:val="20"/>
              </w:rPr>
            </w:pPr>
            <w:r w:rsidRPr="00F1313B">
              <w:rPr>
                <w:rFonts w:ascii="Arial Narrow" w:hAnsi="Arial Narrow"/>
                <w:b/>
                <w:sz w:val="20"/>
                <w:szCs w:val="20"/>
              </w:rPr>
              <w:t>ICER</w:t>
            </w:r>
          </w:p>
        </w:tc>
      </w:tr>
      <w:tr w:rsidR="00090A93"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1</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Base case</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9100" w:type="dxa"/>
            <w:gridSpan w:val="3"/>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rPr>
                <w:rFonts w:ascii="Arial Narrow" w:hAnsi="Arial Narrow"/>
                <w:sz w:val="20"/>
                <w:szCs w:val="20"/>
              </w:rPr>
            </w:pPr>
            <w:r w:rsidRPr="00F1313B">
              <w:rPr>
                <w:rStyle w:val="CommentReference"/>
              </w:rPr>
              <w:t>Effectiveness of treatment in the advanced setting – presented in the PSCR</w:t>
            </w:r>
          </w:p>
        </w:tc>
      </w:tr>
      <w:tr w:rsidR="00090A93"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2</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D1208F">
            <w:pPr>
              <w:keepNext/>
              <w:keepLines/>
              <w:jc w:val="left"/>
              <w:rPr>
                <w:rFonts w:ascii="Arial Narrow" w:hAnsi="Arial Narrow"/>
                <w:sz w:val="20"/>
                <w:szCs w:val="20"/>
              </w:rPr>
            </w:pPr>
            <w:r w:rsidRPr="00F1313B">
              <w:rPr>
                <w:rFonts w:ascii="Arial Narrow" w:hAnsi="Arial Narrow"/>
                <w:sz w:val="20"/>
                <w:szCs w:val="20"/>
              </w:rPr>
              <w:t xml:space="preserve">20% reduction in the effectiveness* of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in the advanced setting for patients who had received adjuvant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and were eligible for re-challenge under the proposed listing</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090A93"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3</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D1208F">
            <w:pPr>
              <w:keepNext/>
              <w:keepLines/>
              <w:jc w:val="left"/>
              <w:rPr>
                <w:rFonts w:ascii="Arial Narrow" w:hAnsi="Arial Narrow"/>
                <w:sz w:val="20"/>
                <w:szCs w:val="20"/>
              </w:rPr>
            </w:pPr>
            <w:r w:rsidRPr="00F1313B">
              <w:rPr>
                <w:rFonts w:ascii="Arial Narrow" w:hAnsi="Arial Narrow"/>
                <w:sz w:val="20"/>
                <w:szCs w:val="20"/>
              </w:rPr>
              <w:t xml:space="preserve">Scenario 2 AND 20% reduction in the effectiveness* of all treatments in the advanced setting for patients who had received adjuvant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and were not eligible for re-challenge under the proposed listing.</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090A93"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4</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D1208F">
            <w:pPr>
              <w:keepNext/>
              <w:keepLines/>
              <w:jc w:val="left"/>
              <w:rPr>
                <w:rFonts w:ascii="Arial Narrow" w:hAnsi="Arial Narrow"/>
                <w:sz w:val="20"/>
                <w:szCs w:val="20"/>
              </w:rPr>
            </w:pPr>
            <w:r w:rsidRPr="00F1313B">
              <w:rPr>
                <w:rFonts w:ascii="Arial Narrow" w:hAnsi="Arial Narrow"/>
                <w:sz w:val="20"/>
                <w:szCs w:val="20"/>
              </w:rPr>
              <w:t xml:space="preserve">20% increase in the effectiveness* of all treatments in the advanced setting for patients in the observation strategy, on the basis that the exponential survival curves applied in the model already likely underestimate the treatment benefit. </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090A93"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EE5120">
            <w:pPr>
              <w:keepNext/>
              <w:keepLines/>
              <w:rPr>
                <w:rFonts w:ascii="Arial Narrow" w:hAnsi="Arial Narrow"/>
                <w:sz w:val="20"/>
                <w:szCs w:val="20"/>
              </w:rPr>
            </w:pPr>
            <w:r w:rsidRPr="00F1313B">
              <w:rPr>
                <w:rFonts w:ascii="Arial Narrow" w:hAnsi="Arial Narrow"/>
                <w:sz w:val="20"/>
                <w:szCs w:val="20"/>
              </w:rPr>
              <w:t>5</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090A93" w:rsidP="00D1208F">
            <w:pPr>
              <w:keepNext/>
              <w:keepLines/>
              <w:jc w:val="left"/>
              <w:rPr>
                <w:rFonts w:ascii="Arial Narrow" w:hAnsi="Arial Narrow"/>
                <w:sz w:val="20"/>
                <w:szCs w:val="20"/>
              </w:rPr>
            </w:pPr>
            <w:r w:rsidRPr="00F1313B">
              <w:rPr>
                <w:rFonts w:ascii="Arial Narrow" w:hAnsi="Arial Narrow"/>
                <w:sz w:val="20"/>
                <w:szCs w:val="20"/>
              </w:rPr>
              <w:t xml:space="preserve">No option for re-challenge with </w:t>
            </w:r>
            <w:proofErr w:type="spellStart"/>
            <w:r w:rsidRPr="00F1313B">
              <w:rPr>
                <w:rFonts w:ascii="Arial Narrow" w:hAnsi="Arial Narrow"/>
                <w:sz w:val="20"/>
                <w:szCs w:val="20"/>
              </w:rPr>
              <w:t>pembrolizumab</w:t>
            </w:r>
            <w:proofErr w:type="spellEnd"/>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090A93"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9100" w:type="dxa"/>
            <w:gridSpan w:val="3"/>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b/>
                <w:sz w:val="20"/>
                <w:szCs w:val="20"/>
              </w:rPr>
            </w:pPr>
            <w:r w:rsidRPr="00F1313B">
              <w:rPr>
                <w:rFonts w:ascii="Arial Narrow" w:hAnsi="Arial Narrow"/>
                <w:b/>
                <w:sz w:val="20"/>
                <w:szCs w:val="20"/>
              </w:rPr>
              <w:t>Additional sensitivity analyses – suggested by ESC</w:t>
            </w:r>
          </w:p>
        </w:tc>
      </w:tr>
      <w:tr w:rsidR="0078026E"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EE5120">
            <w:pPr>
              <w:keepNext/>
              <w:keepLines/>
              <w:rPr>
                <w:rFonts w:ascii="Arial Narrow" w:hAnsi="Arial Narrow"/>
                <w:sz w:val="20"/>
                <w:szCs w:val="20"/>
              </w:rPr>
            </w:pPr>
            <w:r w:rsidRPr="00F1313B">
              <w:rPr>
                <w:rFonts w:ascii="Arial Narrow" w:hAnsi="Arial Narrow"/>
                <w:sz w:val="20"/>
                <w:szCs w:val="20"/>
              </w:rPr>
              <w:t>6</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sz w:val="20"/>
                <w:szCs w:val="20"/>
              </w:rPr>
            </w:pPr>
            <w:r w:rsidRPr="00F1313B">
              <w:rPr>
                <w:rFonts w:ascii="Arial Narrow" w:hAnsi="Arial Narrow"/>
                <w:sz w:val="20"/>
                <w:szCs w:val="20"/>
              </w:rPr>
              <w:t>Using the exponential parametric functions to determine the transition probabilities for the RF → LR and RF → DM health states</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EE5120">
            <w:pPr>
              <w:keepNext/>
              <w:keepLines/>
              <w:rPr>
                <w:rFonts w:ascii="Arial Narrow" w:hAnsi="Arial Narrow"/>
                <w:sz w:val="20"/>
                <w:szCs w:val="20"/>
              </w:rPr>
            </w:pPr>
            <w:r w:rsidRPr="00F1313B">
              <w:rPr>
                <w:rFonts w:ascii="Arial Narrow" w:hAnsi="Arial Narrow"/>
                <w:sz w:val="20"/>
                <w:szCs w:val="20"/>
              </w:rPr>
              <w:t>7</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sz w:val="20"/>
                <w:szCs w:val="20"/>
              </w:rPr>
            </w:pPr>
            <w:r w:rsidRPr="00F1313B">
              <w:rPr>
                <w:rFonts w:ascii="Arial Narrow" w:hAnsi="Arial Narrow"/>
                <w:sz w:val="20"/>
                <w:szCs w:val="20"/>
              </w:rPr>
              <w:t xml:space="preserve">Not allowing rechallenge with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following adjuvant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among eligible patients </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EE5120">
            <w:pPr>
              <w:keepNext/>
              <w:keepLines/>
              <w:rPr>
                <w:rFonts w:ascii="Arial Narrow" w:hAnsi="Arial Narrow"/>
                <w:sz w:val="20"/>
                <w:szCs w:val="20"/>
              </w:rPr>
            </w:pPr>
            <w:r w:rsidRPr="00F1313B">
              <w:rPr>
                <w:rFonts w:ascii="Arial Narrow" w:hAnsi="Arial Narrow"/>
                <w:sz w:val="20"/>
                <w:szCs w:val="20"/>
              </w:rPr>
              <w:t>8</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sz w:val="20"/>
                <w:szCs w:val="20"/>
              </w:rPr>
            </w:pPr>
            <w:r w:rsidRPr="00F1313B">
              <w:rPr>
                <w:rFonts w:ascii="Arial Narrow" w:hAnsi="Arial Narrow"/>
                <w:sz w:val="20"/>
                <w:szCs w:val="20"/>
              </w:rPr>
              <w:t xml:space="preserve">Utility values from KN-006 as reported in the March 2016 </w:t>
            </w:r>
            <w:proofErr w:type="spellStart"/>
            <w:r w:rsidRPr="00F1313B">
              <w:rPr>
                <w:rFonts w:ascii="Arial Narrow" w:hAnsi="Arial Narrow"/>
                <w:sz w:val="20"/>
                <w:szCs w:val="20"/>
              </w:rPr>
              <w:t>Pembrolizumab</w:t>
            </w:r>
            <w:proofErr w:type="spellEnd"/>
            <w:r w:rsidRPr="00F1313B">
              <w:rPr>
                <w:rFonts w:ascii="Arial Narrow" w:hAnsi="Arial Narrow"/>
                <w:sz w:val="20"/>
                <w:szCs w:val="20"/>
              </w:rPr>
              <w:t xml:space="preserve"> commentary (DM pre-progression = </w:t>
            </w:r>
            <w:r w:rsidR="002018B5">
              <w:rPr>
                <w:rFonts w:ascii="Arial Narrow" w:hAnsi="Arial Narrow"/>
                <w:noProof/>
                <w:color w:val="000000"/>
                <w:sz w:val="20"/>
                <w:szCs w:val="20"/>
                <w:highlight w:val="black"/>
              </w:rPr>
              <w:t>''''''''''</w:t>
            </w:r>
            <w:r w:rsidRPr="00F1313B">
              <w:rPr>
                <w:rFonts w:ascii="Arial Narrow" w:hAnsi="Arial Narrow"/>
                <w:sz w:val="20"/>
                <w:szCs w:val="20"/>
              </w:rPr>
              <w:t xml:space="preserve">; DM post-progression = </w:t>
            </w:r>
            <w:r w:rsidR="002018B5">
              <w:rPr>
                <w:rFonts w:ascii="Arial Narrow" w:hAnsi="Arial Narrow"/>
                <w:noProof/>
                <w:color w:val="000000"/>
                <w:sz w:val="20"/>
                <w:szCs w:val="20"/>
                <w:highlight w:val="black"/>
              </w:rPr>
              <w:t>'''''''''''</w:t>
            </w:r>
            <w:r w:rsidRPr="00F1313B">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EE5120">
            <w:pPr>
              <w:keepNext/>
              <w:keepLines/>
              <w:rPr>
                <w:rFonts w:ascii="Arial Narrow" w:hAnsi="Arial Narrow"/>
                <w:sz w:val="20"/>
                <w:szCs w:val="20"/>
              </w:rPr>
            </w:pPr>
            <w:r w:rsidRPr="00F1313B">
              <w:rPr>
                <w:rFonts w:ascii="Arial Narrow" w:hAnsi="Arial Narrow"/>
                <w:sz w:val="20"/>
                <w:szCs w:val="20"/>
              </w:rPr>
              <w:t>9</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sz w:val="20"/>
                <w:szCs w:val="20"/>
              </w:rPr>
            </w:pPr>
            <w:r w:rsidRPr="00F1313B">
              <w:rPr>
                <w:rFonts w:ascii="Arial Narrow" w:hAnsi="Arial Narrow"/>
                <w:sz w:val="20"/>
                <w:szCs w:val="20"/>
              </w:rPr>
              <w:t xml:space="preserve">Reducing the cost of subsequent therapies by 20% (as a proxy for reducing </w:t>
            </w:r>
            <w:proofErr w:type="spellStart"/>
            <w:r w:rsidRPr="00F1313B">
              <w:rPr>
                <w:rFonts w:ascii="Arial Narrow" w:hAnsi="Arial Narrow"/>
                <w:sz w:val="20"/>
                <w:szCs w:val="20"/>
              </w:rPr>
              <w:t>ToT</w:t>
            </w:r>
            <w:proofErr w:type="spellEnd"/>
            <w:r w:rsidRPr="00F1313B">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r w:rsidR="0078026E" w:rsidRPr="00F1313B" w:rsidTr="00D1208F">
        <w:tc>
          <w:tcPr>
            <w:tcW w:w="312"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EE5120">
            <w:pPr>
              <w:keepNext/>
              <w:keepLines/>
              <w:rPr>
                <w:rFonts w:ascii="Arial Narrow" w:hAnsi="Arial Narrow"/>
                <w:sz w:val="20"/>
                <w:szCs w:val="20"/>
              </w:rPr>
            </w:pPr>
            <w:r w:rsidRPr="00F1313B">
              <w:rPr>
                <w:rFonts w:ascii="Arial Narrow" w:hAnsi="Arial Narrow"/>
                <w:sz w:val="20"/>
                <w:szCs w:val="20"/>
              </w:rPr>
              <w:t>10</w:t>
            </w:r>
          </w:p>
        </w:tc>
        <w:tc>
          <w:tcPr>
            <w:tcW w:w="765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D1208F">
            <w:pPr>
              <w:keepNext/>
              <w:keepLines/>
              <w:jc w:val="left"/>
              <w:rPr>
                <w:rFonts w:ascii="Arial Narrow" w:hAnsi="Arial Narrow"/>
                <w:sz w:val="20"/>
                <w:szCs w:val="20"/>
              </w:rPr>
            </w:pPr>
            <w:r w:rsidRPr="00F1313B">
              <w:rPr>
                <w:rFonts w:ascii="Arial Narrow" w:hAnsi="Arial Narrow"/>
                <w:sz w:val="20"/>
                <w:szCs w:val="20"/>
              </w:rPr>
              <w:t>#6 and #7 and #8 and #9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78026E" w:rsidRPr="00F1313B" w:rsidRDefault="0078026E" w:rsidP="0078026E">
            <w:pPr>
              <w:keepNext/>
              <w:keepLines/>
              <w:jc w:val="center"/>
              <w:rPr>
                <w:rFonts w:ascii="Arial Narrow" w:hAnsi="Arial Narrow"/>
                <w:sz w:val="20"/>
                <w:szCs w:val="20"/>
              </w:rPr>
            </w:pPr>
            <w:r w:rsidRPr="00F1313B">
              <w:rPr>
                <w:rFonts w:ascii="Arial Narrow" w:hAnsi="Arial Narrow"/>
                <w:sz w:val="20"/>
                <w:szCs w:val="20"/>
              </w:rPr>
              <w:t>$</w:t>
            </w:r>
            <w:r w:rsidR="002018B5">
              <w:rPr>
                <w:rFonts w:ascii="Arial Narrow" w:hAnsi="Arial Narrow"/>
                <w:noProof/>
                <w:color w:val="000000"/>
                <w:sz w:val="20"/>
                <w:szCs w:val="20"/>
                <w:highlight w:val="black"/>
              </w:rPr>
              <w:t>'''''''''''''''</w:t>
            </w:r>
          </w:p>
        </w:tc>
      </w:tr>
    </w:tbl>
    <w:p w:rsidR="00090A93" w:rsidRDefault="00B9678E" w:rsidP="00090A93">
      <w:pPr>
        <w:pStyle w:val="Source"/>
        <w:numPr>
          <w:ilvl w:val="0"/>
          <w:numId w:val="0"/>
        </w:numPr>
        <w:spacing w:before="0" w:after="0" w:line="240" w:lineRule="auto"/>
        <w:rPr>
          <w:rFonts w:ascii="Arial Narrow" w:hAnsi="Arial Narrow"/>
        </w:rPr>
      </w:pPr>
      <w:r>
        <w:rPr>
          <w:rFonts w:ascii="Arial Narrow" w:hAnsi="Arial Narrow"/>
        </w:rPr>
        <w:t xml:space="preserve">DM = distant metastases; </w:t>
      </w:r>
      <w:r w:rsidR="00090A93">
        <w:rPr>
          <w:rFonts w:ascii="Arial Narrow" w:hAnsi="Arial Narrow"/>
        </w:rPr>
        <w:t xml:space="preserve">ICER = incremental cost-effectiveness ratio; </w:t>
      </w:r>
      <w:r>
        <w:rPr>
          <w:rFonts w:ascii="Arial Narrow" w:hAnsi="Arial Narrow"/>
        </w:rPr>
        <w:t xml:space="preserve">LR = </w:t>
      </w:r>
      <w:proofErr w:type="spellStart"/>
      <w:r>
        <w:rPr>
          <w:rFonts w:ascii="Arial Narrow" w:hAnsi="Arial Narrow"/>
        </w:rPr>
        <w:t>locoregional</w:t>
      </w:r>
      <w:proofErr w:type="spellEnd"/>
      <w:r>
        <w:rPr>
          <w:rFonts w:ascii="Arial Narrow" w:hAnsi="Arial Narrow"/>
        </w:rPr>
        <w:t xml:space="preserve">; OS = overall survival; PFS = progression free survival; PSCR = pre-Sub-Committee response; RF = recurrence free; </w:t>
      </w:r>
      <w:proofErr w:type="spellStart"/>
      <w:r>
        <w:rPr>
          <w:rFonts w:ascii="Arial Narrow" w:hAnsi="Arial Narrow"/>
        </w:rPr>
        <w:t>ToT</w:t>
      </w:r>
      <w:proofErr w:type="spellEnd"/>
      <w:r>
        <w:rPr>
          <w:rFonts w:ascii="Arial Narrow" w:hAnsi="Arial Narrow"/>
        </w:rPr>
        <w:t xml:space="preserve"> = time on treatment</w:t>
      </w:r>
    </w:p>
    <w:p w:rsidR="000D7886" w:rsidRDefault="000D7886" w:rsidP="000D7886">
      <w:pPr>
        <w:pStyle w:val="Source"/>
        <w:numPr>
          <w:ilvl w:val="0"/>
          <w:numId w:val="0"/>
        </w:numPr>
        <w:spacing w:before="0" w:after="0" w:line="240" w:lineRule="auto"/>
        <w:rPr>
          <w:rFonts w:ascii="Arial Narrow" w:hAnsi="Arial Narrow"/>
        </w:rPr>
      </w:pPr>
      <w:r>
        <w:rPr>
          <w:rFonts w:ascii="Arial Narrow" w:hAnsi="Arial Narrow"/>
        </w:rPr>
        <w:t>Source: Table 1, p6 of the PSCR</w:t>
      </w:r>
    </w:p>
    <w:p w:rsidR="0050275B" w:rsidRDefault="00090A93" w:rsidP="00B715DA">
      <w:pPr>
        <w:pStyle w:val="Source"/>
        <w:numPr>
          <w:ilvl w:val="0"/>
          <w:numId w:val="0"/>
        </w:numPr>
        <w:spacing w:before="0" w:after="240" w:line="240" w:lineRule="auto"/>
        <w:rPr>
          <w:rFonts w:ascii="Arial Narrow" w:hAnsi="Arial Narrow"/>
        </w:rPr>
      </w:pPr>
      <w:r w:rsidRPr="00090A93">
        <w:rPr>
          <w:rFonts w:ascii="Arial Narrow" w:hAnsi="Arial Narrow"/>
        </w:rPr>
        <w:t>* Expected PFS weeks and OS weeks</w:t>
      </w:r>
      <w:bookmarkStart w:id="15" w:name="_Toc523840736"/>
    </w:p>
    <w:p w:rsidR="00B715DA" w:rsidRPr="002018B5" w:rsidRDefault="00B715DA" w:rsidP="00B715DA">
      <w:pPr>
        <w:pStyle w:val="Source"/>
        <w:numPr>
          <w:ilvl w:val="0"/>
          <w:numId w:val="0"/>
        </w:numPr>
        <w:spacing w:before="240" w:after="120" w:line="240" w:lineRule="auto"/>
        <w:contextualSpacing w:val="0"/>
        <w:jc w:val="both"/>
        <w:rPr>
          <w:rFonts w:asciiTheme="minorHAnsi" w:hAnsiTheme="minorHAnsi" w:cstheme="minorHAnsi"/>
          <w:i/>
          <w:sz w:val="24"/>
          <w:szCs w:val="24"/>
        </w:rPr>
      </w:pPr>
      <w:r w:rsidRPr="002018B5">
        <w:rPr>
          <w:rFonts w:asciiTheme="minorHAnsi" w:hAnsiTheme="minorHAnsi" w:cstheme="minorHAnsi"/>
          <w:i/>
          <w:sz w:val="24"/>
          <w:szCs w:val="24"/>
        </w:rPr>
        <w:t>The redacted table shows ICERs in the range of $15,000/QALY - $45,000/QALY and $45,000/QALY - $75,000/QALY.</w:t>
      </w:r>
    </w:p>
    <w:bookmarkEnd w:id="15"/>
    <w:p w:rsidR="00553A38" w:rsidRPr="00B46267" w:rsidRDefault="00553A38" w:rsidP="004E615D">
      <w:pPr>
        <w:pStyle w:val="ListParagraph"/>
        <w:keepNext/>
        <w:widowControl/>
        <w:numPr>
          <w:ilvl w:val="1"/>
          <w:numId w:val="3"/>
        </w:numPr>
        <w:snapToGrid w:val="0"/>
      </w:pPr>
      <w:r w:rsidRPr="00B46267">
        <w:t xml:space="preserve">The pre-PBAC Response stated that the use of the exponential parametric functions (#6 above) provided the least best fit and was misaligned with the natural history data for placebo. </w:t>
      </w:r>
      <w:r w:rsidR="005C483D">
        <w:t>The PBAC agreed that use of the exponential parametric function resulted in an</w:t>
      </w:r>
      <w:r w:rsidR="008F7FEF">
        <w:t xml:space="preserve"> inappropriate function, noting that the ESC was trying to assess the extent of </w:t>
      </w:r>
      <w:r w:rsidR="00192BCA">
        <w:t xml:space="preserve">modelled </w:t>
      </w:r>
      <w:r w:rsidR="008F7FEF">
        <w:t xml:space="preserve">benefit of PD-1 inhibitor treatment in </w:t>
      </w:r>
      <w:r w:rsidR="00192BCA">
        <w:t xml:space="preserve">both </w:t>
      </w:r>
      <w:r w:rsidR="008F7FEF">
        <w:t xml:space="preserve">the adjuvant and </w:t>
      </w:r>
      <w:proofErr w:type="spellStart"/>
      <w:r w:rsidR="008F7FEF">
        <w:t>unresectable</w:t>
      </w:r>
      <w:proofErr w:type="spellEnd"/>
      <w:r w:rsidR="008F7FEF">
        <w:t xml:space="preserve"> settings</w:t>
      </w:r>
      <w:r w:rsidR="00192BCA">
        <w:t xml:space="preserve"> as the costs and effectiveness of treatments in the post-progression setting were based on external data</w:t>
      </w:r>
      <w:r w:rsidR="008F7FEF">
        <w:t>.</w:t>
      </w:r>
    </w:p>
    <w:p w:rsidR="00553A38" w:rsidRDefault="00553A38" w:rsidP="00B715DA">
      <w:pPr>
        <w:pStyle w:val="Heading2"/>
        <w:spacing w:before="240" w:after="120"/>
      </w:pPr>
      <w:r>
        <w:t>Drug cost/patient/course: $</w:t>
      </w:r>
      <w:r w:rsidR="002018B5">
        <w:rPr>
          <w:noProof/>
          <w:color w:val="000000"/>
          <w:highlight w:val="black"/>
        </w:rPr>
        <w:t>''''''''''''</w:t>
      </w:r>
    </w:p>
    <w:p w:rsidR="004E615D" w:rsidRPr="00E4278C" w:rsidRDefault="004E615D" w:rsidP="004E615D">
      <w:pPr>
        <w:pStyle w:val="ListParagraph"/>
        <w:keepNext/>
        <w:widowControl/>
        <w:numPr>
          <w:ilvl w:val="1"/>
          <w:numId w:val="3"/>
        </w:numPr>
        <w:snapToGrid w:val="0"/>
      </w:pPr>
      <w:r w:rsidRPr="00E4278C">
        <w:rPr>
          <w:rFonts w:cs="Calibri"/>
          <w:szCs w:val="24"/>
          <w:lang w:val="en-US" w:eastAsia="en-AU"/>
        </w:rPr>
        <w:t xml:space="preserve">The cost of treatment with </w:t>
      </w:r>
      <w:proofErr w:type="spellStart"/>
      <w:r w:rsidRPr="00E4278C">
        <w:rPr>
          <w:rFonts w:cs="Calibri"/>
          <w:szCs w:val="24"/>
          <w:lang w:val="en-US" w:eastAsia="en-AU"/>
        </w:rPr>
        <w:t>pembrolizumab</w:t>
      </w:r>
      <w:proofErr w:type="spellEnd"/>
      <w:r w:rsidRPr="00E4278C">
        <w:rPr>
          <w:rFonts w:cs="Calibri"/>
          <w:szCs w:val="24"/>
          <w:lang w:val="en-US" w:eastAsia="en-AU"/>
        </w:rPr>
        <w:t xml:space="preserve"> for the average patient is $</w:t>
      </w:r>
      <w:r w:rsidR="002018B5">
        <w:rPr>
          <w:rFonts w:cs="Calibri"/>
          <w:noProof/>
          <w:color w:val="000000"/>
          <w:szCs w:val="24"/>
          <w:highlight w:val="black"/>
          <w:lang w:val="en-US" w:eastAsia="en-AU"/>
        </w:rPr>
        <w:t>''''''''''''''</w:t>
      </w:r>
      <w:r w:rsidRPr="00E4278C">
        <w:rPr>
          <w:rFonts w:cs="Calibri"/>
          <w:szCs w:val="24"/>
          <w:lang w:val="en-US" w:eastAsia="en-AU"/>
        </w:rPr>
        <w:t xml:space="preserve"> based on an ex-manufacturer price of $</w:t>
      </w:r>
      <w:r w:rsidR="002018B5">
        <w:rPr>
          <w:rFonts w:cs="Calibri"/>
          <w:noProof/>
          <w:color w:val="000000"/>
          <w:szCs w:val="24"/>
          <w:highlight w:val="black"/>
          <w:lang w:val="en-US" w:eastAsia="en-AU"/>
        </w:rPr>
        <w:t>'''''''''''</w:t>
      </w:r>
      <w:r w:rsidRPr="00E4278C">
        <w:rPr>
          <w:rFonts w:cs="Calibri"/>
          <w:szCs w:val="24"/>
          <w:lang w:val="en-US" w:eastAsia="en-AU"/>
        </w:rPr>
        <w:t xml:space="preserve">/100mg vial, 200 mg fixed dosing at </w:t>
      </w:r>
      <w:r w:rsidR="000D7886">
        <w:rPr>
          <w:rFonts w:cs="Calibri"/>
          <w:szCs w:val="24"/>
          <w:lang w:val="en-US" w:eastAsia="en-AU"/>
        </w:rPr>
        <w:t>every three weeks</w:t>
      </w:r>
      <w:r w:rsidRPr="00E4278C">
        <w:rPr>
          <w:rFonts w:cs="Calibri"/>
          <w:szCs w:val="24"/>
          <w:lang w:val="en-US" w:eastAsia="en-AU"/>
        </w:rPr>
        <w:t xml:space="preserve"> for </w:t>
      </w:r>
      <w:r w:rsidR="00107D96">
        <w:rPr>
          <w:rFonts w:cs="Calibri"/>
          <w:szCs w:val="24"/>
          <w:lang w:val="en-US" w:eastAsia="en-AU"/>
        </w:rPr>
        <w:t>one</w:t>
      </w:r>
      <w:r w:rsidRPr="00E4278C">
        <w:rPr>
          <w:rFonts w:cs="Calibri"/>
          <w:szCs w:val="24"/>
          <w:lang w:val="en-US" w:eastAsia="en-AU"/>
        </w:rPr>
        <w:t xml:space="preserve"> year, and an average of </w:t>
      </w:r>
      <w:r w:rsidR="002018B5">
        <w:rPr>
          <w:rFonts w:cs="Calibri"/>
          <w:noProof/>
          <w:color w:val="000000"/>
          <w:szCs w:val="24"/>
          <w:highlight w:val="black"/>
          <w:lang w:val="en-US" w:eastAsia="en-AU"/>
        </w:rPr>
        <w:t>''''''''''</w:t>
      </w:r>
      <w:r w:rsidRPr="00E4278C">
        <w:rPr>
          <w:rFonts w:cs="Calibri"/>
          <w:szCs w:val="24"/>
          <w:lang w:val="en-US" w:eastAsia="en-AU"/>
        </w:rPr>
        <w:t xml:space="preserve"> administrations per patient and a private: public split of 68.5%:31.5%. The submission also estimated an average of $</w:t>
      </w:r>
      <w:r w:rsidR="002018B5">
        <w:rPr>
          <w:rFonts w:cs="Calibri"/>
          <w:noProof/>
          <w:color w:val="000000"/>
          <w:szCs w:val="24"/>
          <w:highlight w:val="black"/>
          <w:lang w:val="en-US" w:eastAsia="en-AU"/>
        </w:rPr>
        <w:t>''''''''</w:t>
      </w:r>
      <w:r w:rsidRPr="00E4278C">
        <w:rPr>
          <w:rFonts w:cs="Calibri"/>
          <w:szCs w:val="24"/>
          <w:lang w:val="en-US" w:eastAsia="en-AU"/>
        </w:rPr>
        <w:t xml:space="preserve"> in drug administration costs.</w:t>
      </w:r>
      <w:r w:rsidR="0061425C" w:rsidRPr="00E4278C">
        <w:rPr>
          <w:rFonts w:cs="Calibri"/>
          <w:szCs w:val="24"/>
          <w:lang w:val="en-US" w:eastAsia="en-AU"/>
        </w:rPr>
        <w:t xml:space="preserve"> This figure differed from that used in the financial estimates, which contained a referencing error, and different assumptions regarding private vs public hospital split, and application of the $20 TGA licensed compounders’ fee. </w:t>
      </w:r>
    </w:p>
    <w:p w:rsidR="004E615D" w:rsidRDefault="004E615D" w:rsidP="004E615D">
      <w:pPr>
        <w:keepNext/>
        <w:widowControl/>
      </w:pPr>
    </w:p>
    <w:p w:rsidR="004E615D" w:rsidRPr="00B12CE4" w:rsidRDefault="004E615D" w:rsidP="00B12CE4">
      <w:pPr>
        <w:pStyle w:val="Heading2"/>
        <w:spacing w:after="120"/>
      </w:pPr>
      <w:bookmarkStart w:id="16" w:name="_Toc523840737"/>
      <w:r>
        <w:t>Estimated PBS usage &amp; financial implications</w:t>
      </w:r>
      <w:bookmarkEnd w:id="16"/>
    </w:p>
    <w:p w:rsidR="004E615D" w:rsidRDefault="004E615D" w:rsidP="004E615D">
      <w:pPr>
        <w:pStyle w:val="ListParagraph"/>
        <w:widowControl/>
        <w:numPr>
          <w:ilvl w:val="1"/>
          <w:numId w:val="3"/>
        </w:numPr>
        <w:snapToGrid w:val="0"/>
        <w:spacing w:after="160"/>
      </w:pPr>
      <w:r>
        <w:t xml:space="preserve">This submission was </w:t>
      </w:r>
      <w:r w:rsidR="0043177C">
        <w:t xml:space="preserve">not </w:t>
      </w:r>
      <w:r>
        <w:t>considered by DUSC.</w:t>
      </w:r>
    </w:p>
    <w:p w:rsidR="004E615D" w:rsidRPr="00E4278C" w:rsidRDefault="004E615D" w:rsidP="004E615D">
      <w:pPr>
        <w:pStyle w:val="ListParagraph"/>
        <w:widowControl/>
        <w:numPr>
          <w:ilvl w:val="1"/>
          <w:numId w:val="3"/>
        </w:numPr>
        <w:snapToGrid w:val="0"/>
        <w:spacing w:after="160"/>
      </w:pPr>
      <w:r w:rsidRPr="00E4278C">
        <w:lastRenderedPageBreak/>
        <w:t xml:space="preserve">The spreadsheet detailing the financial estimates contained a number of errors. </w:t>
      </w:r>
    </w:p>
    <w:p w:rsidR="004E615D" w:rsidRDefault="004E615D" w:rsidP="004E615D">
      <w:pPr>
        <w:pStyle w:val="ListParagraph"/>
        <w:widowControl/>
        <w:numPr>
          <w:ilvl w:val="1"/>
          <w:numId w:val="3"/>
        </w:numPr>
        <w:snapToGrid w:val="0"/>
        <w:spacing w:after="160"/>
      </w:pPr>
      <w:r>
        <w:t xml:space="preserve">The submission used an epidemiological approach to estimate the use and financial impact of the proposed medicine. The number of patients expected to be treated with </w:t>
      </w:r>
      <w:proofErr w:type="spellStart"/>
      <w:r>
        <w:t>pembrolizumab</w:t>
      </w:r>
      <w:proofErr w:type="spellEnd"/>
      <w:r>
        <w:t xml:space="preserve"> in the adjuvant setting was based on:</w:t>
      </w:r>
    </w:p>
    <w:p w:rsidR="004E615D" w:rsidRPr="00666788" w:rsidRDefault="004E615D" w:rsidP="0090357A">
      <w:pPr>
        <w:pStyle w:val="ListParagraph"/>
        <w:widowControl/>
        <w:numPr>
          <w:ilvl w:val="0"/>
          <w:numId w:val="2"/>
        </w:numPr>
        <w:snapToGrid w:val="0"/>
        <w:spacing w:after="120"/>
        <w:ind w:left="1077" w:hanging="357"/>
      </w:pPr>
      <w:r w:rsidRPr="00666788">
        <w:t xml:space="preserve">The incident population newly diagnosed with Stage III disease, estimated from a linear extrapolation of incident data from 2007 to 2014 (AIHW melanoma of the skin book) and estimated incidence rates from 2016 (Skin Cancer in Australia) and 2017 (Cancer in Australia 2017), multiplied by the proportion of annual incidence (new cases) that is </w:t>
      </w:r>
      <w:r w:rsidR="00774A4C" w:rsidRPr="00666788">
        <w:t>Stage I</w:t>
      </w:r>
      <w:r w:rsidRPr="00666788">
        <w:t>II (8%). This was based on a 2002 publication utilising data from the Sydney Melanoma Institute</w:t>
      </w:r>
      <w:r w:rsidR="00125E40" w:rsidRPr="00666788">
        <w:rPr>
          <w:rStyle w:val="FootnoteReference"/>
        </w:rPr>
        <w:footnoteReference w:id="10"/>
      </w:r>
      <w:r w:rsidRPr="00666788">
        <w:t xml:space="preserve">. Although this data source is older, this value is consistent with data from the NSW Central Cancer registry which estimated at the time of diagnosis, 8.5% had Stage III disease (NSW Cancer Institute NSW 2010). </w:t>
      </w:r>
    </w:p>
    <w:p w:rsidR="004E615D" w:rsidRPr="00666788" w:rsidRDefault="004E615D" w:rsidP="0090357A">
      <w:pPr>
        <w:pStyle w:val="ListParagraph"/>
        <w:widowControl/>
        <w:numPr>
          <w:ilvl w:val="0"/>
          <w:numId w:val="2"/>
        </w:numPr>
        <w:snapToGrid w:val="0"/>
        <w:spacing w:after="120"/>
        <w:ind w:left="1077" w:hanging="357"/>
      </w:pPr>
      <w:r w:rsidRPr="00666788">
        <w:t>Incident patients initially diagnosed with earlier stages of disease that progress to Stage III. The submission assumed that 55% of patients with Stage III disease were initially diagnosed with earlier stages of disease, based on data from the Melanoma Institute of Australia</w:t>
      </w:r>
      <w:r w:rsidR="00125E40" w:rsidRPr="00666788">
        <w:rPr>
          <w:rStyle w:val="FootnoteReference"/>
        </w:rPr>
        <w:footnoteReference w:id="11"/>
      </w:r>
      <w:r w:rsidRPr="00666788">
        <w:t>. This data source appeared reasonable.</w:t>
      </w:r>
    </w:p>
    <w:p w:rsidR="004E615D" w:rsidRPr="00666788" w:rsidRDefault="004E615D" w:rsidP="0090357A">
      <w:pPr>
        <w:pStyle w:val="ListParagraph"/>
        <w:widowControl/>
        <w:numPr>
          <w:ilvl w:val="0"/>
          <w:numId w:val="2"/>
        </w:numPr>
        <w:snapToGrid w:val="0"/>
        <w:spacing w:after="120"/>
        <w:ind w:left="1077" w:hanging="357"/>
      </w:pPr>
      <w:r w:rsidRPr="00666788">
        <w:t xml:space="preserve">The proportion of prevalent patients diagnosed in the </w:t>
      </w:r>
      <w:r w:rsidR="000D7886">
        <w:t>three</w:t>
      </w:r>
      <w:r w:rsidRPr="00666788">
        <w:t xml:space="preserve"> months prior to listing that would also be eligible for treatment with </w:t>
      </w:r>
      <w:proofErr w:type="spellStart"/>
      <w:r w:rsidRPr="00666788">
        <w:t>pembrolizumab</w:t>
      </w:r>
      <w:proofErr w:type="spellEnd"/>
      <w:r w:rsidRPr="00666788">
        <w:t xml:space="preserve"> (i</w:t>
      </w:r>
      <w:r w:rsidR="000F6CF5" w:rsidRPr="00666788">
        <w:t>.</w:t>
      </w:r>
      <w:r w:rsidRPr="00666788">
        <w:t>e</w:t>
      </w:r>
      <w:r w:rsidR="000F6CF5" w:rsidRPr="00666788">
        <w:t>.</w:t>
      </w:r>
      <w:r w:rsidRPr="00666788">
        <w:t xml:space="preserve"> likely have</w:t>
      </w:r>
      <w:r w:rsidR="0061425C" w:rsidRPr="00666788">
        <w:t xml:space="preserve"> undergone surgical resection within the previous three </w:t>
      </w:r>
      <w:r w:rsidRPr="00666788">
        <w:t>months);</w:t>
      </w:r>
    </w:p>
    <w:p w:rsidR="004E615D" w:rsidRPr="00F1313B" w:rsidRDefault="004E615D" w:rsidP="0090357A">
      <w:pPr>
        <w:pStyle w:val="ListParagraph"/>
        <w:widowControl/>
        <w:numPr>
          <w:ilvl w:val="0"/>
          <w:numId w:val="2"/>
        </w:numPr>
        <w:snapToGrid w:val="0"/>
        <w:spacing w:after="120"/>
        <w:ind w:left="1077" w:hanging="357"/>
      </w:pPr>
      <w:r w:rsidRPr="00F1313B">
        <w:t xml:space="preserve">The submission assumed that 89% of </w:t>
      </w:r>
      <w:r w:rsidR="00774A4C" w:rsidRPr="00F1313B">
        <w:t>Stage I</w:t>
      </w:r>
      <w:r w:rsidRPr="00F1313B">
        <w:t>II case</w:t>
      </w:r>
      <w:r w:rsidR="00125E40" w:rsidRPr="00F1313B">
        <w:t xml:space="preserve">s were </w:t>
      </w:r>
      <w:proofErr w:type="spellStart"/>
      <w:r w:rsidR="00125E40" w:rsidRPr="00F1313B">
        <w:t>resectable</w:t>
      </w:r>
      <w:proofErr w:type="spellEnd"/>
      <w:r w:rsidR="00125E40" w:rsidRPr="00F1313B">
        <w:rPr>
          <w:rStyle w:val="FootnoteReference"/>
        </w:rPr>
        <w:footnoteReference w:id="12"/>
      </w:r>
      <w:r w:rsidRPr="00F1313B">
        <w:t>. This figure could not be verified from the cited paper.</w:t>
      </w:r>
      <w:r w:rsidR="006871D6" w:rsidRPr="00F1313B">
        <w:t xml:space="preserve"> The PSCR clarified that the SEER data indicated that 11% of patients with Stage III disease did not have surgery (i.e. </w:t>
      </w:r>
      <w:proofErr w:type="spellStart"/>
      <w:r w:rsidR="006871D6" w:rsidRPr="00F1313B">
        <w:t>unresected</w:t>
      </w:r>
      <w:proofErr w:type="spellEnd"/>
      <w:r w:rsidR="006871D6" w:rsidRPr="00F1313B">
        <w:t xml:space="preserve"> disease); therefore, 89% of patients were resected.</w:t>
      </w:r>
    </w:p>
    <w:p w:rsidR="00CF2473" w:rsidRDefault="00CF2473">
      <w:pPr>
        <w:widowControl/>
        <w:jc w:val="left"/>
      </w:pPr>
      <w:r>
        <w:br w:type="page"/>
      </w:r>
    </w:p>
    <w:p w:rsidR="004E615D" w:rsidRPr="00F1313B" w:rsidRDefault="004E615D" w:rsidP="004E615D">
      <w:pPr>
        <w:pStyle w:val="ListParagraph"/>
        <w:widowControl/>
        <w:numPr>
          <w:ilvl w:val="1"/>
          <w:numId w:val="3"/>
        </w:numPr>
        <w:snapToGrid w:val="0"/>
        <w:spacing w:after="160"/>
      </w:pPr>
      <w:r w:rsidRPr="00F1313B">
        <w:lastRenderedPageBreak/>
        <w:t xml:space="preserve">The submission assumed an expected uptake rate of </w:t>
      </w:r>
      <w:r w:rsidR="002018B5">
        <w:rPr>
          <w:noProof/>
          <w:color w:val="000000"/>
          <w:highlight w:val="black"/>
        </w:rPr>
        <w:t>'''''</w:t>
      </w:r>
      <w:r w:rsidRPr="00F1313B">
        <w:t xml:space="preserve">%. </w:t>
      </w:r>
      <w:r w:rsidR="00A71DF7">
        <w:t>The PBAC considered that this uptake rate was high</w:t>
      </w:r>
      <w:r w:rsidR="00C81E90">
        <w:t xml:space="preserve"> as </w:t>
      </w:r>
      <w:r w:rsidRPr="00F1313B">
        <w:t xml:space="preserve">older patients </w:t>
      </w:r>
      <w:r w:rsidR="00C81E90">
        <w:t>are more</w:t>
      </w:r>
      <w:r w:rsidRPr="00F1313B">
        <w:t xml:space="preserve"> likely to be observed than undergo surgical resection</w:t>
      </w:r>
      <w:r w:rsidR="00C81E90">
        <w:t xml:space="preserve"> and </w:t>
      </w:r>
      <w:r w:rsidRPr="00F1313B">
        <w:t>those with earlier stages of disease (i</w:t>
      </w:r>
      <w:r w:rsidR="000F6CF5" w:rsidRPr="00F1313B">
        <w:t>.</w:t>
      </w:r>
      <w:r w:rsidRPr="00F1313B">
        <w:t>e</w:t>
      </w:r>
      <w:r w:rsidR="000F6CF5" w:rsidRPr="00F1313B">
        <w:t>.</w:t>
      </w:r>
      <w:r w:rsidRPr="00F1313B">
        <w:t xml:space="preserve"> Stage III</w:t>
      </w:r>
      <w:r w:rsidR="00774A4C" w:rsidRPr="00F1313B">
        <w:t>A</w:t>
      </w:r>
      <w:r w:rsidR="000D7886">
        <w:t xml:space="preserve"> and </w:t>
      </w:r>
      <w:r w:rsidR="00A71DF7">
        <w:t>IIIB using the 8</w:t>
      </w:r>
      <w:r w:rsidR="00A71DF7" w:rsidRPr="00A71DF7">
        <w:rPr>
          <w:vertAlign w:val="superscript"/>
        </w:rPr>
        <w:t>th</w:t>
      </w:r>
      <w:r w:rsidR="00A71DF7">
        <w:t xml:space="preserve"> edition of the AJCC melanoma staging manual</w:t>
      </w:r>
      <w:r w:rsidRPr="00F1313B">
        <w:t xml:space="preserve">) may be less likely to </w:t>
      </w:r>
      <w:r w:rsidR="001E097E">
        <w:t>receive</w:t>
      </w:r>
      <w:r w:rsidR="001E097E" w:rsidRPr="00F1313B">
        <w:t xml:space="preserve"> </w:t>
      </w:r>
      <w:r w:rsidRPr="00F1313B">
        <w:t xml:space="preserve">treatment. </w:t>
      </w:r>
      <w:r w:rsidR="006871D6" w:rsidRPr="00F1313B">
        <w:t xml:space="preserve">The PSCR </w:t>
      </w:r>
      <w:r w:rsidR="001E097E">
        <w:t xml:space="preserve">considered that a high rate of uptake would be expected, </w:t>
      </w:r>
      <w:r w:rsidR="006871D6" w:rsidRPr="00F1313B">
        <w:t>stat</w:t>
      </w:r>
      <w:r w:rsidR="001E097E">
        <w:t>ing</w:t>
      </w:r>
      <w:r w:rsidR="006871D6" w:rsidRPr="00F1313B">
        <w:t xml:space="preserve"> that </w:t>
      </w:r>
      <w:r w:rsidR="001E097E">
        <w:t xml:space="preserve">the Australian Institute of Health and Welfare reported that approximately 8% of patients were over the age of 85 at diagnosis. The PSCR also cited </w:t>
      </w:r>
      <w:proofErr w:type="spellStart"/>
      <w:r w:rsidR="006871D6" w:rsidRPr="00F1313B">
        <w:t>Haydu</w:t>
      </w:r>
      <w:proofErr w:type="spellEnd"/>
      <w:r w:rsidR="006871D6" w:rsidRPr="00F1313B">
        <w:t xml:space="preserve"> 2017, a recent Australian study of over 4,000 Stage III patients, </w:t>
      </w:r>
      <w:r w:rsidR="001E097E">
        <w:t xml:space="preserve">which </w:t>
      </w:r>
      <w:r w:rsidR="006871D6" w:rsidRPr="00F1313B">
        <w:t xml:space="preserve">reported that patients with Stage III melanoma </w:t>
      </w:r>
      <w:r w:rsidR="00C81E90">
        <w:t>(adjusted to the 8</w:t>
      </w:r>
      <w:r w:rsidR="00C81E90" w:rsidRPr="00C81E90">
        <w:rPr>
          <w:vertAlign w:val="superscript"/>
        </w:rPr>
        <w:t>th</w:t>
      </w:r>
      <w:r w:rsidR="00C81E90">
        <w:t xml:space="preserve"> edition AJCC melanoma staging system) </w:t>
      </w:r>
      <w:r w:rsidR="006871D6" w:rsidRPr="00F1313B">
        <w:t>were relatively young (median age of 59 years)</w:t>
      </w:r>
      <w:r w:rsidR="001E097E">
        <w:t xml:space="preserve"> and </w:t>
      </w:r>
      <w:r w:rsidR="006871D6" w:rsidRPr="00F1313B">
        <w:t>that approximately 4.8% of patients were diagnosed with Stage IIIA disease.</w:t>
      </w:r>
      <w:r w:rsidR="00C81E90">
        <w:t xml:space="preserve"> The PBAC noted that </w:t>
      </w:r>
      <w:proofErr w:type="spellStart"/>
      <w:r w:rsidR="00C81E90">
        <w:t>Haydu</w:t>
      </w:r>
      <w:proofErr w:type="spellEnd"/>
      <w:r w:rsidR="00C81E90">
        <w:t xml:space="preserve"> 2017 reported that 44.2% of patients had Stage IIIB at diagnosis, 37.6% Stage IIIC and 2.3% Stage IIID. </w:t>
      </w:r>
      <w:r w:rsidR="00E42C8C">
        <w:t xml:space="preserve">Overall, the PBAC considered the number of patients to be treated with </w:t>
      </w:r>
      <w:proofErr w:type="spellStart"/>
      <w:r w:rsidR="00E42C8C">
        <w:t>pembrolizumab</w:t>
      </w:r>
      <w:proofErr w:type="spellEnd"/>
      <w:r w:rsidR="00E42C8C">
        <w:t xml:space="preserve"> to be overestimated</w:t>
      </w:r>
      <w:r w:rsidR="001E097E" w:rsidRPr="00F1313B">
        <w:t>.</w:t>
      </w:r>
    </w:p>
    <w:p w:rsidR="00CF2473" w:rsidRDefault="004E615D" w:rsidP="004E615D">
      <w:pPr>
        <w:pStyle w:val="ListParagraph"/>
        <w:widowControl/>
        <w:numPr>
          <w:ilvl w:val="1"/>
          <w:numId w:val="3"/>
        </w:numPr>
        <w:snapToGrid w:val="0"/>
        <w:spacing w:after="160"/>
      </w:pPr>
      <w:r w:rsidRPr="00F1313B">
        <w:t>Although the submission stated that a number of cost-offsets (associated with avoidance of recurrence), and additional costs to other health budgets (e</w:t>
      </w:r>
      <w:r w:rsidR="000F6CF5" w:rsidRPr="00F1313B">
        <w:t>.</w:t>
      </w:r>
      <w:r w:rsidRPr="00F1313B">
        <w:t>g</w:t>
      </w:r>
      <w:r w:rsidR="000F6CF5" w:rsidRPr="00F1313B">
        <w:t>.</w:t>
      </w:r>
      <w:r w:rsidRPr="00F1313B">
        <w:t xml:space="preserve"> administra</w:t>
      </w:r>
      <w:r w:rsidR="002C51BD">
        <w:t>tion costs) were likely to occur</w:t>
      </w:r>
      <w:r w:rsidRPr="00F1313B">
        <w:t xml:space="preserve">, the submission did not include these in their financial estimates. </w:t>
      </w:r>
      <w:r w:rsidR="006871D6" w:rsidRPr="00F1313B">
        <w:t>The PSCR stated that these offsets were not included as the offsets would not be materialised, based on the current melanoma risk-share arrangement.</w:t>
      </w:r>
      <w:r w:rsidR="002C51BD">
        <w:t xml:space="preserve"> The PBAC noted that cost-offsets </w:t>
      </w:r>
      <w:r w:rsidR="00F75457">
        <w:t xml:space="preserve">for post-progression treatment </w:t>
      </w:r>
      <w:r w:rsidR="002C51BD">
        <w:t>were applied in the model.</w:t>
      </w:r>
    </w:p>
    <w:p w:rsidR="00CF2473" w:rsidRDefault="00CF2473">
      <w:pPr>
        <w:widowControl/>
        <w:jc w:val="left"/>
      </w:pPr>
      <w:r>
        <w:br w:type="page"/>
      </w:r>
    </w:p>
    <w:p w:rsidR="004E615D" w:rsidRPr="00F1313B" w:rsidRDefault="004E615D" w:rsidP="004E615D">
      <w:pPr>
        <w:pStyle w:val="Caption"/>
      </w:pPr>
      <w:r w:rsidRPr="00F1313B">
        <w:lastRenderedPageBreak/>
        <w:t xml:space="preserve">Table </w:t>
      </w:r>
      <w:r w:rsidR="0090357A" w:rsidRPr="00F1313B">
        <w:rPr>
          <w:noProof/>
        </w:rPr>
        <w:t>1</w:t>
      </w:r>
      <w:r w:rsidR="007742DB">
        <w:rPr>
          <w:noProof/>
        </w:rPr>
        <w:t>3</w:t>
      </w:r>
      <w:r w:rsidRPr="00F1313B">
        <w:t>: Estimated use and financial implications</w:t>
      </w:r>
    </w:p>
    <w:tbl>
      <w:tblPr>
        <w:tblStyle w:val="TableGrid"/>
        <w:tblW w:w="5000" w:type="pct"/>
        <w:tblLayout w:type="fixed"/>
        <w:tblCellMar>
          <w:left w:w="28" w:type="dxa"/>
          <w:right w:w="28" w:type="dxa"/>
        </w:tblCellMar>
        <w:tblLook w:val="04A0" w:firstRow="1" w:lastRow="0" w:firstColumn="1" w:lastColumn="0" w:noHBand="0" w:noVBand="1"/>
        <w:tblCaption w:val="Estimated use and financial implications"/>
      </w:tblPr>
      <w:tblGrid>
        <w:gridCol w:w="309"/>
        <w:gridCol w:w="2096"/>
        <w:gridCol w:w="1102"/>
        <w:gridCol w:w="1102"/>
        <w:gridCol w:w="1102"/>
        <w:gridCol w:w="1102"/>
        <w:gridCol w:w="1102"/>
        <w:gridCol w:w="1102"/>
      </w:tblGrid>
      <w:tr w:rsidR="006C153A" w:rsidRPr="00F1313B" w:rsidTr="007156A6">
        <w:trPr>
          <w:cantSplit/>
          <w:tblHeader/>
        </w:trPr>
        <w:tc>
          <w:tcPr>
            <w:tcW w:w="1334" w:type="pct"/>
            <w:gridSpan w:val="2"/>
            <w:tcBorders>
              <w:top w:val="single" w:sz="4" w:space="0" w:color="auto"/>
              <w:left w:val="single" w:sz="4" w:space="0" w:color="auto"/>
              <w:bottom w:val="single" w:sz="4" w:space="0" w:color="auto"/>
              <w:right w:val="single" w:sz="4" w:space="0" w:color="auto"/>
            </w:tcBorders>
            <w:vAlign w:val="center"/>
          </w:tcPr>
          <w:p w:rsidR="006C153A" w:rsidRPr="00F1313B" w:rsidRDefault="006C153A" w:rsidP="005F0113"/>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Year 1</w:t>
            </w:r>
          </w:p>
          <w:p w:rsidR="006C153A" w:rsidRPr="00F1313B" w:rsidRDefault="006C153A" w:rsidP="005F0113">
            <w:pPr>
              <w:pStyle w:val="Tabletext"/>
              <w:jc w:val="center"/>
              <w:rPr>
                <w:b/>
              </w:rPr>
            </w:pPr>
            <w:r w:rsidRPr="00F1313B">
              <w:rPr>
                <w:b/>
              </w:rPr>
              <w:t>(2019)</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Year 2</w:t>
            </w:r>
          </w:p>
          <w:p w:rsidR="006C153A" w:rsidRPr="00F1313B" w:rsidRDefault="006C153A" w:rsidP="005F0113">
            <w:pPr>
              <w:pStyle w:val="Tabletext"/>
              <w:jc w:val="center"/>
              <w:rPr>
                <w:b/>
              </w:rPr>
            </w:pPr>
            <w:r w:rsidRPr="00F1313B">
              <w:rPr>
                <w:b/>
              </w:rPr>
              <w:t>(2020)</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Year 3</w:t>
            </w:r>
          </w:p>
          <w:p w:rsidR="006C153A" w:rsidRPr="00F1313B" w:rsidRDefault="006C153A" w:rsidP="005F0113">
            <w:pPr>
              <w:pStyle w:val="Tabletext"/>
              <w:jc w:val="center"/>
              <w:rPr>
                <w:b/>
              </w:rPr>
            </w:pPr>
            <w:r w:rsidRPr="00F1313B">
              <w:rPr>
                <w:b/>
              </w:rPr>
              <w:t>(2021)</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 xml:space="preserve">Year 4 </w:t>
            </w:r>
          </w:p>
          <w:p w:rsidR="006C153A" w:rsidRPr="00F1313B" w:rsidRDefault="006C153A" w:rsidP="005F0113">
            <w:pPr>
              <w:pStyle w:val="Tabletext"/>
              <w:jc w:val="center"/>
              <w:rPr>
                <w:b/>
              </w:rPr>
            </w:pPr>
            <w:r w:rsidRPr="00F1313B">
              <w:rPr>
                <w:b/>
              </w:rPr>
              <w:t>(2022)</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 xml:space="preserve">Year 5 </w:t>
            </w:r>
          </w:p>
          <w:p w:rsidR="006C153A" w:rsidRPr="00F1313B" w:rsidRDefault="006C153A" w:rsidP="005F0113">
            <w:pPr>
              <w:pStyle w:val="Tabletext"/>
              <w:jc w:val="center"/>
              <w:rPr>
                <w:b/>
              </w:rPr>
            </w:pPr>
            <w:r w:rsidRPr="00F1313B">
              <w:rPr>
                <w:b/>
              </w:rPr>
              <w:t>(2023)</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6C153A" w:rsidRPr="00F1313B" w:rsidRDefault="006C153A" w:rsidP="005F0113">
            <w:pPr>
              <w:pStyle w:val="Tabletext"/>
              <w:jc w:val="center"/>
              <w:rPr>
                <w:b/>
              </w:rPr>
            </w:pPr>
            <w:r w:rsidRPr="00F1313B">
              <w:rPr>
                <w:b/>
              </w:rPr>
              <w:t xml:space="preserve">Year 6 </w:t>
            </w:r>
          </w:p>
          <w:p w:rsidR="006C153A" w:rsidRPr="00F1313B" w:rsidRDefault="006C153A" w:rsidP="005F0113">
            <w:pPr>
              <w:pStyle w:val="Tabletext"/>
              <w:jc w:val="center"/>
              <w:rPr>
                <w:b/>
              </w:rPr>
            </w:pPr>
            <w:r w:rsidRPr="00F1313B">
              <w:rPr>
                <w:b/>
              </w:rPr>
              <w:t>(2024)</w:t>
            </w:r>
          </w:p>
        </w:tc>
      </w:tr>
      <w:tr w:rsidR="00D70CB8" w:rsidRPr="00F1313B" w:rsidTr="003F48CA">
        <w:trPr>
          <w:cantSplit/>
        </w:trPr>
        <w:tc>
          <w:tcPr>
            <w:tcW w:w="172" w:type="pct"/>
            <w:tcBorders>
              <w:top w:val="single" w:sz="4" w:space="0" w:color="auto"/>
              <w:left w:val="single" w:sz="4" w:space="0" w:color="auto"/>
              <w:bottom w:val="single" w:sz="4" w:space="0" w:color="auto"/>
              <w:right w:val="single" w:sz="4" w:space="0" w:color="auto"/>
            </w:tcBorders>
            <w:vAlign w:val="center"/>
          </w:tcPr>
          <w:p w:rsidR="00D70CB8" w:rsidRPr="00F1313B" w:rsidRDefault="00D70CB8" w:rsidP="00D70CB8">
            <w:pPr>
              <w:pStyle w:val="Tabletext"/>
              <w:jc w:val="center"/>
            </w:pPr>
            <w:r w:rsidRPr="00F1313B">
              <w:t>A</w:t>
            </w:r>
          </w:p>
        </w:tc>
        <w:tc>
          <w:tcPr>
            <w:tcW w:w="1162" w:type="pct"/>
            <w:tcBorders>
              <w:top w:val="single" w:sz="4" w:space="0" w:color="auto"/>
              <w:left w:val="single" w:sz="4" w:space="0" w:color="auto"/>
              <w:bottom w:val="single" w:sz="4" w:space="0" w:color="auto"/>
              <w:right w:val="single" w:sz="4" w:space="0" w:color="auto"/>
            </w:tcBorders>
            <w:noWrap/>
            <w:vAlign w:val="center"/>
          </w:tcPr>
          <w:p w:rsidR="00D70CB8" w:rsidRPr="00F1313B" w:rsidRDefault="00D70CB8" w:rsidP="00D70CB8">
            <w:pPr>
              <w:pStyle w:val="Tabletext"/>
            </w:pPr>
            <w:r w:rsidRPr="00F1313B">
              <w:t>Total patients treated (</w:t>
            </w:r>
            <w:r w:rsidR="002018B5">
              <w:rPr>
                <w:noProof/>
                <w:color w:val="000000"/>
                <w:highlight w:val="black"/>
              </w:rPr>
              <w:t>''''''</w:t>
            </w:r>
            <w:r w:rsidRPr="00F1313B">
              <w:t>% uptake rate)</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tcPr>
          <w:p w:rsidR="00D70CB8" w:rsidRPr="002018B5" w:rsidRDefault="002018B5" w:rsidP="000F6CF5">
            <w:pPr>
              <w:pStyle w:val="Tabletext"/>
              <w:jc w:val="center"/>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single" w:sz="4" w:space="0" w:color="auto"/>
              <w:right w:val="single" w:sz="4" w:space="0" w:color="auto"/>
            </w:tcBorders>
            <w:vAlign w:val="center"/>
          </w:tcPr>
          <w:p w:rsidR="004E615D" w:rsidRPr="00F1313B" w:rsidRDefault="00D70CB8" w:rsidP="005F0113">
            <w:pPr>
              <w:pStyle w:val="Tabletext"/>
              <w:jc w:val="center"/>
            </w:pPr>
            <w:r w:rsidRPr="00F1313B">
              <w:t>B</w:t>
            </w:r>
          </w:p>
        </w:tc>
        <w:tc>
          <w:tcPr>
            <w:tcW w:w="1162" w:type="pct"/>
            <w:tcBorders>
              <w:top w:val="single" w:sz="4" w:space="0" w:color="auto"/>
              <w:left w:val="single" w:sz="4" w:space="0" w:color="auto"/>
              <w:bottom w:val="single" w:sz="4" w:space="0" w:color="auto"/>
              <w:right w:val="single" w:sz="4" w:space="0" w:color="auto"/>
            </w:tcBorders>
            <w:noWrap/>
            <w:vAlign w:val="center"/>
            <w:hideMark/>
          </w:tcPr>
          <w:p w:rsidR="004E615D" w:rsidRPr="00F1313B" w:rsidRDefault="004E615D" w:rsidP="006C153A">
            <w:pPr>
              <w:pStyle w:val="Tabletext"/>
            </w:pPr>
            <w:r w:rsidRPr="00F1313B">
              <w:t xml:space="preserve">Number of administrations of adjuvant </w:t>
            </w:r>
            <w:proofErr w:type="spellStart"/>
            <w:r w:rsidRPr="00F1313B">
              <w:t>pembrolizumab</w:t>
            </w:r>
            <w:proofErr w:type="spellEnd"/>
            <w:r w:rsidR="00D70CB8" w:rsidRPr="00F1313B">
              <w:t xml:space="preserve"> (</w:t>
            </w:r>
            <w:r w:rsidR="002018B5">
              <w:rPr>
                <w:noProof/>
                <w:color w:val="000000"/>
                <w:highlight w:val="black"/>
              </w:rPr>
              <w:t>'''''''''''''''</w:t>
            </w:r>
            <w:r w:rsidR="00D70CB8" w:rsidRPr="00F1313B">
              <w:t xml:space="preserve"> per patient)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c>
          <w:tcPr>
            <w:tcW w:w="611" w:type="pct"/>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single" w:sz="4" w:space="0" w:color="auto"/>
              <w:right w:val="single" w:sz="4" w:space="0" w:color="auto"/>
            </w:tcBorders>
            <w:vAlign w:val="center"/>
          </w:tcPr>
          <w:p w:rsidR="004E615D" w:rsidRPr="00F1313B" w:rsidRDefault="00D70CB8" w:rsidP="005F0113">
            <w:pPr>
              <w:pStyle w:val="Tabletext"/>
              <w:jc w:val="center"/>
            </w:pPr>
            <w:r w:rsidRPr="00F1313B">
              <w:t>C</w:t>
            </w:r>
          </w:p>
        </w:tc>
        <w:tc>
          <w:tcPr>
            <w:tcW w:w="1162" w:type="pct"/>
            <w:tcBorders>
              <w:top w:val="single" w:sz="4" w:space="0" w:color="auto"/>
              <w:left w:val="single" w:sz="4" w:space="0" w:color="auto"/>
              <w:bottom w:val="single" w:sz="4" w:space="0" w:color="auto"/>
              <w:right w:val="single" w:sz="4" w:space="0" w:color="auto"/>
            </w:tcBorders>
            <w:noWrap/>
            <w:vAlign w:val="center"/>
            <w:hideMark/>
          </w:tcPr>
          <w:p w:rsidR="004E615D" w:rsidRPr="00F1313B" w:rsidRDefault="004E615D" w:rsidP="006C153A">
            <w:pPr>
              <w:pStyle w:val="Tabletext"/>
            </w:pPr>
            <w:r w:rsidRPr="00F1313B">
              <w:t>Average cost per administration (</w:t>
            </w:r>
            <w:r w:rsidR="006C153A" w:rsidRPr="00F1313B">
              <w:t>AEMP</w:t>
            </w:r>
            <w:r w:rsidRPr="00F1313B">
              <w:t>)</w:t>
            </w:r>
          </w:p>
        </w:tc>
        <w:tc>
          <w:tcPr>
            <w:tcW w:w="3666" w:type="pct"/>
            <w:gridSpan w:val="6"/>
            <w:tcBorders>
              <w:top w:val="single" w:sz="4" w:space="0" w:color="auto"/>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jc w:val="center"/>
            </w:pPr>
            <w:r w:rsidRPr="00F1313B">
              <w:t>$</w:t>
            </w:r>
            <w:r w:rsidR="002018B5">
              <w:rPr>
                <w:noProof/>
                <w:color w:val="000000"/>
                <w:highlight w:val="black"/>
              </w:rPr>
              <w:t>''''''''''''''''''''</w:t>
            </w:r>
          </w:p>
        </w:tc>
      </w:tr>
      <w:tr w:rsidR="004E615D" w:rsidRPr="00F1313B" w:rsidTr="003F48CA">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5F0113">
            <w:pPr>
              <w:pStyle w:val="Tabletext"/>
              <w:rPr>
                <w:b/>
              </w:rPr>
            </w:pPr>
            <w:r w:rsidRPr="00F1313B">
              <w:rPr>
                <w:b/>
              </w:rPr>
              <w:t>Total cost by scheme (PBS/RPBS)</w:t>
            </w:r>
            <w:r w:rsidR="00B111E8">
              <w:rPr>
                <w:b/>
              </w:rPr>
              <w:t xml:space="preserve"> ($)</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D</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D70CB8" w:rsidP="006C153A">
            <w:pPr>
              <w:pStyle w:val="Tabletext"/>
            </w:pPr>
            <w:r w:rsidRPr="00F1313B">
              <w:t>PBS (BxC</w:t>
            </w:r>
            <w:r w:rsidR="004E615D" w:rsidRPr="00F1313B">
              <w:t>x98.4%)</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6C153A">
            <w:pPr>
              <w:pStyle w:val="Tabletext"/>
            </w:pPr>
            <w:r w:rsidRPr="00F1313B">
              <w:t>Revised</w:t>
            </w:r>
            <w:r w:rsidR="00D70CB8" w:rsidRPr="00F1313B">
              <w:t xml:space="preserve"> (BxCx95%)</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E</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D70CB8" w:rsidP="006C153A">
            <w:pPr>
              <w:pStyle w:val="Tabletext"/>
            </w:pPr>
            <w:r w:rsidRPr="00F1313B">
              <w:t>RPBS (BxC</w:t>
            </w:r>
            <w:r w:rsidR="004E615D" w:rsidRPr="00F1313B">
              <w:t>x1.6%)</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6C153A">
            <w:pPr>
              <w:pStyle w:val="Tabletext"/>
            </w:pPr>
            <w:r w:rsidRPr="00F1313B">
              <w:t>Revised</w:t>
            </w:r>
            <w:r w:rsidR="00D70CB8" w:rsidRPr="00F1313B">
              <w:t xml:space="preserve"> (BxCx5%)</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F</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D70CB8" w:rsidP="006C153A">
            <w:pPr>
              <w:pStyle w:val="Tabletext"/>
            </w:pPr>
            <w:r w:rsidRPr="00F1313B">
              <w:t xml:space="preserve">Total cost of </w:t>
            </w:r>
            <w:proofErr w:type="spellStart"/>
            <w:r w:rsidRPr="00F1313B">
              <w:t>pembrolizumab</w:t>
            </w:r>
            <w:proofErr w:type="spellEnd"/>
            <w:r w:rsidRPr="00F1313B">
              <w:t xml:space="preserve"> (</w:t>
            </w:r>
            <w:proofErr w:type="spellStart"/>
            <w:r w:rsidRPr="00F1313B">
              <w:t>BxC</w:t>
            </w:r>
            <w:proofErr w:type="spellEnd"/>
            <w:r w:rsidRPr="00F1313B">
              <w:t>=D+E</w:t>
            </w:r>
            <w:r w:rsidR="004E615D" w:rsidRPr="00F1313B">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5F0113">
            <w:pPr>
              <w:pStyle w:val="Tabletext"/>
              <w:rPr>
                <w:b/>
              </w:rPr>
            </w:pPr>
            <w:r w:rsidRPr="00F1313B">
              <w:rPr>
                <w:b/>
              </w:rPr>
              <w:t xml:space="preserve">Less </w:t>
            </w:r>
            <w:proofErr w:type="spellStart"/>
            <w:r w:rsidRPr="00F1313B">
              <w:rPr>
                <w:b/>
              </w:rPr>
              <w:t>copayments</w:t>
            </w:r>
            <w:proofErr w:type="spellEnd"/>
            <w:r w:rsidR="006629B7">
              <w:rPr>
                <w:b/>
              </w:rPr>
              <w:t xml:space="preserve"> ($)</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G</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5F0113">
            <w:pPr>
              <w:pStyle w:val="Tabletext"/>
            </w:pPr>
            <w:r w:rsidRPr="00F1313B">
              <w:t>Number of co</w:t>
            </w:r>
            <w:r w:rsidR="00DB2BE9">
              <w:t>-</w:t>
            </w:r>
            <w:r w:rsidRPr="00F1313B">
              <w:t>payments per patient by treatment year</w:t>
            </w:r>
          </w:p>
        </w:tc>
        <w:tc>
          <w:tcPr>
            <w:tcW w:w="3666" w:type="pct"/>
            <w:gridSpan w:val="6"/>
            <w:tcBorders>
              <w:top w:val="single" w:sz="4" w:space="0" w:color="auto"/>
              <w:left w:val="single" w:sz="4" w:space="0" w:color="auto"/>
              <w:bottom w:val="nil"/>
              <w:right w:val="single" w:sz="4" w:space="0" w:color="auto"/>
            </w:tcBorders>
            <w:noWrap/>
            <w:vAlign w:val="center"/>
            <w:hideMark/>
          </w:tcPr>
          <w:p w:rsidR="004E615D" w:rsidRPr="00F1313B" w:rsidRDefault="004E615D" w:rsidP="005F0113">
            <w:pPr>
              <w:pStyle w:val="Tabletext"/>
              <w:jc w:val="center"/>
            </w:pPr>
            <w:r w:rsidRPr="00F1313B">
              <w:t>2</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3666" w:type="pct"/>
            <w:gridSpan w:val="6"/>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jc w:val="center"/>
            </w:pPr>
            <w:r w:rsidRPr="00F1313B">
              <w:t>3</w:t>
            </w:r>
          </w:p>
        </w:tc>
      </w:tr>
      <w:tr w:rsidR="004E615D" w:rsidRPr="00F1313B" w:rsidTr="003F48CA">
        <w:trPr>
          <w:cantSplit/>
        </w:trPr>
        <w:tc>
          <w:tcPr>
            <w:tcW w:w="172" w:type="pct"/>
            <w:tcBorders>
              <w:top w:val="single" w:sz="4" w:space="0" w:color="auto"/>
              <w:left w:val="single" w:sz="4" w:space="0" w:color="auto"/>
              <w:bottom w:val="single" w:sz="4" w:space="0" w:color="auto"/>
              <w:right w:val="single" w:sz="4" w:space="0" w:color="auto"/>
            </w:tcBorders>
            <w:vAlign w:val="center"/>
          </w:tcPr>
          <w:p w:rsidR="004E615D" w:rsidRPr="00F1313B" w:rsidRDefault="00D70CB8" w:rsidP="005F0113">
            <w:pPr>
              <w:pStyle w:val="Tabletext"/>
              <w:jc w:val="center"/>
            </w:pPr>
            <w:r w:rsidRPr="00F1313B">
              <w:t>H</w:t>
            </w:r>
          </w:p>
        </w:tc>
        <w:tc>
          <w:tcPr>
            <w:tcW w:w="1162" w:type="pct"/>
            <w:tcBorders>
              <w:top w:val="single" w:sz="4" w:space="0" w:color="auto"/>
              <w:left w:val="single" w:sz="4" w:space="0" w:color="auto"/>
              <w:bottom w:val="single" w:sz="4" w:space="0" w:color="auto"/>
              <w:right w:val="single" w:sz="4" w:space="0" w:color="auto"/>
            </w:tcBorders>
            <w:noWrap/>
            <w:vAlign w:val="center"/>
            <w:hideMark/>
          </w:tcPr>
          <w:p w:rsidR="004E615D" w:rsidRPr="00F1313B" w:rsidRDefault="004E615D" w:rsidP="006C153A">
            <w:pPr>
              <w:pStyle w:val="Tabletext"/>
            </w:pPr>
            <w:r w:rsidRPr="00F1313B">
              <w:t>Average co</w:t>
            </w:r>
            <w:r w:rsidR="00DB2BE9">
              <w:t>-</w:t>
            </w:r>
            <w:r w:rsidRPr="00F1313B">
              <w:t xml:space="preserve">payment </w:t>
            </w:r>
          </w:p>
        </w:tc>
        <w:tc>
          <w:tcPr>
            <w:tcW w:w="3666" w:type="pct"/>
            <w:gridSpan w:val="6"/>
            <w:tcBorders>
              <w:top w:val="single" w:sz="4" w:space="0" w:color="auto"/>
              <w:left w:val="single" w:sz="4" w:space="0" w:color="auto"/>
              <w:bottom w:val="single" w:sz="4" w:space="0" w:color="auto"/>
              <w:right w:val="single" w:sz="4" w:space="0" w:color="auto"/>
            </w:tcBorders>
            <w:noWrap/>
            <w:vAlign w:val="center"/>
            <w:hideMark/>
          </w:tcPr>
          <w:p w:rsidR="004E615D" w:rsidRPr="002018B5" w:rsidRDefault="002018B5" w:rsidP="005F0113">
            <w:pPr>
              <w:pStyle w:val="Tabletext"/>
              <w:jc w:val="center"/>
              <w:rPr>
                <w:highlight w:val="black"/>
              </w:rPr>
            </w:pPr>
            <w:r>
              <w:rPr>
                <w:noProof/>
                <w:color w:val="000000"/>
                <w:highlight w:val="black"/>
              </w:rPr>
              <w:t>'''''''''''''''' ''''''''''''''''''' '''''' '''''''''''' ''''''''''''''' ''''''' '''''''''''''''</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I</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5F0113">
            <w:pPr>
              <w:pStyle w:val="Tabletext"/>
            </w:pPr>
            <w:r w:rsidRPr="00F1313B">
              <w:t xml:space="preserve">PBS </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J</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5F0113">
            <w:pPr>
              <w:pStyle w:val="Tabletext"/>
            </w:pPr>
            <w:r w:rsidRPr="00F1313B">
              <w:t>RPBS</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K</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5F0113">
            <w:pPr>
              <w:pStyle w:val="Tabletext"/>
            </w:pPr>
            <w:r w:rsidRPr="00F1313B">
              <w:t>Total co</w:t>
            </w:r>
            <w:r w:rsidR="00DB2BE9">
              <w:t>-</w:t>
            </w:r>
            <w:r w:rsidRPr="00F1313B">
              <w:t>payments</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5F0113">
            <w:pPr>
              <w:pStyle w:val="Tabletext"/>
              <w:jc w:val="right"/>
              <w:rPr>
                <w:highlight w:val="black"/>
              </w:rPr>
            </w:pPr>
            <w:r>
              <w:rPr>
                <w:noProof/>
                <w:color w:val="000000"/>
                <w:highlight w:val="black"/>
              </w:rPr>
              <w:t>''''''''''''''''''''</w:t>
            </w:r>
          </w:p>
        </w:tc>
      </w:tr>
      <w:tr w:rsidR="004E615D" w:rsidRPr="00F1313B" w:rsidTr="003F48CA">
        <w:trPr>
          <w:cantSplit/>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4E615D" w:rsidRPr="00F1313B" w:rsidRDefault="004E615D" w:rsidP="005F0113">
            <w:pPr>
              <w:pStyle w:val="Tabletext"/>
              <w:rPr>
                <w:b/>
              </w:rPr>
            </w:pPr>
            <w:r w:rsidRPr="00F1313B">
              <w:rPr>
                <w:b/>
              </w:rPr>
              <w:t xml:space="preserve">Net cost of adjuvant </w:t>
            </w:r>
            <w:proofErr w:type="spellStart"/>
            <w:r w:rsidRPr="00F1313B">
              <w:rPr>
                <w:b/>
              </w:rPr>
              <w:t>pembrolizumab</w:t>
            </w:r>
            <w:proofErr w:type="spellEnd"/>
            <w:r w:rsidRPr="00F1313B">
              <w:rPr>
                <w:b/>
              </w:rPr>
              <w:t xml:space="preserve"> to the PBS/RPBS</w:t>
            </w:r>
            <w:r w:rsidR="006629B7">
              <w:rPr>
                <w:b/>
              </w:rPr>
              <w:t xml:space="preserve"> ($)</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L</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6C153A">
            <w:pPr>
              <w:pStyle w:val="Tabletext"/>
            </w:pPr>
            <w:r w:rsidRPr="00F1313B">
              <w:t>PBS</w:t>
            </w:r>
            <w:r w:rsidR="00D70CB8" w:rsidRPr="00F1313B">
              <w:t xml:space="preserve"> (D–I)</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 xml:space="preserve">Revised </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M</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6C153A">
            <w:pPr>
              <w:pStyle w:val="Tabletext"/>
            </w:pPr>
            <w:r w:rsidRPr="00F1313B">
              <w:t>RPBS</w:t>
            </w:r>
            <w:r w:rsidR="00D70CB8" w:rsidRPr="00F1313B">
              <w:t xml:space="preserve"> (E–J)</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single" w:sz="4" w:space="0" w:color="auto"/>
              <w:left w:val="single" w:sz="4" w:space="0" w:color="auto"/>
              <w:bottom w:val="nil"/>
              <w:right w:val="single" w:sz="4" w:space="0" w:color="auto"/>
            </w:tcBorders>
            <w:vAlign w:val="center"/>
          </w:tcPr>
          <w:p w:rsidR="004E615D" w:rsidRPr="00F1313B" w:rsidRDefault="00D70CB8" w:rsidP="005F0113">
            <w:pPr>
              <w:pStyle w:val="Tabletext"/>
              <w:jc w:val="center"/>
            </w:pPr>
            <w:r w:rsidRPr="00F1313B">
              <w:t>N</w:t>
            </w:r>
          </w:p>
        </w:tc>
        <w:tc>
          <w:tcPr>
            <w:tcW w:w="1162" w:type="pct"/>
            <w:tcBorders>
              <w:top w:val="single" w:sz="4" w:space="0" w:color="auto"/>
              <w:left w:val="single" w:sz="4" w:space="0" w:color="auto"/>
              <w:bottom w:val="nil"/>
              <w:right w:val="single" w:sz="4" w:space="0" w:color="auto"/>
            </w:tcBorders>
            <w:noWrap/>
            <w:vAlign w:val="center"/>
            <w:hideMark/>
          </w:tcPr>
          <w:p w:rsidR="004E615D" w:rsidRPr="00F1313B" w:rsidRDefault="004E615D" w:rsidP="006C153A">
            <w:pPr>
              <w:pStyle w:val="Tabletext"/>
            </w:pPr>
            <w:r w:rsidRPr="00F1313B">
              <w:t>Total</w:t>
            </w:r>
            <w:r w:rsidR="00861556" w:rsidRPr="00F1313B">
              <w:t xml:space="preserve"> (F-K=L+M)</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single" w:sz="4" w:space="0" w:color="auto"/>
              <w:left w:val="single" w:sz="4" w:space="0" w:color="auto"/>
              <w:bottom w:val="nil"/>
              <w:right w:val="single" w:sz="4" w:space="0" w:color="auto"/>
            </w:tcBorders>
            <w:noWrap/>
            <w:vAlign w:val="center"/>
            <w:hideMark/>
          </w:tcPr>
          <w:p w:rsidR="004E615D" w:rsidRPr="002018B5" w:rsidRDefault="002018B5" w:rsidP="000F6CF5">
            <w:pPr>
              <w:pStyle w:val="Tabletext"/>
              <w:jc w:val="right"/>
              <w:rPr>
                <w:highlight w:val="black"/>
              </w:rPr>
            </w:pPr>
            <w:r>
              <w:rPr>
                <w:noProof/>
                <w:color w:val="000000"/>
                <w:highlight w:val="black"/>
              </w:rPr>
              <w:t>''''''''''''''''''''''''''''''</w:t>
            </w:r>
          </w:p>
        </w:tc>
      </w:tr>
      <w:tr w:rsidR="004E615D" w:rsidRPr="00F1313B" w:rsidTr="003F48CA">
        <w:trPr>
          <w:cantSplit/>
        </w:trPr>
        <w:tc>
          <w:tcPr>
            <w:tcW w:w="172" w:type="pct"/>
            <w:tcBorders>
              <w:top w:val="nil"/>
              <w:left w:val="single" w:sz="4" w:space="0" w:color="auto"/>
              <w:bottom w:val="single" w:sz="4" w:space="0" w:color="auto"/>
              <w:right w:val="single" w:sz="4" w:space="0" w:color="auto"/>
            </w:tcBorders>
            <w:vAlign w:val="center"/>
          </w:tcPr>
          <w:p w:rsidR="004E615D" w:rsidRPr="00F1313B" w:rsidRDefault="004E615D" w:rsidP="005F0113">
            <w:pPr>
              <w:pStyle w:val="Tabletext"/>
              <w:jc w:val="center"/>
            </w:pPr>
          </w:p>
        </w:tc>
        <w:tc>
          <w:tcPr>
            <w:tcW w:w="1162" w:type="pct"/>
            <w:tcBorders>
              <w:top w:val="nil"/>
              <w:left w:val="single" w:sz="4" w:space="0" w:color="auto"/>
              <w:bottom w:val="single" w:sz="4" w:space="0" w:color="auto"/>
              <w:right w:val="single" w:sz="4" w:space="0" w:color="auto"/>
            </w:tcBorders>
            <w:noWrap/>
            <w:vAlign w:val="center"/>
            <w:hideMark/>
          </w:tcPr>
          <w:p w:rsidR="004E615D" w:rsidRPr="00F1313B" w:rsidRDefault="004E615D" w:rsidP="005F0113">
            <w:pPr>
              <w:pStyle w:val="Tabletext"/>
            </w:pPr>
            <w:r w:rsidRPr="00F1313B">
              <w:t>Revised</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c>
          <w:tcPr>
            <w:tcW w:w="611" w:type="pct"/>
            <w:tcBorders>
              <w:top w:val="nil"/>
              <w:left w:val="single" w:sz="4" w:space="0" w:color="auto"/>
              <w:bottom w:val="single" w:sz="4" w:space="0" w:color="auto"/>
              <w:right w:val="single" w:sz="4" w:space="0" w:color="auto"/>
            </w:tcBorders>
            <w:noWrap/>
            <w:vAlign w:val="bottom"/>
            <w:hideMark/>
          </w:tcPr>
          <w:p w:rsidR="004E615D" w:rsidRPr="002018B5" w:rsidRDefault="002018B5" w:rsidP="000F6CF5">
            <w:pPr>
              <w:pStyle w:val="Tabletext"/>
              <w:jc w:val="right"/>
              <w:rPr>
                <w:highlight w:val="black"/>
              </w:rPr>
            </w:pPr>
            <w:r>
              <w:rPr>
                <w:noProof/>
                <w:color w:val="000000"/>
                <w:highlight w:val="black"/>
              </w:rPr>
              <w:t>'''''''''''''''''''''''''''''''''''</w:t>
            </w:r>
          </w:p>
        </w:tc>
      </w:tr>
    </w:tbl>
    <w:p w:rsidR="00DB2BE9" w:rsidRDefault="00DB2BE9" w:rsidP="00DB2BE9">
      <w:pPr>
        <w:pStyle w:val="TableFooter"/>
      </w:pPr>
      <w:r>
        <w:t>AEMP = approved ex-manufacturer price; PBS = Pharmaceutical Benefits Schedule; RPBS = Repatriation Pharmaceutical Benefits Schedule</w:t>
      </w:r>
    </w:p>
    <w:p w:rsidR="00DB2BE9" w:rsidRPr="00F1313B" w:rsidRDefault="00DB2BE9" w:rsidP="00DB2BE9">
      <w:pPr>
        <w:pStyle w:val="TableFooter"/>
      </w:pPr>
      <w:r w:rsidRPr="00F1313B">
        <w:t>Source: Table 4.2-6, Table 4.3-4, and Table 4.3-5 Section 4</w:t>
      </w:r>
    </w:p>
    <w:p w:rsidR="004E615D" w:rsidRDefault="004E615D" w:rsidP="004E615D">
      <w:pPr>
        <w:pStyle w:val="TableFooter"/>
      </w:pPr>
      <w:r w:rsidRPr="00F1313B">
        <w:t>Revised</w:t>
      </w:r>
      <w:r w:rsidR="00DB2BE9">
        <w:t>:</w:t>
      </w:r>
      <w:r w:rsidRPr="00F1313B">
        <w:t xml:space="preserve"> Corrected referencing error for the Public v</w:t>
      </w:r>
      <w:r w:rsidR="00DB2BE9">
        <w:t>ersu</w:t>
      </w:r>
      <w:r w:rsidRPr="00F1313B">
        <w:t>s Private hospital usage split (these values were reversed), and updated to reflect three patient co</w:t>
      </w:r>
      <w:r w:rsidR="00DB2BE9">
        <w:t>-</w:t>
      </w:r>
      <w:r w:rsidRPr="00F1313B">
        <w:t>payments (from two) per patient per course, consistent with the requested listing.</w:t>
      </w:r>
    </w:p>
    <w:p w:rsidR="006629B7" w:rsidRPr="002018B5" w:rsidRDefault="006629B7" w:rsidP="006629B7">
      <w:pPr>
        <w:pStyle w:val="TableFooter"/>
        <w:spacing w:before="120"/>
        <w:rPr>
          <w:rFonts w:asciiTheme="minorHAnsi" w:hAnsiTheme="minorHAnsi" w:cstheme="minorHAnsi"/>
          <w:i/>
          <w:sz w:val="24"/>
          <w:szCs w:val="24"/>
        </w:rPr>
      </w:pPr>
      <w:r w:rsidRPr="002018B5">
        <w:rPr>
          <w:rFonts w:asciiTheme="minorHAnsi" w:hAnsiTheme="minorHAnsi" w:cstheme="minorHAnsi"/>
          <w:i/>
          <w:sz w:val="24"/>
          <w:szCs w:val="24"/>
        </w:rPr>
        <w:t xml:space="preserve">The redacted table shows that at Year 6 the estimated number of patients was less than 10,000 per year, and the net cost to the PBS would be more than $100 million per year. </w:t>
      </w:r>
    </w:p>
    <w:p w:rsidR="004E615D" w:rsidRDefault="004E615D" w:rsidP="002018B5">
      <w:pPr>
        <w:pStyle w:val="Heading2"/>
        <w:keepNext/>
        <w:spacing w:before="240" w:after="120"/>
      </w:pPr>
      <w:bookmarkStart w:id="17" w:name="_Toc523840738"/>
      <w:r>
        <w:lastRenderedPageBreak/>
        <w:t>Quality Use of Medicines</w:t>
      </w:r>
      <w:bookmarkEnd w:id="17"/>
    </w:p>
    <w:p w:rsidR="004E615D" w:rsidRDefault="004E615D" w:rsidP="004E615D">
      <w:pPr>
        <w:pStyle w:val="ListParagraph"/>
        <w:widowControl/>
        <w:numPr>
          <w:ilvl w:val="1"/>
          <w:numId w:val="3"/>
        </w:numPr>
        <w:snapToGrid w:val="0"/>
      </w:pPr>
      <w:r>
        <w:t xml:space="preserve">The submission outlined a number of activities to promote the safe and effective use in clinical practice, including the development of educational materials, and the delivery of education programs. </w:t>
      </w:r>
    </w:p>
    <w:p w:rsidR="004E615D" w:rsidRDefault="004E615D" w:rsidP="004E615D">
      <w:pPr>
        <w:pStyle w:val="ListParagraph"/>
        <w:widowControl/>
      </w:pPr>
    </w:p>
    <w:p w:rsidR="004E615D" w:rsidRDefault="004E615D" w:rsidP="00B12CE4">
      <w:pPr>
        <w:pStyle w:val="Heading2"/>
        <w:spacing w:after="120"/>
      </w:pPr>
      <w:bookmarkStart w:id="18" w:name="_Toc523840739"/>
      <w:r>
        <w:t>Financial Management – Risk Sharing Arrangements</w:t>
      </w:r>
      <w:bookmarkEnd w:id="18"/>
    </w:p>
    <w:p w:rsidR="004E615D" w:rsidRDefault="004E615D" w:rsidP="004E615D">
      <w:pPr>
        <w:pStyle w:val="ListParagraph"/>
        <w:widowControl/>
        <w:numPr>
          <w:ilvl w:val="1"/>
          <w:numId w:val="3"/>
        </w:numPr>
        <w:snapToGrid w:val="0"/>
        <w:spacing w:after="160"/>
      </w:pPr>
      <w:r>
        <w:t xml:space="preserve">The sponsor indicated that they were willing to enter into a </w:t>
      </w:r>
      <w:r w:rsidR="00B65595">
        <w:t>RSA</w:t>
      </w:r>
      <w:r>
        <w:t xml:space="preserve">, that would include a </w:t>
      </w:r>
      <w:r w:rsidR="00B65595">
        <w:t>SPA</w:t>
      </w:r>
      <w:r>
        <w:t xml:space="preserve"> as well as </w:t>
      </w:r>
      <w:r w:rsidRPr="00925D49">
        <w:t>annual subsidisations caps based on appropriate patient numbers</w:t>
      </w:r>
      <w:r>
        <w:t>.</w:t>
      </w:r>
    </w:p>
    <w:p w:rsidR="004E615D" w:rsidRPr="00F1313B" w:rsidRDefault="004E615D" w:rsidP="004E615D">
      <w:pPr>
        <w:pStyle w:val="ListParagraph"/>
        <w:widowControl/>
        <w:numPr>
          <w:ilvl w:val="1"/>
          <w:numId w:val="3"/>
        </w:numPr>
        <w:snapToGrid w:val="0"/>
        <w:spacing w:after="160"/>
      </w:pPr>
      <w:r w:rsidRPr="00F1313B">
        <w:t xml:space="preserve">The submissions stated that in order to structure reasonable RSAs that accommodate adjuvant treatment for resected Stage III patients, it is important to also take into account the existing deed for </w:t>
      </w:r>
      <w:proofErr w:type="spellStart"/>
      <w:r w:rsidR="007F60D4" w:rsidRPr="00F1313B">
        <w:t>unresectable</w:t>
      </w:r>
      <w:proofErr w:type="spellEnd"/>
      <w:r w:rsidR="007F60D4" w:rsidRPr="00F1313B">
        <w:t xml:space="preserve"> </w:t>
      </w:r>
      <w:r w:rsidR="00861556" w:rsidRPr="00F1313B">
        <w:t xml:space="preserve">Stage III and Stage IV </w:t>
      </w:r>
      <w:r w:rsidRPr="00F1313B">
        <w:t>advanced melanoma patients due to the interdependence between the two populations.</w:t>
      </w:r>
      <w:r w:rsidR="00285B6F" w:rsidRPr="00F1313B">
        <w:t xml:space="preserve"> The ESC noted that the market size for </w:t>
      </w:r>
      <w:proofErr w:type="spellStart"/>
      <w:r w:rsidR="00285B6F" w:rsidRPr="00F1313B">
        <w:t>unresectable</w:t>
      </w:r>
      <w:proofErr w:type="spellEnd"/>
      <w:r w:rsidR="00285B6F" w:rsidRPr="00F1313B">
        <w:t xml:space="preserve"> melanoma could potentially change if </w:t>
      </w:r>
      <w:proofErr w:type="spellStart"/>
      <w:r w:rsidR="00285B6F" w:rsidRPr="00F1313B">
        <w:t>pembrolizumab</w:t>
      </w:r>
      <w:proofErr w:type="spellEnd"/>
      <w:r w:rsidR="00285B6F" w:rsidRPr="00F1313B">
        <w:t xml:space="preserve"> was PBS-subsidised for adjuvant therapy.</w:t>
      </w:r>
    </w:p>
    <w:p w:rsidR="00607AF2" w:rsidRPr="00F1313B" w:rsidRDefault="004E615D" w:rsidP="004E615D">
      <w:pPr>
        <w:pStyle w:val="ListParagraph"/>
        <w:widowControl/>
        <w:numPr>
          <w:ilvl w:val="1"/>
          <w:numId w:val="3"/>
        </w:numPr>
        <w:snapToGrid w:val="0"/>
        <w:spacing w:after="160"/>
      </w:pPr>
      <w:r w:rsidRPr="00F1313B">
        <w:t xml:space="preserve">If </w:t>
      </w:r>
      <w:proofErr w:type="spellStart"/>
      <w:r w:rsidRPr="00F1313B">
        <w:t>pembrolizumab</w:t>
      </w:r>
      <w:proofErr w:type="spellEnd"/>
      <w:r w:rsidRPr="00F1313B">
        <w:t xml:space="preserve"> were to be listed in the Stage III adjuvant setting, then the sponsor would be willing to negotiate a RSA that allows for the treatment of melanoma patients across the adjuvant and metastatic settings based on appropriate patient numbers and a rebate that is a proportion of costs above the subsidisation caps. For example, a structure and rebate that mirrors </w:t>
      </w:r>
      <w:r w:rsidR="002018B5">
        <w:rPr>
          <w:noProof/>
          <w:color w:val="000000"/>
          <w:highlight w:val="black"/>
        </w:rPr>
        <w:t>'''''' '''''''''''''' '''''''''' ''''' '''''''''''''''''''''''''''' ''''' '''''''''''''' ''''''''''''''''''' ''''''''''''''''''''''</w:t>
      </w:r>
      <w:r w:rsidR="00285B6F" w:rsidRPr="00F1313B">
        <w:t xml:space="preserve"> </w:t>
      </w:r>
    </w:p>
    <w:p w:rsidR="00E0382E" w:rsidRDefault="00E0382E" w:rsidP="004E615D">
      <w:pPr>
        <w:pStyle w:val="ListParagraph"/>
        <w:widowControl/>
        <w:numPr>
          <w:ilvl w:val="1"/>
          <w:numId w:val="3"/>
        </w:numPr>
        <w:snapToGrid w:val="0"/>
        <w:spacing w:after="160"/>
      </w:pPr>
      <w:r w:rsidRPr="00F1313B">
        <w:t>In the PSCR</w:t>
      </w:r>
      <w:r w:rsidR="00B65595" w:rsidRPr="00F1313B">
        <w:t xml:space="preserve"> </w:t>
      </w:r>
      <w:r w:rsidR="00B46267">
        <w:t>and pre-PBAC Response</w:t>
      </w:r>
      <w:r w:rsidRPr="00F1313B">
        <w:t xml:space="preserve">, the sponsor stated that they would welcome feedback on whether a Managed Entry Scheme could help address any uncertainty surrounding </w:t>
      </w:r>
      <w:r w:rsidR="003B7BE7">
        <w:t>overall survival</w:t>
      </w:r>
      <w:r w:rsidRPr="00F1313B">
        <w:t xml:space="preserve"> outcomes of </w:t>
      </w:r>
      <w:proofErr w:type="spellStart"/>
      <w:r w:rsidRPr="00F1313B">
        <w:t>pembrolizumab</w:t>
      </w:r>
      <w:proofErr w:type="spellEnd"/>
      <w:r w:rsidRPr="00F1313B">
        <w:t xml:space="preserve"> treatment in the adjuvant setting versus in the advanced setting.</w:t>
      </w:r>
    </w:p>
    <w:p w:rsidR="00FC4D0F" w:rsidRDefault="00FC4D0F" w:rsidP="00FC4D0F">
      <w:pPr>
        <w:pStyle w:val="ListParagraph"/>
        <w:widowControl/>
        <w:snapToGrid w:val="0"/>
        <w:spacing w:after="160"/>
        <w:rPr>
          <w:i/>
        </w:rPr>
      </w:pPr>
      <w:r w:rsidRPr="00FC4D0F">
        <w:rPr>
          <w:i/>
        </w:rPr>
        <w:t>For more detail on PBAC’s view, see Section 7 PBAC outcome.</w:t>
      </w:r>
    </w:p>
    <w:p w:rsidR="00FC4D0F" w:rsidRPr="00B5718F" w:rsidRDefault="00FC4D0F" w:rsidP="00EE432A">
      <w:pPr>
        <w:pStyle w:val="PBACHeading1"/>
        <w:spacing w:after="120"/>
        <w:ind w:left="720"/>
      </w:pPr>
      <w:r w:rsidRPr="00B5718F">
        <w:t>PBAC Outcome</w:t>
      </w:r>
    </w:p>
    <w:p w:rsidR="00F72E30" w:rsidRPr="00B5718F" w:rsidRDefault="00F72E30" w:rsidP="00FC4D0F">
      <w:pPr>
        <w:numPr>
          <w:ilvl w:val="1"/>
          <w:numId w:val="3"/>
        </w:numPr>
        <w:spacing w:after="120"/>
        <w:rPr>
          <w:rFonts w:asciiTheme="minorHAnsi" w:hAnsiTheme="minorHAnsi"/>
          <w:bCs/>
          <w:lang w:val="en-GB"/>
        </w:rPr>
      </w:pPr>
      <w:r w:rsidRPr="00B5718F">
        <w:rPr>
          <w:rFonts w:asciiTheme="minorHAnsi" w:hAnsiTheme="minorHAnsi"/>
          <w:bCs/>
          <w:lang w:val="en-GB"/>
        </w:rPr>
        <w:t xml:space="preserve">The PBAC did not recommend listing of </w:t>
      </w:r>
      <w:proofErr w:type="spellStart"/>
      <w:r w:rsidRPr="00B5718F">
        <w:rPr>
          <w:rFonts w:asciiTheme="minorHAnsi" w:hAnsiTheme="minorHAnsi"/>
          <w:bCs/>
          <w:lang w:val="en-GB"/>
        </w:rPr>
        <w:t>pembrolizumab</w:t>
      </w:r>
      <w:proofErr w:type="spellEnd"/>
      <w:r w:rsidRPr="00B5718F">
        <w:rPr>
          <w:rFonts w:asciiTheme="minorHAnsi" w:hAnsiTheme="minorHAnsi"/>
          <w:bCs/>
          <w:lang w:val="en-GB"/>
        </w:rPr>
        <w:t xml:space="preserve"> as an adjuvant treatment for completely </w:t>
      </w:r>
      <w:r w:rsidR="00B5718F" w:rsidRPr="00B5718F">
        <w:rPr>
          <w:rFonts w:asciiTheme="minorHAnsi" w:hAnsiTheme="minorHAnsi"/>
          <w:bCs/>
          <w:lang w:val="en-GB"/>
        </w:rPr>
        <w:t>resected S</w:t>
      </w:r>
      <w:r w:rsidRPr="00B5718F">
        <w:rPr>
          <w:rFonts w:asciiTheme="minorHAnsi" w:hAnsiTheme="minorHAnsi"/>
          <w:bCs/>
          <w:lang w:val="en-GB"/>
        </w:rPr>
        <w:t xml:space="preserve">tage III melanoma. The PBAC acknowledged that there was a high unmet clinical need for effective therapies to reduce the risk of recurrence of resected Stage III melanoma, and considered that in some circumstances recurrence was less likely for </w:t>
      </w:r>
      <w:r w:rsidR="00246274">
        <w:rPr>
          <w:rFonts w:asciiTheme="minorHAnsi" w:hAnsiTheme="minorHAnsi"/>
          <w:bCs/>
          <w:lang w:val="en-GB"/>
        </w:rPr>
        <w:t xml:space="preserve">those treated with </w:t>
      </w:r>
      <w:proofErr w:type="spellStart"/>
      <w:r w:rsidRPr="00B5718F">
        <w:rPr>
          <w:rFonts w:asciiTheme="minorHAnsi" w:hAnsiTheme="minorHAnsi"/>
          <w:bCs/>
          <w:lang w:val="en-GB"/>
        </w:rPr>
        <w:t>pembrolizumab</w:t>
      </w:r>
      <w:proofErr w:type="spellEnd"/>
      <w:r w:rsidRPr="00B5718F">
        <w:rPr>
          <w:rFonts w:asciiTheme="minorHAnsi" w:hAnsiTheme="minorHAnsi"/>
          <w:bCs/>
          <w:lang w:val="en-GB"/>
        </w:rPr>
        <w:t xml:space="preserve"> compared to placebo. However, the PBAC</w:t>
      </w:r>
      <w:r w:rsidR="00DD5F03">
        <w:rPr>
          <w:rFonts w:asciiTheme="minorHAnsi" w:hAnsiTheme="minorHAnsi"/>
          <w:bCs/>
          <w:lang w:val="en-GB"/>
        </w:rPr>
        <w:t xml:space="preserve"> noted the prognosis for Stage III patients varied widely depending on staging subgroup and</w:t>
      </w:r>
      <w:r w:rsidRPr="00B5718F">
        <w:rPr>
          <w:rFonts w:asciiTheme="minorHAnsi" w:hAnsiTheme="minorHAnsi"/>
          <w:bCs/>
          <w:lang w:val="en-GB"/>
        </w:rPr>
        <w:t xml:space="preserve"> considered </w:t>
      </w:r>
      <w:r w:rsidR="00757289">
        <w:rPr>
          <w:rFonts w:asciiTheme="minorHAnsi" w:hAnsiTheme="minorHAnsi"/>
          <w:bCs/>
          <w:lang w:val="en-GB"/>
        </w:rPr>
        <w:t>the appropriate population for treatment</w:t>
      </w:r>
      <w:r w:rsidR="00DD5F03">
        <w:rPr>
          <w:rFonts w:asciiTheme="minorHAnsi" w:hAnsiTheme="minorHAnsi"/>
          <w:bCs/>
          <w:lang w:val="en-GB"/>
        </w:rPr>
        <w:t xml:space="preserve"> had not been identified in the submission</w:t>
      </w:r>
      <w:r w:rsidR="00757289">
        <w:rPr>
          <w:rFonts w:asciiTheme="minorHAnsi" w:hAnsiTheme="minorHAnsi"/>
          <w:bCs/>
          <w:lang w:val="en-GB"/>
        </w:rPr>
        <w:t xml:space="preserve">. The PBAC considered </w:t>
      </w:r>
      <w:r w:rsidRPr="00B5718F">
        <w:rPr>
          <w:rFonts w:asciiTheme="minorHAnsi" w:hAnsiTheme="minorHAnsi"/>
          <w:bCs/>
          <w:lang w:val="en-GB"/>
        </w:rPr>
        <w:t>that there was uncertainty in the magnitude of the clinical benefit</w:t>
      </w:r>
      <w:r w:rsidR="00757289">
        <w:rPr>
          <w:rFonts w:asciiTheme="minorHAnsi" w:hAnsiTheme="minorHAnsi"/>
          <w:bCs/>
          <w:lang w:val="en-GB"/>
        </w:rPr>
        <w:t xml:space="preserve"> given the </w:t>
      </w:r>
      <w:r w:rsidR="00330875">
        <w:rPr>
          <w:rFonts w:asciiTheme="minorHAnsi" w:hAnsiTheme="minorHAnsi"/>
          <w:bCs/>
          <w:lang w:val="en-GB"/>
        </w:rPr>
        <w:t xml:space="preserve">limited duration </w:t>
      </w:r>
      <w:r w:rsidR="00757289">
        <w:rPr>
          <w:rFonts w:asciiTheme="minorHAnsi" w:hAnsiTheme="minorHAnsi"/>
          <w:bCs/>
          <w:lang w:val="en-GB"/>
        </w:rPr>
        <w:t xml:space="preserve">of follow-up in the trial and </w:t>
      </w:r>
      <w:r w:rsidR="00330875">
        <w:rPr>
          <w:rFonts w:asciiTheme="minorHAnsi" w:hAnsiTheme="minorHAnsi"/>
          <w:bCs/>
          <w:lang w:val="en-GB"/>
        </w:rPr>
        <w:t>this</w:t>
      </w:r>
      <w:r w:rsidRPr="00B5718F">
        <w:rPr>
          <w:rFonts w:asciiTheme="minorHAnsi" w:hAnsiTheme="minorHAnsi"/>
          <w:bCs/>
          <w:lang w:val="en-GB"/>
        </w:rPr>
        <w:t xml:space="preserve"> resulted in a</w:t>
      </w:r>
      <w:r w:rsidR="002C7D42">
        <w:rPr>
          <w:rFonts w:asciiTheme="minorHAnsi" w:hAnsiTheme="minorHAnsi"/>
          <w:bCs/>
          <w:lang w:val="en-GB"/>
        </w:rPr>
        <w:t xml:space="preserve"> highly</w:t>
      </w:r>
      <w:r w:rsidRPr="00B5718F">
        <w:rPr>
          <w:rFonts w:asciiTheme="minorHAnsi" w:hAnsiTheme="minorHAnsi"/>
          <w:bCs/>
          <w:lang w:val="en-GB"/>
        </w:rPr>
        <w:t xml:space="preserve"> uncertain incremental cost-effectiveness ratio (ICER)</w:t>
      </w:r>
      <w:r w:rsidR="00744B5E">
        <w:rPr>
          <w:rFonts w:asciiTheme="minorHAnsi" w:hAnsiTheme="minorHAnsi"/>
          <w:bCs/>
          <w:lang w:val="en-GB"/>
        </w:rPr>
        <w:t>. In addition</w:t>
      </w:r>
      <w:r w:rsidR="007040B1">
        <w:rPr>
          <w:rFonts w:asciiTheme="minorHAnsi" w:hAnsiTheme="minorHAnsi"/>
          <w:bCs/>
          <w:lang w:val="en-GB"/>
        </w:rPr>
        <w:t>,</w:t>
      </w:r>
      <w:r w:rsidRPr="00B5718F">
        <w:rPr>
          <w:rFonts w:asciiTheme="minorHAnsi" w:hAnsiTheme="minorHAnsi"/>
          <w:bCs/>
          <w:lang w:val="en-GB"/>
        </w:rPr>
        <w:t xml:space="preserve"> </w:t>
      </w:r>
      <w:r w:rsidR="007040B1">
        <w:rPr>
          <w:rFonts w:asciiTheme="minorHAnsi" w:hAnsiTheme="minorHAnsi"/>
          <w:bCs/>
          <w:lang w:val="en-GB"/>
        </w:rPr>
        <w:t xml:space="preserve">the </w:t>
      </w:r>
      <w:r w:rsidR="007040B1" w:rsidRPr="00B5718F">
        <w:rPr>
          <w:rFonts w:asciiTheme="minorHAnsi" w:hAnsiTheme="minorHAnsi"/>
          <w:bCs/>
          <w:lang w:val="en-GB"/>
        </w:rPr>
        <w:t xml:space="preserve">estimated financial impact </w:t>
      </w:r>
      <w:r w:rsidR="007040B1">
        <w:rPr>
          <w:rFonts w:asciiTheme="minorHAnsi" w:hAnsiTheme="minorHAnsi"/>
          <w:bCs/>
          <w:lang w:val="en-GB"/>
        </w:rPr>
        <w:t>was</w:t>
      </w:r>
      <w:r w:rsidRPr="00B5718F">
        <w:rPr>
          <w:rFonts w:asciiTheme="minorHAnsi" w:hAnsiTheme="minorHAnsi"/>
          <w:bCs/>
          <w:lang w:val="en-GB"/>
        </w:rPr>
        <w:t xml:space="preserve"> very high and uncertain.</w:t>
      </w:r>
    </w:p>
    <w:p w:rsidR="00744B5E" w:rsidRDefault="00744B5E" w:rsidP="00FC4D0F">
      <w:pPr>
        <w:numPr>
          <w:ilvl w:val="1"/>
          <w:numId w:val="3"/>
        </w:numPr>
        <w:spacing w:after="120"/>
        <w:rPr>
          <w:rFonts w:asciiTheme="minorHAnsi" w:hAnsiTheme="minorHAnsi"/>
          <w:bCs/>
          <w:lang w:val="en-GB"/>
        </w:rPr>
      </w:pPr>
      <w:r>
        <w:rPr>
          <w:rFonts w:asciiTheme="minorHAnsi" w:hAnsiTheme="minorHAnsi"/>
          <w:bCs/>
          <w:lang w:val="en-GB"/>
        </w:rPr>
        <w:t xml:space="preserve">The PBAC acknowledged the consumer comments, which were supportive of listing </w:t>
      </w:r>
      <w:proofErr w:type="spellStart"/>
      <w:r>
        <w:rPr>
          <w:rFonts w:asciiTheme="minorHAnsi" w:hAnsiTheme="minorHAnsi"/>
          <w:bCs/>
          <w:lang w:val="en-GB"/>
        </w:rPr>
        <w:lastRenderedPageBreak/>
        <w:t>pembrolizumab</w:t>
      </w:r>
      <w:proofErr w:type="spellEnd"/>
      <w:r>
        <w:rPr>
          <w:rFonts w:asciiTheme="minorHAnsi" w:hAnsiTheme="minorHAnsi"/>
          <w:bCs/>
          <w:lang w:val="en-GB"/>
        </w:rPr>
        <w:t xml:space="preserve"> for the treatment of completely resected Stage III melanoma. The PBAC al</w:t>
      </w:r>
      <w:r w:rsidR="006C15FA">
        <w:rPr>
          <w:rFonts w:asciiTheme="minorHAnsi" w:hAnsiTheme="minorHAnsi"/>
          <w:bCs/>
          <w:lang w:val="en-GB"/>
        </w:rPr>
        <w:t>so noted the strong support from the Medi</w:t>
      </w:r>
      <w:r w:rsidR="008930AA">
        <w:rPr>
          <w:rFonts w:asciiTheme="minorHAnsi" w:hAnsiTheme="minorHAnsi"/>
          <w:bCs/>
          <w:lang w:val="en-GB"/>
        </w:rPr>
        <w:t>cal Oncology Group of Australia</w:t>
      </w:r>
      <w:r w:rsidR="006C15FA">
        <w:rPr>
          <w:rFonts w:asciiTheme="minorHAnsi" w:hAnsiTheme="minorHAnsi"/>
          <w:bCs/>
          <w:lang w:val="en-GB"/>
        </w:rPr>
        <w:t>.</w:t>
      </w:r>
    </w:p>
    <w:p w:rsidR="00246274" w:rsidRDefault="00F72E30" w:rsidP="00FC4D0F">
      <w:pPr>
        <w:numPr>
          <w:ilvl w:val="1"/>
          <w:numId w:val="3"/>
        </w:numPr>
        <w:spacing w:after="120"/>
        <w:rPr>
          <w:rFonts w:asciiTheme="minorHAnsi" w:hAnsiTheme="minorHAnsi"/>
          <w:bCs/>
          <w:lang w:val="en-GB"/>
        </w:rPr>
      </w:pPr>
      <w:r w:rsidRPr="00B5718F">
        <w:rPr>
          <w:rFonts w:asciiTheme="minorHAnsi" w:hAnsiTheme="minorHAnsi"/>
          <w:bCs/>
          <w:lang w:val="en-GB"/>
        </w:rPr>
        <w:t xml:space="preserve">The PBAC considered that the nominated comparator, observation, was reasonable in this submission. </w:t>
      </w:r>
    </w:p>
    <w:p w:rsidR="00EB79CD" w:rsidRDefault="00F72E30" w:rsidP="00EB79CD">
      <w:pPr>
        <w:numPr>
          <w:ilvl w:val="1"/>
          <w:numId w:val="3"/>
        </w:numPr>
        <w:spacing w:after="120"/>
        <w:rPr>
          <w:rFonts w:asciiTheme="minorHAnsi" w:hAnsiTheme="minorHAnsi"/>
          <w:bCs/>
          <w:lang w:val="en-GB"/>
        </w:rPr>
      </w:pPr>
      <w:r w:rsidRPr="00EB79CD">
        <w:rPr>
          <w:rFonts w:asciiTheme="minorHAnsi" w:hAnsiTheme="minorHAnsi"/>
          <w:bCs/>
          <w:lang w:val="en-GB"/>
        </w:rPr>
        <w:t xml:space="preserve">The PBAC noted that the submission </w:t>
      </w:r>
      <w:r w:rsidR="00CE08D9" w:rsidRPr="00EB79CD">
        <w:rPr>
          <w:rFonts w:asciiTheme="minorHAnsi" w:hAnsiTheme="minorHAnsi"/>
          <w:bCs/>
          <w:lang w:val="en-GB"/>
        </w:rPr>
        <w:t xml:space="preserve">had </w:t>
      </w:r>
      <w:r w:rsidRPr="00EB79CD">
        <w:rPr>
          <w:rFonts w:asciiTheme="minorHAnsi" w:hAnsiTheme="minorHAnsi"/>
          <w:bCs/>
          <w:lang w:val="en-GB"/>
        </w:rPr>
        <w:t xml:space="preserve">considered the place in therapy for </w:t>
      </w:r>
      <w:proofErr w:type="spellStart"/>
      <w:r w:rsidRPr="00EB79CD">
        <w:rPr>
          <w:rFonts w:asciiTheme="minorHAnsi" w:hAnsiTheme="minorHAnsi"/>
          <w:bCs/>
          <w:lang w:val="en-GB"/>
        </w:rPr>
        <w:t>pembrolizumab</w:t>
      </w:r>
      <w:proofErr w:type="spellEnd"/>
      <w:r w:rsidR="00246274" w:rsidRPr="00EB79CD">
        <w:rPr>
          <w:rFonts w:asciiTheme="minorHAnsi" w:hAnsiTheme="minorHAnsi"/>
          <w:bCs/>
          <w:lang w:val="en-GB"/>
        </w:rPr>
        <w:t xml:space="preserve"> </w:t>
      </w:r>
      <w:r w:rsidR="00EB79CD" w:rsidRPr="00EB79CD">
        <w:rPr>
          <w:rFonts w:asciiTheme="minorHAnsi" w:hAnsiTheme="minorHAnsi"/>
          <w:bCs/>
          <w:lang w:val="en-GB"/>
        </w:rPr>
        <w:t>in</w:t>
      </w:r>
      <w:r w:rsidR="00246274" w:rsidRPr="00EB79CD">
        <w:rPr>
          <w:rFonts w:asciiTheme="minorHAnsi" w:hAnsiTheme="minorHAnsi"/>
          <w:bCs/>
          <w:lang w:val="en-GB"/>
        </w:rPr>
        <w:t xml:space="preserve"> both </w:t>
      </w:r>
      <w:r w:rsidR="008930AA">
        <w:rPr>
          <w:rFonts w:asciiTheme="minorHAnsi" w:hAnsiTheme="minorHAnsi"/>
          <w:bCs/>
          <w:lang w:val="en-GB"/>
        </w:rPr>
        <w:t xml:space="preserve">the </w:t>
      </w:r>
      <w:r w:rsidR="00246274" w:rsidRPr="00EB79CD">
        <w:rPr>
          <w:rFonts w:asciiTheme="minorHAnsi" w:hAnsiTheme="minorHAnsi"/>
          <w:bCs/>
          <w:lang w:val="en-GB"/>
        </w:rPr>
        <w:t xml:space="preserve">resected and </w:t>
      </w:r>
      <w:proofErr w:type="spellStart"/>
      <w:r w:rsidR="00246274" w:rsidRPr="00EB79CD">
        <w:rPr>
          <w:rFonts w:asciiTheme="minorHAnsi" w:hAnsiTheme="minorHAnsi"/>
          <w:bCs/>
          <w:lang w:val="en-GB"/>
        </w:rPr>
        <w:t>unresected</w:t>
      </w:r>
      <w:proofErr w:type="spellEnd"/>
      <w:r w:rsidR="00246274" w:rsidRPr="00EB79CD">
        <w:rPr>
          <w:rFonts w:asciiTheme="minorHAnsi" w:hAnsiTheme="minorHAnsi"/>
          <w:bCs/>
          <w:lang w:val="en-GB"/>
        </w:rPr>
        <w:t xml:space="preserve"> melanoma p</w:t>
      </w:r>
      <w:r w:rsidR="008930AA">
        <w:rPr>
          <w:rFonts w:asciiTheme="minorHAnsi" w:hAnsiTheme="minorHAnsi"/>
          <w:bCs/>
          <w:lang w:val="en-GB"/>
        </w:rPr>
        <w:t>opulations</w:t>
      </w:r>
      <w:r w:rsidR="00DD4B47" w:rsidRPr="00EB79CD">
        <w:rPr>
          <w:rFonts w:asciiTheme="minorHAnsi" w:hAnsiTheme="minorHAnsi"/>
          <w:bCs/>
          <w:lang w:val="en-GB"/>
        </w:rPr>
        <w:t>. I</w:t>
      </w:r>
      <w:r w:rsidR="00246274" w:rsidRPr="00EB79CD">
        <w:rPr>
          <w:rFonts w:asciiTheme="minorHAnsi" w:hAnsiTheme="minorHAnsi"/>
          <w:bCs/>
          <w:lang w:val="en-GB"/>
        </w:rPr>
        <w:t xml:space="preserve">n addition to providing proposed PBS restrictions for patients with </w:t>
      </w:r>
      <w:r w:rsidR="00F21162" w:rsidRPr="00EB79CD">
        <w:rPr>
          <w:rFonts w:asciiTheme="minorHAnsi" w:hAnsiTheme="minorHAnsi"/>
          <w:bCs/>
          <w:lang w:val="en-GB"/>
        </w:rPr>
        <w:t xml:space="preserve">completely </w:t>
      </w:r>
      <w:r w:rsidR="00246274" w:rsidRPr="00EB79CD">
        <w:rPr>
          <w:rFonts w:asciiTheme="minorHAnsi" w:hAnsiTheme="minorHAnsi"/>
          <w:bCs/>
          <w:lang w:val="en-GB"/>
        </w:rPr>
        <w:t xml:space="preserve">resected Stage III disease, </w:t>
      </w:r>
      <w:r w:rsidR="00DD4B47" w:rsidRPr="00EB79CD">
        <w:rPr>
          <w:rFonts w:asciiTheme="minorHAnsi" w:hAnsiTheme="minorHAnsi"/>
          <w:bCs/>
          <w:lang w:val="en-GB"/>
        </w:rPr>
        <w:t xml:space="preserve">the submission </w:t>
      </w:r>
      <w:r w:rsidR="00CE08D9" w:rsidRPr="00EB79CD">
        <w:rPr>
          <w:rFonts w:asciiTheme="minorHAnsi" w:hAnsiTheme="minorHAnsi"/>
          <w:bCs/>
          <w:lang w:val="en-GB"/>
        </w:rPr>
        <w:t xml:space="preserve">provided a proposed restriction for retreatment with </w:t>
      </w:r>
      <w:proofErr w:type="spellStart"/>
      <w:r w:rsidR="00CE08D9" w:rsidRPr="00EB79CD">
        <w:rPr>
          <w:rFonts w:asciiTheme="minorHAnsi" w:hAnsiTheme="minorHAnsi"/>
          <w:bCs/>
          <w:lang w:val="en-GB"/>
        </w:rPr>
        <w:t>pembrolizumab</w:t>
      </w:r>
      <w:proofErr w:type="spellEnd"/>
      <w:r w:rsidR="00CE08D9" w:rsidRPr="00EB79CD">
        <w:rPr>
          <w:rFonts w:asciiTheme="minorHAnsi" w:hAnsiTheme="minorHAnsi"/>
          <w:bCs/>
          <w:lang w:val="en-GB"/>
        </w:rPr>
        <w:t xml:space="preserve"> in the </w:t>
      </w:r>
      <w:proofErr w:type="spellStart"/>
      <w:r w:rsidR="00CE08D9" w:rsidRPr="00EB79CD">
        <w:rPr>
          <w:rFonts w:asciiTheme="minorHAnsi" w:hAnsiTheme="minorHAnsi"/>
          <w:bCs/>
          <w:lang w:val="en-GB"/>
        </w:rPr>
        <w:t>unresectable</w:t>
      </w:r>
      <w:proofErr w:type="spellEnd"/>
      <w:r w:rsidR="00CE08D9" w:rsidRPr="00EB79CD">
        <w:rPr>
          <w:rFonts w:asciiTheme="minorHAnsi" w:hAnsiTheme="minorHAnsi"/>
          <w:bCs/>
          <w:lang w:val="en-GB"/>
        </w:rPr>
        <w:t xml:space="preserve"> setting. </w:t>
      </w:r>
      <w:r w:rsidR="00EB79CD" w:rsidRPr="00EB79CD">
        <w:rPr>
          <w:rFonts w:asciiTheme="minorHAnsi" w:hAnsiTheme="minorHAnsi"/>
          <w:bCs/>
          <w:lang w:val="en-GB"/>
        </w:rPr>
        <w:t>T</w:t>
      </w:r>
      <w:r w:rsidR="00CE08D9" w:rsidRPr="00EB79CD">
        <w:rPr>
          <w:rFonts w:asciiTheme="minorHAnsi" w:hAnsiTheme="minorHAnsi"/>
          <w:bCs/>
          <w:lang w:val="en-GB"/>
        </w:rPr>
        <w:t xml:space="preserve">he PBAC </w:t>
      </w:r>
      <w:r w:rsidR="00330875" w:rsidRPr="00EB79CD">
        <w:rPr>
          <w:rFonts w:asciiTheme="minorHAnsi" w:hAnsiTheme="minorHAnsi"/>
          <w:bCs/>
          <w:lang w:val="en-GB"/>
        </w:rPr>
        <w:t xml:space="preserve">was </w:t>
      </w:r>
      <w:r w:rsidRPr="00EB79CD">
        <w:rPr>
          <w:rFonts w:asciiTheme="minorHAnsi" w:hAnsiTheme="minorHAnsi"/>
          <w:bCs/>
          <w:lang w:val="en-GB"/>
        </w:rPr>
        <w:t xml:space="preserve">concerned by the </w:t>
      </w:r>
      <w:r w:rsidR="00F21162" w:rsidRPr="00EB79CD">
        <w:rPr>
          <w:rFonts w:asciiTheme="minorHAnsi" w:hAnsiTheme="minorHAnsi"/>
          <w:bCs/>
          <w:lang w:val="en-GB"/>
        </w:rPr>
        <w:t xml:space="preserve">complete </w:t>
      </w:r>
      <w:r w:rsidRPr="00EB79CD">
        <w:rPr>
          <w:rFonts w:asciiTheme="minorHAnsi" w:hAnsiTheme="minorHAnsi"/>
          <w:bCs/>
          <w:lang w:val="en-GB"/>
        </w:rPr>
        <w:t xml:space="preserve">lack of </w:t>
      </w:r>
      <w:r w:rsidR="007D0AAA" w:rsidRPr="00EB79CD">
        <w:rPr>
          <w:rFonts w:asciiTheme="minorHAnsi" w:hAnsiTheme="minorHAnsi"/>
          <w:bCs/>
          <w:lang w:val="en-GB"/>
        </w:rPr>
        <w:t xml:space="preserve">comparative </w:t>
      </w:r>
      <w:r w:rsidRPr="00EB79CD">
        <w:rPr>
          <w:rFonts w:asciiTheme="minorHAnsi" w:hAnsiTheme="minorHAnsi"/>
          <w:bCs/>
          <w:lang w:val="en-GB"/>
        </w:rPr>
        <w:t>evidence</w:t>
      </w:r>
      <w:r w:rsidR="00F21162" w:rsidRPr="00EB79CD">
        <w:rPr>
          <w:rFonts w:asciiTheme="minorHAnsi" w:hAnsiTheme="minorHAnsi"/>
          <w:bCs/>
          <w:lang w:val="en-GB"/>
        </w:rPr>
        <w:t xml:space="preserve"> for</w:t>
      </w:r>
      <w:r w:rsidR="008930AA">
        <w:rPr>
          <w:rFonts w:asciiTheme="minorHAnsi" w:hAnsiTheme="minorHAnsi"/>
          <w:bCs/>
          <w:lang w:val="en-GB"/>
        </w:rPr>
        <w:t>,</w:t>
      </w:r>
      <w:r w:rsidR="00F21162" w:rsidRPr="00EB79CD">
        <w:rPr>
          <w:rFonts w:asciiTheme="minorHAnsi" w:hAnsiTheme="minorHAnsi"/>
          <w:bCs/>
          <w:lang w:val="en-GB"/>
        </w:rPr>
        <w:t xml:space="preserve"> and the potential</w:t>
      </w:r>
      <w:r w:rsidRPr="00EB79CD">
        <w:rPr>
          <w:rFonts w:asciiTheme="minorHAnsi" w:hAnsiTheme="minorHAnsi"/>
          <w:bCs/>
          <w:lang w:val="en-GB"/>
        </w:rPr>
        <w:t xml:space="preserve"> </w:t>
      </w:r>
      <w:r w:rsidR="00F21162" w:rsidRPr="00EB79CD">
        <w:rPr>
          <w:rFonts w:asciiTheme="minorHAnsi" w:hAnsiTheme="minorHAnsi"/>
          <w:bCs/>
          <w:lang w:val="en-GB"/>
        </w:rPr>
        <w:t xml:space="preserve">unknown </w:t>
      </w:r>
      <w:r w:rsidRPr="00EB79CD">
        <w:rPr>
          <w:rFonts w:asciiTheme="minorHAnsi" w:hAnsiTheme="minorHAnsi"/>
          <w:bCs/>
          <w:lang w:val="en-GB"/>
        </w:rPr>
        <w:t>downstream consequences of</w:t>
      </w:r>
      <w:r w:rsidR="008930AA">
        <w:rPr>
          <w:rFonts w:asciiTheme="minorHAnsi" w:hAnsiTheme="minorHAnsi"/>
          <w:bCs/>
          <w:lang w:val="en-GB"/>
        </w:rPr>
        <w:t>,</w:t>
      </w:r>
      <w:r w:rsidRPr="00EB79CD">
        <w:rPr>
          <w:rFonts w:asciiTheme="minorHAnsi" w:hAnsiTheme="minorHAnsi"/>
          <w:bCs/>
          <w:lang w:val="en-GB"/>
        </w:rPr>
        <w:t xml:space="preserve"> </w:t>
      </w:r>
      <w:r w:rsidR="00F21162" w:rsidRPr="00EB79CD">
        <w:rPr>
          <w:rFonts w:asciiTheme="minorHAnsi" w:hAnsiTheme="minorHAnsi"/>
          <w:bCs/>
          <w:lang w:val="en-GB"/>
        </w:rPr>
        <w:t xml:space="preserve">retreatment with </w:t>
      </w:r>
      <w:r w:rsidRPr="00EB79CD">
        <w:rPr>
          <w:rFonts w:asciiTheme="minorHAnsi" w:hAnsiTheme="minorHAnsi"/>
          <w:bCs/>
          <w:lang w:val="en-GB"/>
        </w:rPr>
        <w:t>programmed cell dealth-1 (PD-1) inhibitor therap</w:t>
      </w:r>
      <w:r w:rsidR="008930AA">
        <w:rPr>
          <w:rFonts w:asciiTheme="minorHAnsi" w:hAnsiTheme="minorHAnsi"/>
          <w:bCs/>
          <w:lang w:val="en-GB"/>
        </w:rPr>
        <w:t>ies</w:t>
      </w:r>
      <w:r w:rsidR="00F21162" w:rsidRPr="00EB79CD">
        <w:rPr>
          <w:rFonts w:asciiTheme="minorHAnsi" w:hAnsiTheme="minorHAnsi"/>
          <w:bCs/>
          <w:lang w:val="en-GB"/>
        </w:rPr>
        <w:t xml:space="preserve"> in terms of efficacy, safety and cost-effectiveness</w:t>
      </w:r>
      <w:r w:rsidRPr="00EB79CD">
        <w:rPr>
          <w:rFonts w:asciiTheme="minorHAnsi" w:hAnsiTheme="minorHAnsi"/>
          <w:bCs/>
          <w:lang w:val="en-GB"/>
        </w:rPr>
        <w:t xml:space="preserve">. If </w:t>
      </w:r>
      <w:proofErr w:type="spellStart"/>
      <w:r w:rsidRPr="00EB79CD">
        <w:rPr>
          <w:rFonts w:asciiTheme="minorHAnsi" w:hAnsiTheme="minorHAnsi"/>
          <w:bCs/>
          <w:lang w:val="en-GB"/>
        </w:rPr>
        <w:t>pembrolizumab</w:t>
      </w:r>
      <w:proofErr w:type="spellEnd"/>
      <w:r w:rsidRPr="00EB79CD">
        <w:rPr>
          <w:rFonts w:asciiTheme="minorHAnsi" w:hAnsiTheme="minorHAnsi"/>
          <w:bCs/>
          <w:lang w:val="en-GB"/>
        </w:rPr>
        <w:t xml:space="preserve"> becomes available for use as </w:t>
      </w:r>
      <w:r w:rsidR="008930AA">
        <w:rPr>
          <w:rFonts w:asciiTheme="minorHAnsi" w:hAnsiTheme="minorHAnsi"/>
          <w:bCs/>
          <w:lang w:val="en-GB"/>
        </w:rPr>
        <w:t xml:space="preserve">an </w:t>
      </w:r>
      <w:r w:rsidRPr="00EB79CD">
        <w:rPr>
          <w:rFonts w:asciiTheme="minorHAnsi" w:hAnsiTheme="minorHAnsi"/>
          <w:bCs/>
          <w:lang w:val="en-GB"/>
        </w:rPr>
        <w:t xml:space="preserve">adjuvant therapy, it will alter the use of PD-1 inhibitors in the </w:t>
      </w:r>
      <w:proofErr w:type="spellStart"/>
      <w:r w:rsidRPr="00EB79CD">
        <w:rPr>
          <w:rFonts w:asciiTheme="minorHAnsi" w:hAnsiTheme="minorHAnsi"/>
          <w:bCs/>
          <w:lang w:val="en-GB"/>
        </w:rPr>
        <w:t>unresectable</w:t>
      </w:r>
      <w:proofErr w:type="spellEnd"/>
      <w:r w:rsidRPr="00EB79CD">
        <w:rPr>
          <w:rFonts w:asciiTheme="minorHAnsi" w:hAnsiTheme="minorHAnsi"/>
          <w:bCs/>
          <w:lang w:val="en-GB"/>
        </w:rPr>
        <w:t xml:space="preserve"> setting and this impact, particularly in terms of overall survival, remains an area of uncertainty.</w:t>
      </w:r>
    </w:p>
    <w:p w:rsidR="00EB79CD" w:rsidRDefault="000D483B" w:rsidP="00FC4D0F">
      <w:pPr>
        <w:numPr>
          <w:ilvl w:val="1"/>
          <w:numId w:val="3"/>
        </w:numPr>
        <w:spacing w:after="120"/>
        <w:rPr>
          <w:rFonts w:asciiTheme="minorHAnsi" w:hAnsiTheme="minorHAnsi"/>
          <w:bCs/>
          <w:lang w:val="en-GB"/>
        </w:rPr>
      </w:pPr>
      <w:r w:rsidRPr="00EB79CD">
        <w:rPr>
          <w:rFonts w:asciiTheme="minorHAnsi" w:hAnsiTheme="minorHAnsi"/>
          <w:bCs/>
          <w:lang w:val="en-GB"/>
        </w:rPr>
        <w:t xml:space="preserve">In terms of adjuvant </w:t>
      </w:r>
      <w:proofErr w:type="spellStart"/>
      <w:r w:rsidRPr="00EB79CD">
        <w:rPr>
          <w:rFonts w:asciiTheme="minorHAnsi" w:hAnsiTheme="minorHAnsi"/>
          <w:bCs/>
          <w:lang w:val="en-GB"/>
        </w:rPr>
        <w:t>pembrolizumab</w:t>
      </w:r>
      <w:proofErr w:type="spellEnd"/>
      <w:r w:rsidRPr="00EB79CD">
        <w:rPr>
          <w:rFonts w:asciiTheme="minorHAnsi" w:hAnsiTheme="minorHAnsi"/>
          <w:bCs/>
          <w:lang w:val="en-GB"/>
        </w:rPr>
        <w:t xml:space="preserve"> use, t</w:t>
      </w:r>
      <w:r w:rsidR="003701F1" w:rsidRPr="00EB79CD">
        <w:rPr>
          <w:rFonts w:asciiTheme="minorHAnsi" w:hAnsiTheme="minorHAnsi"/>
          <w:bCs/>
          <w:lang w:val="en-GB"/>
        </w:rPr>
        <w:t xml:space="preserve">he submission was based on one randomised controlled trial, KN054, which compared </w:t>
      </w:r>
      <w:proofErr w:type="spellStart"/>
      <w:r w:rsidR="003701F1" w:rsidRPr="00EB79CD">
        <w:rPr>
          <w:rFonts w:asciiTheme="minorHAnsi" w:hAnsiTheme="minorHAnsi"/>
          <w:bCs/>
          <w:lang w:val="en-GB"/>
        </w:rPr>
        <w:t>pembrolizumab</w:t>
      </w:r>
      <w:proofErr w:type="spellEnd"/>
      <w:r w:rsidR="003701F1" w:rsidRPr="00EB79CD">
        <w:rPr>
          <w:rFonts w:asciiTheme="minorHAnsi" w:hAnsiTheme="minorHAnsi"/>
          <w:bCs/>
          <w:lang w:val="en-GB"/>
        </w:rPr>
        <w:t xml:space="preserve"> with placebo in patients with Stage </w:t>
      </w:r>
      <w:r w:rsidR="00E30E36" w:rsidRPr="00EB79CD">
        <w:rPr>
          <w:rFonts w:asciiTheme="minorHAnsi" w:hAnsiTheme="minorHAnsi"/>
          <w:bCs/>
          <w:lang w:val="en-GB"/>
        </w:rPr>
        <w:t>III</w:t>
      </w:r>
      <w:r w:rsidR="003701F1" w:rsidRPr="00EB79CD">
        <w:rPr>
          <w:rFonts w:asciiTheme="minorHAnsi" w:hAnsiTheme="minorHAnsi"/>
          <w:bCs/>
          <w:lang w:val="en-GB"/>
        </w:rPr>
        <w:t xml:space="preserve"> </w:t>
      </w:r>
      <w:proofErr w:type="spellStart"/>
      <w:r w:rsidR="003701F1" w:rsidRPr="00EB79CD">
        <w:rPr>
          <w:rFonts w:asciiTheme="minorHAnsi" w:hAnsiTheme="minorHAnsi"/>
          <w:bCs/>
          <w:lang w:val="en-GB"/>
        </w:rPr>
        <w:t>resectable</w:t>
      </w:r>
      <w:proofErr w:type="spellEnd"/>
      <w:r w:rsidR="003701F1" w:rsidRPr="00EB79CD">
        <w:rPr>
          <w:rFonts w:asciiTheme="minorHAnsi" w:hAnsiTheme="minorHAnsi"/>
          <w:bCs/>
          <w:lang w:val="en-GB"/>
        </w:rPr>
        <w:t xml:space="preserve"> melanoma</w:t>
      </w:r>
      <w:r w:rsidR="00D256DB" w:rsidRPr="00EB79CD">
        <w:rPr>
          <w:rFonts w:asciiTheme="minorHAnsi" w:hAnsiTheme="minorHAnsi"/>
          <w:bCs/>
          <w:lang w:val="en-GB"/>
        </w:rPr>
        <w:t xml:space="preserve">. </w:t>
      </w:r>
      <w:r w:rsidR="001700B5" w:rsidRPr="00EB79CD">
        <w:rPr>
          <w:rFonts w:asciiTheme="minorHAnsi" w:hAnsiTheme="minorHAnsi"/>
          <w:bCs/>
          <w:lang w:val="en-GB"/>
        </w:rPr>
        <w:t xml:space="preserve">The submission proposed that </w:t>
      </w:r>
      <w:proofErr w:type="spellStart"/>
      <w:r w:rsidR="001700B5" w:rsidRPr="00EB79CD">
        <w:rPr>
          <w:rFonts w:asciiTheme="minorHAnsi" w:hAnsiTheme="minorHAnsi"/>
          <w:bCs/>
          <w:lang w:val="en-GB"/>
        </w:rPr>
        <w:t>pembrolizumab</w:t>
      </w:r>
      <w:proofErr w:type="spellEnd"/>
      <w:r w:rsidR="001700B5" w:rsidRPr="00EB79CD">
        <w:rPr>
          <w:rFonts w:asciiTheme="minorHAnsi" w:hAnsiTheme="minorHAnsi"/>
          <w:bCs/>
          <w:lang w:val="en-GB"/>
        </w:rPr>
        <w:t xml:space="preserve"> be used in all patients with Stage III </w:t>
      </w:r>
      <w:proofErr w:type="spellStart"/>
      <w:r w:rsidR="001700B5" w:rsidRPr="00EB79CD">
        <w:rPr>
          <w:rFonts w:asciiTheme="minorHAnsi" w:hAnsiTheme="minorHAnsi"/>
          <w:bCs/>
          <w:lang w:val="en-GB"/>
        </w:rPr>
        <w:t>resectable</w:t>
      </w:r>
      <w:proofErr w:type="spellEnd"/>
      <w:r w:rsidR="001700B5" w:rsidRPr="00EB79CD">
        <w:rPr>
          <w:rFonts w:asciiTheme="minorHAnsi" w:hAnsiTheme="minorHAnsi"/>
          <w:bCs/>
          <w:lang w:val="en-GB"/>
        </w:rPr>
        <w:t xml:space="preserve"> disease</w:t>
      </w:r>
      <w:r w:rsidR="00EE640C" w:rsidRPr="00EB79CD">
        <w:rPr>
          <w:rFonts w:asciiTheme="minorHAnsi" w:hAnsiTheme="minorHAnsi"/>
          <w:bCs/>
          <w:lang w:val="en-GB"/>
        </w:rPr>
        <w:t>.</w:t>
      </w:r>
      <w:r w:rsidR="00943914" w:rsidRPr="00EB79CD">
        <w:rPr>
          <w:rFonts w:asciiTheme="minorHAnsi" w:hAnsiTheme="minorHAnsi"/>
          <w:bCs/>
          <w:lang w:val="en-GB"/>
        </w:rPr>
        <w:t xml:space="preserve"> </w:t>
      </w:r>
    </w:p>
    <w:p w:rsidR="000F24D2" w:rsidRDefault="00D256DB" w:rsidP="00FC4D0F">
      <w:pPr>
        <w:numPr>
          <w:ilvl w:val="1"/>
          <w:numId w:val="3"/>
        </w:numPr>
        <w:spacing w:after="120"/>
        <w:rPr>
          <w:rFonts w:asciiTheme="minorHAnsi" w:hAnsiTheme="minorHAnsi"/>
          <w:bCs/>
          <w:lang w:val="en-GB"/>
        </w:rPr>
      </w:pPr>
      <w:r w:rsidRPr="00EE640C">
        <w:rPr>
          <w:rFonts w:asciiTheme="minorHAnsi" w:hAnsiTheme="minorHAnsi"/>
          <w:bCs/>
          <w:lang w:val="en-GB"/>
        </w:rPr>
        <w:t>T</w:t>
      </w:r>
      <w:r w:rsidR="009648C8" w:rsidRPr="00EE640C">
        <w:rPr>
          <w:rFonts w:asciiTheme="minorHAnsi" w:hAnsiTheme="minorHAnsi"/>
          <w:bCs/>
          <w:lang w:val="en-GB"/>
        </w:rPr>
        <w:t>rial KN054</w:t>
      </w:r>
      <w:r w:rsidR="000C782D" w:rsidRPr="00EE640C">
        <w:rPr>
          <w:rFonts w:asciiTheme="minorHAnsi" w:hAnsiTheme="minorHAnsi"/>
          <w:bCs/>
          <w:lang w:val="en-GB"/>
        </w:rPr>
        <w:t xml:space="preserve"> </w:t>
      </w:r>
      <w:r w:rsidR="000D483B" w:rsidRPr="00EE640C">
        <w:rPr>
          <w:rFonts w:asciiTheme="minorHAnsi" w:hAnsiTheme="minorHAnsi"/>
          <w:bCs/>
          <w:lang w:val="en-GB"/>
        </w:rPr>
        <w:t>classified melanoma stage using the 7</w:t>
      </w:r>
      <w:r w:rsidR="000D483B" w:rsidRPr="00EE640C">
        <w:rPr>
          <w:rFonts w:asciiTheme="minorHAnsi" w:hAnsiTheme="minorHAnsi"/>
          <w:bCs/>
          <w:vertAlign w:val="superscript"/>
          <w:lang w:val="en-GB"/>
        </w:rPr>
        <w:t>th</w:t>
      </w:r>
      <w:r w:rsidR="000D483B" w:rsidRPr="00EE640C">
        <w:rPr>
          <w:rFonts w:asciiTheme="minorHAnsi" w:hAnsiTheme="minorHAnsi"/>
          <w:bCs/>
          <w:lang w:val="en-GB"/>
        </w:rPr>
        <w:t xml:space="preserve"> edition of the American Joint Committee on Cancer (AJCC) melanoma staging system, which has three Stage III subgroups (IIIA</w:t>
      </w:r>
      <w:r w:rsidR="005A1ADE" w:rsidRPr="00EE640C">
        <w:rPr>
          <w:rFonts w:asciiTheme="minorHAnsi" w:hAnsiTheme="minorHAnsi"/>
          <w:bCs/>
          <w:lang w:val="en-GB"/>
        </w:rPr>
        <w:t>, IIIB and</w:t>
      </w:r>
      <w:r w:rsidR="001700B5" w:rsidRPr="00EE640C">
        <w:rPr>
          <w:rFonts w:asciiTheme="minorHAnsi" w:hAnsiTheme="minorHAnsi"/>
          <w:bCs/>
          <w:lang w:val="en-GB"/>
        </w:rPr>
        <w:t xml:space="preserve"> </w:t>
      </w:r>
      <w:r w:rsidR="000D483B" w:rsidRPr="00EE640C">
        <w:rPr>
          <w:rFonts w:asciiTheme="minorHAnsi" w:hAnsiTheme="minorHAnsi"/>
          <w:bCs/>
          <w:lang w:val="en-GB"/>
        </w:rPr>
        <w:t xml:space="preserve">IIIC). </w:t>
      </w:r>
      <w:r w:rsidR="009648C8" w:rsidRPr="00EE640C">
        <w:rPr>
          <w:rFonts w:asciiTheme="minorHAnsi" w:hAnsiTheme="minorHAnsi"/>
          <w:bCs/>
          <w:lang w:val="en-GB"/>
        </w:rPr>
        <w:t>T</w:t>
      </w:r>
      <w:r w:rsidR="000D483B" w:rsidRPr="00EE640C">
        <w:rPr>
          <w:rFonts w:asciiTheme="minorHAnsi" w:hAnsiTheme="minorHAnsi"/>
          <w:bCs/>
          <w:lang w:val="en-GB"/>
        </w:rPr>
        <w:t xml:space="preserve">he PBAC noted that KN054 recruited patients with predominantly </w:t>
      </w:r>
      <w:r w:rsidR="00943914">
        <w:rPr>
          <w:rFonts w:asciiTheme="minorHAnsi" w:hAnsiTheme="minorHAnsi"/>
          <w:bCs/>
          <w:lang w:val="en-GB"/>
        </w:rPr>
        <w:t>Stage IIIB</w:t>
      </w:r>
      <w:r w:rsidR="000D483B" w:rsidRPr="00EE640C">
        <w:rPr>
          <w:rFonts w:asciiTheme="minorHAnsi" w:hAnsiTheme="minorHAnsi"/>
          <w:bCs/>
          <w:lang w:val="en-GB"/>
        </w:rPr>
        <w:t xml:space="preserve"> </w:t>
      </w:r>
      <w:r w:rsidR="00943914">
        <w:rPr>
          <w:rFonts w:asciiTheme="minorHAnsi" w:hAnsiTheme="minorHAnsi"/>
          <w:bCs/>
          <w:lang w:val="en-GB"/>
        </w:rPr>
        <w:t>(</w:t>
      </w:r>
      <w:r w:rsidR="000D483B" w:rsidRPr="00EE640C">
        <w:rPr>
          <w:rFonts w:asciiTheme="minorHAnsi" w:hAnsiTheme="minorHAnsi"/>
          <w:bCs/>
          <w:lang w:val="en-GB"/>
        </w:rPr>
        <w:t>46% of patients</w:t>
      </w:r>
      <w:r w:rsidR="00943914">
        <w:rPr>
          <w:rFonts w:asciiTheme="minorHAnsi" w:hAnsiTheme="minorHAnsi"/>
          <w:bCs/>
          <w:lang w:val="en-GB"/>
        </w:rPr>
        <w:t xml:space="preserve">) </w:t>
      </w:r>
      <w:r w:rsidR="000D483B" w:rsidRPr="00EE640C">
        <w:rPr>
          <w:rFonts w:asciiTheme="minorHAnsi" w:hAnsiTheme="minorHAnsi"/>
          <w:bCs/>
          <w:lang w:val="en-GB"/>
        </w:rPr>
        <w:t xml:space="preserve">and </w:t>
      </w:r>
      <w:r w:rsidR="00943914">
        <w:rPr>
          <w:rFonts w:asciiTheme="minorHAnsi" w:hAnsiTheme="minorHAnsi"/>
          <w:bCs/>
          <w:lang w:val="en-GB"/>
        </w:rPr>
        <w:t>Stage IIIC (</w:t>
      </w:r>
      <w:r w:rsidR="000D483B" w:rsidRPr="00EE640C">
        <w:rPr>
          <w:rFonts w:asciiTheme="minorHAnsi" w:hAnsiTheme="minorHAnsi"/>
          <w:bCs/>
          <w:lang w:val="en-GB"/>
        </w:rPr>
        <w:t>38% of patients</w:t>
      </w:r>
      <w:r w:rsidR="00943914">
        <w:rPr>
          <w:rFonts w:asciiTheme="minorHAnsi" w:hAnsiTheme="minorHAnsi"/>
          <w:bCs/>
          <w:lang w:val="en-GB"/>
        </w:rPr>
        <w:t>)</w:t>
      </w:r>
      <w:r w:rsidR="000D483B" w:rsidRPr="00EE640C">
        <w:rPr>
          <w:rFonts w:asciiTheme="minorHAnsi" w:hAnsiTheme="minorHAnsi"/>
          <w:bCs/>
          <w:lang w:val="en-GB"/>
        </w:rPr>
        <w:t xml:space="preserve"> disease</w:t>
      </w:r>
      <w:r w:rsidR="009648C8" w:rsidRPr="00EE640C">
        <w:rPr>
          <w:rFonts w:asciiTheme="minorHAnsi" w:hAnsiTheme="minorHAnsi"/>
          <w:bCs/>
          <w:lang w:val="en-GB"/>
        </w:rPr>
        <w:t>. Patients with Stage IIIA (which represented 16% of the trial population) were recruited only if they had metastases greater than 1 mm</w:t>
      </w:r>
      <w:r w:rsidR="000853D5" w:rsidRPr="00EE640C">
        <w:rPr>
          <w:rFonts w:asciiTheme="minorHAnsi" w:hAnsiTheme="minorHAnsi"/>
          <w:bCs/>
          <w:lang w:val="en-GB"/>
        </w:rPr>
        <w:t>. Therefore</w:t>
      </w:r>
      <w:r w:rsidR="009648C8" w:rsidRPr="00EE640C">
        <w:rPr>
          <w:rFonts w:asciiTheme="minorHAnsi" w:hAnsiTheme="minorHAnsi"/>
          <w:bCs/>
          <w:lang w:val="en-GB"/>
        </w:rPr>
        <w:t xml:space="preserve">, patients with </w:t>
      </w:r>
      <w:r w:rsidR="00943914">
        <w:rPr>
          <w:rFonts w:asciiTheme="minorHAnsi" w:hAnsiTheme="minorHAnsi"/>
          <w:bCs/>
          <w:lang w:val="en-GB"/>
        </w:rPr>
        <w:t>disease that was less advanced</w:t>
      </w:r>
      <w:r w:rsidR="009648C8" w:rsidRPr="00EE640C">
        <w:rPr>
          <w:rFonts w:asciiTheme="minorHAnsi" w:hAnsiTheme="minorHAnsi"/>
          <w:bCs/>
          <w:lang w:val="en-GB"/>
        </w:rPr>
        <w:t xml:space="preserve"> </w:t>
      </w:r>
      <w:r w:rsidR="00943914">
        <w:rPr>
          <w:rFonts w:asciiTheme="minorHAnsi" w:hAnsiTheme="minorHAnsi"/>
          <w:bCs/>
          <w:lang w:val="en-GB"/>
        </w:rPr>
        <w:t>(</w:t>
      </w:r>
      <w:r w:rsidR="009648C8" w:rsidRPr="00EE640C">
        <w:rPr>
          <w:rFonts w:asciiTheme="minorHAnsi" w:hAnsiTheme="minorHAnsi"/>
          <w:bCs/>
          <w:lang w:val="en-GB"/>
        </w:rPr>
        <w:t xml:space="preserve">Stage IIIA </w:t>
      </w:r>
      <w:r w:rsidR="00943914">
        <w:rPr>
          <w:rFonts w:asciiTheme="minorHAnsi" w:hAnsiTheme="minorHAnsi"/>
          <w:bCs/>
          <w:lang w:val="en-GB"/>
        </w:rPr>
        <w:t xml:space="preserve">with </w:t>
      </w:r>
      <w:r w:rsidR="009648C8" w:rsidRPr="00EE640C">
        <w:rPr>
          <w:rFonts w:asciiTheme="minorHAnsi" w:hAnsiTheme="minorHAnsi"/>
          <w:bCs/>
          <w:lang w:val="en-GB"/>
        </w:rPr>
        <w:t>metastases &lt; 1 mm) were not represented in the trial population.</w:t>
      </w:r>
      <w:r w:rsidR="001700B5" w:rsidRPr="00EE640C">
        <w:rPr>
          <w:rFonts w:asciiTheme="minorHAnsi" w:hAnsiTheme="minorHAnsi"/>
          <w:bCs/>
          <w:lang w:val="en-GB"/>
        </w:rPr>
        <w:t xml:space="preserve"> </w:t>
      </w:r>
    </w:p>
    <w:p w:rsidR="003701F1" w:rsidRPr="000F24D2" w:rsidRDefault="001700B5" w:rsidP="000F24D2">
      <w:pPr>
        <w:numPr>
          <w:ilvl w:val="1"/>
          <w:numId w:val="3"/>
        </w:numPr>
        <w:spacing w:after="120"/>
        <w:rPr>
          <w:rFonts w:asciiTheme="minorHAnsi" w:hAnsiTheme="minorHAnsi"/>
          <w:bCs/>
          <w:lang w:val="en-GB"/>
        </w:rPr>
      </w:pPr>
      <w:r w:rsidRPr="000F24D2">
        <w:rPr>
          <w:rFonts w:asciiTheme="minorHAnsi" w:hAnsiTheme="minorHAnsi"/>
          <w:bCs/>
          <w:lang w:val="en-GB"/>
        </w:rPr>
        <w:t>Patients are now classified (from 201</w:t>
      </w:r>
      <w:r w:rsidR="00EB79CD">
        <w:rPr>
          <w:rFonts w:asciiTheme="minorHAnsi" w:hAnsiTheme="minorHAnsi"/>
          <w:bCs/>
          <w:lang w:val="en-GB"/>
        </w:rPr>
        <w:t>8</w:t>
      </w:r>
      <w:r w:rsidRPr="000F24D2">
        <w:rPr>
          <w:rFonts w:asciiTheme="minorHAnsi" w:hAnsiTheme="minorHAnsi"/>
          <w:bCs/>
          <w:lang w:val="en-GB"/>
        </w:rPr>
        <w:t>) using the 8</w:t>
      </w:r>
      <w:r w:rsidRPr="000F24D2">
        <w:rPr>
          <w:rFonts w:asciiTheme="minorHAnsi" w:hAnsiTheme="minorHAnsi"/>
          <w:bCs/>
          <w:vertAlign w:val="superscript"/>
          <w:lang w:val="en-GB"/>
        </w:rPr>
        <w:t>th</w:t>
      </w:r>
      <w:r w:rsidRPr="000F24D2">
        <w:rPr>
          <w:rFonts w:asciiTheme="minorHAnsi" w:hAnsiTheme="minorHAnsi"/>
          <w:bCs/>
          <w:lang w:val="en-GB"/>
        </w:rPr>
        <w:t xml:space="preserve"> edition of the AJCC melanoma staging system, which has four subgroups (IIIA</w:t>
      </w:r>
      <w:r w:rsidR="005A1ADE" w:rsidRPr="000F24D2">
        <w:rPr>
          <w:rFonts w:asciiTheme="minorHAnsi" w:hAnsiTheme="minorHAnsi"/>
          <w:bCs/>
          <w:lang w:val="en-GB"/>
        </w:rPr>
        <w:t>, IIIB, IIIC and</w:t>
      </w:r>
      <w:r w:rsidRPr="000F24D2">
        <w:rPr>
          <w:rFonts w:asciiTheme="minorHAnsi" w:hAnsiTheme="minorHAnsi"/>
          <w:bCs/>
          <w:lang w:val="en-GB"/>
        </w:rPr>
        <w:t xml:space="preserve"> IIID). The PBAC noted that </w:t>
      </w:r>
      <w:r w:rsidR="003211F7" w:rsidRPr="000F24D2">
        <w:rPr>
          <w:rFonts w:asciiTheme="minorHAnsi" w:hAnsiTheme="minorHAnsi"/>
          <w:bCs/>
          <w:lang w:val="en-GB"/>
        </w:rPr>
        <w:t>five- and ten-year survival rates were quite different between the 7</w:t>
      </w:r>
      <w:r w:rsidR="003211F7" w:rsidRPr="000F24D2">
        <w:rPr>
          <w:rFonts w:asciiTheme="minorHAnsi" w:hAnsiTheme="minorHAnsi"/>
          <w:bCs/>
          <w:vertAlign w:val="superscript"/>
          <w:lang w:val="en-GB"/>
        </w:rPr>
        <w:t>th</w:t>
      </w:r>
      <w:r w:rsidR="003211F7" w:rsidRPr="000F24D2">
        <w:rPr>
          <w:rFonts w:asciiTheme="minorHAnsi" w:hAnsiTheme="minorHAnsi"/>
          <w:bCs/>
          <w:lang w:val="en-GB"/>
        </w:rPr>
        <w:t xml:space="preserve"> and 8</w:t>
      </w:r>
      <w:r w:rsidR="003211F7" w:rsidRPr="000F24D2">
        <w:rPr>
          <w:rFonts w:asciiTheme="minorHAnsi" w:hAnsiTheme="minorHAnsi"/>
          <w:bCs/>
          <w:vertAlign w:val="superscript"/>
          <w:lang w:val="en-GB"/>
        </w:rPr>
        <w:t>th</w:t>
      </w:r>
      <w:r w:rsidR="003211F7" w:rsidRPr="000F24D2">
        <w:rPr>
          <w:rFonts w:asciiTheme="minorHAnsi" w:hAnsiTheme="minorHAnsi"/>
          <w:bCs/>
          <w:lang w:val="en-GB"/>
        </w:rPr>
        <w:t xml:space="preserve"> edition sub-stages – five-year survival rates for Stages IIIA, IIIB and IIIC using the 7</w:t>
      </w:r>
      <w:r w:rsidR="003211F7" w:rsidRPr="000F24D2">
        <w:rPr>
          <w:rFonts w:asciiTheme="minorHAnsi" w:hAnsiTheme="minorHAnsi"/>
          <w:bCs/>
          <w:vertAlign w:val="superscript"/>
          <w:lang w:val="en-GB"/>
        </w:rPr>
        <w:t>th</w:t>
      </w:r>
      <w:r w:rsidR="003211F7" w:rsidRPr="000F24D2">
        <w:rPr>
          <w:rFonts w:asciiTheme="minorHAnsi" w:hAnsiTheme="minorHAnsi"/>
          <w:bCs/>
          <w:lang w:val="en-GB"/>
        </w:rPr>
        <w:t xml:space="preserve"> edition were estimated to be 78%, 59% and 40% respectively</w:t>
      </w:r>
      <w:r w:rsidR="000853D5" w:rsidRPr="000F24D2">
        <w:rPr>
          <w:rFonts w:asciiTheme="minorHAnsi" w:hAnsiTheme="minorHAnsi"/>
          <w:bCs/>
          <w:lang w:val="en-GB"/>
        </w:rPr>
        <w:t>;</w:t>
      </w:r>
      <w:r w:rsidR="003211F7" w:rsidRPr="000F24D2">
        <w:rPr>
          <w:rFonts w:asciiTheme="minorHAnsi" w:hAnsiTheme="minorHAnsi"/>
          <w:bCs/>
          <w:lang w:val="en-GB"/>
        </w:rPr>
        <w:t xml:space="preserve"> </w:t>
      </w:r>
      <w:r w:rsidR="009648C8" w:rsidRPr="000F24D2">
        <w:rPr>
          <w:rFonts w:asciiTheme="minorHAnsi" w:hAnsiTheme="minorHAnsi"/>
          <w:bCs/>
          <w:lang w:val="en-GB"/>
        </w:rPr>
        <w:t>whereas</w:t>
      </w:r>
      <w:r w:rsidR="000853D5" w:rsidRPr="000F24D2">
        <w:rPr>
          <w:rFonts w:asciiTheme="minorHAnsi" w:hAnsiTheme="minorHAnsi"/>
          <w:bCs/>
          <w:lang w:val="en-GB"/>
        </w:rPr>
        <w:t>,</w:t>
      </w:r>
      <w:r w:rsidR="009648C8" w:rsidRPr="000F24D2">
        <w:rPr>
          <w:rFonts w:asciiTheme="minorHAnsi" w:hAnsiTheme="minorHAnsi"/>
          <w:bCs/>
          <w:lang w:val="en-GB"/>
        </w:rPr>
        <w:t xml:space="preserve"> </w:t>
      </w:r>
      <w:r w:rsidR="003211F7" w:rsidRPr="000F24D2">
        <w:rPr>
          <w:rFonts w:asciiTheme="minorHAnsi" w:hAnsiTheme="minorHAnsi"/>
          <w:bCs/>
          <w:lang w:val="en-GB"/>
        </w:rPr>
        <w:t>using the 8</w:t>
      </w:r>
      <w:r w:rsidR="003211F7" w:rsidRPr="000F24D2">
        <w:rPr>
          <w:rFonts w:asciiTheme="minorHAnsi" w:hAnsiTheme="minorHAnsi"/>
          <w:bCs/>
          <w:vertAlign w:val="superscript"/>
          <w:lang w:val="en-GB"/>
        </w:rPr>
        <w:t>th</w:t>
      </w:r>
      <w:r w:rsidR="003211F7" w:rsidRPr="000F24D2">
        <w:rPr>
          <w:rFonts w:asciiTheme="minorHAnsi" w:hAnsiTheme="minorHAnsi"/>
          <w:bCs/>
          <w:lang w:val="en-GB"/>
        </w:rPr>
        <w:t xml:space="preserve"> edition, five-year </w:t>
      </w:r>
      <w:r w:rsidR="008B7A43" w:rsidRPr="000F24D2">
        <w:rPr>
          <w:rFonts w:asciiTheme="minorHAnsi" w:hAnsiTheme="minorHAnsi"/>
          <w:bCs/>
          <w:lang w:val="en-GB"/>
        </w:rPr>
        <w:t xml:space="preserve">melanoma specific </w:t>
      </w:r>
      <w:r w:rsidR="003211F7" w:rsidRPr="000F24D2">
        <w:rPr>
          <w:rFonts w:asciiTheme="minorHAnsi" w:hAnsiTheme="minorHAnsi"/>
          <w:bCs/>
          <w:lang w:val="en-GB"/>
        </w:rPr>
        <w:t xml:space="preserve">survival </w:t>
      </w:r>
      <w:r w:rsidR="008B7A43" w:rsidRPr="000F24D2">
        <w:rPr>
          <w:rFonts w:asciiTheme="minorHAnsi" w:hAnsiTheme="minorHAnsi"/>
          <w:bCs/>
          <w:lang w:val="en-GB"/>
        </w:rPr>
        <w:t>probabilities</w:t>
      </w:r>
      <w:r w:rsidR="003211F7" w:rsidRPr="000F24D2">
        <w:rPr>
          <w:rFonts w:asciiTheme="minorHAnsi" w:hAnsiTheme="minorHAnsi"/>
          <w:bCs/>
          <w:lang w:val="en-GB"/>
        </w:rPr>
        <w:t xml:space="preserve"> for Stages IIIA, IIIB, IIIC and IIID were 93%, 83%, 69% and 32%</w:t>
      </w:r>
      <w:r w:rsidR="00942009" w:rsidRPr="000F24D2">
        <w:rPr>
          <w:rFonts w:asciiTheme="minorHAnsi" w:hAnsiTheme="minorHAnsi"/>
          <w:bCs/>
          <w:lang w:val="en-GB"/>
        </w:rPr>
        <w:t xml:space="preserve"> (see </w:t>
      </w:r>
      <w:r w:rsidR="00942009" w:rsidRPr="007742DB">
        <w:rPr>
          <w:rFonts w:asciiTheme="minorHAnsi" w:hAnsiTheme="minorHAnsi"/>
          <w:bCs/>
          <w:lang w:val="en-GB"/>
        </w:rPr>
        <w:t xml:space="preserve">Figure </w:t>
      </w:r>
      <w:r w:rsidR="007742DB">
        <w:rPr>
          <w:rFonts w:asciiTheme="minorHAnsi" w:hAnsiTheme="minorHAnsi"/>
          <w:bCs/>
          <w:lang w:val="en-GB"/>
        </w:rPr>
        <w:t>1</w:t>
      </w:r>
      <w:r w:rsidR="00942009" w:rsidRPr="000F24D2">
        <w:rPr>
          <w:rFonts w:asciiTheme="minorHAnsi" w:hAnsiTheme="minorHAnsi"/>
          <w:bCs/>
          <w:lang w:val="en-GB"/>
        </w:rPr>
        <w:t>)</w:t>
      </w:r>
      <w:r w:rsidR="000D483B" w:rsidRPr="000F24D2">
        <w:rPr>
          <w:rFonts w:asciiTheme="minorHAnsi" w:hAnsiTheme="minorHAnsi"/>
          <w:bCs/>
          <w:lang w:val="en-GB"/>
        </w:rPr>
        <w:t xml:space="preserve">. </w:t>
      </w:r>
      <w:r w:rsidR="000F24D2">
        <w:t>The PBAC noted the limitations associated with comparing different patient cohorts</w:t>
      </w:r>
      <w:r w:rsidR="00EB79CD">
        <w:t>;</w:t>
      </w:r>
      <w:r w:rsidR="000F24D2">
        <w:t xml:space="preserve"> however</w:t>
      </w:r>
      <w:r w:rsidR="00EB79CD">
        <w:t>,</w:t>
      </w:r>
      <w:r w:rsidR="000F24D2">
        <w:t xml:space="preserve"> considered that patients in the 8</w:t>
      </w:r>
      <w:r w:rsidR="000F24D2" w:rsidRPr="00EB79CD">
        <w:rPr>
          <w:vertAlign w:val="superscript"/>
        </w:rPr>
        <w:t>th</w:t>
      </w:r>
      <w:r w:rsidR="000F24D2">
        <w:t xml:space="preserve"> edition cohort had a more favourable survival profile across </w:t>
      </w:r>
      <w:r w:rsidR="00EB79CD">
        <w:t>S</w:t>
      </w:r>
      <w:r w:rsidR="000F24D2">
        <w:t>tages IIIA, IIIB, and IIIC disease compared with patients with similar stage groupings in the 7</w:t>
      </w:r>
      <w:r w:rsidR="000F24D2" w:rsidRPr="00EB79CD">
        <w:rPr>
          <w:vertAlign w:val="superscript"/>
        </w:rPr>
        <w:t>th</w:t>
      </w:r>
      <w:r w:rsidR="000F24D2">
        <w:t xml:space="preserve"> edition.</w:t>
      </w:r>
      <w:r w:rsidR="00943914">
        <w:t xml:space="preserve"> </w:t>
      </w:r>
      <w:r w:rsidR="003211F7" w:rsidRPr="000F24D2">
        <w:rPr>
          <w:rFonts w:asciiTheme="minorHAnsi" w:hAnsiTheme="minorHAnsi"/>
          <w:bCs/>
          <w:lang w:val="en-GB"/>
        </w:rPr>
        <w:t xml:space="preserve">The PBAC </w:t>
      </w:r>
      <w:r w:rsidR="00942009" w:rsidRPr="000F24D2">
        <w:rPr>
          <w:rFonts w:asciiTheme="minorHAnsi" w:hAnsiTheme="minorHAnsi"/>
          <w:bCs/>
          <w:lang w:val="en-GB"/>
        </w:rPr>
        <w:t>considered</w:t>
      </w:r>
      <w:r w:rsidR="003211F7" w:rsidRPr="000F24D2">
        <w:rPr>
          <w:rFonts w:asciiTheme="minorHAnsi" w:hAnsiTheme="minorHAnsi"/>
          <w:bCs/>
          <w:lang w:val="en-GB"/>
        </w:rPr>
        <w:t xml:space="preserve"> that by recruiting patients with Stage IIIA (metastasis &gt; 1 mm), Stage IIIB and IIIC disease (using the 7</w:t>
      </w:r>
      <w:r w:rsidR="003211F7" w:rsidRPr="000F24D2">
        <w:rPr>
          <w:rFonts w:asciiTheme="minorHAnsi" w:hAnsiTheme="minorHAnsi"/>
          <w:bCs/>
          <w:vertAlign w:val="superscript"/>
          <w:lang w:val="en-GB"/>
        </w:rPr>
        <w:t>th</w:t>
      </w:r>
      <w:r w:rsidR="003211F7" w:rsidRPr="000F24D2">
        <w:rPr>
          <w:rFonts w:asciiTheme="minorHAnsi" w:hAnsiTheme="minorHAnsi"/>
          <w:bCs/>
          <w:lang w:val="en-GB"/>
        </w:rPr>
        <w:t xml:space="preserve"> edition) the trial population had </w:t>
      </w:r>
      <w:r w:rsidR="00755548">
        <w:rPr>
          <w:rFonts w:asciiTheme="minorHAnsi" w:hAnsiTheme="minorHAnsi"/>
          <w:bCs/>
          <w:lang w:val="en-GB"/>
        </w:rPr>
        <w:t>disease with a poorer prognosis</w:t>
      </w:r>
      <w:r w:rsidR="003211F7" w:rsidRPr="000F24D2">
        <w:rPr>
          <w:rFonts w:asciiTheme="minorHAnsi" w:hAnsiTheme="minorHAnsi"/>
          <w:bCs/>
          <w:lang w:val="en-GB"/>
        </w:rPr>
        <w:t xml:space="preserve"> compared </w:t>
      </w:r>
      <w:r w:rsidR="00755548">
        <w:rPr>
          <w:rFonts w:asciiTheme="minorHAnsi" w:hAnsiTheme="minorHAnsi"/>
          <w:bCs/>
          <w:lang w:val="en-GB"/>
        </w:rPr>
        <w:t>with</w:t>
      </w:r>
      <w:r w:rsidR="003211F7" w:rsidRPr="000F24D2">
        <w:rPr>
          <w:rFonts w:asciiTheme="minorHAnsi" w:hAnsiTheme="minorHAnsi"/>
          <w:bCs/>
          <w:lang w:val="en-GB"/>
        </w:rPr>
        <w:t xml:space="preserve"> the proposed PBS population</w:t>
      </w:r>
      <w:r w:rsidR="00755548">
        <w:rPr>
          <w:rFonts w:asciiTheme="minorHAnsi" w:hAnsiTheme="minorHAnsi"/>
          <w:bCs/>
          <w:lang w:val="en-GB"/>
        </w:rPr>
        <w:t xml:space="preserve"> (all Stage III patients using the 8</w:t>
      </w:r>
      <w:r w:rsidR="00755548" w:rsidRPr="00755548">
        <w:rPr>
          <w:rFonts w:asciiTheme="minorHAnsi" w:hAnsiTheme="minorHAnsi"/>
          <w:bCs/>
          <w:vertAlign w:val="superscript"/>
          <w:lang w:val="en-GB"/>
        </w:rPr>
        <w:t>th</w:t>
      </w:r>
      <w:r w:rsidR="00755548">
        <w:rPr>
          <w:rFonts w:asciiTheme="minorHAnsi" w:hAnsiTheme="minorHAnsi"/>
          <w:bCs/>
          <w:lang w:val="en-GB"/>
        </w:rPr>
        <w:t xml:space="preserve"> edition)</w:t>
      </w:r>
      <w:r w:rsidR="003211F7" w:rsidRPr="000F24D2">
        <w:rPr>
          <w:rFonts w:asciiTheme="minorHAnsi" w:hAnsiTheme="minorHAnsi"/>
          <w:bCs/>
          <w:lang w:val="en-GB"/>
        </w:rPr>
        <w:t xml:space="preserve">. </w:t>
      </w:r>
      <w:r w:rsidR="00EE640C">
        <w:t xml:space="preserve">The PBAC noted the submission had not addressed the </w:t>
      </w:r>
      <w:r w:rsidR="00EE640C">
        <w:lastRenderedPageBreak/>
        <w:t xml:space="preserve">implications of this difference on the likely cost-effectiveness of </w:t>
      </w:r>
      <w:proofErr w:type="spellStart"/>
      <w:r w:rsidR="00EE640C">
        <w:t>pembrolizumab</w:t>
      </w:r>
      <w:proofErr w:type="spellEnd"/>
      <w:r w:rsidR="00EE640C">
        <w:t xml:space="preserve"> for adjuvant treatment. Given this</w:t>
      </w:r>
      <w:r w:rsidR="00EB79CD">
        <w:t>,</w:t>
      </w:r>
      <w:r w:rsidR="00EE640C">
        <w:t xml:space="preserve"> the PBAC considered the appropriate patient population for treatment</w:t>
      </w:r>
      <w:r w:rsidR="00202F79">
        <w:t xml:space="preserve"> with adjuvant </w:t>
      </w:r>
      <w:proofErr w:type="spellStart"/>
      <w:r w:rsidR="00202F79">
        <w:t>pembrolizumab</w:t>
      </w:r>
      <w:proofErr w:type="spellEnd"/>
      <w:r w:rsidR="00EE640C">
        <w:t xml:space="preserve"> </w:t>
      </w:r>
      <w:r w:rsidR="008930AA">
        <w:t>remained</w:t>
      </w:r>
      <w:r w:rsidR="00EE640C">
        <w:t xml:space="preserve"> unclear. </w:t>
      </w:r>
    </w:p>
    <w:p w:rsidR="00EB2E9F" w:rsidRPr="00202F79" w:rsidRDefault="00D256DB" w:rsidP="00202F79">
      <w:pPr>
        <w:numPr>
          <w:ilvl w:val="1"/>
          <w:numId w:val="3"/>
        </w:numPr>
        <w:spacing w:after="120"/>
        <w:rPr>
          <w:rFonts w:asciiTheme="minorHAnsi" w:hAnsiTheme="minorHAnsi"/>
          <w:bCs/>
          <w:lang w:val="en-GB"/>
        </w:rPr>
      </w:pPr>
      <w:r w:rsidRPr="00202F79">
        <w:rPr>
          <w:rFonts w:asciiTheme="minorHAnsi" w:hAnsiTheme="minorHAnsi"/>
          <w:bCs/>
          <w:lang w:val="en-GB"/>
        </w:rPr>
        <w:t xml:space="preserve">The primary outcome </w:t>
      </w:r>
      <w:r w:rsidR="00942009" w:rsidRPr="00202F79">
        <w:rPr>
          <w:rFonts w:asciiTheme="minorHAnsi" w:hAnsiTheme="minorHAnsi"/>
          <w:bCs/>
          <w:lang w:val="en-GB"/>
        </w:rPr>
        <w:t xml:space="preserve">of KN054 </w:t>
      </w:r>
      <w:r w:rsidRPr="00202F79">
        <w:rPr>
          <w:rFonts w:asciiTheme="minorHAnsi" w:hAnsiTheme="minorHAnsi"/>
          <w:bCs/>
          <w:lang w:val="en-GB"/>
        </w:rPr>
        <w:t>was recurrence free survival (RFS). The PBAC noted that the data were immature and</w:t>
      </w:r>
      <w:r w:rsidR="000853D5" w:rsidRPr="00202F79">
        <w:rPr>
          <w:rFonts w:asciiTheme="minorHAnsi" w:hAnsiTheme="minorHAnsi"/>
          <w:bCs/>
          <w:lang w:val="en-GB"/>
        </w:rPr>
        <w:t>,</w:t>
      </w:r>
      <w:r w:rsidRPr="00202F79">
        <w:rPr>
          <w:rFonts w:asciiTheme="minorHAnsi" w:hAnsiTheme="minorHAnsi"/>
          <w:bCs/>
          <w:lang w:val="en-GB"/>
        </w:rPr>
        <w:t xml:space="preserve"> </w:t>
      </w:r>
      <w:r w:rsidR="002C7D42" w:rsidRPr="00202F79">
        <w:rPr>
          <w:rFonts w:asciiTheme="minorHAnsi" w:hAnsiTheme="minorHAnsi"/>
          <w:bCs/>
          <w:lang w:val="en-GB"/>
        </w:rPr>
        <w:t xml:space="preserve">that at the median duration of follow-up (16 months), </w:t>
      </w:r>
      <w:r w:rsidRPr="00202F79">
        <w:rPr>
          <w:rFonts w:asciiTheme="minorHAnsi" w:hAnsiTheme="minorHAnsi"/>
          <w:bCs/>
          <w:lang w:val="en-GB"/>
        </w:rPr>
        <w:t xml:space="preserve">the median RFS </w:t>
      </w:r>
      <w:r w:rsidR="00371707" w:rsidRPr="00202F79">
        <w:rPr>
          <w:rFonts w:asciiTheme="minorHAnsi" w:hAnsiTheme="minorHAnsi"/>
          <w:bCs/>
          <w:lang w:val="en-GB"/>
        </w:rPr>
        <w:t xml:space="preserve">for </w:t>
      </w:r>
      <w:proofErr w:type="spellStart"/>
      <w:r w:rsidR="00371707" w:rsidRPr="00202F79">
        <w:rPr>
          <w:rFonts w:asciiTheme="minorHAnsi" w:hAnsiTheme="minorHAnsi"/>
          <w:bCs/>
          <w:lang w:val="en-GB"/>
        </w:rPr>
        <w:t>pembrolizumab</w:t>
      </w:r>
      <w:proofErr w:type="spellEnd"/>
      <w:r w:rsidR="00371707" w:rsidRPr="00202F79">
        <w:rPr>
          <w:rFonts w:asciiTheme="minorHAnsi" w:hAnsiTheme="minorHAnsi"/>
          <w:bCs/>
          <w:lang w:val="en-GB"/>
        </w:rPr>
        <w:t xml:space="preserve"> had not been reached</w:t>
      </w:r>
      <w:r w:rsidRPr="00202F79">
        <w:rPr>
          <w:rFonts w:asciiTheme="minorHAnsi" w:hAnsiTheme="minorHAnsi"/>
          <w:bCs/>
          <w:lang w:val="en-GB"/>
        </w:rPr>
        <w:t>. The hazard ratio was 0.57 (95% confidence interval: 0.43, 0.74). The PBAC considered that the submission’s claim th</w:t>
      </w:r>
      <w:r w:rsidR="00DC396F" w:rsidRPr="00202F79">
        <w:rPr>
          <w:rFonts w:asciiTheme="minorHAnsi" w:hAnsiTheme="minorHAnsi"/>
          <w:bCs/>
          <w:lang w:val="en-GB"/>
        </w:rPr>
        <w:t>at</w:t>
      </w:r>
      <w:r w:rsidRPr="00202F79">
        <w:rPr>
          <w:rFonts w:asciiTheme="minorHAnsi" w:hAnsiTheme="minorHAnsi"/>
          <w:bCs/>
          <w:lang w:val="en-GB"/>
        </w:rPr>
        <w:t xml:space="preserve"> </w:t>
      </w:r>
      <w:proofErr w:type="spellStart"/>
      <w:r w:rsidRPr="00202F79">
        <w:rPr>
          <w:rFonts w:asciiTheme="minorHAnsi" w:hAnsiTheme="minorHAnsi"/>
          <w:bCs/>
          <w:lang w:val="en-GB"/>
        </w:rPr>
        <w:t>pembrolizumab</w:t>
      </w:r>
      <w:proofErr w:type="spellEnd"/>
      <w:r w:rsidRPr="00202F79">
        <w:rPr>
          <w:rFonts w:asciiTheme="minorHAnsi" w:hAnsiTheme="minorHAnsi"/>
          <w:bCs/>
          <w:lang w:val="en-GB"/>
        </w:rPr>
        <w:t xml:space="preserve"> was superior to placebo in terms of RFS</w:t>
      </w:r>
      <w:r w:rsidR="00DC4BF9" w:rsidRPr="00202F79">
        <w:rPr>
          <w:rFonts w:asciiTheme="minorHAnsi" w:hAnsiTheme="minorHAnsi"/>
          <w:bCs/>
          <w:lang w:val="en-GB"/>
        </w:rPr>
        <w:t>,</w:t>
      </w:r>
      <w:r w:rsidR="00942009" w:rsidRPr="00202F79">
        <w:rPr>
          <w:rFonts w:asciiTheme="minorHAnsi" w:hAnsiTheme="minorHAnsi"/>
          <w:bCs/>
          <w:lang w:val="en-GB"/>
        </w:rPr>
        <w:t xml:space="preserve"> based on the interim analysis of KN054</w:t>
      </w:r>
      <w:r w:rsidR="00DC4BF9" w:rsidRPr="00202F79">
        <w:rPr>
          <w:rFonts w:asciiTheme="minorHAnsi" w:hAnsiTheme="minorHAnsi"/>
          <w:bCs/>
          <w:lang w:val="en-GB"/>
        </w:rPr>
        <w:t>,</w:t>
      </w:r>
      <w:r w:rsidRPr="00202F79">
        <w:rPr>
          <w:rFonts w:asciiTheme="minorHAnsi" w:hAnsiTheme="minorHAnsi"/>
          <w:bCs/>
          <w:lang w:val="en-GB"/>
        </w:rPr>
        <w:t xml:space="preserve"> was reasonable</w:t>
      </w:r>
      <w:r w:rsidR="00942009" w:rsidRPr="00202F79">
        <w:rPr>
          <w:rFonts w:asciiTheme="minorHAnsi" w:hAnsiTheme="minorHAnsi"/>
          <w:bCs/>
          <w:lang w:val="en-GB"/>
        </w:rPr>
        <w:t xml:space="preserve"> for </w:t>
      </w:r>
      <w:r w:rsidR="00202F79" w:rsidRPr="00202F79">
        <w:rPr>
          <w:rFonts w:asciiTheme="minorHAnsi" w:hAnsiTheme="minorHAnsi"/>
          <w:bCs/>
          <w:lang w:val="en-GB"/>
        </w:rPr>
        <w:t>the trial population</w:t>
      </w:r>
      <w:r w:rsidRPr="00202F79">
        <w:rPr>
          <w:rFonts w:asciiTheme="minorHAnsi" w:hAnsiTheme="minorHAnsi"/>
          <w:bCs/>
          <w:lang w:val="en-GB"/>
        </w:rPr>
        <w:t xml:space="preserve">. However, due to the immaturity of the </w:t>
      </w:r>
      <w:r w:rsidR="00202F79" w:rsidRPr="00202F79">
        <w:rPr>
          <w:rFonts w:asciiTheme="minorHAnsi" w:hAnsiTheme="minorHAnsi"/>
          <w:bCs/>
          <w:lang w:val="en-GB"/>
        </w:rPr>
        <w:t xml:space="preserve">trial </w:t>
      </w:r>
      <w:r w:rsidRPr="00202F79">
        <w:rPr>
          <w:rFonts w:asciiTheme="minorHAnsi" w:hAnsiTheme="minorHAnsi"/>
          <w:bCs/>
          <w:lang w:val="en-GB"/>
        </w:rPr>
        <w:t xml:space="preserve">data, </w:t>
      </w:r>
      <w:r w:rsidR="00613161" w:rsidRPr="00202F79">
        <w:rPr>
          <w:rFonts w:asciiTheme="minorHAnsi" w:hAnsiTheme="minorHAnsi"/>
          <w:bCs/>
          <w:lang w:val="en-GB"/>
        </w:rPr>
        <w:t xml:space="preserve">the PBAC considered that </w:t>
      </w:r>
      <w:r w:rsidRPr="00202F79">
        <w:rPr>
          <w:rFonts w:asciiTheme="minorHAnsi" w:hAnsiTheme="minorHAnsi"/>
          <w:bCs/>
          <w:lang w:val="en-GB"/>
        </w:rPr>
        <w:t>the magnitude of the treatment effect was highly uncertain</w:t>
      </w:r>
      <w:r w:rsidR="0026234F" w:rsidRPr="00202F79">
        <w:rPr>
          <w:rFonts w:asciiTheme="minorHAnsi" w:hAnsiTheme="minorHAnsi"/>
          <w:bCs/>
          <w:lang w:val="en-GB"/>
        </w:rPr>
        <w:t xml:space="preserve"> and</w:t>
      </w:r>
      <w:r w:rsidR="00202F79" w:rsidRPr="00202F79">
        <w:rPr>
          <w:rFonts w:asciiTheme="minorHAnsi" w:hAnsiTheme="minorHAnsi"/>
          <w:bCs/>
          <w:lang w:val="en-GB"/>
        </w:rPr>
        <w:t xml:space="preserve"> the impact on </w:t>
      </w:r>
      <w:r w:rsidR="0026234F" w:rsidRPr="00202F79">
        <w:rPr>
          <w:rFonts w:asciiTheme="minorHAnsi" w:hAnsiTheme="minorHAnsi"/>
          <w:bCs/>
          <w:lang w:val="en-GB"/>
        </w:rPr>
        <w:t xml:space="preserve">overall survival </w:t>
      </w:r>
      <w:r w:rsidR="00202F79" w:rsidRPr="00202F79">
        <w:rPr>
          <w:rFonts w:asciiTheme="minorHAnsi" w:hAnsiTheme="minorHAnsi"/>
          <w:bCs/>
          <w:lang w:val="en-GB"/>
        </w:rPr>
        <w:t>was unknown</w:t>
      </w:r>
      <w:r w:rsidRPr="00202F79">
        <w:rPr>
          <w:rFonts w:asciiTheme="minorHAnsi" w:hAnsiTheme="minorHAnsi"/>
          <w:bCs/>
          <w:lang w:val="en-GB"/>
        </w:rPr>
        <w:t xml:space="preserve">. </w:t>
      </w:r>
      <w:r w:rsidR="000853D5" w:rsidRPr="00202F79">
        <w:rPr>
          <w:rFonts w:asciiTheme="minorHAnsi" w:hAnsiTheme="minorHAnsi"/>
          <w:bCs/>
          <w:lang w:val="en-GB"/>
        </w:rPr>
        <w:t xml:space="preserve">The PBAC </w:t>
      </w:r>
      <w:r w:rsidR="008930AA">
        <w:rPr>
          <w:rFonts w:asciiTheme="minorHAnsi" w:hAnsiTheme="minorHAnsi"/>
          <w:bCs/>
          <w:lang w:val="en-GB"/>
        </w:rPr>
        <w:t>considered</w:t>
      </w:r>
      <w:r w:rsidR="00942009" w:rsidRPr="00202F79">
        <w:rPr>
          <w:rFonts w:asciiTheme="minorHAnsi" w:hAnsiTheme="minorHAnsi"/>
          <w:bCs/>
          <w:lang w:val="en-GB"/>
        </w:rPr>
        <w:t xml:space="preserve"> the magnitude of</w:t>
      </w:r>
      <w:r w:rsidR="00EB2E9F" w:rsidRPr="00202F79">
        <w:rPr>
          <w:rFonts w:asciiTheme="minorHAnsi" w:hAnsiTheme="minorHAnsi"/>
          <w:bCs/>
          <w:lang w:val="en-GB"/>
        </w:rPr>
        <w:t xml:space="preserve"> RFS</w:t>
      </w:r>
      <w:r w:rsidR="00942009" w:rsidRPr="00202F79">
        <w:rPr>
          <w:rFonts w:asciiTheme="minorHAnsi" w:hAnsiTheme="minorHAnsi"/>
          <w:bCs/>
          <w:lang w:val="en-GB"/>
        </w:rPr>
        <w:t xml:space="preserve"> benefit for patients with Stage IIIA (metastases &gt; 1 mm) </w:t>
      </w:r>
      <w:r w:rsidR="00202F79" w:rsidRPr="00202F79">
        <w:rPr>
          <w:rFonts w:asciiTheme="minorHAnsi" w:hAnsiTheme="minorHAnsi"/>
          <w:bCs/>
          <w:lang w:val="en-GB"/>
        </w:rPr>
        <w:t xml:space="preserve">was highly uncertain </w:t>
      </w:r>
      <w:r w:rsidR="00EB2E9F" w:rsidRPr="00202F79">
        <w:rPr>
          <w:rFonts w:asciiTheme="minorHAnsi" w:hAnsiTheme="minorHAnsi"/>
          <w:bCs/>
          <w:lang w:val="en-GB"/>
        </w:rPr>
        <w:t>due to the small proportion of patients with this sub</w:t>
      </w:r>
      <w:r w:rsidR="008930AA">
        <w:rPr>
          <w:rFonts w:asciiTheme="minorHAnsi" w:hAnsiTheme="minorHAnsi"/>
          <w:bCs/>
          <w:lang w:val="en-GB"/>
        </w:rPr>
        <w:t>-</w:t>
      </w:r>
      <w:r w:rsidR="00EB2E9F" w:rsidRPr="00202F79">
        <w:rPr>
          <w:rFonts w:asciiTheme="minorHAnsi" w:hAnsiTheme="minorHAnsi"/>
          <w:bCs/>
          <w:lang w:val="en-GB"/>
        </w:rPr>
        <w:t>stage of disease recruited into the trial.</w:t>
      </w:r>
    </w:p>
    <w:p w:rsidR="00D256DB" w:rsidRPr="00B5718F" w:rsidRDefault="00D256DB" w:rsidP="00FC4D0F">
      <w:pPr>
        <w:numPr>
          <w:ilvl w:val="1"/>
          <w:numId w:val="3"/>
        </w:numPr>
        <w:spacing w:after="120"/>
        <w:rPr>
          <w:rFonts w:asciiTheme="minorHAnsi" w:hAnsiTheme="minorHAnsi"/>
          <w:bCs/>
          <w:lang w:val="en-GB"/>
        </w:rPr>
      </w:pPr>
      <w:r w:rsidRPr="00202F79">
        <w:rPr>
          <w:rFonts w:asciiTheme="minorHAnsi" w:hAnsiTheme="minorHAnsi"/>
          <w:bCs/>
          <w:lang w:val="en-GB"/>
        </w:rPr>
        <w:t>The PBAC noted that the submission did not make a claim regarding the safety of</w:t>
      </w:r>
      <w:r w:rsidRPr="00B5718F">
        <w:rPr>
          <w:rFonts w:asciiTheme="minorHAnsi" w:hAnsiTheme="minorHAnsi"/>
          <w:bCs/>
          <w:lang w:val="en-GB"/>
        </w:rPr>
        <w:t xml:space="preserve"> </w:t>
      </w:r>
      <w:proofErr w:type="spellStart"/>
      <w:r w:rsidRPr="00B5718F">
        <w:rPr>
          <w:rFonts w:asciiTheme="minorHAnsi" w:hAnsiTheme="minorHAnsi"/>
          <w:bCs/>
          <w:lang w:val="en-GB"/>
        </w:rPr>
        <w:t>pembrolizumab</w:t>
      </w:r>
      <w:proofErr w:type="spellEnd"/>
      <w:r w:rsidRPr="00B5718F">
        <w:rPr>
          <w:rFonts w:asciiTheme="minorHAnsi" w:hAnsiTheme="minorHAnsi"/>
          <w:bCs/>
          <w:lang w:val="en-GB"/>
        </w:rPr>
        <w:t xml:space="preserve">. The PBAC considered that </w:t>
      </w:r>
      <w:proofErr w:type="spellStart"/>
      <w:r w:rsidRPr="00B5718F">
        <w:rPr>
          <w:rFonts w:asciiTheme="minorHAnsi" w:hAnsiTheme="minorHAnsi"/>
          <w:bCs/>
          <w:lang w:val="en-GB"/>
        </w:rPr>
        <w:t>pembrolizumab</w:t>
      </w:r>
      <w:proofErr w:type="spellEnd"/>
      <w:r w:rsidRPr="00B5718F">
        <w:rPr>
          <w:rFonts w:asciiTheme="minorHAnsi" w:hAnsiTheme="minorHAnsi"/>
          <w:bCs/>
          <w:lang w:val="en-GB"/>
        </w:rPr>
        <w:t xml:space="preserve"> was inferior to placebo in terms of safety</w:t>
      </w:r>
      <w:r w:rsidR="00F103BF">
        <w:rPr>
          <w:rFonts w:asciiTheme="minorHAnsi" w:hAnsiTheme="minorHAnsi"/>
          <w:bCs/>
          <w:lang w:val="en-GB"/>
        </w:rPr>
        <w:t xml:space="preserve"> in the treatment of </w:t>
      </w:r>
      <w:proofErr w:type="spellStart"/>
      <w:r w:rsidR="00F103BF">
        <w:rPr>
          <w:rFonts w:asciiTheme="minorHAnsi" w:hAnsiTheme="minorHAnsi"/>
          <w:bCs/>
          <w:lang w:val="en-GB"/>
        </w:rPr>
        <w:t>resectable</w:t>
      </w:r>
      <w:proofErr w:type="spellEnd"/>
      <w:r w:rsidR="00F103BF">
        <w:rPr>
          <w:rFonts w:asciiTheme="minorHAnsi" w:hAnsiTheme="minorHAnsi"/>
          <w:bCs/>
          <w:lang w:val="en-GB"/>
        </w:rPr>
        <w:t xml:space="preserve"> Stage III melanoma</w:t>
      </w:r>
      <w:r w:rsidRPr="00B5718F">
        <w:rPr>
          <w:rFonts w:asciiTheme="minorHAnsi" w:hAnsiTheme="minorHAnsi"/>
          <w:bCs/>
          <w:lang w:val="en-GB"/>
        </w:rPr>
        <w:t>.</w:t>
      </w:r>
    </w:p>
    <w:p w:rsidR="00D256DB" w:rsidRPr="00B93E54" w:rsidRDefault="00D256DB" w:rsidP="00FC4D0F">
      <w:pPr>
        <w:numPr>
          <w:ilvl w:val="1"/>
          <w:numId w:val="3"/>
        </w:numPr>
        <w:spacing w:after="120"/>
        <w:rPr>
          <w:rFonts w:asciiTheme="minorHAnsi" w:hAnsiTheme="minorHAnsi"/>
          <w:bCs/>
          <w:lang w:val="en-GB"/>
        </w:rPr>
      </w:pPr>
      <w:r w:rsidRPr="00B93E54">
        <w:rPr>
          <w:rFonts w:asciiTheme="minorHAnsi" w:hAnsiTheme="minorHAnsi"/>
          <w:bCs/>
          <w:lang w:val="en-GB"/>
        </w:rPr>
        <w:t xml:space="preserve">The PBAC considered that the ICER presented in the submission was </w:t>
      </w:r>
      <w:r w:rsidR="002C7D42" w:rsidRPr="00B93E54">
        <w:rPr>
          <w:rFonts w:asciiTheme="minorHAnsi" w:hAnsiTheme="minorHAnsi"/>
          <w:bCs/>
          <w:lang w:val="en-GB"/>
        </w:rPr>
        <w:t xml:space="preserve">highly </w:t>
      </w:r>
      <w:r w:rsidRPr="00B93E54">
        <w:rPr>
          <w:rFonts w:asciiTheme="minorHAnsi" w:hAnsiTheme="minorHAnsi"/>
          <w:bCs/>
          <w:lang w:val="en-GB"/>
        </w:rPr>
        <w:t>uncertain, variable and likely underestimated. The PBAC raised a number of concerns, including:</w:t>
      </w:r>
    </w:p>
    <w:p w:rsidR="00F103BF" w:rsidRDefault="00341A5A" w:rsidP="00C6669B">
      <w:pPr>
        <w:numPr>
          <w:ilvl w:val="1"/>
          <w:numId w:val="12"/>
        </w:numPr>
        <w:spacing w:after="120"/>
        <w:ind w:left="1077" w:hanging="357"/>
        <w:rPr>
          <w:rFonts w:asciiTheme="minorHAnsi" w:hAnsiTheme="minorHAnsi"/>
          <w:bCs/>
          <w:lang w:val="en-GB"/>
        </w:rPr>
      </w:pPr>
      <w:r>
        <w:rPr>
          <w:rFonts w:asciiTheme="minorHAnsi" w:hAnsiTheme="minorHAnsi"/>
          <w:bCs/>
          <w:lang w:val="en-GB"/>
        </w:rPr>
        <w:t>t</w:t>
      </w:r>
      <w:r w:rsidR="00F103BF">
        <w:rPr>
          <w:rFonts w:asciiTheme="minorHAnsi" w:hAnsiTheme="minorHAnsi"/>
          <w:bCs/>
          <w:lang w:val="en-GB"/>
        </w:rPr>
        <w:t xml:space="preserve">hat the model population, which was informed by the trial population, </w:t>
      </w:r>
      <w:r w:rsidR="00A42FE6">
        <w:rPr>
          <w:rFonts w:asciiTheme="minorHAnsi" w:hAnsiTheme="minorHAnsi"/>
          <w:bCs/>
          <w:lang w:val="en-GB"/>
        </w:rPr>
        <w:t>had a poorer prognosis than the likely PBS population</w:t>
      </w:r>
      <w:r w:rsidR="00DC4BF9">
        <w:rPr>
          <w:rFonts w:asciiTheme="minorHAnsi" w:hAnsiTheme="minorHAnsi"/>
          <w:bCs/>
          <w:lang w:val="en-GB"/>
        </w:rPr>
        <w:t>;</w:t>
      </w:r>
      <w:r>
        <w:rPr>
          <w:rFonts w:asciiTheme="minorHAnsi" w:hAnsiTheme="minorHAnsi"/>
          <w:bCs/>
          <w:lang w:val="en-GB"/>
        </w:rPr>
        <w:t xml:space="preserve"> </w:t>
      </w:r>
    </w:p>
    <w:p w:rsidR="00613161" w:rsidRPr="00B93E54" w:rsidRDefault="00341A5A" w:rsidP="00C6669B">
      <w:pPr>
        <w:numPr>
          <w:ilvl w:val="1"/>
          <w:numId w:val="12"/>
        </w:numPr>
        <w:spacing w:after="120"/>
        <w:ind w:left="1077" w:hanging="357"/>
        <w:rPr>
          <w:rFonts w:asciiTheme="minorHAnsi" w:hAnsiTheme="minorHAnsi"/>
          <w:bCs/>
          <w:lang w:val="en-GB"/>
        </w:rPr>
      </w:pPr>
      <w:r>
        <w:rPr>
          <w:rFonts w:asciiTheme="minorHAnsi" w:hAnsiTheme="minorHAnsi"/>
          <w:bCs/>
          <w:lang w:val="en-GB"/>
        </w:rPr>
        <w:t xml:space="preserve">that </w:t>
      </w:r>
      <w:r w:rsidR="00613161" w:rsidRPr="00B93E54">
        <w:rPr>
          <w:rFonts w:asciiTheme="minorHAnsi" w:hAnsiTheme="minorHAnsi"/>
          <w:bCs/>
          <w:lang w:val="en-GB"/>
        </w:rPr>
        <w:t xml:space="preserve">overall survival </w:t>
      </w:r>
      <w:r w:rsidR="00BB12F6">
        <w:rPr>
          <w:rFonts w:asciiTheme="minorHAnsi" w:hAnsiTheme="minorHAnsi"/>
          <w:bCs/>
          <w:lang w:val="en-GB"/>
        </w:rPr>
        <w:t xml:space="preserve">in both the </w:t>
      </w:r>
      <w:proofErr w:type="spellStart"/>
      <w:r w:rsidR="00BB12F6">
        <w:rPr>
          <w:rFonts w:asciiTheme="minorHAnsi" w:hAnsiTheme="minorHAnsi"/>
          <w:bCs/>
          <w:lang w:val="en-GB"/>
        </w:rPr>
        <w:t>pembrolizumab</w:t>
      </w:r>
      <w:proofErr w:type="spellEnd"/>
      <w:r w:rsidR="00BB12F6">
        <w:rPr>
          <w:rFonts w:asciiTheme="minorHAnsi" w:hAnsiTheme="minorHAnsi"/>
          <w:bCs/>
          <w:lang w:val="en-GB"/>
        </w:rPr>
        <w:t xml:space="preserve"> (</w:t>
      </w:r>
      <w:r w:rsidR="002018B5">
        <w:rPr>
          <w:rFonts w:asciiTheme="minorHAnsi" w:hAnsiTheme="minorHAnsi"/>
          <w:bCs/>
          <w:noProof/>
          <w:color w:val="000000"/>
          <w:highlight w:val="black"/>
          <w:lang w:val="en-GB"/>
        </w:rPr>
        <w:t>''''''''</w:t>
      </w:r>
      <w:r w:rsidR="00BB12F6">
        <w:rPr>
          <w:rFonts w:asciiTheme="minorHAnsi" w:hAnsiTheme="minorHAnsi"/>
          <w:bCs/>
          <w:lang w:val="en-GB"/>
        </w:rPr>
        <w:t xml:space="preserve">% at </w:t>
      </w:r>
      <w:r>
        <w:rPr>
          <w:rFonts w:asciiTheme="minorHAnsi" w:hAnsiTheme="minorHAnsi"/>
          <w:bCs/>
          <w:lang w:val="en-GB"/>
        </w:rPr>
        <w:t>five</w:t>
      </w:r>
      <w:r w:rsidR="00BB12F6">
        <w:rPr>
          <w:rFonts w:asciiTheme="minorHAnsi" w:hAnsiTheme="minorHAnsi"/>
          <w:bCs/>
          <w:lang w:val="en-GB"/>
        </w:rPr>
        <w:t xml:space="preserve"> years and </w:t>
      </w:r>
      <w:r w:rsidR="002018B5">
        <w:rPr>
          <w:rFonts w:asciiTheme="minorHAnsi" w:hAnsiTheme="minorHAnsi"/>
          <w:bCs/>
          <w:noProof/>
          <w:color w:val="000000"/>
          <w:highlight w:val="black"/>
          <w:lang w:val="en-GB"/>
        </w:rPr>
        <w:t>'''''''''</w:t>
      </w:r>
      <w:r w:rsidR="00BB12F6">
        <w:rPr>
          <w:rFonts w:asciiTheme="minorHAnsi" w:hAnsiTheme="minorHAnsi"/>
          <w:bCs/>
          <w:lang w:val="en-GB"/>
        </w:rPr>
        <w:t xml:space="preserve">% at 10 years) and placebo </w:t>
      </w:r>
      <w:r w:rsidR="00BB12F6" w:rsidRPr="00B93E54">
        <w:rPr>
          <w:rFonts w:asciiTheme="minorHAnsi" w:hAnsiTheme="minorHAnsi"/>
          <w:bCs/>
          <w:lang w:val="en-GB"/>
        </w:rPr>
        <w:t>(</w:t>
      </w:r>
      <w:r w:rsidR="002018B5">
        <w:rPr>
          <w:rFonts w:asciiTheme="minorHAnsi" w:hAnsiTheme="minorHAnsi"/>
          <w:bCs/>
          <w:noProof/>
          <w:color w:val="000000"/>
          <w:highlight w:val="black"/>
          <w:lang w:val="en-GB"/>
        </w:rPr>
        <w:t>'''''''''</w:t>
      </w:r>
      <w:r w:rsidR="00BB12F6" w:rsidRPr="00B93E54">
        <w:rPr>
          <w:rFonts w:asciiTheme="minorHAnsi" w:hAnsiTheme="minorHAnsi"/>
          <w:bCs/>
          <w:lang w:val="en-GB"/>
        </w:rPr>
        <w:t xml:space="preserve">% at </w:t>
      </w:r>
      <w:r>
        <w:rPr>
          <w:rFonts w:asciiTheme="minorHAnsi" w:hAnsiTheme="minorHAnsi"/>
          <w:bCs/>
          <w:lang w:val="en-GB"/>
        </w:rPr>
        <w:t>five</w:t>
      </w:r>
      <w:r w:rsidR="00BB12F6" w:rsidRPr="00B93E54">
        <w:rPr>
          <w:rFonts w:asciiTheme="minorHAnsi" w:hAnsiTheme="minorHAnsi"/>
          <w:bCs/>
          <w:lang w:val="en-GB"/>
        </w:rPr>
        <w:t xml:space="preserve"> years and </w:t>
      </w:r>
      <w:r w:rsidR="002018B5">
        <w:rPr>
          <w:rFonts w:asciiTheme="minorHAnsi" w:hAnsiTheme="minorHAnsi"/>
          <w:bCs/>
          <w:noProof/>
          <w:color w:val="000000"/>
          <w:highlight w:val="black"/>
          <w:lang w:val="en-GB"/>
        </w:rPr>
        <w:t>'''''''''</w:t>
      </w:r>
      <w:r w:rsidR="00BB12F6" w:rsidRPr="00B93E54">
        <w:rPr>
          <w:rFonts w:asciiTheme="minorHAnsi" w:hAnsiTheme="minorHAnsi"/>
          <w:bCs/>
          <w:lang w:val="en-GB"/>
        </w:rPr>
        <w:t>% at 10 years)</w:t>
      </w:r>
      <w:r w:rsidR="00BB12F6">
        <w:rPr>
          <w:rFonts w:asciiTheme="minorHAnsi" w:hAnsiTheme="minorHAnsi"/>
          <w:bCs/>
          <w:lang w:val="en-GB"/>
        </w:rPr>
        <w:t xml:space="preserve"> arms of the model was low </w:t>
      </w:r>
      <w:r w:rsidR="00613161" w:rsidRPr="00B93E54">
        <w:rPr>
          <w:rFonts w:asciiTheme="minorHAnsi" w:hAnsiTheme="minorHAnsi"/>
          <w:bCs/>
          <w:lang w:val="en-GB"/>
        </w:rPr>
        <w:t xml:space="preserve">when compared to </w:t>
      </w:r>
      <w:r w:rsidR="008B7A43">
        <w:rPr>
          <w:rFonts w:asciiTheme="minorHAnsi" w:hAnsiTheme="minorHAnsi"/>
          <w:bCs/>
          <w:lang w:val="en-GB"/>
        </w:rPr>
        <w:t xml:space="preserve">melanoma specific </w:t>
      </w:r>
      <w:r w:rsidR="00613161" w:rsidRPr="00B93E54">
        <w:rPr>
          <w:rFonts w:asciiTheme="minorHAnsi" w:hAnsiTheme="minorHAnsi"/>
          <w:bCs/>
          <w:lang w:val="en-GB"/>
        </w:rPr>
        <w:t xml:space="preserve">survival </w:t>
      </w:r>
      <w:r w:rsidR="008B7A43">
        <w:rPr>
          <w:rFonts w:asciiTheme="minorHAnsi" w:hAnsiTheme="minorHAnsi"/>
          <w:bCs/>
          <w:lang w:val="en-GB"/>
        </w:rPr>
        <w:t>probabilities</w:t>
      </w:r>
      <w:r w:rsidR="00613161" w:rsidRPr="00B93E54">
        <w:rPr>
          <w:rFonts w:asciiTheme="minorHAnsi" w:hAnsiTheme="minorHAnsi"/>
          <w:bCs/>
          <w:lang w:val="en-GB"/>
        </w:rPr>
        <w:t xml:space="preserve"> presented in the 8</w:t>
      </w:r>
      <w:r w:rsidR="00613161" w:rsidRPr="00B93E54">
        <w:rPr>
          <w:rFonts w:asciiTheme="minorHAnsi" w:hAnsiTheme="minorHAnsi"/>
          <w:bCs/>
          <w:vertAlign w:val="superscript"/>
          <w:lang w:val="en-GB"/>
        </w:rPr>
        <w:t>th</w:t>
      </w:r>
      <w:r w:rsidR="00613161" w:rsidRPr="00B93E54">
        <w:rPr>
          <w:rFonts w:asciiTheme="minorHAnsi" w:hAnsiTheme="minorHAnsi"/>
          <w:bCs/>
          <w:lang w:val="en-GB"/>
        </w:rPr>
        <w:t xml:space="preserve"> edition of the AJCC Staging Manual, which estimated </w:t>
      </w:r>
      <w:r w:rsidR="008930AA">
        <w:rPr>
          <w:rFonts w:asciiTheme="minorHAnsi" w:hAnsiTheme="minorHAnsi"/>
          <w:bCs/>
          <w:lang w:val="en-GB"/>
        </w:rPr>
        <w:t>five</w:t>
      </w:r>
      <w:r w:rsidR="00613161" w:rsidRPr="00B93E54">
        <w:rPr>
          <w:rFonts w:asciiTheme="minorHAnsi" w:hAnsiTheme="minorHAnsi"/>
          <w:bCs/>
          <w:lang w:val="en-GB"/>
        </w:rPr>
        <w:t xml:space="preserve">- and 10-year rates of </w:t>
      </w:r>
      <w:r w:rsidR="005D3289">
        <w:rPr>
          <w:rFonts w:asciiTheme="minorHAnsi" w:hAnsiTheme="minorHAnsi"/>
          <w:bCs/>
          <w:lang w:val="en-GB"/>
        </w:rPr>
        <w:t>77</w:t>
      </w:r>
      <w:r w:rsidR="00613161" w:rsidRPr="00B93E54">
        <w:rPr>
          <w:rFonts w:asciiTheme="minorHAnsi" w:hAnsiTheme="minorHAnsi"/>
          <w:bCs/>
          <w:lang w:val="en-GB"/>
        </w:rPr>
        <w:t xml:space="preserve">% and </w:t>
      </w:r>
      <w:r w:rsidR="005D3289">
        <w:rPr>
          <w:rFonts w:asciiTheme="minorHAnsi" w:hAnsiTheme="minorHAnsi"/>
          <w:bCs/>
          <w:lang w:val="en-GB"/>
        </w:rPr>
        <w:t>69</w:t>
      </w:r>
      <w:r w:rsidR="00613161" w:rsidRPr="00B93E54">
        <w:rPr>
          <w:rFonts w:asciiTheme="minorHAnsi" w:hAnsiTheme="minorHAnsi"/>
          <w:bCs/>
          <w:lang w:val="en-GB"/>
        </w:rPr>
        <w:t>% respectively for Stage III patients</w:t>
      </w:r>
      <w:r w:rsidR="004D1592">
        <w:rPr>
          <w:rFonts w:asciiTheme="minorHAnsi" w:hAnsiTheme="minorHAnsi"/>
          <w:bCs/>
          <w:lang w:val="en-GB"/>
        </w:rPr>
        <w:t>;</w:t>
      </w:r>
      <w:r w:rsidR="00613161" w:rsidRPr="00B93E54">
        <w:rPr>
          <w:rFonts w:asciiTheme="minorHAnsi" w:hAnsiTheme="minorHAnsi"/>
          <w:bCs/>
          <w:lang w:val="en-GB"/>
        </w:rPr>
        <w:t xml:space="preserve"> </w:t>
      </w:r>
    </w:p>
    <w:p w:rsidR="002C7D42" w:rsidRPr="00B93E54" w:rsidRDefault="00341A5A" w:rsidP="00C6669B">
      <w:pPr>
        <w:numPr>
          <w:ilvl w:val="1"/>
          <w:numId w:val="12"/>
        </w:numPr>
        <w:spacing w:after="120"/>
        <w:ind w:left="1077" w:hanging="357"/>
        <w:rPr>
          <w:rFonts w:asciiTheme="minorHAnsi" w:hAnsiTheme="minorHAnsi"/>
          <w:bCs/>
          <w:lang w:val="en-GB"/>
        </w:rPr>
      </w:pPr>
      <w:r>
        <w:rPr>
          <w:rFonts w:asciiTheme="minorHAnsi" w:hAnsiTheme="minorHAnsi"/>
          <w:bCs/>
          <w:lang w:val="en-GB"/>
        </w:rPr>
        <w:t xml:space="preserve">that </w:t>
      </w:r>
      <w:r w:rsidR="00B93E54" w:rsidRPr="00B93E54">
        <w:rPr>
          <w:rFonts w:asciiTheme="minorHAnsi" w:hAnsiTheme="minorHAnsi"/>
          <w:bCs/>
          <w:lang w:val="en-GB"/>
        </w:rPr>
        <w:t>t</w:t>
      </w:r>
      <w:r w:rsidR="002C7D42" w:rsidRPr="00B93E54">
        <w:rPr>
          <w:rFonts w:asciiTheme="minorHAnsi" w:hAnsiTheme="minorHAnsi"/>
          <w:bCs/>
          <w:lang w:val="en-GB"/>
        </w:rPr>
        <w:t>he modelle</w:t>
      </w:r>
      <w:r w:rsidR="008312DE">
        <w:rPr>
          <w:rFonts w:asciiTheme="minorHAnsi" w:hAnsiTheme="minorHAnsi"/>
          <w:bCs/>
          <w:lang w:val="en-GB"/>
        </w:rPr>
        <w:t xml:space="preserve">d </w:t>
      </w:r>
      <w:r w:rsidR="002C7D42" w:rsidRPr="00B93E54">
        <w:rPr>
          <w:rFonts w:asciiTheme="minorHAnsi" w:hAnsiTheme="minorHAnsi"/>
          <w:bCs/>
          <w:lang w:val="en-GB"/>
        </w:rPr>
        <w:t xml:space="preserve">data were based on immature </w:t>
      </w:r>
      <w:r w:rsidR="00DC4BF9">
        <w:rPr>
          <w:rFonts w:asciiTheme="minorHAnsi" w:hAnsiTheme="minorHAnsi"/>
          <w:bCs/>
          <w:lang w:val="en-GB"/>
        </w:rPr>
        <w:t xml:space="preserve">RFS </w:t>
      </w:r>
      <w:r w:rsidR="002C7D42" w:rsidRPr="00B93E54">
        <w:rPr>
          <w:rFonts w:asciiTheme="minorHAnsi" w:hAnsiTheme="minorHAnsi"/>
          <w:bCs/>
          <w:lang w:val="en-GB"/>
        </w:rPr>
        <w:t>trial evidence</w:t>
      </w:r>
      <w:r>
        <w:rPr>
          <w:rFonts w:asciiTheme="minorHAnsi" w:hAnsiTheme="minorHAnsi"/>
          <w:bCs/>
          <w:lang w:val="en-GB"/>
        </w:rPr>
        <w:t xml:space="preserve"> (median RFS </w:t>
      </w:r>
      <w:r w:rsidR="008930AA">
        <w:rPr>
          <w:rFonts w:asciiTheme="minorHAnsi" w:hAnsiTheme="minorHAnsi"/>
          <w:bCs/>
          <w:lang w:val="en-GB"/>
        </w:rPr>
        <w:t xml:space="preserve">for </w:t>
      </w:r>
      <w:proofErr w:type="spellStart"/>
      <w:r w:rsidR="008930AA">
        <w:rPr>
          <w:rFonts w:asciiTheme="minorHAnsi" w:hAnsiTheme="minorHAnsi"/>
          <w:bCs/>
          <w:lang w:val="en-GB"/>
        </w:rPr>
        <w:t>pembrolizumab</w:t>
      </w:r>
      <w:proofErr w:type="spellEnd"/>
      <w:r w:rsidR="008930AA">
        <w:rPr>
          <w:rFonts w:asciiTheme="minorHAnsi" w:hAnsiTheme="minorHAnsi"/>
          <w:bCs/>
          <w:lang w:val="en-GB"/>
        </w:rPr>
        <w:t xml:space="preserve"> </w:t>
      </w:r>
      <w:r>
        <w:rPr>
          <w:rFonts w:asciiTheme="minorHAnsi" w:hAnsiTheme="minorHAnsi"/>
          <w:bCs/>
          <w:lang w:val="en-GB"/>
        </w:rPr>
        <w:t xml:space="preserve">had not </w:t>
      </w:r>
      <w:r w:rsidR="008930AA">
        <w:rPr>
          <w:rFonts w:asciiTheme="minorHAnsi" w:hAnsiTheme="minorHAnsi"/>
          <w:bCs/>
          <w:lang w:val="en-GB"/>
        </w:rPr>
        <w:t xml:space="preserve">yet </w:t>
      </w:r>
      <w:r>
        <w:rPr>
          <w:rFonts w:asciiTheme="minorHAnsi" w:hAnsiTheme="minorHAnsi"/>
          <w:bCs/>
          <w:lang w:val="en-GB"/>
        </w:rPr>
        <w:t>been reached)</w:t>
      </w:r>
      <w:r w:rsidR="00DC4BF9">
        <w:rPr>
          <w:rFonts w:asciiTheme="minorHAnsi" w:hAnsiTheme="minorHAnsi"/>
          <w:bCs/>
          <w:lang w:val="en-GB"/>
        </w:rPr>
        <w:t xml:space="preserve"> and that no overall survival data were available</w:t>
      </w:r>
      <w:r w:rsidR="00FD4D88" w:rsidRPr="00B93E54">
        <w:rPr>
          <w:rFonts w:asciiTheme="minorHAnsi" w:hAnsiTheme="minorHAnsi"/>
          <w:bCs/>
          <w:lang w:val="en-GB"/>
        </w:rPr>
        <w:t>;</w:t>
      </w:r>
    </w:p>
    <w:p w:rsidR="00613161" w:rsidRPr="00B93E54" w:rsidRDefault="008312DE" w:rsidP="00C6669B">
      <w:pPr>
        <w:numPr>
          <w:ilvl w:val="1"/>
          <w:numId w:val="12"/>
        </w:numPr>
        <w:spacing w:after="120"/>
        <w:ind w:left="1077" w:hanging="357"/>
        <w:rPr>
          <w:rFonts w:asciiTheme="minorHAnsi" w:hAnsiTheme="minorHAnsi"/>
          <w:bCs/>
          <w:lang w:val="en-GB"/>
        </w:rPr>
      </w:pPr>
      <w:r>
        <w:rPr>
          <w:rFonts w:asciiTheme="minorHAnsi" w:hAnsiTheme="minorHAnsi"/>
          <w:bCs/>
          <w:lang w:val="en-GB"/>
        </w:rPr>
        <w:t xml:space="preserve">that </w:t>
      </w:r>
      <w:r w:rsidR="00B93E54" w:rsidRPr="00B93E54">
        <w:rPr>
          <w:rFonts w:asciiTheme="minorHAnsi" w:hAnsiTheme="minorHAnsi"/>
          <w:bCs/>
          <w:lang w:val="en-GB"/>
        </w:rPr>
        <w:t>t</w:t>
      </w:r>
      <w:r w:rsidR="00613161" w:rsidRPr="00B93E54">
        <w:rPr>
          <w:rFonts w:asciiTheme="minorHAnsi" w:hAnsiTheme="minorHAnsi"/>
          <w:bCs/>
          <w:lang w:val="en-GB"/>
        </w:rPr>
        <w:t xml:space="preserve">he </w:t>
      </w:r>
      <w:r w:rsidR="00A42FE6">
        <w:rPr>
          <w:rFonts w:asciiTheme="minorHAnsi" w:hAnsiTheme="minorHAnsi"/>
          <w:bCs/>
          <w:lang w:val="en-GB"/>
        </w:rPr>
        <w:t xml:space="preserve">quantification of the relationship between RFS and </w:t>
      </w:r>
      <w:r w:rsidR="009C767B">
        <w:rPr>
          <w:rFonts w:asciiTheme="minorHAnsi" w:hAnsiTheme="minorHAnsi"/>
          <w:bCs/>
          <w:lang w:val="en-GB"/>
        </w:rPr>
        <w:t>overall survival</w:t>
      </w:r>
      <w:r>
        <w:rPr>
          <w:rFonts w:asciiTheme="minorHAnsi" w:hAnsiTheme="minorHAnsi"/>
          <w:bCs/>
          <w:lang w:val="en-GB"/>
        </w:rPr>
        <w:t xml:space="preserve"> was uncertain</w:t>
      </w:r>
      <w:r w:rsidR="00A42FE6">
        <w:rPr>
          <w:rFonts w:asciiTheme="minorHAnsi" w:hAnsiTheme="minorHAnsi"/>
          <w:bCs/>
          <w:lang w:val="en-GB"/>
        </w:rPr>
        <w:t xml:space="preserve">, </w:t>
      </w:r>
      <w:r>
        <w:rPr>
          <w:rFonts w:asciiTheme="minorHAnsi" w:hAnsiTheme="minorHAnsi"/>
          <w:bCs/>
          <w:lang w:val="en-GB"/>
        </w:rPr>
        <w:t>and</w:t>
      </w:r>
      <w:r w:rsidR="00A42FE6">
        <w:rPr>
          <w:rFonts w:asciiTheme="minorHAnsi" w:hAnsiTheme="minorHAnsi"/>
          <w:bCs/>
          <w:lang w:val="en-GB"/>
        </w:rPr>
        <w:t xml:space="preserve"> the impact of treatment for recurrence on this relationship</w:t>
      </w:r>
      <w:r w:rsidR="00613161" w:rsidRPr="00B93E54">
        <w:rPr>
          <w:rFonts w:asciiTheme="minorHAnsi" w:hAnsiTheme="minorHAnsi"/>
          <w:bCs/>
          <w:lang w:val="en-GB"/>
        </w:rPr>
        <w:t xml:space="preserve"> </w:t>
      </w:r>
      <w:r>
        <w:rPr>
          <w:rFonts w:asciiTheme="minorHAnsi" w:hAnsiTheme="minorHAnsi"/>
          <w:bCs/>
          <w:lang w:val="en-GB"/>
        </w:rPr>
        <w:t>unknown</w:t>
      </w:r>
      <w:r w:rsidR="004D1592">
        <w:rPr>
          <w:rFonts w:asciiTheme="minorHAnsi" w:hAnsiTheme="minorHAnsi"/>
          <w:bCs/>
          <w:lang w:val="en-GB"/>
        </w:rPr>
        <w:t>; and</w:t>
      </w:r>
    </w:p>
    <w:p w:rsidR="00613161" w:rsidRPr="00B93E54" w:rsidRDefault="00B93E54" w:rsidP="00C6669B">
      <w:pPr>
        <w:numPr>
          <w:ilvl w:val="1"/>
          <w:numId w:val="12"/>
        </w:numPr>
        <w:spacing w:after="120"/>
        <w:ind w:left="1077" w:hanging="357"/>
        <w:rPr>
          <w:rFonts w:asciiTheme="minorHAnsi" w:hAnsiTheme="minorHAnsi"/>
          <w:bCs/>
          <w:lang w:val="en-GB"/>
        </w:rPr>
      </w:pPr>
      <w:proofErr w:type="gramStart"/>
      <w:r w:rsidRPr="00B93E54">
        <w:rPr>
          <w:rFonts w:asciiTheme="minorHAnsi" w:hAnsiTheme="minorHAnsi"/>
          <w:bCs/>
          <w:lang w:val="en-GB"/>
        </w:rPr>
        <w:t>t</w:t>
      </w:r>
      <w:r w:rsidR="00613161" w:rsidRPr="00B93E54">
        <w:rPr>
          <w:rFonts w:asciiTheme="minorHAnsi" w:hAnsiTheme="minorHAnsi"/>
          <w:bCs/>
          <w:lang w:val="en-GB"/>
        </w:rPr>
        <w:t>he</w:t>
      </w:r>
      <w:proofErr w:type="gramEnd"/>
      <w:r w:rsidR="00613161" w:rsidRPr="00B93E54">
        <w:rPr>
          <w:rFonts w:asciiTheme="minorHAnsi" w:hAnsiTheme="minorHAnsi"/>
          <w:bCs/>
          <w:lang w:val="en-GB"/>
        </w:rPr>
        <w:t xml:space="preserve"> relevance of post-recurrence inputs for the adjuvant </w:t>
      </w:r>
      <w:proofErr w:type="spellStart"/>
      <w:r w:rsidR="00613161" w:rsidRPr="00B93E54">
        <w:rPr>
          <w:rFonts w:asciiTheme="minorHAnsi" w:hAnsiTheme="minorHAnsi"/>
          <w:bCs/>
          <w:lang w:val="en-GB"/>
        </w:rPr>
        <w:t>pembrolizumab</w:t>
      </w:r>
      <w:proofErr w:type="spellEnd"/>
      <w:r w:rsidR="00613161" w:rsidRPr="00B93E54">
        <w:rPr>
          <w:rFonts w:asciiTheme="minorHAnsi" w:hAnsiTheme="minorHAnsi"/>
          <w:bCs/>
          <w:lang w:val="en-GB"/>
        </w:rPr>
        <w:t xml:space="preserve"> arm, given that there was no efficacy or safety data for patients who received a PD-1 inhibitor in both the adjuvant and </w:t>
      </w:r>
      <w:proofErr w:type="spellStart"/>
      <w:r w:rsidR="00613161" w:rsidRPr="00B93E54">
        <w:rPr>
          <w:rFonts w:asciiTheme="minorHAnsi" w:hAnsiTheme="minorHAnsi"/>
          <w:bCs/>
          <w:lang w:val="en-GB"/>
        </w:rPr>
        <w:t>unresectable</w:t>
      </w:r>
      <w:proofErr w:type="spellEnd"/>
      <w:r w:rsidR="00613161" w:rsidRPr="00B93E54">
        <w:rPr>
          <w:rFonts w:asciiTheme="minorHAnsi" w:hAnsiTheme="minorHAnsi"/>
          <w:bCs/>
          <w:lang w:val="en-GB"/>
        </w:rPr>
        <w:t xml:space="preserve"> settings. In addition, the cost and effectiveness of treatments post-progression were based on </w:t>
      </w:r>
      <w:r w:rsidRPr="00B93E54">
        <w:rPr>
          <w:rFonts w:asciiTheme="minorHAnsi" w:hAnsiTheme="minorHAnsi"/>
          <w:bCs/>
          <w:lang w:val="en-GB"/>
        </w:rPr>
        <w:t>progression free survival and overall survival curves derived from external evidence (KN006 and a network meta-analysis). Use of these data in the model introduced substantial uncertainty which could not be addressed by the sensitivity analyses.</w:t>
      </w:r>
    </w:p>
    <w:p w:rsidR="00E5133C" w:rsidRDefault="0033617C" w:rsidP="00FC4D0F">
      <w:pPr>
        <w:numPr>
          <w:ilvl w:val="1"/>
          <w:numId w:val="3"/>
        </w:numPr>
        <w:spacing w:after="120"/>
        <w:rPr>
          <w:rFonts w:asciiTheme="minorHAnsi" w:hAnsiTheme="minorHAnsi"/>
          <w:bCs/>
          <w:lang w:val="en-GB"/>
        </w:rPr>
      </w:pPr>
      <w:r>
        <w:rPr>
          <w:rFonts w:asciiTheme="minorHAnsi" w:hAnsiTheme="minorHAnsi"/>
          <w:bCs/>
          <w:lang w:val="en-GB"/>
        </w:rPr>
        <w:lastRenderedPageBreak/>
        <w:t xml:space="preserve">Although the </w:t>
      </w:r>
      <w:r w:rsidR="00D256DB" w:rsidRPr="00B5718F">
        <w:rPr>
          <w:rFonts w:asciiTheme="minorHAnsi" w:hAnsiTheme="minorHAnsi"/>
          <w:bCs/>
          <w:lang w:val="en-GB"/>
        </w:rPr>
        <w:t xml:space="preserve">PBAC considered that </w:t>
      </w:r>
      <w:r w:rsidR="002C7A94">
        <w:rPr>
          <w:rFonts w:asciiTheme="minorHAnsi" w:hAnsiTheme="minorHAnsi"/>
          <w:bCs/>
          <w:lang w:val="en-GB"/>
        </w:rPr>
        <w:t>utilisation estimates</w:t>
      </w:r>
      <w:r w:rsidR="00D256DB" w:rsidRPr="00B5718F">
        <w:rPr>
          <w:rFonts w:asciiTheme="minorHAnsi" w:hAnsiTheme="minorHAnsi"/>
          <w:bCs/>
          <w:lang w:val="en-GB"/>
        </w:rPr>
        <w:t xml:space="preserve"> were </w:t>
      </w:r>
      <w:r>
        <w:rPr>
          <w:rFonts w:asciiTheme="minorHAnsi" w:hAnsiTheme="minorHAnsi"/>
          <w:bCs/>
          <w:lang w:val="en-GB"/>
        </w:rPr>
        <w:t>overestimated</w:t>
      </w:r>
      <w:r w:rsidR="00D256DB" w:rsidRPr="00B5718F">
        <w:rPr>
          <w:rFonts w:asciiTheme="minorHAnsi" w:hAnsiTheme="minorHAnsi"/>
          <w:bCs/>
          <w:lang w:val="en-GB"/>
        </w:rPr>
        <w:t>, the finan</w:t>
      </w:r>
      <w:r w:rsidR="00B5718F" w:rsidRPr="00B5718F">
        <w:rPr>
          <w:rFonts w:asciiTheme="minorHAnsi" w:hAnsiTheme="minorHAnsi"/>
          <w:bCs/>
          <w:lang w:val="en-GB"/>
        </w:rPr>
        <w:t xml:space="preserve">cial impact was </w:t>
      </w:r>
      <w:r w:rsidR="00E5133C">
        <w:rPr>
          <w:rFonts w:asciiTheme="minorHAnsi" w:hAnsiTheme="minorHAnsi"/>
          <w:bCs/>
          <w:lang w:val="en-GB"/>
        </w:rPr>
        <w:t xml:space="preserve">also </w:t>
      </w:r>
      <w:r w:rsidR="00B5718F" w:rsidRPr="00B5718F">
        <w:rPr>
          <w:rFonts w:asciiTheme="minorHAnsi" w:hAnsiTheme="minorHAnsi"/>
          <w:bCs/>
          <w:lang w:val="en-GB"/>
        </w:rPr>
        <w:t>very high (</w:t>
      </w:r>
      <w:r w:rsidR="00C6669B">
        <w:rPr>
          <w:rFonts w:asciiTheme="minorHAnsi" w:hAnsiTheme="minorHAnsi"/>
          <w:bCs/>
          <w:lang w:val="en-GB"/>
        </w:rPr>
        <w:t>more than $100</w:t>
      </w:r>
      <w:r w:rsidR="00B5718F" w:rsidRPr="00B5718F">
        <w:rPr>
          <w:rFonts w:asciiTheme="minorHAnsi" w:hAnsiTheme="minorHAnsi"/>
          <w:bCs/>
          <w:lang w:val="en-GB"/>
        </w:rPr>
        <w:t xml:space="preserve"> million per year </w:t>
      </w:r>
      <w:r w:rsidR="00B359F3">
        <w:rPr>
          <w:rFonts w:asciiTheme="minorHAnsi" w:hAnsiTheme="minorHAnsi"/>
          <w:bCs/>
          <w:lang w:val="en-GB"/>
        </w:rPr>
        <w:t xml:space="preserve">for </w:t>
      </w:r>
      <w:r w:rsidR="00C6669B">
        <w:rPr>
          <w:rFonts w:asciiTheme="minorHAnsi" w:hAnsiTheme="minorHAnsi"/>
          <w:bCs/>
          <w:lang w:val="en-GB"/>
        </w:rPr>
        <w:t>less than 10,000</w:t>
      </w:r>
      <w:r w:rsidR="00B359F3">
        <w:rPr>
          <w:rFonts w:asciiTheme="minorHAnsi" w:hAnsiTheme="minorHAnsi"/>
          <w:bCs/>
          <w:lang w:val="en-GB"/>
        </w:rPr>
        <w:t xml:space="preserve"> patient</w:t>
      </w:r>
      <w:r w:rsidR="00DC396F">
        <w:rPr>
          <w:rFonts w:asciiTheme="minorHAnsi" w:hAnsiTheme="minorHAnsi"/>
          <w:bCs/>
          <w:lang w:val="en-GB"/>
        </w:rPr>
        <w:t>s</w:t>
      </w:r>
      <w:r w:rsidR="00B5718F" w:rsidRPr="00B5718F">
        <w:rPr>
          <w:rFonts w:asciiTheme="minorHAnsi" w:hAnsiTheme="minorHAnsi"/>
          <w:bCs/>
          <w:lang w:val="en-GB"/>
        </w:rPr>
        <w:t xml:space="preserve">). </w:t>
      </w:r>
      <w:r w:rsidR="00F75457">
        <w:rPr>
          <w:rFonts w:asciiTheme="minorHAnsi" w:hAnsiTheme="minorHAnsi"/>
          <w:bCs/>
          <w:lang w:val="en-GB"/>
        </w:rPr>
        <w:t xml:space="preserve">The PBAC noted that cost-offsets for post-progression treatment were applied in the economic model, but not similarly applied in the financial estimates. </w:t>
      </w:r>
    </w:p>
    <w:p w:rsidR="002C7A94" w:rsidRDefault="00E5133C" w:rsidP="00FC4D0F">
      <w:pPr>
        <w:numPr>
          <w:ilvl w:val="1"/>
          <w:numId w:val="3"/>
        </w:numPr>
        <w:spacing w:after="120"/>
        <w:rPr>
          <w:rFonts w:asciiTheme="minorHAnsi" w:hAnsiTheme="minorHAnsi"/>
          <w:bCs/>
          <w:lang w:val="en-GB"/>
        </w:rPr>
      </w:pPr>
      <w:r>
        <w:rPr>
          <w:rFonts w:asciiTheme="minorHAnsi" w:hAnsiTheme="minorHAnsi"/>
          <w:bCs/>
          <w:lang w:val="en-GB"/>
        </w:rPr>
        <w:t>The PBAC considered that the average number of administrations per patient (</w:t>
      </w:r>
      <w:r w:rsidR="002018B5">
        <w:rPr>
          <w:rFonts w:asciiTheme="minorHAnsi" w:hAnsiTheme="minorHAnsi"/>
          <w:bCs/>
          <w:noProof/>
          <w:color w:val="000000"/>
          <w:highlight w:val="black"/>
          <w:lang w:val="en-GB"/>
        </w:rPr>
        <w:t>'''''''''''</w:t>
      </w:r>
      <w:r>
        <w:rPr>
          <w:rFonts w:asciiTheme="minorHAnsi" w:hAnsiTheme="minorHAnsi"/>
          <w:bCs/>
          <w:lang w:val="en-GB"/>
        </w:rPr>
        <w:t xml:space="preserve"> per year) overestimated</w:t>
      </w:r>
      <w:r w:rsidR="00182412">
        <w:rPr>
          <w:rFonts w:asciiTheme="minorHAnsi" w:hAnsiTheme="minorHAnsi"/>
          <w:bCs/>
          <w:lang w:val="en-GB"/>
        </w:rPr>
        <w:t xml:space="preserve"> the dose intensity and the cost per patient</w:t>
      </w:r>
      <w:r>
        <w:rPr>
          <w:rFonts w:asciiTheme="minorHAnsi" w:hAnsiTheme="minorHAnsi"/>
          <w:bCs/>
          <w:lang w:val="en-GB"/>
        </w:rPr>
        <w:t xml:space="preserve"> as </w:t>
      </w:r>
      <w:r w:rsidR="002018B5">
        <w:rPr>
          <w:rFonts w:asciiTheme="minorHAnsi" w:hAnsiTheme="minorHAnsi"/>
          <w:bCs/>
          <w:noProof/>
          <w:color w:val="000000"/>
          <w:highlight w:val="black"/>
          <w:lang w:val="en-GB"/>
        </w:rPr>
        <w:t>'''''</w:t>
      </w:r>
      <w:r>
        <w:rPr>
          <w:rFonts w:asciiTheme="minorHAnsi" w:hAnsiTheme="minorHAnsi"/>
          <w:bCs/>
          <w:lang w:val="en-GB"/>
        </w:rPr>
        <w:t xml:space="preserve">% of patients in KN054 </w:t>
      </w:r>
      <w:r w:rsidR="00182412">
        <w:rPr>
          <w:rFonts w:asciiTheme="minorHAnsi" w:hAnsiTheme="minorHAnsi"/>
          <w:bCs/>
          <w:lang w:val="en-GB"/>
        </w:rPr>
        <w:t xml:space="preserve">did not </w:t>
      </w:r>
      <w:r>
        <w:rPr>
          <w:rFonts w:asciiTheme="minorHAnsi" w:hAnsiTheme="minorHAnsi"/>
          <w:bCs/>
          <w:lang w:val="en-GB"/>
        </w:rPr>
        <w:t xml:space="preserve">complete one year of treatment. </w:t>
      </w:r>
      <w:r w:rsidR="00F75457">
        <w:rPr>
          <w:rFonts w:asciiTheme="minorHAnsi" w:hAnsiTheme="minorHAnsi"/>
          <w:bCs/>
          <w:lang w:val="en-GB"/>
        </w:rPr>
        <w:t>In addition, t</w:t>
      </w:r>
      <w:r w:rsidR="002C7A94">
        <w:rPr>
          <w:rFonts w:asciiTheme="minorHAnsi" w:hAnsiTheme="minorHAnsi"/>
          <w:bCs/>
          <w:lang w:val="en-GB"/>
        </w:rPr>
        <w:t xml:space="preserve">he PBAC considered that the rate of uptake, </w:t>
      </w:r>
      <w:r w:rsidR="002018B5">
        <w:rPr>
          <w:rFonts w:asciiTheme="minorHAnsi" w:hAnsiTheme="minorHAnsi"/>
          <w:bCs/>
          <w:noProof/>
          <w:color w:val="000000"/>
          <w:highlight w:val="black"/>
          <w:lang w:val="en-GB"/>
        </w:rPr>
        <w:t>''''''</w:t>
      </w:r>
      <w:r w:rsidR="002C7A94">
        <w:rPr>
          <w:rFonts w:asciiTheme="minorHAnsi" w:hAnsiTheme="minorHAnsi"/>
          <w:bCs/>
          <w:lang w:val="en-GB"/>
        </w:rPr>
        <w:t>%, applied in the submission was high as:</w:t>
      </w:r>
    </w:p>
    <w:p w:rsidR="002C7A94" w:rsidRDefault="002C7A94" w:rsidP="00C6669B">
      <w:pPr>
        <w:numPr>
          <w:ilvl w:val="1"/>
          <w:numId w:val="13"/>
        </w:numPr>
        <w:spacing w:after="120"/>
        <w:ind w:left="1077" w:hanging="357"/>
        <w:rPr>
          <w:rFonts w:asciiTheme="minorHAnsi" w:hAnsiTheme="minorHAnsi"/>
          <w:bCs/>
          <w:lang w:val="en-GB"/>
        </w:rPr>
      </w:pPr>
      <w:r>
        <w:rPr>
          <w:rFonts w:asciiTheme="minorHAnsi" w:hAnsiTheme="minorHAnsi"/>
          <w:bCs/>
          <w:lang w:val="en-GB"/>
        </w:rPr>
        <w:t>older patients</w:t>
      </w:r>
      <w:r w:rsidR="00E5133C">
        <w:rPr>
          <w:rFonts w:asciiTheme="minorHAnsi" w:hAnsiTheme="minorHAnsi"/>
          <w:bCs/>
          <w:lang w:val="en-GB"/>
        </w:rPr>
        <w:t>,</w:t>
      </w:r>
      <w:r>
        <w:rPr>
          <w:rFonts w:asciiTheme="minorHAnsi" w:hAnsiTheme="minorHAnsi"/>
          <w:bCs/>
          <w:lang w:val="en-GB"/>
        </w:rPr>
        <w:t xml:space="preserve"> </w:t>
      </w:r>
      <w:r w:rsidR="00E5133C">
        <w:rPr>
          <w:rFonts w:asciiTheme="minorHAnsi" w:hAnsiTheme="minorHAnsi"/>
          <w:bCs/>
          <w:lang w:val="en-GB"/>
        </w:rPr>
        <w:t>particularly those with comorbidities, autoimmune conditions and/or poor performance status, may be less likely to receive adjuvant therapies</w:t>
      </w:r>
      <w:r>
        <w:rPr>
          <w:rFonts w:asciiTheme="minorHAnsi" w:hAnsiTheme="minorHAnsi"/>
          <w:bCs/>
          <w:lang w:val="en-GB"/>
        </w:rPr>
        <w:t xml:space="preserve">; and </w:t>
      </w:r>
    </w:p>
    <w:p w:rsidR="00D256DB" w:rsidRDefault="002C7A94" w:rsidP="00C6669B">
      <w:pPr>
        <w:numPr>
          <w:ilvl w:val="1"/>
          <w:numId w:val="13"/>
        </w:numPr>
        <w:spacing w:after="120"/>
        <w:ind w:left="1077" w:hanging="357"/>
        <w:rPr>
          <w:rFonts w:asciiTheme="minorHAnsi" w:hAnsiTheme="minorHAnsi"/>
          <w:bCs/>
          <w:lang w:val="en-GB"/>
        </w:rPr>
      </w:pPr>
      <w:proofErr w:type="gramStart"/>
      <w:r>
        <w:rPr>
          <w:rFonts w:asciiTheme="minorHAnsi" w:hAnsiTheme="minorHAnsi"/>
          <w:bCs/>
          <w:lang w:val="en-GB"/>
        </w:rPr>
        <w:t>those</w:t>
      </w:r>
      <w:proofErr w:type="gramEnd"/>
      <w:r>
        <w:rPr>
          <w:rFonts w:asciiTheme="minorHAnsi" w:hAnsiTheme="minorHAnsi"/>
          <w:bCs/>
          <w:lang w:val="en-GB"/>
        </w:rPr>
        <w:t xml:space="preserve"> with earlier stage disease (i.e. S</w:t>
      </w:r>
      <w:r w:rsidR="001E097E">
        <w:rPr>
          <w:rFonts w:asciiTheme="minorHAnsi" w:hAnsiTheme="minorHAnsi"/>
          <w:bCs/>
          <w:lang w:val="en-GB"/>
        </w:rPr>
        <w:t>tages IIIA</w:t>
      </w:r>
      <w:r w:rsidR="009C767B">
        <w:rPr>
          <w:rFonts w:asciiTheme="minorHAnsi" w:hAnsiTheme="minorHAnsi"/>
          <w:bCs/>
          <w:lang w:val="en-GB"/>
        </w:rPr>
        <w:t xml:space="preserve"> and III</w:t>
      </w:r>
      <w:r w:rsidR="001E097E">
        <w:rPr>
          <w:rFonts w:asciiTheme="minorHAnsi" w:hAnsiTheme="minorHAnsi"/>
          <w:bCs/>
          <w:lang w:val="en-GB"/>
        </w:rPr>
        <w:t>B using the 8</w:t>
      </w:r>
      <w:r w:rsidR="001E097E" w:rsidRPr="001E097E">
        <w:rPr>
          <w:rFonts w:asciiTheme="minorHAnsi" w:hAnsiTheme="minorHAnsi"/>
          <w:bCs/>
          <w:vertAlign w:val="superscript"/>
          <w:lang w:val="en-GB"/>
        </w:rPr>
        <w:t>th</w:t>
      </w:r>
      <w:r w:rsidR="001E097E">
        <w:rPr>
          <w:rFonts w:asciiTheme="minorHAnsi" w:hAnsiTheme="minorHAnsi"/>
          <w:bCs/>
          <w:lang w:val="en-GB"/>
        </w:rPr>
        <w:t xml:space="preserve"> edition of the AJCC melanoma staging system</w:t>
      </w:r>
      <w:r w:rsidR="00BC27D7">
        <w:rPr>
          <w:rFonts w:asciiTheme="minorHAnsi" w:hAnsiTheme="minorHAnsi"/>
          <w:bCs/>
          <w:lang w:val="en-GB"/>
        </w:rPr>
        <w:t>)</w:t>
      </w:r>
      <w:r w:rsidR="001E097E">
        <w:rPr>
          <w:rFonts w:asciiTheme="minorHAnsi" w:hAnsiTheme="minorHAnsi"/>
          <w:bCs/>
          <w:lang w:val="en-GB"/>
        </w:rPr>
        <w:t xml:space="preserve"> may be less likely to receive adjuvant </w:t>
      </w:r>
      <w:proofErr w:type="spellStart"/>
      <w:r w:rsidR="001E097E">
        <w:rPr>
          <w:rFonts w:asciiTheme="minorHAnsi" w:hAnsiTheme="minorHAnsi"/>
          <w:bCs/>
          <w:lang w:val="en-GB"/>
        </w:rPr>
        <w:t>pembrolizumab</w:t>
      </w:r>
      <w:proofErr w:type="spellEnd"/>
      <w:r w:rsidR="001E097E">
        <w:rPr>
          <w:rFonts w:asciiTheme="minorHAnsi" w:hAnsiTheme="minorHAnsi"/>
          <w:bCs/>
          <w:lang w:val="en-GB"/>
        </w:rPr>
        <w:t xml:space="preserve"> treatment</w:t>
      </w:r>
      <w:r w:rsidR="00BC27D7">
        <w:rPr>
          <w:rFonts w:asciiTheme="minorHAnsi" w:hAnsiTheme="minorHAnsi"/>
          <w:bCs/>
          <w:lang w:val="en-GB"/>
        </w:rPr>
        <w:t xml:space="preserve">. Noting that </w:t>
      </w:r>
      <w:r w:rsidR="002C51BD">
        <w:rPr>
          <w:rFonts w:asciiTheme="minorHAnsi" w:hAnsiTheme="minorHAnsi"/>
          <w:bCs/>
          <w:lang w:val="en-GB"/>
        </w:rPr>
        <w:t xml:space="preserve">in Australia, </w:t>
      </w:r>
      <w:r w:rsidR="00BC27D7">
        <w:rPr>
          <w:rFonts w:asciiTheme="minorHAnsi" w:hAnsiTheme="minorHAnsi"/>
          <w:bCs/>
          <w:lang w:val="en-GB"/>
        </w:rPr>
        <w:t>49% of Stage III melanoma patients are diagnosed at Stage IIIA</w:t>
      </w:r>
      <w:r w:rsidR="009C767B">
        <w:rPr>
          <w:rFonts w:asciiTheme="minorHAnsi" w:hAnsiTheme="minorHAnsi"/>
          <w:bCs/>
          <w:lang w:val="en-GB"/>
        </w:rPr>
        <w:t xml:space="preserve"> or III</w:t>
      </w:r>
      <w:r w:rsidR="00BC27D7">
        <w:rPr>
          <w:rFonts w:asciiTheme="minorHAnsi" w:hAnsiTheme="minorHAnsi"/>
          <w:bCs/>
          <w:lang w:val="en-GB"/>
        </w:rPr>
        <w:t>B (8</w:t>
      </w:r>
      <w:r w:rsidR="00BC27D7" w:rsidRPr="00BC27D7">
        <w:rPr>
          <w:rFonts w:asciiTheme="minorHAnsi" w:hAnsiTheme="minorHAnsi"/>
          <w:bCs/>
          <w:vertAlign w:val="superscript"/>
          <w:lang w:val="en-GB"/>
        </w:rPr>
        <w:t>th</w:t>
      </w:r>
      <w:r w:rsidR="00BC27D7">
        <w:rPr>
          <w:rFonts w:asciiTheme="minorHAnsi" w:hAnsiTheme="minorHAnsi"/>
          <w:bCs/>
          <w:lang w:val="en-GB"/>
        </w:rPr>
        <w:t xml:space="preserve"> edition), the PBAC considered that </w:t>
      </w:r>
      <w:r w:rsidR="002C51BD">
        <w:rPr>
          <w:rFonts w:asciiTheme="minorHAnsi" w:hAnsiTheme="minorHAnsi"/>
          <w:bCs/>
          <w:lang w:val="en-GB"/>
        </w:rPr>
        <w:t>a review</w:t>
      </w:r>
      <w:r w:rsidR="00BC27D7">
        <w:rPr>
          <w:rFonts w:asciiTheme="minorHAnsi" w:hAnsiTheme="minorHAnsi"/>
          <w:bCs/>
          <w:lang w:val="en-GB"/>
        </w:rPr>
        <w:t xml:space="preserve"> of the uptake rates across the Stage III subgroups was warranted.  </w:t>
      </w:r>
    </w:p>
    <w:p w:rsidR="00B93E54" w:rsidRPr="00B5718F" w:rsidRDefault="00B93E54" w:rsidP="00FC4D0F">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a Managed Entry Scheme </w:t>
      </w:r>
      <w:r w:rsidR="00BC27D7">
        <w:rPr>
          <w:rFonts w:asciiTheme="minorHAnsi" w:hAnsiTheme="minorHAnsi"/>
          <w:bCs/>
          <w:lang w:val="en-GB"/>
        </w:rPr>
        <w:t xml:space="preserve">might </w:t>
      </w:r>
      <w:r>
        <w:rPr>
          <w:rFonts w:asciiTheme="minorHAnsi" w:hAnsiTheme="minorHAnsi"/>
          <w:bCs/>
          <w:lang w:val="en-GB"/>
        </w:rPr>
        <w:t xml:space="preserve">help address </w:t>
      </w:r>
      <w:r w:rsidR="00BC27D7">
        <w:rPr>
          <w:rFonts w:asciiTheme="minorHAnsi" w:hAnsiTheme="minorHAnsi"/>
          <w:bCs/>
          <w:lang w:val="en-GB"/>
        </w:rPr>
        <w:t xml:space="preserve">some of </w:t>
      </w:r>
      <w:r w:rsidR="0057679B">
        <w:rPr>
          <w:rFonts w:asciiTheme="minorHAnsi" w:hAnsiTheme="minorHAnsi"/>
          <w:bCs/>
          <w:lang w:val="en-GB"/>
        </w:rPr>
        <w:t xml:space="preserve">the </w:t>
      </w:r>
      <w:r>
        <w:rPr>
          <w:rFonts w:asciiTheme="minorHAnsi" w:hAnsiTheme="minorHAnsi"/>
          <w:bCs/>
          <w:lang w:val="en-GB"/>
        </w:rPr>
        <w:t xml:space="preserve">uncertainty </w:t>
      </w:r>
      <w:r w:rsidR="0057679B">
        <w:rPr>
          <w:rFonts w:asciiTheme="minorHAnsi" w:hAnsiTheme="minorHAnsi"/>
          <w:bCs/>
          <w:lang w:val="en-GB"/>
        </w:rPr>
        <w:t xml:space="preserve">surrounding the use of </w:t>
      </w:r>
      <w:proofErr w:type="spellStart"/>
      <w:r w:rsidR="0057679B">
        <w:rPr>
          <w:rFonts w:asciiTheme="minorHAnsi" w:hAnsiTheme="minorHAnsi"/>
          <w:bCs/>
          <w:lang w:val="en-GB"/>
        </w:rPr>
        <w:t>pembrolizumab</w:t>
      </w:r>
      <w:proofErr w:type="spellEnd"/>
      <w:r w:rsidR="0057679B">
        <w:rPr>
          <w:rFonts w:asciiTheme="minorHAnsi" w:hAnsiTheme="minorHAnsi"/>
          <w:bCs/>
          <w:lang w:val="en-GB"/>
        </w:rPr>
        <w:t xml:space="preserve"> in the adjuvant setting </w:t>
      </w:r>
      <w:r>
        <w:rPr>
          <w:rFonts w:asciiTheme="minorHAnsi" w:hAnsiTheme="minorHAnsi"/>
          <w:bCs/>
          <w:lang w:val="en-GB"/>
        </w:rPr>
        <w:t>in terms of</w:t>
      </w:r>
      <w:r w:rsidR="0057679B">
        <w:rPr>
          <w:rFonts w:asciiTheme="minorHAnsi" w:hAnsiTheme="minorHAnsi"/>
          <w:bCs/>
          <w:lang w:val="en-GB"/>
        </w:rPr>
        <w:t xml:space="preserve"> the </w:t>
      </w:r>
      <w:r>
        <w:rPr>
          <w:rFonts w:asciiTheme="minorHAnsi" w:hAnsiTheme="minorHAnsi"/>
          <w:bCs/>
          <w:lang w:val="en-GB"/>
        </w:rPr>
        <w:t>incremental benefit</w:t>
      </w:r>
      <w:r w:rsidR="008312DE">
        <w:rPr>
          <w:rFonts w:asciiTheme="minorHAnsi" w:hAnsiTheme="minorHAnsi"/>
          <w:bCs/>
          <w:lang w:val="en-GB"/>
        </w:rPr>
        <w:t>, including</w:t>
      </w:r>
      <w:r w:rsidR="0057679B">
        <w:rPr>
          <w:rFonts w:asciiTheme="minorHAnsi" w:hAnsiTheme="minorHAnsi"/>
          <w:bCs/>
          <w:lang w:val="en-GB"/>
        </w:rPr>
        <w:t xml:space="preserve"> overall survival</w:t>
      </w:r>
      <w:r w:rsidR="00BC27D7">
        <w:rPr>
          <w:rFonts w:asciiTheme="minorHAnsi" w:hAnsiTheme="minorHAnsi"/>
          <w:bCs/>
          <w:lang w:val="en-GB"/>
        </w:rPr>
        <w:t xml:space="preserve"> in patients with </w:t>
      </w:r>
      <w:r w:rsidR="008312DE">
        <w:rPr>
          <w:rFonts w:asciiTheme="minorHAnsi" w:hAnsiTheme="minorHAnsi"/>
          <w:bCs/>
          <w:lang w:val="en-GB"/>
        </w:rPr>
        <w:t>more advanced</w:t>
      </w:r>
      <w:r w:rsidR="00BC27D7">
        <w:rPr>
          <w:rFonts w:asciiTheme="minorHAnsi" w:hAnsiTheme="minorHAnsi"/>
          <w:bCs/>
          <w:lang w:val="en-GB"/>
        </w:rPr>
        <w:t xml:space="preserve"> Stage III disease</w:t>
      </w:r>
      <w:r>
        <w:rPr>
          <w:rFonts w:asciiTheme="minorHAnsi" w:hAnsiTheme="minorHAnsi"/>
          <w:bCs/>
          <w:lang w:val="en-GB"/>
        </w:rPr>
        <w:t xml:space="preserve">. </w:t>
      </w:r>
    </w:p>
    <w:p w:rsidR="002C51BD" w:rsidRDefault="00B5718F" w:rsidP="00FC4D0F">
      <w:pPr>
        <w:numPr>
          <w:ilvl w:val="1"/>
          <w:numId w:val="3"/>
        </w:numPr>
        <w:spacing w:after="120"/>
        <w:rPr>
          <w:rFonts w:asciiTheme="minorHAnsi" w:hAnsiTheme="minorHAnsi"/>
          <w:bCs/>
          <w:lang w:val="en-GB"/>
        </w:rPr>
      </w:pPr>
      <w:r w:rsidRPr="00B5718F">
        <w:rPr>
          <w:rFonts w:asciiTheme="minorHAnsi" w:hAnsiTheme="minorHAnsi"/>
          <w:bCs/>
          <w:lang w:val="en-GB"/>
        </w:rPr>
        <w:t xml:space="preserve">The PBAC considered that any future resubmission should be a major resubmission </w:t>
      </w:r>
      <w:r w:rsidR="008312DE">
        <w:rPr>
          <w:rFonts w:asciiTheme="minorHAnsi" w:hAnsiTheme="minorHAnsi"/>
          <w:bCs/>
          <w:lang w:val="en-GB"/>
        </w:rPr>
        <w:t>which</w:t>
      </w:r>
      <w:r w:rsidR="002C51BD">
        <w:rPr>
          <w:rFonts w:asciiTheme="minorHAnsi" w:hAnsiTheme="minorHAnsi"/>
          <w:bCs/>
          <w:lang w:val="en-GB"/>
        </w:rPr>
        <w:t>:</w:t>
      </w:r>
      <w:r w:rsidR="008312DE">
        <w:rPr>
          <w:rFonts w:asciiTheme="minorHAnsi" w:hAnsiTheme="minorHAnsi"/>
          <w:bCs/>
          <w:lang w:val="en-GB"/>
        </w:rPr>
        <w:t xml:space="preserve"> </w:t>
      </w:r>
    </w:p>
    <w:p w:rsidR="002C51BD" w:rsidRDefault="008312DE" w:rsidP="00C6669B">
      <w:pPr>
        <w:numPr>
          <w:ilvl w:val="1"/>
          <w:numId w:val="14"/>
        </w:numPr>
        <w:spacing w:after="120"/>
        <w:ind w:left="1077" w:hanging="357"/>
        <w:rPr>
          <w:rFonts w:asciiTheme="minorHAnsi" w:hAnsiTheme="minorHAnsi"/>
          <w:bCs/>
          <w:lang w:val="en-GB"/>
        </w:rPr>
      </w:pPr>
      <w:r>
        <w:rPr>
          <w:rFonts w:asciiTheme="minorHAnsi" w:hAnsiTheme="minorHAnsi"/>
          <w:bCs/>
          <w:lang w:val="en-GB"/>
        </w:rPr>
        <w:t xml:space="preserve">considers the risk benefit ratio and cost-effectiveness </w:t>
      </w:r>
      <w:r w:rsidR="002C51BD">
        <w:rPr>
          <w:rFonts w:asciiTheme="minorHAnsi" w:hAnsiTheme="minorHAnsi"/>
          <w:bCs/>
          <w:lang w:val="en-GB"/>
        </w:rPr>
        <w:t xml:space="preserve">of </w:t>
      </w:r>
      <w:proofErr w:type="spellStart"/>
      <w:r w:rsidR="002C51BD">
        <w:rPr>
          <w:rFonts w:asciiTheme="minorHAnsi" w:hAnsiTheme="minorHAnsi"/>
          <w:bCs/>
          <w:lang w:val="en-GB"/>
        </w:rPr>
        <w:t>pembrolizumab</w:t>
      </w:r>
      <w:proofErr w:type="spellEnd"/>
      <w:r w:rsidR="002C51BD">
        <w:rPr>
          <w:rFonts w:asciiTheme="minorHAnsi" w:hAnsiTheme="minorHAnsi"/>
          <w:bCs/>
          <w:lang w:val="en-GB"/>
        </w:rPr>
        <w:t xml:space="preserve"> </w:t>
      </w:r>
      <w:r>
        <w:rPr>
          <w:rFonts w:asciiTheme="minorHAnsi" w:hAnsiTheme="minorHAnsi"/>
          <w:bCs/>
          <w:lang w:val="en-GB"/>
        </w:rPr>
        <w:t>across the Stage III subgroups</w:t>
      </w:r>
      <w:r w:rsidR="002C51BD">
        <w:rPr>
          <w:rFonts w:asciiTheme="minorHAnsi" w:hAnsiTheme="minorHAnsi"/>
          <w:bCs/>
          <w:lang w:val="en-GB"/>
        </w:rPr>
        <w:t>;</w:t>
      </w:r>
    </w:p>
    <w:p w:rsidR="002C51BD" w:rsidRDefault="002C51BD" w:rsidP="00C6669B">
      <w:pPr>
        <w:numPr>
          <w:ilvl w:val="1"/>
          <w:numId w:val="14"/>
        </w:numPr>
        <w:spacing w:after="120"/>
        <w:ind w:left="1077" w:hanging="357"/>
        <w:rPr>
          <w:rFonts w:asciiTheme="minorHAnsi" w:hAnsiTheme="minorHAnsi"/>
          <w:bCs/>
          <w:lang w:val="en-GB"/>
        </w:rPr>
      </w:pPr>
      <w:r>
        <w:rPr>
          <w:rFonts w:asciiTheme="minorHAnsi" w:hAnsiTheme="minorHAnsi"/>
          <w:bCs/>
          <w:lang w:val="en-GB"/>
        </w:rPr>
        <w:t>addresses the issues noted by the ESC and the PBAC regarding the economic model and the financial impact estimations; and</w:t>
      </w:r>
    </w:p>
    <w:p w:rsidR="00B5718F" w:rsidRPr="00B5718F" w:rsidRDefault="008312DE" w:rsidP="00C6669B">
      <w:pPr>
        <w:numPr>
          <w:ilvl w:val="1"/>
          <w:numId w:val="14"/>
        </w:numPr>
        <w:spacing w:after="120"/>
        <w:ind w:left="1077" w:hanging="357"/>
        <w:rPr>
          <w:rFonts w:asciiTheme="minorHAnsi" w:hAnsiTheme="minorHAnsi"/>
          <w:bCs/>
          <w:lang w:val="en-GB"/>
        </w:rPr>
      </w:pPr>
      <w:proofErr w:type="gramStart"/>
      <w:r>
        <w:rPr>
          <w:rFonts w:asciiTheme="minorHAnsi" w:hAnsiTheme="minorHAnsi"/>
          <w:bCs/>
          <w:lang w:val="en-GB"/>
        </w:rPr>
        <w:t>if</w:t>
      </w:r>
      <w:proofErr w:type="gramEnd"/>
      <w:r>
        <w:rPr>
          <w:rFonts w:asciiTheme="minorHAnsi" w:hAnsiTheme="minorHAnsi"/>
          <w:bCs/>
          <w:lang w:val="en-GB"/>
        </w:rPr>
        <w:t xml:space="preserve"> available, provides data with additional follow-up for the KN045 trial</w:t>
      </w:r>
      <w:r w:rsidR="00B5718F" w:rsidRPr="00B5718F">
        <w:rPr>
          <w:rFonts w:asciiTheme="minorHAnsi" w:hAnsiTheme="minorHAnsi"/>
          <w:bCs/>
          <w:lang w:val="en-GB"/>
        </w:rPr>
        <w:t>.</w:t>
      </w:r>
    </w:p>
    <w:p w:rsidR="00B5718F" w:rsidRPr="00B5718F" w:rsidRDefault="00B5718F" w:rsidP="00FC4D0F">
      <w:pPr>
        <w:numPr>
          <w:ilvl w:val="1"/>
          <w:numId w:val="3"/>
        </w:numPr>
        <w:spacing w:after="120"/>
        <w:rPr>
          <w:rFonts w:asciiTheme="minorHAnsi" w:hAnsiTheme="minorHAnsi"/>
          <w:bCs/>
          <w:lang w:val="en-GB"/>
        </w:rPr>
      </w:pPr>
      <w:r w:rsidRPr="00B5718F">
        <w:rPr>
          <w:rFonts w:asciiTheme="minorHAnsi" w:hAnsiTheme="minorHAnsi"/>
          <w:bCs/>
          <w:lang w:val="en-GB"/>
        </w:rPr>
        <w:t>The PBAC noted that this submission is eligible for an Independent Review.</w:t>
      </w:r>
    </w:p>
    <w:p w:rsidR="00FC4D0F" w:rsidRPr="00B5718F" w:rsidRDefault="00FC4D0F" w:rsidP="00FC4D0F">
      <w:pPr>
        <w:spacing w:before="240"/>
        <w:rPr>
          <w:rFonts w:asciiTheme="minorHAnsi" w:hAnsiTheme="minorHAnsi"/>
          <w:b/>
          <w:bCs/>
          <w:lang w:val="en-GB"/>
        </w:rPr>
      </w:pPr>
      <w:r w:rsidRPr="00B5718F">
        <w:rPr>
          <w:rFonts w:asciiTheme="minorHAnsi" w:hAnsiTheme="minorHAnsi"/>
          <w:b/>
          <w:bCs/>
          <w:lang w:val="en-GB"/>
        </w:rPr>
        <w:t>Outcome:</w:t>
      </w:r>
    </w:p>
    <w:p w:rsidR="00FC4D0F" w:rsidRPr="00B5718F" w:rsidRDefault="00FC4D0F" w:rsidP="00FC4D0F">
      <w:pPr>
        <w:rPr>
          <w:rFonts w:asciiTheme="minorHAnsi" w:hAnsiTheme="minorHAnsi"/>
          <w:bCs/>
          <w:lang w:val="en-GB"/>
        </w:rPr>
      </w:pPr>
      <w:r w:rsidRPr="00B5718F">
        <w:rPr>
          <w:rFonts w:asciiTheme="minorHAnsi" w:hAnsiTheme="minorHAnsi"/>
          <w:bCs/>
          <w:lang w:val="en-GB"/>
        </w:rPr>
        <w:t xml:space="preserve">Rejected </w:t>
      </w:r>
    </w:p>
    <w:p w:rsidR="00FC4D0F" w:rsidRPr="00FC4D0F" w:rsidRDefault="00FC4D0F" w:rsidP="00FC4D0F">
      <w:pPr>
        <w:rPr>
          <w:rFonts w:asciiTheme="minorHAnsi" w:hAnsiTheme="minorHAnsi"/>
          <w:b/>
          <w:bCs/>
          <w:highlight w:val="yellow"/>
        </w:rPr>
      </w:pPr>
    </w:p>
    <w:p w:rsidR="00C6669B" w:rsidRPr="00C07617" w:rsidRDefault="00C6669B" w:rsidP="00C6669B">
      <w:pPr>
        <w:pStyle w:val="PBACHeading1"/>
        <w:spacing w:after="120"/>
        <w:ind w:left="720"/>
        <w:rPr>
          <w:rFonts w:asciiTheme="minorHAnsi" w:hAnsiTheme="minorHAnsi"/>
          <w:b w:val="0"/>
        </w:rPr>
      </w:pPr>
      <w:r w:rsidRPr="00C07617">
        <w:rPr>
          <w:rFonts w:asciiTheme="minorHAnsi" w:hAnsiTheme="minorHAnsi"/>
        </w:rPr>
        <w:t>Context for Decision</w:t>
      </w:r>
    </w:p>
    <w:p w:rsidR="00C6669B" w:rsidRPr="00C07617" w:rsidRDefault="00C6669B" w:rsidP="00C6669B">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669B" w:rsidRDefault="00C6669B" w:rsidP="00C6669B">
      <w:pPr>
        <w:ind w:left="426"/>
        <w:rPr>
          <w:rFonts w:ascii="Arial" w:hAnsi="Arial"/>
          <w:sz w:val="22"/>
        </w:rPr>
      </w:pPr>
    </w:p>
    <w:p w:rsidR="00C6669B" w:rsidRPr="00C07617" w:rsidRDefault="00C6669B" w:rsidP="00C6669B">
      <w:pPr>
        <w:pStyle w:val="PBACHeading1"/>
        <w:spacing w:after="120"/>
        <w:ind w:left="720"/>
        <w:rPr>
          <w:rFonts w:asciiTheme="minorHAnsi" w:hAnsiTheme="minorHAnsi"/>
          <w:b w:val="0"/>
        </w:rPr>
      </w:pPr>
      <w:r>
        <w:rPr>
          <w:rFonts w:asciiTheme="minorHAnsi" w:hAnsiTheme="minorHAnsi"/>
        </w:rPr>
        <w:t>Sponsor’s Comment</w:t>
      </w:r>
    </w:p>
    <w:p w:rsidR="00F75457" w:rsidRPr="00202F79" w:rsidRDefault="00C6669B" w:rsidP="00F75457">
      <w:pPr>
        <w:spacing w:after="120"/>
        <w:rPr>
          <w:rFonts w:asciiTheme="minorHAnsi" w:hAnsiTheme="minorHAnsi"/>
          <w:bCs/>
          <w:lang w:val="en-GB"/>
        </w:rPr>
      </w:pPr>
      <w:r w:rsidRPr="00C07617">
        <w:rPr>
          <w:rFonts w:asciiTheme="minorHAnsi" w:hAnsiTheme="minorHAnsi"/>
          <w:bCs/>
        </w:rPr>
        <w:t>The sponsor had no comment.</w:t>
      </w:r>
    </w:p>
    <w:sectPr w:rsidR="00F75457" w:rsidRPr="00202F79" w:rsidSect="0075422A">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8B5" w:rsidRDefault="002018B5" w:rsidP="00124A51">
      <w:r>
        <w:separator/>
      </w:r>
    </w:p>
    <w:p w:rsidR="002018B5" w:rsidRDefault="002018B5"/>
  </w:endnote>
  <w:endnote w:type="continuationSeparator" w:id="0">
    <w:p w:rsidR="002018B5" w:rsidRDefault="002018B5" w:rsidP="00124A51">
      <w:r>
        <w:continuationSeparator/>
      </w:r>
    </w:p>
    <w:p w:rsidR="002018B5" w:rsidRDefault="00201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A2" w:rsidRDefault="008C30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16486"/>
      <w:docPartObj>
        <w:docPartGallery w:val="Page Numbers (Bottom of Page)"/>
        <w:docPartUnique/>
      </w:docPartObj>
    </w:sdtPr>
    <w:sdtEndPr>
      <w:rPr>
        <w:b/>
        <w:noProof/>
      </w:rPr>
    </w:sdtEndPr>
    <w:sdtContent>
      <w:p w:rsidR="008C30A2" w:rsidRPr="0095038E" w:rsidRDefault="008C30A2">
        <w:pPr>
          <w:pStyle w:val="Footer"/>
          <w:jc w:val="center"/>
          <w:rPr>
            <w:b/>
          </w:rPr>
        </w:pPr>
        <w:r w:rsidRPr="0095038E">
          <w:rPr>
            <w:b/>
          </w:rPr>
          <w:fldChar w:fldCharType="begin"/>
        </w:r>
        <w:r w:rsidRPr="0095038E">
          <w:rPr>
            <w:b/>
          </w:rPr>
          <w:instrText xml:space="preserve"> PAGE   \* MERGEFORMAT </w:instrText>
        </w:r>
        <w:r w:rsidRPr="0095038E">
          <w:rPr>
            <w:b/>
          </w:rPr>
          <w:fldChar w:fldCharType="separate"/>
        </w:r>
        <w:r w:rsidR="007156A6">
          <w:rPr>
            <w:b/>
            <w:noProof/>
          </w:rPr>
          <w:t>1</w:t>
        </w:r>
        <w:r w:rsidRPr="0095038E">
          <w:rPr>
            <w:b/>
            <w:noProof/>
          </w:rPr>
          <w:fldChar w:fldCharType="end"/>
        </w:r>
      </w:p>
    </w:sdtContent>
  </w:sdt>
  <w:p w:rsidR="008C30A2" w:rsidRDefault="008C30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A2" w:rsidRDefault="008C3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8B5" w:rsidRDefault="002018B5">
      <w:r>
        <w:separator/>
      </w:r>
    </w:p>
  </w:footnote>
  <w:footnote w:type="continuationSeparator" w:id="0">
    <w:p w:rsidR="002018B5" w:rsidRDefault="002018B5">
      <w:r>
        <w:continuationSeparator/>
      </w:r>
    </w:p>
  </w:footnote>
  <w:footnote w:id="1">
    <w:p w:rsidR="008C30A2" w:rsidRDefault="008C30A2">
      <w:pPr>
        <w:pStyle w:val="FootnoteText"/>
      </w:pPr>
      <w:r>
        <w:rPr>
          <w:rStyle w:val="FootnoteReference"/>
        </w:rPr>
        <w:footnoteRef/>
      </w:r>
      <w:r>
        <w:t xml:space="preserve"> </w:t>
      </w:r>
      <w:proofErr w:type="spellStart"/>
      <w:r w:rsidRPr="00112F4C">
        <w:t>Carlino</w:t>
      </w:r>
      <w:proofErr w:type="spellEnd"/>
      <w:r w:rsidRPr="00112F4C">
        <w:t xml:space="preserve"> M, Atkinson V, Long G, et al. What is the role of adjuvant systemic therapy in patients with resected </w:t>
      </w:r>
      <w:r>
        <w:t>Stage I</w:t>
      </w:r>
      <w:r w:rsidRPr="00112F4C">
        <w:t xml:space="preserve">I and </w:t>
      </w:r>
      <w:r>
        <w:t>Stage I</w:t>
      </w:r>
      <w:r w:rsidRPr="00112F4C">
        <w:t>II melano</w:t>
      </w:r>
      <w:r>
        <w:t>ma?</w:t>
      </w:r>
      <w:r w:rsidRPr="00112F4C">
        <w:t xml:space="preserve"> Cancer Council Australia; 2018 [updated 13 July 2018]; Available from:</w:t>
      </w:r>
    </w:p>
    <w:p w:rsidR="008C30A2" w:rsidRDefault="007156A6">
      <w:pPr>
        <w:pStyle w:val="FootnoteText"/>
      </w:pPr>
      <w:hyperlink r:id="rId1" w:history="1">
        <w:r w:rsidR="008C30A2" w:rsidRPr="003543D8">
          <w:rPr>
            <w:rStyle w:val="Hyperlink"/>
          </w:rPr>
          <w:t>https://wiki.cancer.org.au/australia/Clinical_question:What_is_the_role_of_adjuvant_systemic_therapy_in_patients_with_resected_melanoma%3F</w:t>
        </w:r>
      </w:hyperlink>
      <w:r w:rsidR="008C30A2" w:rsidRPr="00112F4C">
        <w:t>.</w:t>
      </w:r>
    </w:p>
  </w:footnote>
  <w:footnote w:id="2">
    <w:p w:rsidR="008C30A2" w:rsidRPr="002B02E0" w:rsidRDefault="008C30A2" w:rsidP="00854B07">
      <w:pPr>
        <w:rPr>
          <w:sz w:val="20"/>
          <w:szCs w:val="20"/>
        </w:rPr>
      </w:pPr>
      <w:r w:rsidRPr="002B02E0">
        <w:rPr>
          <w:rStyle w:val="FootnoteReference"/>
          <w:sz w:val="20"/>
          <w:szCs w:val="20"/>
        </w:rPr>
        <w:footnoteRef/>
      </w:r>
      <w:r w:rsidRPr="002B02E0">
        <w:rPr>
          <w:rFonts w:asciiTheme="minorHAnsi" w:hAnsiTheme="minorHAnsi"/>
          <w:bCs/>
          <w:sz w:val="20"/>
          <w:szCs w:val="20"/>
        </w:rPr>
        <w:t xml:space="preserve"> </w:t>
      </w:r>
      <w:proofErr w:type="spellStart"/>
      <w:r w:rsidRPr="002B02E0">
        <w:rPr>
          <w:rFonts w:asciiTheme="minorHAnsi" w:hAnsiTheme="minorHAnsi"/>
          <w:bCs/>
          <w:sz w:val="20"/>
          <w:szCs w:val="20"/>
        </w:rPr>
        <w:t>Cherny</w:t>
      </w:r>
      <w:proofErr w:type="spellEnd"/>
      <w:r w:rsidRPr="002B02E0">
        <w:rPr>
          <w:rFonts w:asciiTheme="minorHAnsi" w:hAnsiTheme="minorHAnsi"/>
          <w:bCs/>
          <w:sz w:val="20"/>
          <w:szCs w:val="20"/>
        </w:rPr>
        <w:t xml:space="preserve"> N, Dafni U, </w:t>
      </w:r>
      <w:proofErr w:type="spellStart"/>
      <w:r w:rsidRPr="002B02E0">
        <w:rPr>
          <w:rFonts w:asciiTheme="minorHAnsi" w:hAnsiTheme="minorHAnsi"/>
          <w:bCs/>
          <w:sz w:val="20"/>
          <w:szCs w:val="20"/>
        </w:rPr>
        <w:t>Bogaerts</w:t>
      </w:r>
      <w:proofErr w:type="spellEnd"/>
      <w:r w:rsidRPr="002B02E0">
        <w:rPr>
          <w:rFonts w:asciiTheme="minorHAnsi" w:hAnsiTheme="minorHAnsi"/>
          <w:bCs/>
          <w:sz w:val="20"/>
          <w:szCs w:val="20"/>
        </w:rPr>
        <w:t xml:space="preserve"> J, et al. ESMO-magnitude of clinical benefits scale, version 1.1. </w:t>
      </w:r>
      <w:r w:rsidRPr="002B02E0">
        <w:rPr>
          <w:rFonts w:asciiTheme="minorHAnsi" w:hAnsiTheme="minorHAnsi"/>
          <w:bCs/>
          <w:i/>
          <w:sz w:val="20"/>
          <w:szCs w:val="20"/>
        </w:rPr>
        <w:t>Annals of Oncology</w:t>
      </w:r>
      <w:r w:rsidRPr="002B02E0">
        <w:rPr>
          <w:rFonts w:asciiTheme="minorHAnsi" w:hAnsiTheme="minorHAnsi"/>
          <w:bCs/>
          <w:sz w:val="20"/>
          <w:szCs w:val="20"/>
        </w:rPr>
        <w:t>. 2017; 28: 2340-2366.</w:t>
      </w:r>
    </w:p>
  </w:footnote>
  <w:footnote w:id="3">
    <w:p w:rsidR="008C30A2" w:rsidRDefault="008C30A2">
      <w:pPr>
        <w:pStyle w:val="FootnoteText"/>
      </w:pPr>
      <w:r>
        <w:rPr>
          <w:rStyle w:val="FootnoteReference"/>
        </w:rPr>
        <w:footnoteRef/>
      </w:r>
      <w:r>
        <w:t xml:space="preserve"> </w:t>
      </w:r>
      <w:r w:rsidRPr="00953DB1">
        <w:t xml:space="preserve">Weber J, Mandala M, Del </w:t>
      </w:r>
      <w:proofErr w:type="spellStart"/>
      <w:r w:rsidRPr="00953DB1">
        <w:t>Vecchio</w:t>
      </w:r>
      <w:proofErr w:type="spellEnd"/>
      <w:r w:rsidRPr="00953DB1">
        <w:t xml:space="preserve"> M, </w:t>
      </w:r>
      <w:r>
        <w:t xml:space="preserve">et al. Adjuvant </w:t>
      </w:r>
      <w:proofErr w:type="spellStart"/>
      <w:r>
        <w:t>n</w:t>
      </w:r>
      <w:r w:rsidRPr="00953DB1">
        <w:t>ivolumab</w:t>
      </w:r>
      <w:proofErr w:type="spellEnd"/>
      <w:r w:rsidRPr="00953DB1">
        <w:t xml:space="preserve"> versus </w:t>
      </w:r>
      <w:proofErr w:type="spellStart"/>
      <w:r>
        <w:t>ipilimumab</w:t>
      </w:r>
      <w:proofErr w:type="spellEnd"/>
      <w:r>
        <w:t xml:space="preserve"> in r</w:t>
      </w:r>
      <w:r w:rsidRPr="00953DB1">
        <w:t xml:space="preserve">esected Stage III or IV </w:t>
      </w:r>
      <w:r>
        <w:t>m</w:t>
      </w:r>
      <w:r w:rsidRPr="00953DB1">
        <w:t xml:space="preserve">elanoma. </w:t>
      </w:r>
      <w:r w:rsidRPr="00953DB1">
        <w:rPr>
          <w:i/>
        </w:rPr>
        <w:t>N</w:t>
      </w:r>
      <w:r>
        <w:rPr>
          <w:i/>
        </w:rPr>
        <w:t>ew England Journal of Medicine</w:t>
      </w:r>
      <w:r w:rsidRPr="00953DB1">
        <w:t>. 2017;</w:t>
      </w:r>
      <w:r>
        <w:t xml:space="preserve"> </w:t>
      </w:r>
      <w:r w:rsidRPr="00953DB1">
        <w:t>377:</w:t>
      </w:r>
      <w:r>
        <w:t xml:space="preserve"> </w:t>
      </w:r>
      <w:r w:rsidRPr="00953DB1">
        <w:t>1824-</w:t>
      </w:r>
      <w:r>
        <w:t>18</w:t>
      </w:r>
      <w:r w:rsidRPr="00953DB1">
        <w:t>35.</w:t>
      </w:r>
    </w:p>
  </w:footnote>
  <w:footnote w:id="4">
    <w:p w:rsidR="008C30A2" w:rsidRDefault="008C30A2">
      <w:pPr>
        <w:pStyle w:val="FootnoteText"/>
      </w:pPr>
      <w:r>
        <w:rPr>
          <w:rStyle w:val="FootnoteReference"/>
        </w:rPr>
        <w:footnoteRef/>
      </w:r>
      <w:r>
        <w:t xml:space="preserve"> </w:t>
      </w:r>
      <w:proofErr w:type="spellStart"/>
      <w:r w:rsidRPr="00953DB1">
        <w:t>Eggermont</w:t>
      </w:r>
      <w:proofErr w:type="spellEnd"/>
      <w:r w:rsidRPr="00953DB1">
        <w:t xml:space="preserve"> AM, </w:t>
      </w:r>
      <w:proofErr w:type="spellStart"/>
      <w:r w:rsidRPr="00953DB1">
        <w:t>Chiarion-Sileni</w:t>
      </w:r>
      <w:proofErr w:type="spellEnd"/>
      <w:r w:rsidRPr="00953DB1">
        <w:t xml:space="preserve"> V, </w:t>
      </w:r>
      <w:proofErr w:type="spellStart"/>
      <w:r w:rsidRPr="00953DB1">
        <w:t>Grob</w:t>
      </w:r>
      <w:proofErr w:type="spellEnd"/>
      <w:r w:rsidRPr="00953DB1">
        <w:t xml:space="preserve"> J</w:t>
      </w:r>
      <w:r>
        <w:t>J</w:t>
      </w:r>
      <w:r w:rsidRPr="00953DB1">
        <w:t xml:space="preserve">, et al. Prolonged </w:t>
      </w:r>
      <w:r>
        <w:t>survival in Stage III m</w:t>
      </w:r>
      <w:r w:rsidRPr="00953DB1">
        <w:t xml:space="preserve">elanoma with </w:t>
      </w:r>
      <w:proofErr w:type="spellStart"/>
      <w:r>
        <w:t>i</w:t>
      </w:r>
      <w:r w:rsidRPr="00953DB1">
        <w:t>pilimumab</w:t>
      </w:r>
      <w:proofErr w:type="spellEnd"/>
      <w:r w:rsidRPr="00953DB1">
        <w:t xml:space="preserve"> </w:t>
      </w:r>
      <w:r>
        <w:t>a</w:t>
      </w:r>
      <w:r w:rsidRPr="00953DB1">
        <w:t xml:space="preserve">djuvant </w:t>
      </w:r>
      <w:r>
        <w:t>t</w:t>
      </w:r>
      <w:r w:rsidRPr="00953DB1">
        <w:t xml:space="preserve">herapy. </w:t>
      </w:r>
      <w:r w:rsidRPr="00953DB1">
        <w:rPr>
          <w:i/>
        </w:rPr>
        <w:t>N</w:t>
      </w:r>
      <w:r>
        <w:rPr>
          <w:i/>
        </w:rPr>
        <w:t>ew England Journal of Medicine</w:t>
      </w:r>
      <w:r w:rsidRPr="00953DB1">
        <w:t>. 2016;</w:t>
      </w:r>
      <w:r>
        <w:t xml:space="preserve"> </w:t>
      </w:r>
      <w:r w:rsidRPr="00953DB1">
        <w:t>375:</w:t>
      </w:r>
      <w:r>
        <w:t xml:space="preserve"> </w:t>
      </w:r>
      <w:r w:rsidRPr="00953DB1">
        <w:t>1845-</w:t>
      </w:r>
      <w:r>
        <w:t>18</w:t>
      </w:r>
      <w:r w:rsidRPr="00953DB1">
        <w:t>55.</w:t>
      </w:r>
    </w:p>
  </w:footnote>
  <w:footnote w:id="5">
    <w:p w:rsidR="008C30A2" w:rsidRDefault="008C30A2">
      <w:pPr>
        <w:pStyle w:val="FootnoteText"/>
      </w:pPr>
      <w:r>
        <w:rPr>
          <w:rStyle w:val="FootnoteReference"/>
        </w:rPr>
        <w:footnoteRef/>
      </w:r>
      <w:r>
        <w:t xml:space="preserve"> </w:t>
      </w:r>
      <w:r w:rsidRPr="00953DB1">
        <w:t xml:space="preserve">Long GV, </w:t>
      </w:r>
      <w:proofErr w:type="spellStart"/>
      <w:r w:rsidRPr="00953DB1">
        <w:t>Hauschild</w:t>
      </w:r>
      <w:proofErr w:type="spellEnd"/>
      <w:r w:rsidRPr="00953DB1">
        <w:t xml:space="preserve"> A, </w:t>
      </w:r>
      <w:proofErr w:type="spellStart"/>
      <w:r w:rsidRPr="00953DB1">
        <w:t>Santinami</w:t>
      </w:r>
      <w:proofErr w:type="spellEnd"/>
      <w:r w:rsidRPr="00953DB1">
        <w:t xml:space="preserve"> M, </w:t>
      </w:r>
      <w:r>
        <w:t xml:space="preserve">et al. Adjuvant </w:t>
      </w:r>
      <w:proofErr w:type="spellStart"/>
      <w:r>
        <w:t>d</w:t>
      </w:r>
      <w:r w:rsidRPr="00953DB1">
        <w:t>abrafenib</w:t>
      </w:r>
      <w:proofErr w:type="spellEnd"/>
      <w:r w:rsidRPr="00953DB1">
        <w:t xml:space="preserve"> plus </w:t>
      </w:r>
      <w:proofErr w:type="spellStart"/>
      <w:r>
        <w:t>trametinib</w:t>
      </w:r>
      <w:proofErr w:type="spellEnd"/>
      <w:r>
        <w:t xml:space="preserve"> in Stage III BRAF-mutated m</w:t>
      </w:r>
      <w:r w:rsidRPr="00953DB1">
        <w:t xml:space="preserve">elanoma. </w:t>
      </w:r>
      <w:r w:rsidRPr="00953DB1">
        <w:rPr>
          <w:i/>
        </w:rPr>
        <w:t>N</w:t>
      </w:r>
      <w:r>
        <w:rPr>
          <w:i/>
        </w:rPr>
        <w:t>ew England Journal of Medicine</w:t>
      </w:r>
      <w:r w:rsidRPr="00953DB1">
        <w:t>. 2017;</w:t>
      </w:r>
      <w:r>
        <w:t xml:space="preserve"> </w:t>
      </w:r>
      <w:r w:rsidRPr="00953DB1">
        <w:t>377:</w:t>
      </w:r>
      <w:r>
        <w:t xml:space="preserve"> </w:t>
      </w:r>
      <w:r w:rsidRPr="00953DB1">
        <w:t>1813-</w:t>
      </w:r>
      <w:r>
        <w:t>18</w:t>
      </w:r>
      <w:r w:rsidRPr="00953DB1">
        <w:t>23.</w:t>
      </w:r>
    </w:p>
  </w:footnote>
  <w:footnote w:id="6">
    <w:p w:rsidR="008C30A2" w:rsidRDefault="008C30A2">
      <w:pPr>
        <w:pStyle w:val="FootnoteText"/>
      </w:pPr>
      <w:r>
        <w:rPr>
          <w:rStyle w:val="FootnoteReference"/>
        </w:rPr>
        <w:footnoteRef/>
      </w:r>
      <w:r>
        <w:t xml:space="preserve"> </w:t>
      </w:r>
      <w:proofErr w:type="spellStart"/>
      <w:r w:rsidRPr="00953DB1">
        <w:t>Suciu</w:t>
      </w:r>
      <w:proofErr w:type="spellEnd"/>
      <w:r w:rsidRPr="00953DB1">
        <w:t xml:space="preserve"> S, </w:t>
      </w:r>
      <w:proofErr w:type="spellStart"/>
      <w:r w:rsidRPr="00953DB1">
        <w:t>Eggermont</w:t>
      </w:r>
      <w:proofErr w:type="spellEnd"/>
      <w:r w:rsidRPr="00953DB1">
        <w:t xml:space="preserve"> A</w:t>
      </w:r>
      <w:r>
        <w:t>,</w:t>
      </w:r>
      <w:r w:rsidRPr="00953DB1">
        <w:t xml:space="preserve"> </w:t>
      </w:r>
      <w:proofErr w:type="spellStart"/>
      <w:r w:rsidRPr="00953DB1">
        <w:t>Lorigan</w:t>
      </w:r>
      <w:proofErr w:type="spellEnd"/>
      <w:r w:rsidRPr="00953DB1">
        <w:t xml:space="preserve"> P, et al. Relapse-</w:t>
      </w:r>
      <w:r>
        <w:t>f</w:t>
      </w:r>
      <w:r w:rsidRPr="00953DB1">
        <w:t xml:space="preserve">ree </w:t>
      </w:r>
      <w:r>
        <w:t>s</w:t>
      </w:r>
      <w:r w:rsidRPr="00953DB1">
        <w:t xml:space="preserve">urvival as a </w:t>
      </w:r>
      <w:r>
        <w:t>s</w:t>
      </w:r>
      <w:r w:rsidRPr="00953DB1">
        <w:t xml:space="preserve">urrogate for </w:t>
      </w:r>
      <w:r>
        <w:t>o</w:t>
      </w:r>
      <w:r w:rsidRPr="00953DB1">
        <w:t xml:space="preserve">verall </w:t>
      </w:r>
      <w:r>
        <w:t>s</w:t>
      </w:r>
      <w:r w:rsidRPr="00953DB1">
        <w:t xml:space="preserve">urvival in the </w:t>
      </w:r>
      <w:r>
        <w:t>e</w:t>
      </w:r>
      <w:r w:rsidRPr="00953DB1">
        <w:t xml:space="preserve">valuation of Stage II-III </w:t>
      </w:r>
      <w:r>
        <w:t>m</w:t>
      </w:r>
      <w:r w:rsidRPr="00953DB1">
        <w:t xml:space="preserve">elanoma </w:t>
      </w:r>
      <w:r>
        <w:t>a</w:t>
      </w:r>
      <w:r w:rsidRPr="00953DB1">
        <w:t xml:space="preserve">djuvant </w:t>
      </w:r>
      <w:r>
        <w:t>t</w:t>
      </w:r>
      <w:r w:rsidRPr="00953DB1">
        <w:t xml:space="preserve">herapy. </w:t>
      </w:r>
      <w:r w:rsidRPr="00953DB1">
        <w:rPr>
          <w:i/>
        </w:rPr>
        <w:t>Journal of the National Cancer Institute</w:t>
      </w:r>
      <w:r w:rsidRPr="00953DB1">
        <w:t>. 2018;</w:t>
      </w:r>
      <w:r>
        <w:t xml:space="preserve"> </w:t>
      </w:r>
      <w:r w:rsidRPr="00953DB1">
        <w:t>110:</w:t>
      </w:r>
      <w:r>
        <w:t xml:space="preserve"> </w:t>
      </w:r>
      <w:r w:rsidRPr="00953DB1">
        <w:t>87-96.</w:t>
      </w:r>
    </w:p>
  </w:footnote>
  <w:footnote w:id="7">
    <w:p w:rsidR="008C30A2" w:rsidRDefault="008C30A2">
      <w:pPr>
        <w:pStyle w:val="FootnoteText"/>
      </w:pPr>
      <w:r>
        <w:rPr>
          <w:rStyle w:val="FootnoteReference"/>
        </w:rPr>
        <w:footnoteRef/>
      </w:r>
      <w:r>
        <w:t xml:space="preserve"> Long G, </w:t>
      </w:r>
      <w:proofErr w:type="spellStart"/>
      <w:r>
        <w:t>Hauschild</w:t>
      </w:r>
      <w:proofErr w:type="spellEnd"/>
      <w:r>
        <w:t xml:space="preserve"> A, </w:t>
      </w:r>
      <w:proofErr w:type="spellStart"/>
      <w:r>
        <w:t>Santinami</w:t>
      </w:r>
      <w:proofErr w:type="spellEnd"/>
      <w:r>
        <w:t xml:space="preserve"> M, et al. Adjuvant </w:t>
      </w:r>
      <w:proofErr w:type="spellStart"/>
      <w:r>
        <w:t>dabrafenib</w:t>
      </w:r>
      <w:proofErr w:type="spellEnd"/>
      <w:r>
        <w:t xml:space="preserve"> plus </w:t>
      </w:r>
      <w:proofErr w:type="spellStart"/>
      <w:r>
        <w:t>trametinib</w:t>
      </w:r>
      <w:proofErr w:type="spellEnd"/>
      <w:r>
        <w:t xml:space="preserve"> in Stage III BRAF-mutated melanoma. </w:t>
      </w:r>
      <w:r w:rsidRPr="002B02E0">
        <w:rPr>
          <w:i/>
        </w:rPr>
        <w:t>New England Journal of Medicine.</w:t>
      </w:r>
      <w:r>
        <w:t xml:space="preserve"> 2017; 377: 1813-1823. </w:t>
      </w:r>
    </w:p>
  </w:footnote>
  <w:footnote w:id="8">
    <w:p w:rsidR="008C30A2" w:rsidRDefault="008C30A2">
      <w:pPr>
        <w:pStyle w:val="FootnoteText"/>
      </w:pPr>
      <w:r>
        <w:rPr>
          <w:rStyle w:val="FootnoteReference"/>
        </w:rPr>
        <w:footnoteRef/>
      </w:r>
      <w:r>
        <w:t xml:space="preserve"> </w:t>
      </w:r>
      <w:proofErr w:type="spellStart"/>
      <w:r>
        <w:t>Eggermont</w:t>
      </w:r>
      <w:proofErr w:type="spellEnd"/>
      <w:r>
        <w:t xml:space="preserve"> A, </w:t>
      </w:r>
      <w:proofErr w:type="spellStart"/>
      <w:r>
        <w:t>Chiarion-Seleni</w:t>
      </w:r>
      <w:proofErr w:type="spellEnd"/>
      <w:r>
        <w:t xml:space="preserve"> V, </w:t>
      </w:r>
      <w:proofErr w:type="spellStart"/>
      <w:r>
        <w:t>Grob</w:t>
      </w:r>
      <w:proofErr w:type="spellEnd"/>
      <w:r>
        <w:t xml:space="preserve"> JJ, et al. Prolonged survival in Stage III melanoma with </w:t>
      </w:r>
      <w:proofErr w:type="spellStart"/>
      <w:r>
        <w:t>ipilimumab</w:t>
      </w:r>
      <w:proofErr w:type="spellEnd"/>
      <w:r>
        <w:t xml:space="preserve"> adjuvant therapy. </w:t>
      </w:r>
      <w:r w:rsidRPr="002B02E0">
        <w:rPr>
          <w:i/>
        </w:rPr>
        <w:t>New England Journal of Medicine</w:t>
      </w:r>
      <w:r>
        <w:t>. 2016; 375: 1845-1855.</w:t>
      </w:r>
    </w:p>
  </w:footnote>
  <w:footnote w:id="9">
    <w:p w:rsidR="008C30A2" w:rsidRDefault="008C30A2" w:rsidP="001530F6">
      <w:pPr>
        <w:pStyle w:val="FootnoteText"/>
      </w:pPr>
      <w:r>
        <w:rPr>
          <w:rStyle w:val="FootnoteReference"/>
        </w:rPr>
        <w:footnoteRef/>
      </w:r>
      <w:r>
        <w:t xml:space="preserve"> </w:t>
      </w:r>
      <w:proofErr w:type="spellStart"/>
      <w:r w:rsidRPr="00125E40">
        <w:t>Eggermont</w:t>
      </w:r>
      <w:proofErr w:type="spellEnd"/>
      <w:r w:rsidRPr="00125E40">
        <w:t xml:space="preserve"> A, </w:t>
      </w:r>
      <w:proofErr w:type="spellStart"/>
      <w:r w:rsidRPr="00125E40">
        <w:t>Chiarion-Sileni</w:t>
      </w:r>
      <w:proofErr w:type="spellEnd"/>
      <w:r w:rsidRPr="00125E40">
        <w:t xml:space="preserve"> V, </w:t>
      </w:r>
      <w:proofErr w:type="spellStart"/>
      <w:r w:rsidRPr="00125E40">
        <w:t>Grob</w:t>
      </w:r>
      <w:proofErr w:type="spellEnd"/>
      <w:r w:rsidRPr="00125E40">
        <w:t xml:space="preserve"> JJ, et al. Adjuvant </w:t>
      </w:r>
      <w:proofErr w:type="spellStart"/>
      <w:r w:rsidRPr="00125E40">
        <w:t>ipilimumab</w:t>
      </w:r>
      <w:proofErr w:type="spellEnd"/>
      <w:r w:rsidRPr="00125E40">
        <w:t xml:space="preserve"> versus placebo after complete resection of high-risk </w:t>
      </w:r>
      <w:r>
        <w:t>Stage I</w:t>
      </w:r>
      <w:r w:rsidRPr="00125E40">
        <w:t xml:space="preserve">II melanoma (EORTC 18071): A randomised, double-blind, phase 3 trial. </w:t>
      </w:r>
      <w:r w:rsidRPr="00E6687B">
        <w:rPr>
          <w:i/>
        </w:rPr>
        <w:t>The Lancet Oncology</w:t>
      </w:r>
      <w:r w:rsidRPr="00125E40">
        <w:t>. 2015;</w:t>
      </w:r>
      <w:r>
        <w:t xml:space="preserve"> </w:t>
      </w:r>
      <w:r w:rsidRPr="00125E40">
        <w:t>16(5):</w:t>
      </w:r>
      <w:r>
        <w:t xml:space="preserve"> </w:t>
      </w:r>
      <w:r w:rsidRPr="00125E40">
        <w:t>522-</w:t>
      </w:r>
      <w:r>
        <w:t>5</w:t>
      </w:r>
      <w:r w:rsidRPr="00125E40">
        <w:t>30.</w:t>
      </w:r>
    </w:p>
  </w:footnote>
  <w:footnote w:id="10">
    <w:p w:rsidR="008C30A2" w:rsidRPr="00E6687B" w:rsidRDefault="008C30A2">
      <w:pPr>
        <w:pStyle w:val="FootnoteText"/>
        <w:rPr>
          <w:rFonts w:asciiTheme="minorHAnsi" w:hAnsiTheme="minorHAnsi" w:cstheme="minorHAnsi"/>
        </w:rPr>
      </w:pPr>
      <w:r w:rsidRPr="00E6687B">
        <w:rPr>
          <w:rStyle w:val="FootnoteReference"/>
          <w:rFonts w:asciiTheme="minorHAnsi" w:hAnsiTheme="minorHAnsi" w:cstheme="minorHAnsi"/>
        </w:rPr>
        <w:footnoteRef/>
      </w:r>
      <w:r w:rsidRPr="00E6687B">
        <w:rPr>
          <w:rFonts w:asciiTheme="minorHAnsi" w:hAnsiTheme="minorHAnsi" w:cstheme="minorHAnsi"/>
        </w:rPr>
        <w:t xml:space="preserve"> </w:t>
      </w:r>
      <w:proofErr w:type="spellStart"/>
      <w:r w:rsidRPr="00E6687B">
        <w:rPr>
          <w:rFonts w:asciiTheme="minorHAnsi" w:hAnsiTheme="minorHAnsi" w:cstheme="minorHAnsi"/>
          <w:snapToGrid/>
          <w:lang w:eastAsia="en-AU"/>
        </w:rPr>
        <w:t>Kefford</w:t>
      </w:r>
      <w:proofErr w:type="spellEnd"/>
      <w:r w:rsidRPr="00E6687B">
        <w:rPr>
          <w:rFonts w:asciiTheme="minorHAnsi" w:hAnsiTheme="minorHAnsi" w:cstheme="minorHAnsi"/>
          <w:snapToGrid/>
          <w:lang w:eastAsia="en-AU"/>
        </w:rPr>
        <w:t xml:space="preserve"> R. Adjuvant therapy of cutaneous melanoma: the interferon debate. </w:t>
      </w:r>
      <w:r w:rsidRPr="00E6687B">
        <w:rPr>
          <w:rFonts w:asciiTheme="minorHAnsi" w:hAnsiTheme="minorHAnsi" w:cstheme="minorHAnsi"/>
          <w:i/>
          <w:iCs/>
          <w:snapToGrid/>
          <w:lang w:eastAsia="en-AU"/>
        </w:rPr>
        <w:t>Ann</w:t>
      </w:r>
      <w:r>
        <w:rPr>
          <w:rFonts w:asciiTheme="minorHAnsi" w:hAnsiTheme="minorHAnsi" w:cstheme="minorHAnsi"/>
          <w:i/>
          <w:iCs/>
          <w:snapToGrid/>
          <w:lang w:eastAsia="en-AU"/>
        </w:rPr>
        <w:t>als of</w:t>
      </w:r>
      <w:r w:rsidRPr="00E6687B">
        <w:rPr>
          <w:rFonts w:asciiTheme="minorHAnsi" w:hAnsiTheme="minorHAnsi" w:cstheme="minorHAnsi"/>
          <w:i/>
          <w:iCs/>
          <w:snapToGrid/>
          <w:lang w:eastAsia="en-AU"/>
        </w:rPr>
        <w:t xml:space="preserve"> Oncol</w:t>
      </w:r>
      <w:r>
        <w:rPr>
          <w:rFonts w:asciiTheme="minorHAnsi" w:hAnsiTheme="minorHAnsi" w:cstheme="minorHAnsi"/>
          <w:i/>
          <w:iCs/>
          <w:snapToGrid/>
          <w:lang w:eastAsia="en-AU"/>
        </w:rPr>
        <w:t>ogy</w:t>
      </w:r>
      <w:r w:rsidRPr="00E6687B">
        <w:rPr>
          <w:rFonts w:asciiTheme="minorHAnsi" w:hAnsiTheme="minorHAnsi" w:cstheme="minorHAnsi"/>
          <w:snapToGrid/>
          <w:lang w:eastAsia="en-AU"/>
        </w:rPr>
        <w:t>. 2003;</w:t>
      </w:r>
      <w:r>
        <w:rPr>
          <w:rFonts w:asciiTheme="minorHAnsi" w:hAnsiTheme="minorHAnsi" w:cstheme="minorHAnsi"/>
          <w:snapToGrid/>
          <w:lang w:eastAsia="en-AU"/>
        </w:rPr>
        <w:t xml:space="preserve"> </w:t>
      </w:r>
      <w:r w:rsidRPr="00E6687B">
        <w:rPr>
          <w:rFonts w:asciiTheme="minorHAnsi" w:hAnsiTheme="minorHAnsi" w:cstheme="minorHAnsi"/>
          <w:snapToGrid/>
          <w:lang w:eastAsia="en-AU"/>
        </w:rPr>
        <w:t>14(3):</w:t>
      </w:r>
      <w:r>
        <w:rPr>
          <w:rFonts w:asciiTheme="minorHAnsi" w:hAnsiTheme="minorHAnsi" w:cstheme="minorHAnsi"/>
          <w:snapToGrid/>
          <w:lang w:eastAsia="en-AU"/>
        </w:rPr>
        <w:t xml:space="preserve"> </w:t>
      </w:r>
      <w:r w:rsidRPr="00E6687B">
        <w:rPr>
          <w:rFonts w:asciiTheme="minorHAnsi" w:hAnsiTheme="minorHAnsi" w:cstheme="minorHAnsi"/>
          <w:snapToGrid/>
          <w:lang w:eastAsia="en-AU"/>
        </w:rPr>
        <w:t>358-</w:t>
      </w:r>
      <w:r>
        <w:rPr>
          <w:rFonts w:asciiTheme="minorHAnsi" w:hAnsiTheme="minorHAnsi" w:cstheme="minorHAnsi"/>
          <w:snapToGrid/>
          <w:lang w:eastAsia="en-AU"/>
        </w:rPr>
        <w:t>3</w:t>
      </w:r>
      <w:r w:rsidRPr="00E6687B">
        <w:rPr>
          <w:rFonts w:asciiTheme="minorHAnsi" w:hAnsiTheme="minorHAnsi" w:cstheme="minorHAnsi"/>
          <w:snapToGrid/>
          <w:lang w:eastAsia="en-AU"/>
        </w:rPr>
        <w:t>65.</w:t>
      </w:r>
    </w:p>
  </w:footnote>
  <w:footnote w:id="11">
    <w:p w:rsidR="008C30A2" w:rsidRPr="00E6687B" w:rsidRDefault="008C30A2">
      <w:pPr>
        <w:pStyle w:val="FootnoteText"/>
        <w:rPr>
          <w:rFonts w:asciiTheme="minorHAnsi" w:hAnsiTheme="minorHAnsi" w:cstheme="minorHAnsi"/>
        </w:rPr>
      </w:pPr>
      <w:r w:rsidRPr="00E6687B">
        <w:rPr>
          <w:rStyle w:val="FootnoteReference"/>
          <w:rFonts w:asciiTheme="minorHAnsi" w:hAnsiTheme="minorHAnsi" w:cstheme="minorHAnsi"/>
        </w:rPr>
        <w:footnoteRef/>
      </w:r>
      <w:r w:rsidRPr="00E6687B">
        <w:rPr>
          <w:rFonts w:asciiTheme="minorHAnsi" w:hAnsiTheme="minorHAnsi" w:cstheme="minorHAnsi"/>
        </w:rPr>
        <w:t xml:space="preserve"> </w:t>
      </w:r>
      <w:proofErr w:type="spellStart"/>
      <w:r w:rsidRPr="00E6687B">
        <w:rPr>
          <w:rFonts w:asciiTheme="minorHAnsi" w:hAnsiTheme="minorHAnsi" w:cstheme="minorHAnsi"/>
          <w:snapToGrid/>
          <w:lang w:eastAsia="en-AU"/>
        </w:rPr>
        <w:t>Haydu</w:t>
      </w:r>
      <w:proofErr w:type="spellEnd"/>
      <w:r w:rsidRPr="00E6687B">
        <w:rPr>
          <w:rFonts w:asciiTheme="minorHAnsi" w:hAnsiTheme="minorHAnsi" w:cstheme="minorHAnsi"/>
          <w:snapToGrid/>
          <w:lang w:eastAsia="en-AU"/>
        </w:rPr>
        <w:t xml:space="preserve"> L, </w:t>
      </w:r>
      <w:proofErr w:type="spellStart"/>
      <w:r w:rsidRPr="00E6687B">
        <w:rPr>
          <w:rFonts w:asciiTheme="minorHAnsi" w:hAnsiTheme="minorHAnsi" w:cstheme="minorHAnsi"/>
          <w:snapToGrid/>
          <w:lang w:eastAsia="en-AU"/>
        </w:rPr>
        <w:t>Scolyer</w:t>
      </w:r>
      <w:proofErr w:type="spellEnd"/>
      <w:r w:rsidRPr="00E6687B">
        <w:rPr>
          <w:rFonts w:asciiTheme="minorHAnsi" w:hAnsiTheme="minorHAnsi" w:cstheme="minorHAnsi"/>
          <w:snapToGrid/>
          <w:lang w:eastAsia="en-AU"/>
        </w:rPr>
        <w:t xml:space="preserve"> R, </w:t>
      </w:r>
      <w:proofErr w:type="gramStart"/>
      <w:r w:rsidRPr="00E6687B">
        <w:rPr>
          <w:rFonts w:asciiTheme="minorHAnsi" w:hAnsiTheme="minorHAnsi" w:cstheme="minorHAnsi"/>
          <w:snapToGrid/>
          <w:lang w:eastAsia="en-AU"/>
        </w:rPr>
        <w:t>Lo</w:t>
      </w:r>
      <w:proofErr w:type="gramEnd"/>
      <w:r w:rsidRPr="00E6687B">
        <w:rPr>
          <w:rFonts w:asciiTheme="minorHAnsi" w:hAnsiTheme="minorHAnsi" w:cstheme="minorHAnsi"/>
          <w:snapToGrid/>
          <w:lang w:eastAsia="en-AU"/>
        </w:rPr>
        <w:t xml:space="preserve"> S, </w:t>
      </w:r>
      <w:r>
        <w:rPr>
          <w:rFonts w:asciiTheme="minorHAnsi" w:hAnsiTheme="minorHAnsi" w:cstheme="minorHAnsi"/>
          <w:snapToGrid/>
          <w:lang w:eastAsia="en-AU"/>
        </w:rPr>
        <w:t>et al. Conditional s</w:t>
      </w:r>
      <w:r w:rsidRPr="00E6687B">
        <w:rPr>
          <w:rFonts w:asciiTheme="minorHAnsi" w:hAnsiTheme="minorHAnsi" w:cstheme="minorHAnsi"/>
          <w:snapToGrid/>
          <w:lang w:eastAsia="en-AU"/>
        </w:rPr>
        <w:t xml:space="preserve">urvival: </w:t>
      </w:r>
      <w:r>
        <w:rPr>
          <w:rFonts w:asciiTheme="minorHAnsi" w:hAnsiTheme="minorHAnsi" w:cstheme="minorHAnsi"/>
          <w:snapToGrid/>
          <w:lang w:eastAsia="en-AU"/>
        </w:rPr>
        <w:t>a</w:t>
      </w:r>
      <w:r w:rsidRPr="00E6687B">
        <w:rPr>
          <w:rFonts w:asciiTheme="minorHAnsi" w:hAnsiTheme="minorHAnsi" w:cstheme="minorHAnsi"/>
          <w:snapToGrid/>
          <w:lang w:eastAsia="en-AU"/>
        </w:rPr>
        <w:t xml:space="preserve">n </w:t>
      </w:r>
      <w:r>
        <w:rPr>
          <w:rFonts w:asciiTheme="minorHAnsi" w:hAnsiTheme="minorHAnsi" w:cstheme="minorHAnsi"/>
          <w:snapToGrid/>
          <w:lang w:eastAsia="en-AU"/>
        </w:rPr>
        <w:t>assessment of the p</w:t>
      </w:r>
      <w:r w:rsidRPr="00E6687B">
        <w:rPr>
          <w:rFonts w:asciiTheme="minorHAnsi" w:hAnsiTheme="minorHAnsi" w:cstheme="minorHAnsi"/>
          <w:snapToGrid/>
          <w:lang w:eastAsia="en-AU"/>
        </w:rPr>
        <w:t xml:space="preserve">rognosis of </w:t>
      </w:r>
      <w:r>
        <w:rPr>
          <w:rFonts w:asciiTheme="minorHAnsi" w:hAnsiTheme="minorHAnsi" w:cstheme="minorHAnsi"/>
          <w:snapToGrid/>
          <w:lang w:eastAsia="en-AU"/>
        </w:rPr>
        <w:t>patients at time points a</w:t>
      </w:r>
      <w:r w:rsidRPr="00E6687B">
        <w:rPr>
          <w:rFonts w:asciiTheme="minorHAnsi" w:hAnsiTheme="minorHAnsi" w:cstheme="minorHAnsi"/>
          <w:snapToGrid/>
          <w:lang w:eastAsia="en-AU"/>
        </w:rPr>
        <w:t xml:space="preserve">fter </w:t>
      </w:r>
      <w:r>
        <w:rPr>
          <w:rFonts w:asciiTheme="minorHAnsi" w:hAnsiTheme="minorHAnsi" w:cstheme="minorHAnsi"/>
          <w:snapToGrid/>
          <w:lang w:eastAsia="en-AU"/>
        </w:rPr>
        <w:t>i</w:t>
      </w:r>
      <w:r w:rsidRPr="00E6687B">
        <w:rPr>
          <w:rFonts w:asciiTheme="minorHAnsi" w:hAnsiTheme="minorHAnsi" w:cstheme="minorHAnsi"/>
          <w:snapToGrid/>
          <w:lang w:eastAsia="en-AU"/>
        </w:rPr>
        <w:t xml:space="preserve">nitial </w:t>
      </w:r>
      <w:r>
        <w:rPr>
          <w:rFonts w:asciiTheme="minorHAnsi" w:hAnsiTheme="minorHAnsi" w:cstheme="minorHAnsi"/>
          <w:snapToGrid/>
          <w:lang w:eastAsia="en-AU"/>
        </w:rPr>
        <w:t>diagnosis and t</w:t>
      </w:r>
      <w:r w:rsidRPr="00E6687B">
        <w:rPr>
          <w:rFonts w:asciiTheme="minorHAnsi" w:hAnsiTheme="minorHAnsi" w:cstheme="minorHAnsi"/>
          <w:snapToGrid/>
          <w:lang w:eastAsia="en-AU"/>
        </w:rPr>
        <w:t xml:space="preserve">reatment of </w:t>
      </w:r>
      <w:proofErr w:type="spellStart"/>
      <w:r>
        <w:rPr>
          <w:rFonts w:asciiTheme="minorHAnsi" w:hAnsiTheme="minorHAnsi" w:cstheme="minorHAnsi"/>
          <w:snapToGrid/>
          <w:lang w:eastAsia="en-AU"/>
        </w:rPr>
        <w:t>locoregional</w:t>
      </w:r>
      <w:proofErr w:type="spellEnd"/>
      <w:r>
        <w:rPr>
          <w:rFonts w:asciiTheme="minorHAnsi" w:hAnsiTheme="minorHAnsi" w:cstheme="minorHAnsi"/>
          <w:snapToGrid/>
          <w:lang w:eastAsia="en-AU"/>
        </w:rPr>
        <w:t xml:space="preserve"> melanoma m</w:t>
      </w:r>
      <w:r w:rsidRPr="00E6687B">
        <w:rPr>
          <w:rFonts w:asciiTheme="minorHAnsi" w:hAnsiTheme="minorHAnsi" w:cstheme="minorHAnsi"/>
          <w:snapToGrid/>
          <w:lang w:eastAsia="en-AU"/>
        </w:rPr>
        <w:t xml:space="preserve">etastasis. </w:t>
      </w:r>
      <w:r w:rsidRPr="00E6687B">
        <w:rPr>
          <w:rFonts w:asciiTheme="minorHAnsi" w:hAnsiTheme="minorHAnsi" w:cstheme="minorHAnsi"/>
          <w:i/>
          <w:iCs/>
          <w:snapToGrid/>
          <w:lang w:eastAsia="en-AU"/>
        </w:rPr>
        <w:t>Journal of Clinical Oncology</w:t>
      </w:r>
      <w:r w:rsidRPr="00E6687B">
        <w:rPr>
          <w:rFonts w:asciiTheme="minorHAnsi" w:hAnsiTheme="minorHAnsi" w:cstheme="minorHAnsi"/>
          <w:snapToGrid/>
          <w:lang w:eastAsia="en-AU"/>
        </w:rPr>
        <w:t>. 2017;</w:t>
      </w:r>
      <w:r>
        <w:rPr>
          <w:rFonts w:asciiTheme="minorHAnsi" w:hAnsiTheme="minorHAnsi" w:cstheme="minorHAnsi"/>
          <w:snapToGrid/>
          <w:lang w:eastAsia="en-AU"/>
        </w:rPr>
        <w:t xml:space="preserve"> </w:t>
      </w:r>
      <w:r w:rsidRPr="00E6687B">
        <w:rPr>
          <w:rFonts w:asciiTheme="minorHAnsi" w:hAnsiTheme="minorHAnsi" w:cstheme="minorHAnsi"/>
          <w:snapToGrid/>
          <w:lang w:eastAsia="en-AU"/>
        </w:rPr>
        <w:t>35(15):</w:t>
      </w:r>
      <w:r>
        <w:rPr>
          <w:rFonts w:asciiTheme="minorHAnsi" w:hAnsiTheme="minorHAnsi" w:cstheme="minorHAnsi"/>
          <w:snapToGrid/>
          <w:lang w:eastAsia="en-AU"/>
        </w:rPr>
        <w:t xml:space="preserve"> </w:t>
      </w:r>
      <w:r w:rsidRPr="00E6687B">
        <w:rPr>
          <w:rFonts w:asciiTheme="minorHAnsi" w:hAnsiTheme="minorHAnsi" w:cstheme="minorHAnsi"/>
          <w:snapToGrid/>
          <w:lang w:eastAsia="en-AU"/>
        </w:rPr>
        <w:t>1721</w:t>
      </w:r>
      <w:r>
        <w:rPr>
          <w:rFonts w:asciiTheme="minorHAnsi" w:hAnsiTheme="minorHAnsi" w:cstheme="minorHAnsi"/>
          <w:snapToGrid/>
          <w:lang w:eastAsia="en-AU"/>
        </w:rPr>
        <w:t>.</w:t>
      </w:r>
    </w:p>
  </w:footnote>
  <w:footnote w:id="12">
    <w:p w:rsidR="008C30A2" w:rsidRPr="00E6687B" w:rsidRDefault="008C30A2">
      <w:pPr>
        <w:pStyle w:val="FootnoteText"/>
        <w:rPr>
          <w:rFonts w:asciiTheme="minorHAnsi" w:hAnsiTheme="minorHAnsi" w:cstheme="minorHAnsi"/>
        </w:rPr>
      </w:pPr>
      <w:r w:rsidRPr="00E6687B">
        <w:rPr>
          <w:rStyle w:val="FootnoteReference"/>
          <w:rFonts w:asciiTheme="minorHAnsi" w:hAnsiTheme="minorHAnsi" w:cstheme="minorHAnsi"/>
        </w:rPr>
        <w:footnoteRef/>
      </w:r>
      <w:r w:rsidRPr="00E6687B">
        <w:rPr>
          <w:rFonts w:asciiTheme="minorHAnsi" w:hAnsiTheme="minorHAnsi" w:cstheme="minorHAnsi"/>
        </w:rPr>
        <w:t xml:space="preserve"> </w:t>
      </w:r>
      <w:proofErr w:type="spellStart"/>
      <w:r w:rsidRPr="00E6687B">
        <w:rPr>
          <w:rFonts w:asciiTheme="minorHAnsi" w:hAnsiTheme="minorHAnsi" w:cstheme="minorHAnsi"/>
        </w:rPr>
        <w:t>Kosary</w:t>
      </w:r>
      <w:proofErr w:type="spellEnd"/>
      <w:r w:rsidRPr="00E6687B">
        <w:rPr>
          <w:rFonts w:asciiTheme="minorHAnsi" w:hAnsiTheme="minorHAnsi" w:cstheme="minorHAnsi"/>
        </w:rPr>
        <w:t xml:space="preserve"> C, </w:t>
      </w:r>
      <w:proofErr w:type="spellStart"/>
      <w:r w:rsidRPr="00E6687B">
        <w:rPr>
          <w:rFonts w:asciiTheme="minorHAnsi" w:hAnsiTheme="minorHAnsi" w:cstheme="minorHAnsi"/>
        </w:rPr>
        <w:t>Altekruse</w:t>
      </w:r>
      <w:proofErr w:type="spellEnd"/>
      <w:r w:rsidRPr="00E6687B">
        <w:rPr>
          <w:rFonts w:asciiTheme="minorHAnsi" w:hAnsiTheme="minorHAnsi" w:cstheme="minorHAnsi"/>
        </w:rPr>
        <w:t xml:space="preserve"> S, </w:t>
      </w:r>
      <w:proofErr w:type="spellStart"/>
      <w:r w:rsidRPr="00E6687B">
        <w:rPr>
          <w:rFonts w:asciiTheme="minorHAnsi" w:hAnsiTheme="minorHAnsi" w:cstheme="minorHAnsi"/>
        </w:rPr>
        <w:t>Ruhl</w:t>
      </w:r>
      <w:proofErr w:type="spellEnd"/>
      <w:r w:rsidRPr="00E6687B">
        <w:rPr>
          <w:rFonts w:asciiTheme="minorHAnsi" w:hAnsiTheme="minorHAnsi" w:cstheme="minorHAnsi"/>
        </w:rPr>
        <w:t xml:space="preserve"> J, </w:t>
      </w:r>
      <w:r>
        <w:rPr>
          <w:rFonts w:asciiTheme="minorHAnsi" w:hAnsiTheme="minorHAnsi" w:cstheme="minorHAnsi"/>
        </w:rPr>
        <w:t>et al. Clinical and p</w:t>
      </w:r>
      <w:r w:rsidRPr="00E6687B">
        <w:rPr>
          <w:rFonts w:asciiTheme="minorHAnsi" w:hAnsiTheme="minorHAnsi" w:cstheme="minorHAnsi"/>
        </w:rPr>
        <w:t xml:space="preserve">rognostic </w:t>
      </w:r>
      <w:r>
        <w:rPr>
          <w:rFonts w:asciiTheme="minorHAnsi" w:hAnsiTheme="minorHAnsi" w:cstheme="minorHAnsi"/>
        </w:rPr>
        <w:t>f</w:t>
      </w:r>
      <w:r w:rsidRPr="00E6687B">
        <w:rPr>
          <w:rFonts w:asciiTheme="minorHAnsi" w:hAnsiTheme="minorHAnsi" w:cstheme="minorHAnsi"/>
        </w:rPr>
        <w:t xml:space="preserve">actors for </w:t>
      </w:r>
      <w:r>
        <w:rPr>
          <w:rFonts w:asciiTheme="minorHAnsi" w:hAnsiTheme="minorHAnsi" w:cstheme="minorHAnsi"/>
        </w:rPr>
        <w:t>m</w:t>
      </w:r>
      <w:r w:rsidRPr="00E6687B">
        <w:rPr>
          <w:rFonts w:asciiTheme="minorHAnsi" w:hAnsiTheme="minorHAnsi" w:cstheme="minorHAnsi"/>
        </w:rPr>
        <w:t xml:space="preserve">elanoma of the </w:t>
      </w:r>
      <w:r>
        <w:rPr>
          <w:rFonts w:asciiTheme="minorHAnsi" w:hAnsiTheme="minorHAnsi" w:cstheme="minorHAnsi"/>
        </w:rPr>
        <w:t>s</w:t>
      </w:r>
      <w:r w:rsidRPr="00E6687B">
        <w:rPr>
          <w:rFonts w:asciiTheme="minorHAnsi" w:hAnsiTheme="minorHAnsi" w:cstheme="minorHAnsi"/>
        </w:rPr>
        <w:t xml:space="preserve">kin </w:t>
      </w:r>
      <w:r>
        <w:rPr>
          <w:rFonts w:asciiTheme="minorHAnsi" w:hAnsiTheme="minorHAnsi" w:cstheme="minorHAnsi"/>
        </w:rPr>
        <w:t>using SEER r</w:t>
      </w:r>
      <w:r w:rsidRPr="00E6687B">
        <w:rPr>
          <w:rFonts w:asciiTheme="minorHAnsi" w:hAnsiTheme="minorHAnsi" w:cstheme="minorHAnsi"/>
        </w:rPr>
        <w:t xml:space="preserve">egistries: Collaborative Stage Data Collection System, Version 1 and Version 2. </w:t>
      </w:r>
      <w:r w:rsidRPr="00E6687B">
        <w:rPr>
          <w:rFonts w:asciiTheme="minorHAnsi" w:hAnsiTheme="minorHAnsi" w:cstheme="minorHAnsi"/>
          <w:i/>
        </w:rPr>
        <w:t>Cancer</w:t>
      </w:r>
      <w:r w:rsidRPr="00E6687B">
        <w:rPr>
          <w:rFonts w:asciiTheme="minorHAnsi" w:hAnsiTheme="minorHAnsi" w:cstheme="minorHAnsi"/>
        </w:rPr>
        <w:t>. 2014;</w:t>
      </w:r>
      <w:r>
        <w:rPr>
          <w:rFonts w:asciiTheme="minorHAnsi" w:hAnsiTheme="minorHAnsi" w:cstheme="minorHAnsi"/>
        </w:rPr>
        <w:t xml:space="preserve"> </w:t>
      </w:r>
      <w:r w:rsidRPr="00E6687B">
        <w:rPr>
          <w:rFonts w:asciiTheme="minorHAnsi" w:hAnsiTheme="minorHAnsi" w:cstheme="minorHAnsi"/>
        </w:rPr>
        <w:t>120(23):</w:t>
      </w:r>
      <w:r>
        <w:rPr>
          <w:rFonts w:asciiTheme="minorHAnsi" w:hAnsiTheme="minorHAnsi" w:cstheme="minorHAnsi"/>
        </w:rPr>
        <w:t xml:space="preserve"> </w:t>
      </w:r>
      <w:r w:rsidRPr="00E6687B">
        <w:rPr>
          <w:rFonts w:asciiTheme="minorHAnsi" w:hAnsiTheme="minorHAnsi" w:cstheme="minorHAnsi"/>
        </w:rPr>
        <w:t>3807-</w:t>
      </w:r>
      <w:r>
        <w:rPr>
          <w:rFonts w:asciiTheme="minorHAnsi" w:hAnsiTheme="minorHAnsi" w:cstheme="minorHAnsi"/>
        </w:rPr>
        <w:t>38</w:t>
      </w:r>
      <w:r w:rsidRPr="00E6687B">
        <w:rPr>
          <w:rFonts w:asciiTheme="minorHAnsi" w:hAnsiTheme="minorHAnsi" w:cstheme="minorHAnsi"/>
        </w:rPr>
        <w:t>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A2" w:rsidRDefault="008C30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A2" w:rsidRPr="0095038E" w:rsidRDefault="008C30A2" w:rsidP="0095038E">
    <w:pPr>
      <w:pStyle w:val="Header"/>
      <w:jc w:val="center"/>
      <w:rPr>
        <w:i/>
        <w:sz w:val="16"/>
        <w:szCs w:val="16"/>
      </w:rPr>
    </w:pPr>
    <w:r>
      <w:rPr>
        <w:i/>
      </w:rPr>
      <w:t>Public Summary Document</w:t>
    </w:r>
    <w:r w:rsidRPr="0095038E">
      <w:rPr>
        <w:i/>
      </w:rPr>
      <w:t xml:space="preserve"> – November 2018 PBAC Meeting</w:t>
    </w:r>
  </w:p>
  <w:p w:rsidR="008C30A2" w:rsidRPr="0095038E" w:rsidRDefault="008C30A2" w:rsidP="0095038E">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A2" w:rsidRDefault="008C3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A0065"/>
    <w:multiLevelType w:val="hybridMultilevel"/>
    <w:tmpl w:val="7F767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F3391C"/>
    <w:multiLevelType w:val="multilevel"/>
    <w:tmpl w:val="43046B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7C34E2"/>
    <w:multiLevelType w:val="hybridMultilevel"/>
    <w:tmpl w:val="F6A0F816"/>
    <w:lvl w:ilvl="0" w:tplc="0C090001">
      <w:start w:val="1"/>
      <w:numFmt w:val="bullet"/>
      <w:pStyle w:val="Sour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AF323A"/>
    <w:multiLevelType w:val="hybridMultilevel"/>
    <w:tmpl w:val="3746C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6D0E52"/>
    <w:multiLevelType w:val="multilevel"/>
    <w:tmpl w:val="480E9B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4442297"/>
    <w:multiLevelType w:val="hybridMultilevel"/>
    <w:tmpl w:val="1696D9BC"/>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1F82159"/>
    <w:multiLevelType w:val="multilevel"/>
    <w:tmpl w:val="480E9B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BA6075B"/>
    <w:multiLevelType w:val="multilevel"/>
    <w:tmpl w:val="CEAE6ED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2B03E2"/>
    <w:multiLevelType w:val="multilevel"/>
    <w:tmpl w:val="2EE093FE"/>
    <w:lvl w:ilvl="0">
      <w:start w:val="1"/>
      <w:numFmt w:val="decimal"/>
      <w:lvlText w:val="%1"/>
      <w:lvlJc w:val="left"/>
      <w:pPr>
        <w:ind w:left="3131"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4D033C"/>
    <w:multiLevelType w:val="multilevel"/>
    <w:tmpl w:val="3B7C9414"/>
    <w:lvl w:ilvl="0">
      <w:start w:val="1"/>
      <w:numFmt w:val="decimal"/>
      <w:pStyle w:val="PBACHeading1"/>
      <w:lvlText w:val="%1"/>
      <w:lvlJc w:val="left"/>
      <w:pPr>
        <w:ind w:left="3131"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3664B8"/>
    <w:multiLevelType w:val="multilevel"/>
    <w:tmpl w:val="63447E00"/>
    <w:lvl w:ilvl="0">
      <w:start w:val="1"/>
      <w:numFmt w:val="decimal"/>
      <w:lvlText w:val="%1"/>
      <w:lvlJc w:val="left"/>
      <w:pPr>
        <w:ind w:left="3131"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2"/>
  </w:num>
  <w:num w:numId="4">
    <w:abstractNumId w:val="7"/>
  </w:num>
  <w:num w:numId="5">
    <w:abstractNumId w:val="8"/>
  </w:num>
  <w:num w:numId="6">
    <w:abstractNumId w:val="1"/>
  </w:num>
  <w:num w:numId="7">
    <w:abstractNumId w:val="6"/>
  </w:num>
  <w:num w:numId="8">
    <w:abstractNumId w:val="5"/>
  </w:num>
  <w:num w:numId="9">
    <w:abstractNumId w:val="9"/>
  </w:num>
  <w:num w:numId="10">
    <w:abstractNumId w:val="4"/>
  </w:num>
  <w:num w:numId="11">
    <w:abstractNumId w:val="10"/>
  </w:num>
  <w:num w:numId="12">
    <w:abstractNumId w:val="2"/>
  </w:num>
  <w:num w:numId="13">
    <w:abstractNumId w:val="11"/>
  </w:num>
  <w:num w:numId="14">
    <w:abstractNumId w:val="13"/>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lt;record-ids&gt;&lt;item&gt;1&lt;/item&gt;&lt;item&gt;2&lt;/item&gt;&lt;item&gt;3&lt;/item&gt;&lt;item&gt;11&lt;/item&gt;&lt;item&gt;12&lt;/item&gt;&lt;item&gt;20&lt;/item&gt;&lt;item&gt;35&lt;/item&gt;&lt;item&gt;40&lt;/item&gt;&lt;item&gt;42&lt;/item&gt;&lt;item&gt;45&lt;/item&gt;&lt;item&gt;57&lt;/item&gt;&lt;item&gt;58&lt;/item&gt;&lt;item&gt;155&lt;/item&gt;&lt;item&gt;157&lt;/item&gt;&lt;item&gt;160&lt;/item&gt;&lt;item&gt;161&lt;/item&gt;&lt;item&gt;162&lt;/item&gt;&lt;item&gt;163&lt;/item&gt;&lt;item&gt;164&lt;/item&gt;&lt;item&gt;165&lt;/item&gt;&lt;item&gt;166&lt;/item&gt;&lt;item&gt;167&lt;/item&gt;&lt;item&gt;168&lt;/item&gt;&lt;item&gt;169&lt;/item&gt;&lt;item&gt;170&lt;/item&gt;&lt;item&gt;171&lt;/item&gt;&lt;/record-ids&gt;&lt;/item&gt;&lt;/Libraries&gt;"/>
  </w:docVars>
  <w:rsids>
    <w:rsidRoot w:val="00E65E79"/>
    <w:rsid w:val="00000790"/>
    <w:rsid w:val="0000110B"/>
    <w:rsid w:val="00002E4F"/>
    <w:rsid w:val="00003499"/>
    <w:rsid w:val="000039B7"/>
    <w:rsid w:val="00004F1C"/>
    <w:rsid w:val="00006306"/>
    <w:rsid w:val="0000638D"/>
    <w:rsid w:val="0000686F"/>
    <w:rsid w:val="00010A1C"/>
    <w:rsid w:val="00010B5D"/>
    <w:rsid w:val="0001134B"/>
    <w:rsid w:val="000116A4"/>
    <w:rsid w:val="00013247"/>
    <w:rsid w:val="00014A5B"/>
    <w:rsid w:val="00015886"/>
    <w:rsid w:val="000162EF"/>
    <w:rsid w:val="00017C6D"/>
    <w:rsid w:val="00017CCF"/>
    <w:rsid w:val="00021848"/>
    <w:rsid w:val="0002225F"/>
    <w:rsid w:val="00023763"/>
    <w:rsid w:val="00026712"/>
    <w:rsid w:val="000271A4"/>
    <w:rsid w:val="000320C4"/>
    <w:rsid w:val="00033863"/>
    <w:rsid w:val="00035DC0"/>
    <w:rsid w:val="000366BA"/>
    <w:rsid w:val="00036829"/>
    <w:rsid w:val="0004058E"/>
    <w:rsid w:val="00040895"/>
    <w:rsid w:val="000431E1"/>
    <w:rsid w:val="00043C37"/>
    <w:rsid w:val="00044DFE"/>
    <w:rsid w:val="00045017"/>
    <w:rsid w:val="00045A2B"/>
    <w:rsid w:val="0004698F"/>
    <w:rsid w:val="00046E99"/>
    <w:rsid w:val="000470B9"/>
    <w:rsid w:val="000506B7"/>
    <w:rsid w:val="00050DB6"/>
    <w:rsid w:val="000510DC"/>
    <w:rsid w:val="00052498"/>
    <w:rsid w:val="00053006"/>
    <w:rsid w:val="000539D0"/>
    <w:rsid w:val="00054621"/>
    <w:rsid w:val="000546D7"/>
    <w:rsid w:val="00057D6F"/>
    <w:rsid w:val="000606B8"/>
    <w:rsid w:val="0006093C"/>
    <w:rsid w:val="00066360"/>
    <w:rsid w:val="00071248"/>
    <w:rsid w:val="000720B9"/>
    <w:rsid w:val="00072831"/>
    <w:rsid w:val="000737F7"/>
    <w:rsid w:val="00074E9E"/>
    <w:rsid w:val="0007672F"/>
    <w:rsid w:val="00077069"/>
    <w:rsid w:val="0007725C"/>
    <w:rsid w:val="000774B0"/>
    <w:rsid w:val="000774F0"/>
    <w:rsid w:val="00077A3E"/>
    <w:rsid w:val="00080909"/>
    <w:rsid w:val="000812CA"/>
    <w:rsid w:val="0008252F"/>
    <w:rsid w:val="0008258D"/>
    <w:rsid w:val="00083E99"/>
    <w:rsid w:val="000853D5"/>
    <w:rsid w:val="000856C5"/>
    <w:rsid w:val="00087D52"/>
    <w:rsid w:val="00090A93"/>
    <w:rsid w:val="00090C7E"/>
    <w:rsid w:val="00091064"/>
    <w:rsid w:val="00092600"/>
    <w:rsid w:val="0009262B"/>
    <w:rsid w:val="00093310"/>
    <w:rsid w:val="0009445C"/>
    <w:rsid w:val="00095FE5"/>
    <w:rsid w:val="00096284"/>
    <w:rsid w:val="0009741F"/>
    <w:rsid w:val="00097E6C"/>
    <w:rsid w:val="00097F65"/>
    <w:rsid w:val="000A0122"/>
    <w:rsid w:val="000A672F"/>
    <w:rsid w:val="000A7D08"/>
    <w:rsid w:val="000A7F93"/>
    <w:rsid w:val="000B0670"/>
    <w:rsid w:val="000B0758"/>
    <w:rsid w:val="000B0E75"/>
    <w:rsid w:val="000B6C69"/>
    <w:rsid w:val="000B6CAC"/>
    <w:rsid w:val="000B7612"/>
    <w:rsid w:val="000C119A"/>
    <w:rsid w:val="000C3A89"/>
    <w:rsid w:val="000C3DF9"/>
    <w:rsid w:val="000C6713"/>
    <w:rsid w:val="000C782D"/>
    <w:rsid w:val="000D1BFC"/>
    <w:rsid w:val="000D281A"/>
    <w:rsid w:val="000D326A"/>
    <w:rsid w:val="000D483B"/>
    <w:rsid w:val="000D4C20"/>
    <w:rsid w:val="000D51FB"/>
    <w:rsid w:val="000D52CE"/>
    <w:rsid w:val="000D6C71"/>
    <w:rsid w:val="000D6E88"/>
    <w:rsid w:val="000D7886"/>
    <w:rsid w:val="000E00FD"/>
    <w:rsid w:val="000E0B28"/>
    <w:rsid w:val="000E135D"/>
    <w:rsid w:val="000E15C9"/>
    <w:rsid w:val="000E195F"/>
    <w:rsid w:val="000E3454"/>
    <w:rsid w:val="000E44DE"/>
    <w:rsid w:val="000E45CD"/>
    <w:rsid w:val="000E54D9"/>
    <w:rsid w:val="000E571B"/>
    <w:rsid w:val="000E6449"/>
    <w:rsid w:val="000E68F0"/>
    <w:rsid w:val="000F00BA"/>
    <w:rsid w:val="000F0587"/>
    <w:rsid w:val="000F0607"/>
    <w:rsid w:val="000F24D2"/>
    <w:rsid w:val="000F251B"/>
    <w:rsid w:val="000F2909"/>
    <w:rsid w:val="000F316A"/>
    <w:rsid w:val="000F3C74"/>
    <w:rsid w:val="000F4BB8"/>
    <w:rsid w:val="000F58F4"/>
    <w:rsid w:val="000F6CF5"/>
    <w:rsid w:val="000F7127"/>
    <w:rsid w:val="000F7B44"/>
    <w:rsid w:val="00100F8A"/>
    <w:rsid w:val="00102693"/>
    <w:rsid w:val="00105AE2"/>
    <w:rsid w:val="00105B6F"/>
    <w:rsid w:val="00105CBD"/>
    <w:rsid w:val="00106B80"/>
    <w:rsid w:val="00107168"/>
    <w:rsid w:val="00107D96"/>
    <w:rsid w:val="0011032E"/>
    <w:rsid w:val="00110B42"/>
    <w:rsid w:val="00111899"/>
    <w:rsid w:val="00112F4C"/>
    <w:rsid w:val="001132C8"/>
    <w:rsid w:val="0011348B"/>
    <w:rsid w:val="00113F3F"/>
    <w:rsid w:val="00115982"/>
    <w:rsid w:val="001167F1"/>
    <w:rsid w:val="00116C53"/>
    <w:rsid w:val="0011774C"/>
    <w:rsid w:val="00121799"/>
    <w:rsid w:val="001222FC"/>
    <w:rsid w:val="00124886"/>
    <w:rsid w:val="00124A51"/>
    <w:rsid w:val="00125E40"/>
    <w:rsid w:val="001260C2"/>
    <w:rsid w:val="00126621"/>
    <w:rsid w:val="001301E9"/>
    <w:rsid w:val="00130DED"/>
    <w:rsid w:val="0013133C"/>
    <w:rsid w:val="00131D82"/>
    <w:rsid w:val="00132700"/>
    <w:rsid w:val="00133D36"/>
    <w:rsid w:val="001355A4"/>
    <w:rsid w:val="001359AD"/>
    <w:rsid w:val="00136017"/>
    <w:rsid w:val="0013623C"/>
    <w:rsid w:val="00137645"/>
    <w:rsid w:val="0014015A"/>
    <w:rsid w:val="00140E99"/>
    <w:rsid w:val="001410A9"/>
    <w:rsid w:val="001434AD"/>
    <w:rsid w:val="00144487"/>
    <w:rsid w:val="00144989"/>
    <w:rsid w:val="00144C6F"/>
    <w:rsid w:val="00144F6E"/>
    <w:rsid w:val="00145540"/>
    <w:rsid w:val="001456B0"/>
    <w:rsid w:val="00146821"/>
    <w:rsid w:val="00146B7B"/>
    <w:rsid w:val="0015070A"/>
    <w:rsid w:val="00150AF4"/>
    <w:rsid w:val="0015192A"/>
    <w:rsid w:val="00151A95"/>
    <w:rsid w:val="00151ADB"/>
    <w:rsid w:val="0015275E"/>
    <w:rsid w:val="00152EDB"/>
    <w:rsid w:val="001530F6"/>
    <w:rsid w:val="001567C3"/>
    <w:rsid w:val="00157130"/>
    <w:rsid w:val="001576B1"/>
    <w:rsid w:val="00160A4C"/>
    <w:rsid w:val="00160FAA"/>
    <w:rsid w:val="00162913"/>
    <w:rsid w:val="00163EFF"/>
    <w:rsid w:val="00164054"/>
    <w:rsid w:val="001644F2"/>
    <w:rsid w:val="001661FB"/>
    <w:rsid w:val="00167C46"/>
    <w:rsid w:val="001700B5"/>
    <w:rsid w:val="001712F7"/>
    <w:rsid w:val="00173379"/>
    <w:rsid w:val="00173565"/>
    <w:rsid w:val="00173B07"/>
    <w:rsid w:val="00173F8E"/>
    <w:rsid w:val="001754A8"/>
    <w:rsid w:val="00177AD9"/>
    <w:rsid w:val="001803ED"/>
    <w:rsid w:val="00181D9C"/>
    <w:rsid w:val="001820BD"/>
    <w:rsid w:val="00182412"/>
    <w:rsid w:val="00183E7C"/>
    <w:rsid w:val="00184620"/>
    <w:rsid w:val="00184CD5"/>
    <w:rsid w:val="0018687A"/>
    <w:rsid w:val="00186DE5"/>
    <w:rsid w:val="0018752F"/>
    <w:rsid w:val="001913F7"/>
    <w:rsid w:val="001916CC"/>
    <w:rsid w:val="00191A7B"/>
    <w:rsid w:val="001924FA"/>
    <w:rsid w:val="00192BCA"/>
    <w:rsid w:val="001948ED"/>
    <w:rsid w:val="00195222"/>
    <w:rsid w:val="00195F73"/>
    <w:rsid w:val="0019744B"/>
    <w:rsid w:val="001975D8"/>
    <w:rsid w:val="001A112F"/>
    <w:rsid w:val="001A165C"/>
    <w:rsid w:val="001A1750"/>
    <w:rsid w:val="001A43FA"/>
    <w:rsid w:val="001A50F3"/>
    <w:rsid w:val="001A59FB"/>
    <w:rsid w:val="001A6354"/>
    <w:rsid w:val="001A7AE8"/>
    <w:rsid w:val="001A7F3B"/>
    <w:rsid w:val="001B06D8"/>
    <w:rsid w:val="001B204E"/>
    <w:rsid w:val="001B289C"/>
    <w:rsid w:val="001B3443"/>
    <w:rsid w:val="001B4C18"/>
    <w:rsid w:val="001B4D20"/>
    <w:rsid w:val="001C2A9B"/>
    <w:rsid w:val="001C3D84"/>
    <w:rsid w:val="001C4299"/>
    <w:rsid w:val="001C4EEB"/>
    <w:rsid w:val="001C5F94"/>
    <w:rsid w:val="001C6E66"/>
    <w:rsid w:val="001D2693"/>
    <w:rsid w:val="001D4B22"/>
    <w:rsid w:val="001D5155"/>
    <w:rsid w:val="001E097E"/>
    <w:rsid w:val="001E1EE8"/>
    <w:rsid w:val="001E238E"/>
    <w:rsid w:val="001E2483"/>
    <w:rsid w:val="001E2884"/>
    <w:rsid w:val="001E2B1E"/>
    <w:rsid w:val="001E30D4"/>
    <w:rsid w:val="001E4B61"/>
    <w:rsid w:val="001E52EB"/>
    <w:rsid w:val="001E61D2"/>
    <w:rsid w:val="001E740C"/>
    <w:rsid w:val="001F1235"/>
    <w:rsid w:val="001F1CB3"/>
    <w:rsid w:val="001F38B5"/>
    <w:rsid w:val="001F49F2"/>
    <w:rsid w:val="001F4A82"/>
    <w:rsid w:val="001F705E"/>
    <w:rsid w:val="001F7361"/>
    <w:rsid w:val="00200788"/>
    <w:rsid w:val="00200CDA"/>
    <w:rsid w:val="002011B0"/>
    <w:rsid w:val="0020178C"/>
    <w:rsid w:val="002018B5"/>
    <w:rsid w:val="00202F79"/>
    <w:rsid w:val="00203181"/>
    <w:rsid w:val="00203783"/>
    <w:rsid w:val="0020385F"/>
    <w:rsid w:val="00205CB9"/>
    <w:rsid w:val="0020605A"/>
    <w:rsid w:val="00206D54"/>
    <w:rsid w:val="00206E71"/>
    <w:rsid w:val="00206F00"/>
    <w:rsid w:val="00207021"/>
    <w:rsid w:val="0020732F"/>
    <w:rsid w:val="00207D00"/>
    <w:rsid w:val="00207D46"/>
    <w:rsid w:val="002105C1"/>
    <w:rsid w:val="00210800"/>
    <w:rsid w:val="0021268F"/>
    <w:rsid w:val="00212FA8"/>
    <w:rsid w:val="00215098"/>
    <w:rsid w:val="00220709"/>
    <w:rsid w:val="00223B1B"/>
    <w:rsid w:val="00223B49"/>
    <w:rsid w:val="00224DD4"/>
    <w:rsid w:val="0022661E"/>
    <w:rsid w:val="0023061B"/>
    <w:rsid w:val="002309CC"/>
    <w:rsid w:val="00231DC9"/>
    <w:rsid w:val="0023209F"/>
    <w:rsid w:val="00233FCA"/>
    <w:rsid w:val="00235417"/>
    <w:rsid w:val="00235EB3"/>
    <w:rsid w:val="0023629D"/>
    <w:rsid w:val="00237255"/>
    <w:rsid w:val="00237B5E"/>
    <w:rsid w:val="00240F2B"/>
    <w:rsid w:val="002410B3"/>
    <w:rsid w:val="002423E3"/>
    <w:rsid w:val="002424AF"/>
    <w:rsid w:val="002439DC"/>
    <w:rsid w:val="00244DC8"/>
    <w:rsid w:val="0024504A"/>
    <w:rsid w:val="002458BA"/>
    <w:rsid w:val="00246274"/>
    <w:rsid w:val="0024636C"/>
    <w:rsid w:val="00246ADD"/>
    <w:rsid w:val="00247925"/>
    <w:rsid w:val="00247958"/>
    <w:rsid w:val="002529E6"/>
    <w:rsid w:val="00254DCF"/>
    <w:rsid w:val="0025534B"/>
    <w:rsid w:val="002553D3"/>
    <w:rsid w:val="002555D5"/>
    <w:rsid w:val="00255BB7"/>
    <w:rsid w:val="00257541"/>
    <w:rsid w:val="00261FDA"/>
    <w:rsid w:val="0026234F"/>
    <w:rsid w:val="00262A1A"/>
    <w:rsid w:val="00262A87"/>
    <w:rsid w:val="00262DCD"/>
    <w:rsid w:val="00262E02"/>
    <w:rsid w:val="00262F6B"/>
    <w:rsid w:val="00263656"/>
    <w:rsid w:val="00264843"/>
    <w:rsid w:val="00264D26"/>
    <w:rsid w:val="00265F32"/>
    <w:rsid w:val="002660C2"/>
    <w:rsid w:val="00267642"/>
    <w:rsid w:val="00267AEA"/>
    <w:rsid w:val="002700E6"/>
    <w:rsid w:val="0027294B"/>
    <w:rsid w:val="00272E45"/>
    <w:rsid w:val="0027409F"/>
    <w:rsid w:val="00274A5B"/>
    <w:rsid w:val="0027581A"/>
    <w:rsid w:val="00275C5A"/>
    <w:rsid w:val="00277379"/>
    <w:rsid w:val="00277CE4"/>
    <w:rsid w:val="00281014"/>
    <w:rsid w:val="002810C2"/>
    <w:rsid w:val="002846ED"/>
    <w:rsid w:val="00284856"/>
    <w:rsid w:val="00285B6F"/>
    <w:rsid w:val="002867FC"/>
    <w:rsid w:val="00291A0D"/>
    <w:rsid w:val="00292951"/>
    <w:rsid w:val="00293B69"/>
    <w:rsid w:val="002944D1"/>
    <w:rsid w:val="002A14AB"/>
    <w:rsid w:val="002A1582"/>
    <w:rsid w:val="002A2F50"/>
    <w:rsid w:val="002A5E20"/>
    <w:rsid w:val="002A735D"/>
    <w:rsid w:val="002A73D7"/>
    <w:rsid w:val="002A74FA"/>
    <w:rsid w:val="002B02E0"/>
    <w:rsid w:val="002B09A4"/>
    <w:rsid w:val="002B1125"/>
    <w:rsid w:val="002B15E7"/>
    <w:rsid w:val="002B1C1F"/>
    <w:rsid w:val="002B3F33"/>
    <w:rsid w:val="002B432F"/>
    <w:rsid w:val="002B47CE"/>
    <w:rsid w:val="002B5100"/>
    <w:rsid w:val="002B62B3"/>
    <w:rsid w:val="002B6754"/>
    <w:rsid w:val="002B6A26"/>
    <w:rsid w:val="002B6CCE"/>
    <w:rsid w:val="002C2510"/>
    <w:rsid w:val="002C2775"/>
    <w:rsid w:val="002C27C1"/>
    <w:rsid w:val="002C371A"/>
    <w:rsid w:val="002C5099"/>
    <w:rsid w:val="002C51BD"/>
    <w:rsid w:val="002C54EB"/>
    <w:rsid w:val="002C5889"/>
    <w:rsid w:val="002C60A2"/>
    <w:rsid w:val="002C6DCD"/>
    <w:rsid w:val="002C6EDC"/>
    <w:rsid w:val="002C71CE"/>
    <w:rsid w:val="002C76F0"/>
    <w:rsid w:val="002C7A94"/>
    <w:rsid w:val="002C7D42"/>
    <w:rsid w:val="002D244E"/>
    <w:rsid w:val="002D35DD"/>
    <w:rsid w:val="002D4B56"/>
    <w:rsid w:val="002D577C"/>
    <w:rsid w:val="002D6185"/>
    <w:rsid w:val="002E15B9"/>
    <w:rsid w:val="002E2158"/>
    <w:rsid w:val="002E2C71"/>
    <w:rsid w:val="002E7722"/>
    <w:rsid w:val="002F07BA"/>
    <w:rsid w:val="002F0DA9"/>
    <w:rsid w:val="002F1BB8"/>
    <w:rsid w:val="002F24A6"/>
    <w:rsid w:val="002F278B"/>
    <w:rsid w:val="002F486F"/>
    <w:rsid w:val="002F5926"/>
    <w:rsid w:val="002F643C"/>
    <w:rsid w:val="002F71C0"/>
    <w:rsid w:val="00301017"/>
    <w:rsid w:val="0030155F"/>
    <w:rsid w:val="0030209C"/>
    <w:rsid w:val="00304568"/>
    <w:rsid w:val="0030587B"/>
    <w:rsid w:val="00305F28"/>
    <w:rsid w:val="00306D98"/>
    <w:rsid w:val="0030786C"/>
    <w:rsid w:val="0031031A"/>
    <w:rsid w:val="00310981"/>
    <w:rsid w:val="003124C7"/>
    <w:rsid w:val="003131A8"/>
    <w:rsid w:val="00315498"/>
    <w:rsid w:val="00316942"/>
    <w:rsid w:val="00316C97"/>
    <w:rsid w:val="0031785F"/>
    <w:rsid w:val="003211F7"/>
    <w:rsid w:val="00322107"/>
    <w:rsid w:val="00322846"/>
    <w:rsid w:val="0032430B"/>
    <w:rsid w:val="0032486D"/>
    <w:rsid w:val="00326DA7"/>
    <w:rsid w:val="003270E4"/>
    <w:rsid w:val="00327AC0"/>
    <w:rsid w:val="00330875"/>
    <w:rsid w:val="00330F5C"/>
    <w:rsid w:val="00334387"/>
    <w:rsid w:val="00335165"/>
    <w:rsid w:val="00335AB2"/>
    <w:rsid w:val="00335DFC"/>
    <w:rsid w:val="00335FF2"/>
    <w:rsid w:val="0033617C"/>
    <w:rsid w:val="003366C9"/>
    <w:rsid w:val="003371B0"/>
    <w:rsid w:val="00340010"/>
    <w:rsid w:val="00340DF1"/>
    <w:rsid w:val="00340F6C"/>
    <w:rsid w:val="00341A5A"/>
    <w:rsid w:val="00345017"/>
    <w:rsid w:val="003451F9"/>
    <w:rsid w:val="00347FC6"/>
    <w:rsid w:val="00350B74"/>
    <w:rsid w:val="003517F9"/>
    <w:rsid w:val="00351929"/>
    <w:rsid w:val="003541A6"/>
    <w:rsid w:val="003541F9"/>
    <w:rsid w:val="00354CA0"/>
    <w:rsid w:val="00355857"/>
    <w:rsid w:val="0035620E"/>
    <w:rsid w:val="003624C4"/>
    <w:rsid w:val="003643C5"/>
    <w:rsid w:val="003654AC"/>
    <w:rsid w:val="0036596E"/>
    <w:rsid w:val="00367773"/>
    <w:rsid w:val="003701F1"/>
    <w:rsid w:val="0037057A"/>
    <w:rsid w:val="003710CF"/>
    <w:rsid w:val="00371707"/>
    <w:rsid w:val="00371A9F"/>
    <w:rsid w:val="00371D03"/>
    <w:rsid w:val="00371EE4"/>
    <w:rsid w:val="003729F9"/>
    <w:rsid w:val="0037358A"/>
    <w:rsid w:val="00373F87"/>
    <w:rsid w:val="003750F6"/>
    <w:rsid w:val="003760FC"/>
    <w:rsid w:val="00376151"/>
    <w:rsid w:val="0038223D"/>
    <w:rsid w:val="0038365C"/>
    <w:rsid w:val="0038369B"/>
    <w:rsid w:val="003838EB"/>
    <w:rsid w:val="00383B78"/>
    <w:rsid w:val="00385A9D"/>
    <w:rsid w:val="0038630F"/>
    <w:rsid w:val="003900F5"/>
    <w:rsid w:val="003902B1"/>
    <w:rsid w:val="00390C63"/>
    <w:rsid w:val="00390F4D"/>
    <w:rsid w:val="0039205F"/>
    <w:rsid w:val="00395C4C"/>
    <w:rsid w:val="00395DE5"/>
    <w:rsid w:val="00395F99"/>
    <w:rsid w:val="00396896"/>
    <w:rsid w:val="00396FD0"/>
    <w:rsid w:val="00397DF8"/>
    <w:rsid w:val="003A1379"/>
    <w:rsid w:val="003A1A7A"/>
    <w:rsid w:val="003A2392"/>
    <w:rsid w:val="003A2831"/>
    <w:rsid w:val="003A2A9C"/>
    <w:rsid w:val="003A3846"/>
    <w:rsid w:val="003A3ED1"/>
    <w:rsid w:val="003A5224"/>
    <w:rsid w:val="003A77DE"/>
    <w:rsid w:val="003B18CD"/>
    <w:rsid w:val="003B2AC7"/>
    <w:rsid w:val="003B2DE8"/>
    <w:rsid w:val="003B40E3"/>
    <w:rsid w:val="003B436A"/>
    <w:rsid w:val="003B4A87"/>
    <w:rsid w:val="003B5205"/>
    <w:rsid w:val="003B5B61"/>
    <w:rsid w:val="003B7BE7"/>
    <w:rsid w:val="003C0F61"/>
    <w:rsid w:val="003C14F9"/>
    <w:rsid w:val="003C1654"/>
    <w:rsid w:val="003C389C"/>
    <w:rsid w:val="003C47B2"/>
    <w:rsid w:val="003C65AC"/>
    <w:rsid w:val="003C7D19"/>
    <w:rsid w:val="003C7DB2"/>
    <w:rsid w:val="003D1828"/>
    <w:rsid w:val="003D1DE4"/>
    <w:rsid w:val="003D2422"/>
    <w:rsid w:val="003D2FF5"/>
    <w:rsid w:val="003D39A1"/>
    <w:rsid w:val="003D3A12"/>
    <w:rsid w:val="003D3FBF"/>
    <w:rsid w:val="003D4A30"/>
    <w:rsid w:val="003D5936"/>
    <w:rsid w:val="003D79BB"/>
    <w:rsid w:val="003D7C98"/>
    <w:rsid w:val="003E0055"/>
    <w:rsid w:val="003E0543"/>
    <w:rsid w:val="003E3669"/>
    <w:rsid w:val="003E4960"/>
    <w:rsid w:val="003E7E11"/>
    <w:rsid w:val="003F1F2A"/>
    <w:rsid w:val="003F4156"/>
    <w:rsid w:val="003F48CA"/>
    <w:rsid w:val="003F51DB"/>
    <w:rsid w:val="003F540B"/>
    <w:rsid w:val="003F6002"/>
    <w:rsid w:val="003F68FC"/>
    <w:rsid w:val="003F6CFE"/>
    <w:rsid w:val="003F6E36"/>
    <w:rsid w:val="00400168"/>
    <w:rsid w:val="00400877"/>
    <w:rsid w:val="00400AE2"/>
    <w:rsid w:val="00400B29"/>
    <w:rsid w:val="00404854"/>
    <w:rsid w:val="00404AF3"/>
    <w:rsid w:val="0040504B"/>
    <w:rsid w:val="00410708"/>
    <w:rsid w:val="00410EC7"/>
    <w:rsid w:val="00410FEF"/>
    <w:rsid w:val="00411ACA"/>
    <w:rsid w:val="00411B39"/>
    <w:rsid w:val="00413A1E"/>
    <w:rsid w:val="00414476"/>
    <w:rsid w:val="00414C2E"/>
    <w:rsid w:val="004151CF"/>
    <w:rsid w:val="00416364"/>
    <w:rsid w:val="00420AA6"/>
    <w:rsid w:val="00420B9F"/>
    <w:rsid w:val="00421876"/>
    <w:rsid w:val="004219BD"/>
    <w:rsid w:val="00422260"/>
    <w:rsid w:val="0042296E"/>
    <w:rsid w:val="0042413F"/>
    <w:rsid w:val="0042506C"/>
    <w:rsid w:val="00430656"/>
    <w:rsid w:val="0043177C"/>
    <w:rsid w:val="004319F8"/>
    <w:rsid w:val="00431E55"/>
    <w:rsid w:val="004321F6"/>
    <w:rsid w:val="00433044"/>
    <w:rsid w:val="00434C19"/>
    <w:rsid w:val="00436979"/>
    <w:rsid w:val="004375B9"/>
    <w:rsid w:val="00441A5D"/>
    <w:rsid w:val="0044231D"/>
    <w:rsid w:val="004428D0"/>
    <w:rsid w:val="004443A7"/>
    <w:rsid w:val="0044442C"/>
    <w:rsid w:val="00445941"/>
    <w:rsid w:val="004464EB"/>
    <w:rsid w:val="004467BF"/>
    <w:rsid w:val="00447D26"/>
    <w:rsid w:val="0045184E"/>
    <w:rsid w:val="0045396D"/>
    <w:rsid w:val="00455248"/>
    <w:rsid w:val="00455A1D"/>
    <w:rsid w:val="00455D45"/>
    <w:rsid w:val="004567F9"/>
    <w:rsid w:val="00463233"/>
    <w:rsid w:val="00463664"/>
    <w:rsid w:val="00464595"/>
    <w:rsid w:val="0046511B"/>
    <w:rsid w:val="004652EC"/>
    <w:rsid w:val="00465920"/>
    <w:rsid w:val="0046694E"/>
    <w:rsid w:val="00470243"/>
    <w:rsid w:val="004703C9"/>
    <w:rsid w:val="0047170B"/>
    <w:rsid w:val="004725BA"/>
    <w:rsid w:val="00472A79"/>
    <w:rsid w:val="00473853"/>
    <w:rsid w:val="00473F19"/>
    <w:rsid w:val="00475E22"/>
    <w:rsid w:val="0048088E"/>
    <w:rsid w:val="00480F03"/>
    <w:rsid w:val="00482613"/>
    <w:rsid w:val="00482720"/>
    <w:rsid w:val="004833BB"/>
    <w:rsid w:val="004835E7"/>
    <w:rsid w:val="004850A5"/>
    <w:rsid w:val="00485CE6"/>
    <w:rsid w:val="004867E2"/>
    <w:rsid w:val="00491B3A"/>
    <w:rsid w:val="00492CFD"/>
    <w:rsid w:val="00494069"/>
    <w:rsid w:val="00494DD5"/>
    <w:rsid w:val="004960E1"/>
    <w:rsid w:val="004962D2"/>
    <w:rsid w:val="004A0DA1"/>
    <w:rsid w:val="004A3D17"/>
    <w:rsid w:val="004A4FB3"/>
    <w:rsid w:val="004A52E9"/>
    <w:rsid w:val="004A56AD"/>
    <w:rsid w:val="004A58A7"/>
    <w:rsid w:val="004A6597"/>
    <w:rsid w:val="004A7848"/>
    <w:rsid w:val="004B0A16"/>
    <w:rsid w:val="004B1A79"/>
    <w:rsid w:val="004B1C78"/>
    <w:rsid w:val="004B1CB4"/>
    <w:rsid w:val="004B2F18"/>
    <w:rsid w:val="004B3DDB"/>
    <w:rsid w:val="004B44FD"/>
    <w:rsid w:val="004B4CC7"/>
    <w:rsid w:val="004B5BB4"/>
    <w:rsid w:val="004B5CFC"/>
    <w:rsid w:val="004B738B"/>
    <w:rsid w:val="004B774D"/>
    <w:rsid w:val="004C13B8"/>
    <w:rsid w:val="004C1BC7"/>
    <w:rsid w:val="004C4AED"/>
    <w:rsid w:val="004C694C"/>
    <w:rsid w:val="004C6F68"/>
    <w:rsid w:val="004C78EE"/>
    <w:rsid w:val="004D1592"/>
    <w:rsid w:val="004D2C2D"/>
    <w:rsid w:val="004D59E9"/>
    <w:rsid w:val="004D7227"/>
    <w:rsid w:val="004E0CC4"/>
    <w:rsid w:val="004E0E7F"/>
    <w:rsid w:val="004E0EB8"/>
    <w:rsid w:val="004E2ADC"/>
    <w:rsid w:val="004E3380"/>
    <w:rsid w:val="004E3A6F"/>
    <w:rsid w:val="004E43B2"/>
    <w:rsid w:val="004E4D3B"/>
    <w:rsid w:val="004E615D"/>
    <w:rsid w:val="004E6B0D"/>
    <w:rsid w:val="004E7FCE"/>
    <w:rsid w:val="004F1D02"/>
    <w:rsid w:val="004F209E"/>
    <w:rsid w:val="004F257A"/>
    <w:rsid w:val="004F2679"/>
    <w:rsid w:val="004F2863"/>
    <w:rsid w:val="004F2BF4"/>
    <w:rsid w:val="004F2F21"/>
    <w:rsid w:val="004F453E"/>
    <w:rsid w:val="004F6913"/>
    <w:rsid w:val="004F7865"/>
    <w:rsid w:val="0050219B"/>
    <w:rsid w:val="00502496"/>
    <w:rsid w:val="0050275B"/>
    <w:rsid w:val="00503F17"/>
    <w:rsid w:val="00506244"/>
    <w:rsid w:val="00506584"/>
    <w:rsid w:val="00506928"/>
    <w:rsid w:val="0050712E"/>
    <w:rsid w:val="0051093F"/>
    <w:rsid w:val="005143D5"/>
    <w:rsid w:val="005152B5"/>
    <w:rsid w:val="0051534B"/>
    <w:rsid w:val="0052068E"/>
    <w:rsid w:val="00521319"/>
    <w:rsid w:val="00522BC8"/>
    <w:rsid w:val="00523C28"/>
    <w:rsid w:val="00526D84"/>
    <w:rsid w:val="00527534"/>
    <w:rsid w:val="005277DF"/>
    <w:rsid w:val="00531250"/>
    <w:rsid w:val="00531888"/>
    <w:rsid w:val="0053438E"/>
    <w:rsid w:val="0053483B"/>
    <w:rsid w:val="00535984"/>
    <w:rsid w:val="00536F42"/>
    <w:rsid w:val="00537182"/>
    <w:rsid w:val="00542743"/>
    <w:rsid w:val="00542C2D"/>
    <w:rsid w:val="00543642"/>
    <w:rsid w:val="00544070"/>
    <w:rsid w:val="00544160"/>
    <w:rsid w:val="0054509B"/>
    <w:rsid w:val="00551985"/>
    <w:rsid w:val="00551C8F"/>
    <w:rsid w:val="00552BD3"/>
    <w:rsid w:val="00553A38"/>
    <w:rsid w:val="00554948"/>
    <w:rsid w:val="00555109"/>
    <w:rsid w:val="005566C5"/>
    <w:rsid w:val="00557D87"/>
    <w:rsid w:val="005618CF"/>
    <w:rsid w:val="0056696F"/>
    <w:rsid w:val="00572269"/>
    <w:rsid w:val="0057244A"/>
    <w:rsid w:val="0057399C"/>
    <w:rsid w:val="00575045"/>
    <w:rsid w:val="0057557C"/>
    <w:rsid w:val="00575D8D"/>
    <w:rsid w:val="0057679B"/>
    <w:rsid w:val="00576972"/>
    <w:rsid w:val="00580757"/>
    <w:rsid w:val="005814FC"/>
    <w:rsid w:val="005821AF"/>
    <w:rsid w:val="00583366"/>
    <w:rsid w:val="00583699"/>
    <w:rsid w:val="00583928"/>
    <w:rsid w:val="0058474E"/>
    <w:rsid w:val="00585A04"/>
    <w:rsid w:val="00585CDD"/>
    <w:rsid w:val="00587058"/>
    <w:rsid w:val="00590502"/>
    <w:rsid w:val="00590FF5"/>
    <w:rsid w:val="00591957"/>
    <w:rsid w:val="00595352"/>
    <w:rsid w:val="00597BF9"/>
    <w:rsid w:val="005A099E"/>
    <w:rsid w:val="005A0B41"/>
    <w:rsid w:val="005A0C22"/>
    <w:rsid w:val="005A13C0"/>
    <w:rsid w:val="005A1ADE"/>
    <w:rsid w:val="005A373D"/>
    <w:rsid w:val="005A639D"/>
    <w:rsid w:val="005A7EB5"/>
    <w:rsid w:val="005B1AC1"/>
    <w:rsid w:val="005B320C"/>
    <w:rsid w:val="005B3F7E"/>
    <w:rsid w:val="005B4BD9"/>
    <w:rsid w:val="005B5857"/>
    <w:rsid w:val="005B5F40"/>
    <w:rsid w:val="005C06CB"/>
    <w:rsid w:val="005C1075"/>
    <w:rsid w:val="005C162D"/>
    <w:rsid w:val="005C1B83"/>
    <w:rsid w:val="005C2D55"/>
    <w:rsid w:val="005C346B"/>
    <w:rsid w:val="005C483D"/>
    <w:rsid w:val="005C52BE"/>
    <w:rsid w:val="005C718B"/>
    <w:rsid w:val="005D044D"/>
    <w:rsid w:val="005D0ABD"/>
    <w:rsid w:val="005D0FC5"/>
    <w:rsid w:val="005D15EA"/>
    <w:rsid w:val="005D17EF"/>
    <w:rsid w:val="005D18AD"/>
    <w:rsid w:val="005D208B"/>
    <w:rsid w:val="005D26B4"/>
    <w:rsid w:val="005D2772"/>
    <w:rsid w:val="005D3289"/>
    <w:rsid w:val="005D4B33"/>
    <w:rsid w:val="005D571F"/>
    <w:rsid w:val="005D5E13"/>
    <w:rsid w:val="005E1089"/>
    <w:rsid w:val="005E2079"/>
    <w:rsid w:val="005E2449"/>
    <w:rsid w:val="005E3553"/>
    <w:rsid w:val="005E3E25"/>
    <w:rsid w:val="005E468A"/>
    <w:rsid w:val="005E6CBC"/>
    <w:rsid w:val="005E73C0"/>
    <w:rsid w:val="005F0113"/>
    <w:rsid w:val="005F0829"/>
    <w:rsid w:val="005F138E"/>
    <w:rsid w:val="005F2706"/>
    <w:rsid w:val="005F470F"/>
    <w:rsid w:val="005F47A5"/>
    <w:rsid w:val="005F5075"/>
    <w:rsid w:val="005F67F7"/>
    <w:rsid w:val="005F6A8F"/>
    <w:rsid w:val="005F772B"/>
    <w:rsid w:val="005F78FF"/>
    <w:rsid w:val="00600CE2"/>
    <w:rsid w:val="006011A1"/>
    <w:rsid w:val="00602F92"/>
    <w:rsid w:val="00603DB9"/>
    <w:rsid w:val="00607435"/>
    <w:rsid w:val="00607669"/>
    <w:rsid w:val="00607AF2"/>
    <w:rsid w:val="00607AFD"/>
    <w:rsid w:val="00610CBC"/>
    <w:rsid w:val="00610D26"/>
    <w:rsid w:val="006127C2"/>
    <w:rsid w:val="00612F97"/>
    <w:rsid w:val="00613161"/>
    <w:rsid w:val="0061345D"/>
    <w:rsid w:val="0061425C"/>
    <w:rsid w:val="00616802"/>
    <w:rsid w:val="00617E12"/>
    <w:rsid w:val="00621477"/>
    <w:rsid w:val="00624B89"/>
    <w:rsid w:val="006275D8"/>
    <w:rsid w:val="0063158F"/>
    <w:rsid w:val="0063161A"/>
    <w:rsid w:val="00631D6B"/>
    <w:rsid w:val="006330A1"/>
    <w:rsid w:val="0063479F"/>
    <w:rsid w:val="006353F0"/>
    <w:rsid w:val="00635ACD"/>
    <w:rsid w:val="006364A1"/>
    <w:rsid w:val="00636939"/>
    <w:rsid w:val="00637BFD"/>
    <w:rsid w:val="006403E7"/>
    <w:rsid w:val="00640845"/>
    <w:rsid w:val="00640E3B"/>
    <w:rsid w:val="00641C4E"/>
    <w:rsid w:val="00642E37"/>
    <w:rsid w:val="00643FF1"/>
    <w:rsid w:val="00646F74"/>
    <w:rsid w:val="006471CC"/>
    <w:rsid w:val="0065079F"/>
    <w:rsid w:val="00653274"/>
    <w:rsid w:val="0065379F"/>
    <w:rsid w:val="00655212"/>
    <w:rsid w:val="00660C91"/>
    <w:rsid w:val="0066139B"/>
    <w:rsid w:val="00661C6B"/>
    <w:rsid w:val="006629B7"/>
    <w:rsid w:val="00665097"/>
    <w:rsid w:val="006656D9"/>
    <w:rsid w:val="00665C58"/>
    <w:rsid w:val="00666788"/>
    <w:rsid w:val="006716DA"/>
    <w:rsid w:val="00671E09"/>
    <w:rsid w:val="006737AB"/>
    <w:rsid w:val="00674E42"/>
    <w:rsid w:val="00675706"/>
    <w:rsid w:val="00675F6E"/>
    <w:rsid w:val="00676E8E"/>
    <w:rsid w:val="00677609"/>
    <w:rsid w:val="00680361"/>
    <w:rsid w:val="006811DB"/>
    <w:rsid w:val="006818F2"/>
    <w:rsid w:val="00682112"/>
    <w:rsid w:val="00682547"/>
    <w:rsid w:val="0068303C"/>
    <w:rsid w:val="00684DA5"/>
    <w:rsid w:val="00685876"/>
    <w:rsid w:val="00686957"/>
    <w:rsid w:val="006871D6"/>
    <w:rsid w:val="006872BA"/>
    <w:rsid w:val="00687EBB"/>
    <w:rsid w:val="00691648"/>
    <w:rsid w:val="006917D7"/>
    <w:rsid w:val="006924E9"/>
    <w:rsid w:val="006932E1"/>
    <w:rsid w:val="00694F44"/>
    <w:rsid w:val="006970C0"/>
    <w:rsid w:val="0069784D"/>
    <w:rsid w:val="006A0DD8"/>
    <w:rsid w:val="006A1C01"/>
    <w:rsid w:val="006A1C19"/>
    <w:rsid w:val="006A1C40"/>
    <w:rsid w:val="006A7E5F"/>
    <w:rsid w:val="006B1772"/>
    <w:rsid w:val="006B261B"/>
    <w:rsid w:val="006B28EF"/>
    <w:rsid w:val="006B2C90"/>
    <w:rsid w:val="006B3136"/>
    <w:rsid w:val="006B41B2"/>
    <w:rsid w:val="006B6DD0"/>
    <w:rsid w:val="006B7E64"/>
    <w:rsid w:val="006C153A"/>
    <w:rsid w:val="006C15FA"/>
    <w:rsid w:val="006C1DBE"/>
    <w:rsid w:val="006C2A8E"/>
    <w:rsid w:val="006C468D"/>
    <w:rsid w:val="006C5AEB"/>
    <w:rsid w:val="006C63F7"/>
    <w:rsid w:val="006C6823"/>
    <w:rsid w:val="006C69AB"/>
    <w:rsid w:val="006D18E3"/>
    <w:rsid w:val="006D3C00"/>
    <w:rsid w:val="006D3C7D"/>
    <w:rsid w:val="006D5D5F"/>
    <w:rsid w:val="006D7183"/>
    <w:rsid w:val="006E08A7"/>
    <w:rsid w:val="006E1E0C"/>
    <w:rsid w:val="006E253A"/>
    <w:rsid w:val="006E496C"/>
    <w:rsid w:val="006E5E9E"/>
    <w:rsid w:val="006E7161"/>
    <w:rsid w:val="006E74E3"/>
    <w:rsid w:val="006F0045"/>
    <w:rsid w:val="006F0DCD"/>
    <w:rsid w:val="006F306C"/>
    <w:rsid w:val="006F55B5"/>
    <w:rsid w:val="006F56D3"/>
    <w:rsid w:val="006F63A5"/>
    <w:rsid w:val="006F6682"/>
    <w:rsid w:val="006F7353"/>
    <w:rsid w:val="0070142B"/>
    <w:rsid w:val="00701CEB"/>
    <w:rsid w:val="0070276E"/>
    <w:rsid w:val="0070276F"/>
    <w:rsid w:val="00702D90"/>
    <w:rsid w:val="00702F8F"/>
    <w:rsid w:val="00703855"/>
    <w:rsid w:val="007040B1"/>
    <w:rsid w:val="00711322"/>
    <w:rsid w:val="00711A36"/>
    <w:rsid w:val="0071529C"/>
    <w:rsid w:val="007156A6"/>
    <w:rsid w:val="007172AD"/>
    <w:rsid w:val="007172CB"/>
    <w:rsid w:val="00722B1B"/>
    <w:rsid w:val="0072416F"/>
    <w:rsid w:val="00727C94"/>
    <w:rsid w:val="00727F4A"/>
    <w:rsid w:val="00731427"/>
    <w:rsid w:val="00731EAE"/>
    <w:rsid w:val="0073366C"/>
    <w:rsid w:val="0073371D"/>
    <w:rsid w:val="00734350"/>
    <w:rsid w:val="00735033"/>
    <w:rsid w:val="00735328"/>
    <w:rsid w:val="00735847"/>
    <w:rsid w:val="0073685B"/>
    <w:rsid w:val="00737DB1"/>
    <w:rsid w:val="00737E3B"/>
    <w:rsid w:val="0074169A"/>
    <w:rsid w:val="00744B5E"/>
    <w:rsid w:val="007455DE"/>
    <w:rsid w:val="00745FF4"/>
    <w:rsid w:val="0074720F"/>
    <w:rsid w:val="00747525"/>
    <w:rsid w:val="0075109A"/>
    <w:rsid w:val="00752142"/>
    <w:rsid w:val="007523F9"/>
    <w:rsid w:val="00753EB7"/>
    <w:rsid w:val="0075422A"/>
    <w:rsid w:val="0075471E"/>
    <w:rsid w:val="00755548"/>
    <w:rsid w:val="00756160"/>
    <w:rsid w:val="00757289"/>
    <w:rsid w:val="007573E8"/>
    <w:rsid w:val="007575EB"/>
    <w:rsid w:val="00760C4E"/>
    <w:rsid w:val="007610AB"/>
    <w:rsid w:val="007614F2"/>
    <w:rsid w:val="00761608"/>
    <w:rsid w:val="00762D59"/>
    <w:rsid w:val="0076376F"/>
    <w:rsid w:val="00764779"/>
    <w:rsid w:val="00765B1A"/>
    <w:rsid w:val="00765FD5"/>
    <w:rsid w:val="0077263E"/>
    <w:rsid w:val="00772C37"/>
    <w:rsid w:val="007742DB"/>
    <w:rsid w:val="00774A4C"/>
    <w:rsid w:val="00776301"/>
    <w:rsid w:val="00776767"/>
    <w:rsid w:val="0077696E"/>
    <w:rsid w:val="0077712B"/>
    <w:rsid w:val="0077783F"/>
    <w:rsid w:val="0078026E"/>
    <w:rsid w:val="0078118D"/>
    <w:rsid w:val="00782548"/>
    <w:rsid w:val="00783740"/>
    <w:rsid w:val="00783F38"/>
    <w:rsid w:val="007843F2"/>
    <w:rsid w:val="00785BB4"/>
    <w:rsid w:val="00792DF1"/>
    <w:rsid w:val="00794A8C"/>
    <w:rsid w:val="00796207"/>
    <w:rsid w:val="0079676F"/>
    <w:rsid w:val="007A0A12"/>
    <w:rsid w:val="007A0A3B"/>
    <w:rsid w:val="007A0AA9"/>
    <w:rsid w:val="007A102F"/>
    <w:rsid w:val="007A132D"/>
    <w:rsid w:val="007A3FB7"/>
    <w:rsid w:val="007A574A"/>
    <w:rsid w:val="007A5F72"/>
    <w:rsid w:val="007A783D"/>
    <w:rsid w:val="007B0D68"/>
    <w:rsid w:val="007B0EA0"/>
    <w:rsid w:val="007B1D52"/>
    <w:rsid w:val="007B251D"/>
    <w:rsid w:val="007B48EA"/>
    <w:rsid w:val="007B4F58"/>
    <w:rsid w:val="007B528D"/>
    <w:rsid w:val="007B77D1"/>
    <w:rsid w:val="007C1355"/>
    <w:rsid w:val="007C195A"/>
    <w:rsid w:val="007C1CD9"/>
    <w:rsid w:val="007C2322"/>
    <w:rsid w:val="007C361D"/>
    <w:rsid w:val="007C4610"/>
    <w:rsid w:val="007C4720"/>
    <w:rsid w:val="007C4B84"/>
    <w:rsid w:val="007C5C5A"/>
    <w:rsid w:val="007D004F"/>
    <w:rsid w:val="007D0AAA"/>
    <w:rsid w:val="007D0B38"/>
    <w:rsid w:val="007D0CE2"/>
    <w:rsid w:val="007D3D73"/>
    <w:rsid w:val="007D4389"/>
    <w:rsid w:val="007D5440"/>
    <w:rsid w:val="007D6CD5"/>
    <w:rsid w:val="007E1ECB"/>
    <w:rsid w:val="007E2485"/>
    <w:rsid w:val="007E3367"/>
    <w:rsid w:val="007E3DD5"/>
    <w:rsid w:val="007E49D2"/>
    <w:rsid w:val="007E4DDD"/>
    <w:rsid w:val="007E7F59"/>
    <w:rsid w:val="007F1017"/>
    <w:rsid w:val="007F1D96"/>
    <w:rsid w:val="007F228A"/>
    <w:rsid w:val="007F2DDC"/>
    <w:rsid w:val="007F4A3F"/>
    <w:rsid w:val="007F4A61"/>
    <w:rsid w:val="007F5653"/>
    <w:rsid w:val="007F60D4"/>
    <w:rsid w:val="007F61C2"/>
    <w:rsid w:val="007F62F5"/>
    <w:rsid w:val="007F6B22"/>
    <w:rsid w:val="00805142"/>
    <w:rsid w:val="00805C79"/>
    <w:rsid w:val="00807698"/>
    <w:rsid w:val="00807A8B"/>
    <w:rsid w:val="00811383"/>
    <w:rsid w:val="00812149"/>
    <w:rsid w:val="00812CAC"/>
    <w:rsid w:val="008166EF"/>
    <w:rsid w:val="00817554"/>
    <w:rsid w:val="0082091D"/>
    <w:rsid w:val="00820E39"/>
    <w:rsid w:val="00822EAD"/>
    <w:rsid w:val="00825751"/>
    <w:rsid w:val="008260C9"/>
    <w:rsid w:val="008264EB"/>
    <w:rsid w:val="00830CF1"/>
    <w:rsid w:val="008312DE"/>
    <w:rsid w:val="00833B05"/>
    <w:rsid w:val="00834C58"/>
    <w:rsid w:val="00834F3A"/>
    <w:rsid w:val="0083509E"/>
    <w:rsid w:val="00835373"/>
    <w:rsid w:val="00835944"/>
    <w:rsid w:val="00835D91"/>
    <w:rsid w:val="00835F97"/>
    <w:rsid w:val="008362B4"/>
    <w:rsid w:val="00837C8C"/>
    <w:rsid w:val="00840CA2"/>
    <w:rsid w:val="00841D06"/>
    <w:rsid w:val="0084245F"/>
    <w:rsid w:val="0084374F"/>
    <w:rsid w:val="008443B6"/>
    <w:rsid w:val="00847DF5"/>
    <w:rsid w:val="00852F72"/>
    <w:rsid w:val="0085309D"/>
    <w:rsid w:val="00854A9D"/>
    <w:rsid w:val="00854B07"/>
    <w:rsid w:val="00856897"/>
    <w:rsid w:val="00856B06"/>
    <w:rsid w:val="00856E9A"/>
    <w:rsid w:val="008572D6"/>
    <w:rsid w:val="00857489"/>
    <w:rsid w:val="0086075D"/>
    <w:rsid w:val="00861556"/>
    <w:rsid w:val="00861DAB"/>
    <w:rsid w:val="008620DA"/>
    <w:rsid w:val="00862502"/>
    <w:rsid w:val="0086468A"/>
    <w:rsid w:val="008660D4"/>
    <w:rsid w:val="008662C1"/>
    <w:rsid w:val="00866D63"/>
    <w:rsid w:val="00866F4F"/>
    <w:rsid w:val="008679A8"/>
    <w:rsid w:val="00871537"/>
    <w:rsid w:val="00871FA9"/>
    <w:rsid w:val="008728E9"/>
    <w:rsid w:val="0087535A"/>
    <w:rsid w:val="00876D9A"/>
    <w:rsid w:val="00882874"/>
    <w:rsid w:val="008828A2"/>
    <w:rsid w:val="00883787"/>
    <w:rsid w:val="00884190"/>
    <w:rsid w:val="008845C9"/>
    <w:rsid w:val="00886CD2"/>
    <w:rsid w:val="008874AC"/>
    <w:rsid w:val="00890D0E"/>
    <w:rsid w:val="00891576"/>
    <w:rsid w:val="00892A36"/>
    <w:rsid w:val="00892CCC"/>
    <w:rsid w:val="00892D0E"/>
    <w:rsid w:val="008930AA"/>
    <w:rsid w:val="00893239"/>
    <w:rsid w:val="00893493"/>
    <w:rsid w:val="00893633"/>
    <w:rsid w:val="00894489"/>
    <w:rsid w:val="00894A6C"/>
    <w:rsid w:val="00895BB6"/>
    <w:rsid w:val="00896081"/>
    <w:rsid w:val="008963A5"/>
    <w:rsid w:val="00897024"/>
    <w:rsid w:val="008A18E2"/>
    <w:rsid w:val="008A3363"/>
    <w:rsid w:val="008A3371"/>
    <w:rsid w:val="008A3C3E"/>
    <w:rsid w:val="008A49F4"/>
    <w:rsid w:val="008A5935"/>
    <w:rsid w:val="008A79DE"/>
    <w:rsid w:val="008B1757"/>
    <w:rsid w:val="008B1D94"/>
    <w:rsid w:val="008B2ECA"/>
    <w:rsid w:val="008B67B6"/>
    <w:rsid w:val="008B7710"/>
    <w:rsid w:val="008B7769"/>
    <w:rsid w:val="008B7A43"/>
    <w:rsid w:val="008B7D7E"/>
    <w:rsid w:val="008C30A2"/>
    <w:rsid w:val="008C556F"/>
    <w:rsid w:val="008C75EA"/>
    <w:rsid w:val="008C7ECB"/>
    <w:rsid w:val="008D0265"/>
    <w:rsid w:val="008D4755"/>
    <w:rsid w:val="008D4C3D"/>
    <w:rsid w:val="008D542B"/>
    <w:rsid w:val="008D5908"/>
    <w:rsid w:val="008D78FB"/>
    <w:rsid w:val="008E0D3C"/>
    <w:rsid w:val="008E11FF"/>
    <w:rsid w:val="008E1B9E"/>
    <w:rsid w:val="008E1F74"/>
    <w:rsid w:val="008E25B9"/>
    <w:rsid w:val="008E32E5"/>
    <w:rsid w:val="008E55AB"/>
    <w:rsid w:val="008E682B"/>
    <w:rsid w:val="008E6F98"/>
    <w:rsid w:val="008E72D0"/>
    <w:rsid w:val="008F03F2"/>
    <w:rsid w:val="008F120A"/>
    <w:rsid w:val="008F27E0"/>
    <w:rsid w:val="008F48EB"/>
    <w:rsid w:val="008F4F0B"/>
    <w:rsid w:val="008F727F"/>
    <w:rsid w:val="008F7476"/>
    <w:rsid w:val="008F7FEF"/>
    <w:rsid w:val="00900247"/>
    <w:rsid w:val="0090357A"/>
    <w:rsid w:val="009046C4"/>
    <w:rsid w:val="009062A5"/>
    <w:rsid w:val="009071D0"/>
    <w:rsid w:val="00910CC8"/>
    <w:rsid w:val="00911272"/>
    <w:rsid w:val="00912DCC"/>
    <w:rsid w:val="00913046"/>
    <w:rsid w:val="009135D6"/>
    <w:rsid w:val="00914C77"/>
    <w:rsid w:val="00915CD5"/>
    <w:rsid w:val="009171C6"/>
    <w:rsid w:val="00922AD6"/>
    <w:rsid w:val="0092369B"/>
    <w:rsid w:val="00925D49"/>
    <w:rsid w:val="0092650B"/>
    <w:rsid w:val="009323ED"/>
    <w:rsid w:val="009347C6"/>
    <w:rsid w:val="00934B1D"/>
    <w:rsid w:val="00934F3B"/>
    <w:rsid w:val="00935E80"/>
    <w:rsid w:val="00940E53"/>
    <w:rsid w:val="00941109"/>
    <w:rsid w:val="00942009"/>
    <w:rsid w:val="00943914"/>
    <w:rsid w:val="0094542B"/>
    <w:rsid w:val="0095038E"/>
    <w:rsid w:val="009510A2"/>
    <w:rsid w:val="00953257"/>
    <w:rsid w:val="00953BB0"/>
    <w:rsid w:val="00953DB1"/>
    <w:rsid w:val="009566B6"/>
    <w:rsid w:val="00962CB9"/>
    <w:rsid w:val="009631C9"/>
    <w:rsid w:val="009635E8"/>
    <w:rsid w:val="00963BE0"/>
    <w:rsid w:val="00964312"/>
    <w:rsid w:val="009648C8"/>
    <w:rsid w:val="00965B8A"/>
    <w:rsid w:val="009673D0"/>
    <w:rsid w:val="00970F84"/>
    <w:rsid w:val="009717AC"/>
    <w:rsid w:val="00971BBE"/>
    <w:rsid w:val="009722A9"/>
    <w:rsid w:val="00972E4A"/>
    <w:rsid w:val="0097664A"/>
    <w:rsid w:val="00977F73"/>
    <w:rsid w:val="00980551"/>
    <w:rsid w:val="0098351F"/>
    <w:rsid w:val="00983E57"/>
    <w:rsid w:val="009858ED"/>
    <w:rsid w:val="0098675D"/>
    <w:rsid w:val="00986C63"/>
    <w:rsid w:val="00987D35"/>
    <w:rsid w:val="00992D07"/>
    <w:rsid w:val="00992E8E"/>
    <w:rsid w:val="00992F1A"/>
    <w:rsid w:val="009937AE"/>
    <w:rsid w:val="009949F6"/>
    <w:rsid w:val="00996B1A"/>
    <w:rsid w:val="00997DD0"/>
    <w:rsid w:val="009A26F3"/>
    <w:rsid w:val="009A286B"/>
    <w:rsid w:val="009A3396"/>
    <w:rsid w:val="009A349C"/>
    <w:rsid w:val="009A3786"/>
    <w:rsid w:val="009A5794"/>
    <w:rsid w:val="009A75BF"/>
    <w:rsid w:val="009A7901"/>
    <w:rsid w:val="009A7905"/>
    <w:rsid w:val="009A7F10"/>
    <w:rsid w:val="009B00E5"/>
    <w:rsid w:val="009B239C"/>
    <w:rsid w:val="009B3E26"/>
    <w:rsid w:val="009B5C1F"/>
    <w:rsid w:val="009B5FCF"/>
    <w:rsid w:val="009B7AC2"/>
    <w:rsid w:val="009C0A4F"/>
    <w:rsid w:val="009C2E3E"/>
    <w:rsid w:val="009C5C4C"/>
    <w:rsid w:val="009C6861"/>
    <w:rsid w:val="009C6CEA"/>
    <w:rsid w:val="009C6E14"/>
    <w:rsid w:val="009C767B"/>
    <w:rsid w:val="009C7B85"/>
    <w:rsid w:val="009D57D3"/>
    <w:rsid w:val="009D5B91"/>
    <w:rsid w:val="009D5E83"/>
    <w:rsid w:val="009D792E"/>
    <w:rsid w:val="009E0BF9"/>
    <w:rsid w:val="009E0DFE"/>
    <w:rsid w:val="009E2981"/>
    <w:rsid w:val="009E3018"/>
    <w:rsid w:val="009E4C07"/>
    <w:rsid w:val="009E6038"/>
    <w:rsid w:val="009E64FB"/>
    <w:rsid w:val="009E6D52"/>
    <w:rsid w:val="009E7AF0"/>
    <w:rsid w:val="009F420E"/>
    <w:rsid w:val="009F4FD5"/>
    <w:rsid w:val="009F7055"/>
    <w:rsid w:val="00A01184"/>
    <w:rsid w:val="00A03D43"/>
    <w:rsid w:val="00A04380"/>
    <w:rsid w:val="00A04BE3"/>
    <w:rsid w:val="00A05C41"/>
    <w:rsid w:val="00A06905"/>
    <w:rsid w:val="00A115DE"/>
    <w:rsid w:val="00A11CD0"/>
    <w:rsid w:val="00A13071"/>
    <w:rsid w:val="00A13948"/>
    <w:rsid w:val="00A1555B"/>
    <w:rsid w:val="00A155C5"/>
    <w:rsid w:val="00A16AD8"/>
    <w:rsid w:val="00A20129"/>
    <w:rsid w:val="00A21CF3"/>
    <w:rsid w:val="00A22AB8"/>
    <w:rsid w:val="00A236EB"/>
    <w:rsid w:val="00A27AEC"/>
    <w:rsid w:val="00A27CF2"/>
    <w:rsid w:val="00A320DB"/>
    <w:rsid w:val="00A3287D"/>
    <w:rsid w:val="00A348EE"/>
    <w:rsid w:val="00A35D16"/>
    <w:rsid w:val="00A363CC"/>
    <w:rsid w:val="00A36EED"/>
    <w:rsid w:val="00A37BCD"/>
    <w:rsid w:val="00A41B6A"/>
    <w:rsid w:val="00A429E7"/>
    <w:rsid w:val="00A42FE6"/>
    <w:rsid w:val="00A43C59"/>
    <w:rsid w:val="00A43CCC"/>
    <w:rsid w:val="00A454F8"/>
    <w:rsid w:val="00A50EA5"/>
    <w:rsid w:val="00A50ECD"/>
    <w:rsid w:val="00A51847"/>
    <w:rsid w:val="00A518F3"/>
    <w:rsid w:val="00A52729"/>
    <w:rsid w:val="00A53675"/>
    <w:rsid w:val="00A54D16"/>
    <w:rsid w:val="00A556ED"/>
    <w:rsid w:val="00A55D91"/>
    <w:rsid w:val="00A55DBA"/>
    <w:rsid w:val="00A564D7"/>
    <w:rsid w:val="00A564F9"/>
    <w:rsid w:val="00A568F2"/>
    <w:rsid w:val="00A56B6A"/>
    <w:rsid w:val="00A578DC"/>
    <w:rsid w:val="00A60A23"/>
    <w:rsid w:val="00A639A6"/>
    <w:rsid w:val="00A64842"/>
    <w:rsid w:val="00A65A63"/>
    <w:rsid w:val="00A6725B"/>
    <w:rsid w:val="00A678B9"/>
    <w:rsid w:val="00A70605"/>
    <w:rsid w:val="00A70975"/>
    <w:rsid w:val="00A715A8"/>
    <w:rsid w:val="00A717C1"/>
    <w:rsid w:val="00A71DF7"/>
    <w:rsid w:val="00A722F9"/>
    <w:rsid w:val="00A72CE3"/>
    <w:rsid w:val="00A72F4E"/>
    <w:rsid w:val="00A73134"/>
    <w:rsid w:val="00A7490C"/>
    <w:rsid w:val="00A75889"/>
    <w:rsid w:val="00A777B2"/>
    <w:rsid w:val="00A77B37"/>
    <w:rsid w:val="00A8223C"/>
    <w:rsid w:val="00A83166"/>
    <w:rsid w:val="00A8386A"/>
    <w:rsid w:val="00A838C6"/>
    <w:rsid w:val="00A84005"/>
    <w:rsid w:val="00A8430C"/>
    <w:rsid w:val="00A86481"/>
    <w:rsid w:val="00A86E8B"/>
    <w:rsid w:val="00A87164"/>
    <w:rsid w:val="00A87BB5"/>
    <w:rsid w:val="00A902CC"/>
    <w:rsid w:val="00A90D87"/>
    <w:rsid w:val="00A92518"/>
    <w:rsid w:val="00A93072"/>
    <w:rsid w:val="00A93953"/>
    <w:rsid w:val="00A942F3"/>
    <w:rsid w:val="00A959D8"/>
    <w:rsid w:val="00A96B45"/>
    <w:rsid w:val="00AA113D"/>
    <w:rsid w:val="00AA2FD0"/>
    <w:rsid w:val="00AA455A"/>
    <w:rsid w:val="00AA5582"/>
    <w:rsid w:val="00AA6C7D"/>
    <w:rsid w:val="00AA7FD6"/>
    <w:rsid w:val="00AB042A"/>
    <w:rsid w:val="00AB07E6"/>
    <w:rsid w:val="00AB28DE"/>
    <w:rsid w:val="00AB2D34"/>
    <w:rsid w:val="00AB3430"/>
    <w:rsid w:val="00AB3600"/>
    <w:rsid w:val="00AB3730"/>
    <w:rsid w:val="00AB3E60"/>
    <w:rsid w:val="00AB4AD1"/>
    <w:rsid w:val="00AB5507"/>
    <w:rsid w:val="00AB70F2"/>
    <w:rsid w:val="00AB7568"/>
    <w:rsid w:val="00AB7CFA"/>
    <w:rsid w:val="00AC0E80"/>
    <w:rsid w:val="00AC23E7"/>
    <w:rsid w:val="00AC2E64"/>
    <w:rsid w:val="00AC473C"/>
    <w:rsid w:val="00AC4C82"/>
    <w:rsid w:val="00AC5B48"/>
    <w:rsid w:val="00AC7D5D"/>
    <w:rsid w:val="00AD165B"/>
    <w:rsid w:val="00AD549A"/>
    <w:rsid w:val="00AD5E5D"/>
    <w:rsid w:val="00AD5E97"/>
    <w:rsid w:val="00AD6502"/>
    <w:rsid w:val="00AD6758"/>
    <w:rsid w:val="00AE5ACC"/>
    <w:rsid w:val="00AE6388"/>
    <w:rsid w:val="00AF1315"/>
    <w:rsid w:val="00AF19BF"/>
    <w:rsid w:val="00AF277F"/>
    <w:rsid w:val="00AF2DC3"/>
    <w:rsid w:val="00AF6E76"/>
    <w:rsid w:val="00B01264"/>
    <w:rsid w:val="00B033E5"/>
    <w:rsid w:val="00B03A63"/>
    <w:rsid w:val="00B03AE5"/>
    <w:rsid w:val="00B03B72"/>
    <w:rsid w:val="00B0469B"/>
    <w:rsid w:val="00B06A0E"/>
    <w:rsid w:val="00B076CC"/>
    <w:rsid w:val="00B07707"/>
    <w:rsid w:val="00B07A63"/>
    <w:rsid w:val="00B111C1"/>
    <w:rsid w:val="00B111E8"/>
    <w:rsid w:val="00B1259B"/>
    <w:rsid w:val="00B1260B"/>
    <w:rsid w:val="00B12CE4"/>
    <w:rsid w:val="00B13380"/>
    <w:rsid w:val="00B160C8"/>
    <w:rsid w:val="00B1669A"/>
    <w:rsid w:val="00B201A4"/>
    <w:rsid w:val="00B213A6"/>
    <w:rsid w:val="00B22711"/>
    <w:rsid w:val="00B23B40"/>
    <w:rsid w:val="00B24DF6"/>
    <w:rsid w:val="00B25454"/>
    <w:rsid w:val="00B25A13"/>
    <w:rsid w:val="00B312BC"/>
    <w:rsid w:val="00B348A3"/>
    <w:rsid w:val="00B34FE2"/>
    <w:rsid w:val="00B357D8"/>
    <w:rsid w:val="00B359F3"/>
    <w:rsid w:val="00B35E6D"/>
    <w:rsid w:val="00B3679E"/>
    <w:rsid w:val="00B37BFC"/>
    <w:rsid w:val="00B40358"/>
    <w:rsid w:val="00B40E64"/>
    <w:rsid w:val="00B41614"/>
    <w:rsid w:val="00B42851"/>
    <w:rsid w:val="00B42F80"/>
    <w:rsid w:val="00B4327B"/>
    <w:rsid w:val="00B435CB"/>
    <w:rsid w:val="00B43B05"/>
    <w:rsid w:val="00B43E2F"/>
    <w:rsid w:val="00B43F27"/>
    <w:rsid w:val="00B443EB"/>
    <w:rsid w:val="00B45A96"/>
    <w:rsid w:val="00B46267"/>
    <w:rsid w:val="00B50DB8"/>
    <w:rsid w:val="00B517AC"/>
    <w:rsid w:val="00B531E5"/>
    <w:rsid w:val="00B53654"/>
    <w:rsid w:val="00B53905"/>
    <w:rsid w:val="00B53A02"/>
    <w:rsid w:val="00B53B89"/>
    <w:rsid w:val="00B544AD"/>
    <w:rsid w:val="00B54B5B"/>
    <w:rsid w:val="00B5562E"/>
    <w:rsid w:val="00B567F3"/>
    <w:rsid w:val="00B56CD9"/>
    <w:rsid w:val="00B57000"/>
    <w:rsid w:val="00B5718F"/>
    <w:rsid w:val="00B57FF9"/>
    <w:rsid w:val="00B60588"/>
    <w:rsid w:val="00B60939"/>
    <w:rsid w:val="00B60AFD"/>
    <w:rsid w:val="00B61BEC"/>
    <w:rsid w:val="00B61CA2"/>
    <w:rsid w:val="00B61E11"/>
    <w:rsid w:val="00B62715"/>
    <w:rsid w:val="00B65595"/>
    <w:rsid w:val="00B6754A"/>
    <w:rsid w:val="00B70736"/>
    <w:rsid w:val="00B715DA"/>
    <w:rsid w:val="00B747D8"/>
    <w:rsid w:val="00B75A5C"/>
    <w:rsid w:val="00B7632D"/>
    <w:rsid w:val="00B8069E"/>
    <w:rsid w:val="00B818A4"/>
    <w:rsid w:val="00B82CB0"/>
    <w:rsid w:val="00B84117"/>
    <w:rsid w:val="00B84B44"/>
    <w:rsid w:val="00B85AA2"/>
    <w:rsid w:val="00B8649C"/>
    <w:rsid w:val="00B87F0A"/>
    <w:rsid w:val="00B900F5"/>
    <w:rsid w:val="00B905A1"/>
    <w:rsid w:val="00B92D0B"/>
    <w:rsid w:val="00B9313D"/>
    <w:rsid w:val="00B932B2"/>
    <w:rsid w:val="00B93E54"/>
    <w:rsid w:val="00B944B6"/>
    <w:rsid w:val="00B94945"/>
    <w:rsid w:val="00B9678E"/>
    <w:rsid w:val="00BA22EF"/>
    <w:rsid w:val="00BA2FF7"/>
    <w:rsid w:val="00BA3012"/>
    <w:rsid w:val="00BA322D"/>
    <w:rsid w:val="00BA4CD7"/>
    <w:rsid w:val="00BA5497"/>
    <w:rsid w:val="00BA5BC6"/>
    <w:rsid w:val="00BA6986"/>
    <w:rsid w:val="00BA7DB5"/>
    <w:rsid w:val="00BB0BDD"/>
    <w:rsid w:val="00BB12F6"/>
    <w:rsid w:val="00BB2A73"/>
    <w:rsid w:val="00BB4ACC"/>
    <w:rsid w:val="00BB4CE9"/>
    <w:rsid w:val="00BB703E"/>
    <w:rsid w:val="00BB7405"/>
    <w:rsid w:val="00BB7695"/>
    <w:rsid w:val="00BC087F"/>
    <w:rsid w:val="00BC27D7"/>
    <w:rsid w:val="00BC3631"/>
    <w:rsid w:val="00BC4F4B"/>
    <w:rsid w:val="00BC58B7"/>
    <w:rsid w:val="00BC71E4"/>
    <w:rsid w:val="00BD3AD6"/>
    <w:rsid w:val="00BD3FE4"/>
    <w:rsid w:val="00BD41C3"/>
    <w:rsid w:val="00BD54A0"/>
    <w:rsid w:val="00BD57FF"/>
    <w:rsid w:val="00BD5CCE"/>
    <w:rsid w:val="00BD68A3"/>
    <w:rsid w:val="00BD6938"/>
    <w:rsid w:val="00BD6C57"/>
    <w:rsid w:val="00BD6CF3"/>
    <w:rsid w:val="00BE06E2"/>
    <w:rsid w:val="00BE1F96"/>
    <w:rsid w:val="00BE2180"/>
    <w:rsid w:val="00BE21F2"/>
    <w:rsid w:val="00BE2DC5"/>
    <w:rsid w:val="00BE3595"/>
    <w:rsid w:val="00BE38A2"/>
    <w:rsid w:val="00BE4275"/>
    <w:rsid w:val="00BE45A3"/>
    <w:rsid w:val="00BE4B86"/>
    <w:rsid w:val="00BE53E3"/>
    <w:rsid w:val="00BE5EAC"/>
    <w:rsid w:val="00BF0730"/>
    <w:rsid w:val="00BF0867"/>
    <w:rsid w:val="00BF0F95"/>
    <w:rsid w:val="00BF231B"/>
    <w:rsid w:val="00BF2433"/>
    <w:rsid w:val="00BF2859"/>
    <w:rsid w:val="00BF2C66"/>
    <w:rsid w:val="00BF3760"/>
    <w:rsid w:val="00BF50F0"/>
    <w:rsid w:val="00BF61C9"/>
    <w:rsid w:val="00BF6C94"/>
    <w:rsid w:val="00BF6E7F"/>
    <w:rsid w:val="00BF7D7A"/>
    <w:rsid w:val="00C0025C"/>
    <w:rsid w:val="00C00424"/>
    <w:rsid w:val="00C0453E"/>
    <w:rsid w:val="00C04BE2"/>
    <w:rsid w:val="00C05478"/>
    <w:rsid w:val="00C06088"/>
    <w:rsid w:val="00C06D6C"/>
    <w:rsid w:val="00C07072"/>
    <w:rsid w:val="00C12C14"/>
    <w:rsid w:val="00C148FD"/>
    <w:rsid w:val="00C17134"/>
    <w:rsid w:val="00C17290"/>
    <w:rsid w:val="00C200AA"/>
    <w:rsid w:val="00C2122E"/>
    <w:rsid w:val="00C220E1"/>
    <w:rsid w:val="00C2236F"/>
    <w:rsid w:val="00C2262E"/>
    <w:rsid w:val="00C237ED"/>
    <w:rsid w:val="00C24632"/>
    <w:rsid w:val="00C25361"/>
    <w:rsid w:val="00C25418"/>
    <w:rsid w:val="00C25D9C"/>
    <w:rsid w:val="00C267EA"/>
    <w:rsid w:val="00C2778B"/>
    <w:rsid w:val="00C31649"/>
    <w:rsid w:val="00C31EEC"/>
    <w:rsid w:val="00C33738"/>
    <w:rsid w:val="00C351EB"/>
    <w:rsid w:val="00C359C7"/>
    <w:rsid w:val="00C40385"/>
    <w:rsid w:val="00C41E32"/>
    <w:rsid w:val="00C4425E"/>
    <w:rsid w:val="00C475AA"/>
    <w:rsid w:val="00C502E5"/>
    <w:rsid w:val="00C535C7"/>
    <w:rsid w:val="00C53A4A"/>
    <w:rsid w:val="00C53E16"/>
    <w:rsid w:val="00C55C6C"/>
    <w:rsid w:val="00C56E01"/>
    <w:rsid w:val="00C636DA"/>
    <w:rsid w:val="00C65157"/>
    <w:rsid w:val="00C65576"/>
    <w:rsid w:val="00C66165"/>
    <w:rsid w:val="00C6669B"/>
    <w:rsid w:val="00C66917"/>
    <w:rsid w:val="00C67799"/>
    <w:rsid w:val="00C67ECC"/>
    <w:rsid w:val="00C7001D"/>
    <w:rsid w:val="00C701BF"/>
    <w:rsid w:val="00C7151A"/>
    <w:rsid w:val="00C717C8"/>
    <w:rsid w:val="00C71F60"/>
    <w:rsid w:val="00C72241"/>
    <w:rsid w:val="00C728C8"/>
    <w:rsid w:val="00C72EBB"/>
    <w:rsid w:val="00C733D3"/>
    <w:rsid w:val="00C750C8"/>
    <w:rsid w:val="00C7560F"/>
    <w:rsid w:val="00C77DAD"/>
    <w:rsid w:val="00C80A0E"/>
    <w:rsid w:val="00C80A59"/>
    <w:rsid w:val="00C81E90"/>
    <w:rsid w:val="00C81EC2"/>
    <w:rsid w:val="00C8213F"/>
    <w:rsid w:val="00C8528B"/>
    <w:rsid w:val="00C85687"/>
    <w:rsid w:val="00C85BA3"/>
    <w:rsid w:val="00C86BD2"/>
    <w:rsid w:val="00C86FD1"/>
    <w:rsid w:val="00C8797A"/>
    <w:rsid w:val="00C900B8"/>
    <w:rsid w:val="00C90644"/>
    <w:rsid w:val="00C90C67"/>
    <w:rsid w:val="00C90C71"/>
    <w:rsid w:val="00C931CF"/>
    <w:rsid w:val="00C938CF"/>
    <w:rsid w:val="00C93BC5"/>
    <w:rsid w:val="00C94776"/>
    <w:rsid w:val="00C94D74"/>
    <w:rsid w:val="00C9624D"/>
    <w:rsid w:val="00C969DA"/>
    <w:rsid w:val="00C96B42"/>
    <w:rsid w:val="00C9755F"/>
    <w:rsid w:val="00C97576"/>
    <w:rsid w:val="00CA02F1"/>
    <w:rsid w:val="00CA178A"/>
    <w:rsid w:val="00CA1939"/>
    <w:rsid w:val="00CA1EA2"/>
    <w:rsid w:val="00CA218D"/>
    <w:rsid w:val="00CA226D"/>
    <w:rsid w:val="00CA2C77"/>
    <w:rsid w:val="00CA2D99"/>
    <w:rsid w:val="00CA444F"/>
    <w:rsid w:val="00CA5245"/>
    <w:rsid w:val="00CA5339"/>
    <w:rsid w:val="00CA71F4"/>
    <w:rsid w:val="00CA7B09"/>
    <w:rsid w:val="00CA7C21"/>
    <w:rsid w:val="00CB188F"/>
    <w:rsid w:val="00CB2F2A"/>
    <w:rsid w:val="00CB3031"/>
    <w:rsid w:val="00CB3965"/>
    <w:rsid w:val="00CB56C2"/>
    <w:rsid w:val="00CB5B1A"/>
    <w:rsid w:val="00CB696A"/>
    <w:rsid w:val="00CB6B22"/>
    <w:rsid w:val="00CB7107"/>
    <w:rsid w:val="00CB7F5F"/>
    <w:rsid w:val="00CC1B39"/>
    <w:rsid w:val="00CC2205"/>
    <w:rsid w:val="00CC25A9"/>
    <w:rsid w:val="00CC264B"/>
    <w:rsid w:val="00CC3991"/>
    <w:rsid w:val="00CC5437"/>
    <w:rsid w:val="00CC63EE"/>
    <w:rsid w:val="00CC6C53"/>
    <w:rsid w:val="00CC77A1"/>
    <w:rsid w:val="00CD6ADC"/>
    <w:rsid w:val="00CD755A"/>
    <w:rsid w:val="00CE08D9"/>
    <w:rsid w:val="00CE3860"/>
    <w:rsid w:val="00CE6274"/>
    <w:rsid w:val="00CF072E"/>
    <w:rsid w:val="00CF168A"/>
    <w:rsid w:val="00CF2473"/>
    <w:rsid w:val="00CF2B8D"/>
    <w:rsid w:val="00CF3DB2"/>
    <w:rsid w:val="00CF4560"/>
    <w:rsid w:val="00CF456B"/>
    <w:rsid w:val="00CF458B"/>
    <w:rsid w:val="00CF4E50"/>
    <w:rsid w:val="00CF5A22"/>
    <w:rsid w:val="00CF625D"/>
    <w:rsid w:val="00D0262E"/>
    <w:rsid w:val="00D04275"/>
    <w:rsid w:val="00D04855"/>
    <w:rsid w:val="00D04B23"/>
    <w:rsid w:val="00D05FC2"/>
    <w:rsid w:val="00D0683D"/>
    <w:rsid w:val="00D07F49"/>
    <w:rsid w:val="00D110BD"/>
    <w:rsid w:val="00D116B6"/>
    <w:rsid w:val="00D1208F"/>
    <w:rsid w:val="00D13675"/>
    <w:rsid w:val="00D1401D"/>
    <w:rsid w:val="00D141E1"/>
    <w:rsid w:val="00D16EA6"/>
    <w:rsid w:val="00D17D6C"/>
    <w:rsid w:val="00D21406"/>
    <w:rsid w:val="00D21F4E"/>
    <w:rsid w:val="00D231E0"/>
    <w:rsid w:val="00D256DB"/>
    <w:rsid w:val="00D262B5"/>
    <w:rsid w:val="00D2754D"/>
    <w:rsid w:val="00D27724"/>
    <w:rsid w:val="00D27B27"/>
    <w:rsid w:val="00D32052"/>
    <w:rsid w:val="00D33BE9"/>
    <w:rsid w:val="00D34291"/>
    <w:rsid w:val="00D357FF"/>
    <w:rsid w:val="00D35B18"/>
    <w:rsid w:val="00D3797E"/>
    <w:rsid w:val="00D405F9"/>
    <w:rsid w:val="00D41015"/>
    <w:rsid w:val="00D4194C"/>
    <w:rsid w:val="00D424C7"/>
    <w:rsid w:val="00D43B2A"/>
    <w:rsid w:val="00D47575"/>
    <w:rsid w:val="00D5185C"/>
    <w:rsid w:val="00D52907"/>
    <w:rsid w:val="00D52EC5"/>
    <w:rsid w:val="00D54ADF"/>
    <w:rsid w:val="00D550EC"/>
    <w:rsid w:val="00D55B92"/>
    <w:rsid w:val="00D57D3D"/>
    <w:rsid w:val="00D61E6B"/>
    <w:rsid w:val="00D62C39"/>
    <w:rsid w:val="00D70CB8"/>
    <w:rsid w:val="00D70F16"/>
    <w:rsid w:val="00D72CCD"/>
    <w:rsid w:val="00D75D83"/>
    <w:rsid w:val="00D76A44"/>
    <w:rsid w:val="00D76C5F"/>
    <w:rsid w:val="00D815EF"/>
    <w:rsid w:val="00D82417"/>
    <w:rsid w:val="00D84B90"/>
    <w:rsid w:val="00D90B7B"/>
    <w:rsid w:val="00D90DB2"/>
    <w:rsid w:val="00D91923"/>
    <w:rsid w:val="00D919ED"/>
    <w:rsid w:val="00D9201A"/>
    <w:rsid w:val="00D926C3"/>
    <w:rsid w:val="00D93753"/>
    <w:rsid w:val="00D93D23"/>
    <w:rsid w:val="00D957DC"/>
    <w:rsid w:val="00D97CD8"/>
    <w:rsid w:val="00DA2EF9"/>
    <w:rsid w:val="00DA3167"/>
    <w:rsid w:val="00DA4DC3"/>
    <w:rsid w:val="00DA5278"/>
    <w:rsid w:val="00DA5F61"/>
    <w:rsid w:val="00DA6DC5"/>
    <w:rsid w:val="00DA77A5"/>
    <w:rsid w:val="00DB0876"/>
    <w:rsid w:val="00DB0B49"/>
    <w:rsid w:val="00DB2BE9"/>
    <w:rsid w:val="00DB390A"/>
    <w:rsid w:val="00DB47C3"/>
    <w:rsid w:val="00DB484F"/>
    <w:rsid w:val="00DB4E0C"/>
    <w:rsid w:val="00DB587A"/>
    <w:rsid w:val="00DB5D0F"/>
    <w:rsid w:val="00DB6E91"/>
    <w:rsid w:val="00DB76ED"/>
    <w:rsid w:val="00DC04F6"/>
    <w:rsid w:val="00DC1F4F"/>
    <w:rsid w:val="00DC34E4"/>
    <w:rsid w:val="00DC354D"/>
    <w:rsid w:val="00DC396F"/>
    <w:rsid w:val="00DC3C57"/>
    <w:rsid w:val="00DC40C0"/>
    <w:rsid w:val="00DC4891"/>
    <w:rsid w:val="00DC4BF9"/>
    <w:rsid w:val="00DC4DF9"/>
    <w:rsid w:val="00DC5501"/>
    <w:rsid w:val="00DD273C"/>
    <w:rsid w:val="00DD3F28"/>
    <w:rsid w:val="00DD4537"/>
    <w:rsid w:val="00DD4B47"/>
    <w:rsid w:val="00DD4E15"/>
    <w:rsid w:val="00DD5F03"/>
    <w:rsid w:val="00DD7218"/>
    <w:rsid w:val="00DE110D"/>
    <w:rsid w:val="00DE188B"/>
    <w:rsid w:val="00DE1AD2"/>
    <w:rsid w:val="00DE1EA4"/>
    <w:rsid w:val="00DE2928"/>
    <w:rsid w:val="00DE308F"/>
    <w:rsid w:val="00DE3138"/>
    <w:rsid w:val="00DE37F8"/>
    <w:rsid w:val="00DE4FCB"/>
    <w:rsid w:val="00DE5536"/>
    <w:rsid w:val="00DE5A5D"/>
    <w:rsid w:val="00DE5EBB"/>
    <w:rsid w:val="00DE6ECB"/>
    <w:rsid w:val="00DE72CF"/>
    <w:rsid w:val="00DE7832"/>
    <w:rsid w:val="00DF18FC"/>
    <w:rsid w:val="00DF1C98"/>
    <w:rsid w:val="00DF2B16"/>
    <w:rsid w:val="00DF2C58"/>
    <w:rsid w:val="00DF5D2B"/>
    <w:rsid w:val="00DF6785"/>
    <w:rsid w:val="00DF6F8B"/>
    <w:rsid w:val="00E00E8E"/>
    <w:rsid w:val="00E0382E"/>
    <w:rsid w:val="00E05630"/>
    <w:rsid w:val="00E059A0"/>
    <w:rsid w:val="00E06120"/>
    <w:rsid w:val="00E06DBB"/>
    <w:rsid w:val="00E0798B"/>
    <w:rsid w:val="00E10149"/>
    <w:rsid w:val="00E1049F"/>
    <w:rsid w:val="00E1054F"/>
    <w:rsid w:val="00E13A30"/>
    <w:rsid w:val="00E13CD6"/>
    <w:rsid w:val="00E148C1"/>
    <w:rsid w:val="00E14C61"/>
    <w:rsid w:val="00E16372"/>
    <w:rsid w:val="00E16622"/>
    <w:rsid w:val="00E16CDD"/>
    <w:rsid w:val="00E20E4D"/>
    <w:rsid w:val="00E20ED6"/>
    <w:rsid w:val="00E21358"/>
    <w:rsid w:val="00E2249B"/>
    <w:rsid w:val="00E22A0D"/>
    <w:rsid w:val="00E26FB3"/>
    <w:rsid w:val="00E2771E"/>
    <w:rsid w:val="00E3040E"/>
    <w:rsid w:val="00E306E7"/>
    <w:rsid w:val="00E30E36"/>
    <w:rsid w:val="00E31413"/>
    <w:rsid w:val="00E31BDD"/>
    <w:rsid w:val="00E3224F"/>
    <w:rsid w:val="00E3280A"/>
    <w:rsid w:val="00E32BB7"/>
    <w:rsid w:val="00E334E2"/>
    <w:rsid w:val="00E34948"/>
    <w:rsid w:val="00E36E43"/>
    <w:rsid w:val="00E37569"/>
    <w:rsid w:val="00E41E30"/>
    <w:rsid w:val="00E4278C"/>
    <w:rsid w:val="00E42860"/>
    <w:rsid w:val="00E42C8C"/>
    <w:rsid w:val="00E43D70"/>
    <w:rsid w:val="00E44BF3"/>
    <w:rsid w:val="00E46183"/>
    <w:rsid w:val="00E466F3"/>
    <w:rsid w:val="00E47B2C"/>
    <w:rsid w:val="00E500BD"/>
    <w:rsid w:val="00E5133C"/>
    <w:rsid w:val="00E51560"/>
    <w:rsid w:val="00E54347"/>
    <w:rsid w:val="00E552DA"/>
    <w:rsid w:val="00E55424"/>
    <w:rsid w:val="00E55BB5"/>
    <w:rsid w:val="00E57F46"/>
    <w:rsid w:val="00E605C8"/>
    <w:rsid w:val="00E61119"/>
    <w:rsid w:val="00E61162"/>
    <w:rsid w:val="00E6189E"/>
    <w:rsid w:val="00E6375A"/>
    <w:rsid w:val="00E6443F"/>
    <w:rsid w:val="00E65E79"/>
    <w:rsid w:val="00E6687B"/>
    <w:rsid w:val="00E66BA2"/>
    <w:rsid w:val="00E67273"/>
    <w:rsid w:val="00E67416"/>
    <w:rsid w:val="00E718B6"/>
    <w:rsid w:val="00E723BA"/>
    <w:rsid w:val="00E726E5"/>
    <w:rsid w:val="00E72E04"/>
    <w:rsid w:val="00E73581"/>
    <w:rsid w:val="00E74046"/>
    <w:rsid w:val="00E77CE7"/>
    <w:rsid w:val="00E806A4"/>
    <w:rsid w:val="00E81725"/>
    <w:rsid w:val="00E81B70"/>
    <w:rsid w:val="00E81C77"/>
    <w:rsid w:val="00E833F7"/>
    <w:rsid w:val="00E83BDF"/>
    <w:rsid w:val="00E866FF"/>
    <w:rsid w:val="00E87A1D"/>
    <w:rsid w:val="00E9007F"/>
    <w:rsid w:val="00E90C77"/>
    <w:rsid w:val="00E926A5"/>
    <w:rsid w:val="00E92928"/>
    <w:rsid w:val="00E9353A"/>
    <w:rsid w:val="00E93E65"/>
    <w:rsid w:val="00E93EC1"/>
    <w:rsid w:val="00E94163"/>
    <w:rsid w:val="00E957A9"/>
    <w:rsid w:val="00E97B71"/>
    <w:rsid w:val="00EA17C3"/>
    <w:rsid w:val="00EA1854"/>
    <w:rsid w:val="00EA22C3"/>
    <w:rsid w:val="00EA2CAA"/>
    <w:rsid w:val="00EA2CAC"/>
    <w:rsid w:val="00EA3864"/>
    <w:rsid w:val="00EA50A2"/>
    <w:rsid w:val="00EB01ED"/>
    <w:rsid w:val="00EB0AA2"/>
    <w:rsid w:val="00EB15B6"/>
    <w:rsid w:val="00EB1B74"/>
    <w:rsid w:val="00EB2028"/>
    <w:rsid w:val="00EB2E9F"/>
    <w:rsid w:val="00EB42F4"/>
    <w:rsid w:val="00EB4916"/>
    <w:rsid w:val="00EB4D20"/>
    <w:rsid w:val="00EB52A4"/>
    <w:rsid w:val="00EB6E77"/>
    <w:rsid w:val="00EB7783"/>
    <w:rsid w:val="00EB79CD"/>
    <w:rsid w:val="00EC00C9"/>
    <w:rsid w:val="00EC21FD"/>
    <w:rsid w:val="00EC2649"/>
    <w:rsid w:val="00EC6C6C"/>
    <w:rsid w:val="00EC71D0"/>
    <w:rsid w:val="00ED06D1"/>
    <w:rsid w:val="00ED1507"/>
    <w:rsid w:val="00ED20CF"/>
    <w:rsid w:val="00ED20F4"/>
    <w:rsid w:val="00ED2E8C"/>
    <w:rsid w:val="00ED57EA"/>
    <w:rsid w:val="00ED5BB7"/>
    <w:rsid w:val="00EE07D3"/>
    <w:rsid w:val="00EE22AF"/>
    <w:rsid w:val="00EE432A"/>
    <w:rsid w:val="00EE5120"/>
    <w:rsid w:val="00EE640C"/>
    <w:rsid w:val="00EF000C"/>
    <w:rsid w:val="00EF0171"/>
    <w:rsid w:val="00EF0A9E"/>
    <w:rsid w:val="00EF1B25"/>
    <w:rsid w:val="00EF39B0"/>
    <w:rsid w:val="00EF4747"/>
    <w:rsid w:val="00EF4BA4"/>
    <w:rsid w:val="00EF4BF8"/>
    <w:rsid w:val="00EF5922"/>
    <w:rsid w:val="00EF70EC"/>
    <w:rsid w:val="00F02253"/>
    <w:rsid w:val="00F025A7"/>
    <w:rsid w:val="00F033A9"/>
    <w:rsid w:val="00F03C2E"/>
    <w:rsid w:val="00F04A66"/>
    <w:rsid w:val="00F0516C"/>
    <w:rsid w:val="00F05CDC"/>
    <w:rsid w:val="00F064A3"/>
    <w:rsid w:val="00F067A2"/>
    <w:rsid w:val="00F07088"/>
    <w:rsid w:val="00F103BF"/>
    <w:rsid w:val="00F1263A"/>
    <w:rsid w:val="00F12D2D"/>
    <w:rsid w:val="00F1313B"/>
    <w:rsid w:val="00F16753"/>
    <w:rsid w:val="00F201AF"/>
    <w:rsid w:val="00F20C68"/>
    <w:rsid w:val="00F21162"/>
    <w:rsid w:val="00F24837"/>
    <w:rsid w:val="00F2575F"/>
    <w:rsid w:val="00F25921"/>
    <w:rsid w:val="00F26761"/>
    <w:rsid w:val="00F27565"/>
    <w:rsid w:val="00F277C5"/>
    <w:rsid w:val="00F27FD5"/>
    <w:rsid w:val="00F310D4"/>
    <w:rsid w:val="00F3129E"/>
    <w:rsid w:val="00F31A67"/>
    <w:rsid w:val="00F31D5A"/>
    <w:rsid w:val="00F321D1"/>
    <w:rsid w:val="00F33AAE"/>
    <w:rsid w:val="00F33DE9"/>
    <w:rsid w:val="00F33FE8"/>
    <w:rsid w:val="00F3619A"/>
    <w:rsid w:val="00F374A0"/>
    <w:rsid w:val="00F40AAA"/>
    <w:rsid w:val="00F40BA7"/>
    <w:rsid w:val="00F411F7"/>
    <w:rsid w:val="00F41360"/>
    <w:rsid w:val="00F41621"/>
    <w:rsid w:val="00F417D0"/>
    <w:rsid w:val="00F42AF7"/>
    <w:rsid w:val="00F44137"/>
    <w:rsid w:val="00F45218"/>
    <w:rsid w:val="00F45639"/>
    <w:rsid w:val="00F45830"/>
    <w:rsid w:val="00F46CB6"/>
    <w:rsid w:val="00F47DE8"/>
    <w:rsid w:val="00F542C1"/>
    <w:rsid w:val="00F55E73"/>
    <w:rsid w:val="00F55EDA"/>
    <w:rsid w:val="00F55EE9"/>
    <w:rsid w:val="00F57F64"/>
    <w:rsid w:val="00F60092"/>
    <w:rsid w:val="00F615A5"/>
    <w:rsid w:val="00F61AA9"/>
    <w:rsid w:val="00F65F4B"/>
    <w:rsid w:val="00F6711D"/>
    <w:rsid w:val="00F67A0D"/>
    <w:rsid w:val="00F70C9D"/>
    <w:rsid w:val="00F71D91"/>
    <w:rsid w:val="00F728AE"/>
    <w:rsid w:val="00F72E30"/>
    <w:rsid w:val="00F72FC2"/>
    <w:rsid w:val="00F74AE6"/>
    <w:rsid w:val="00F74CD9"/>
    <w:rsid w:val="00F75457"/>
    <w:rsid w:val="00F80A7B"/>
    <w:rsid w:val="00F80E5D"/>
    <w:rsid w:val="00F816BE"/>
    <w:rsid w:val="00F818F4"/>
    <w:rsid w:val="00F83A66"/>
    <w:rsid w:val="00F844CE"/>
    <w:rsid w:val="00F851CE"/>
    <w:rsid w:val="00F8532E"/>
    <w:rsid w:val="00F856BD"/>
    <w:rsid w:val="00F86F4C"/>
    <w:rsid w:val="00F875CA"/>
    <w:rsid w:val="00F903FD"/>
    <w:rsid w:val="00F9053A"/>
    <w:rsid w:val="00F91219"/>
    <w:rsid w:val="00F92806"/>
    <w:rsid w:val="00F9380B"/>
    <w:rsid w:val="00F93905"/>
    <w:rsid w:val="00F942A9"/>
    <w:rsid w:val="00F97A78"/>
    <w:rsid w:val="00F97E40"/>
    <w:rsid w:val="00FA0B20"/>
    <w:rsid w:val="00FA1A53"/>
    <w:rsid w:val="00FA24E7"/>
    <w:rsid w:val="00FA3F70"/>
    <w:rsid w:val="00FA79B2"/>
    <w:rsid w:val="00FB0774"/>
    <w:rsid w:val="00FB2170"/>
    <w:rsid w:val="00FB22D6"/>
    <w:rsid w:val="00FB2FCB"/>
    <w:rsid w:val="00FB330C"/>
    <w:rsid w:val="00FB3AB3"/>
    <w:rsid w:val="00FB3F44"/>
    <w:rsid w:val="00FB425B"/>
    <w:rsid w:val="00FB5B0B"/>
    <w:rsid w:val="00FB799F"/>
    <w:rsid w:val="00FC023B"/>
    <w:rsid w:val="00FC1074"/>
    <w:rsid w:val="00FC1884"/>
    <w:rsid w:val="00FC1941"/>
    <w:rsid w:val="00FC1B1D"/>
    <w:rsid w:val="00FC22B4"/>
    <w:rsid w:val="00FC29D1"/>
    <w:rsid w:val="00FC315B"/>
    <w:rsid w:val="00FC371D"/>
    <w:rsid w:val="00FC4D0F"/>
    <w:rsid w:val="00FC5285"/>
    <w:rsid w:val="00FC5DC0"/>
    <w:rsid w:val="00FC5F0B"/>
    <w:rsid w:val="00FC5FFC"/>
    <w:rsid w:val="00FC67D7"/>
    <w:rsid w:val="00FC7B39"/>
    <w:rsid w:val="00FD1A67"/>
    <w:rsid w:val="00FD2100"/>
    <w:rsid w:val="00FD30BA"/>
    <w:rsid w:val="00FD3697"/>
    <w:rsid w:val="00FD436C"/>
    <w:rsid w:val="00FD4417"/>
    <w:rsid w:val="00FD446D"/>
    <w:rsid w:val="00FD4D88"/>
    <w:rsid w:val="00FD5256"/>
    <w:rsid w:val="00FD6394"/>
    <w:rsid w:val="00FE0E0A"/>
    <w:rsid w:val="00FE0E6C"/>
    <w:rsid w:val="00FE1BFB"/>
    <w:rsid w:val="00FE2A69"/>
    <w:rsid w:val="00FE2E17"/>
    <w:rsid w:val="00FE3D2C"/>
    <w:rsid w:val="00FE5274"/>
    <w:rsid w:val="00FE70C3"/>
    <w:rsid w:val="00FF3190"/>
    <w:rsid w:val="00FF3DCF"/>
    <w:rsid w:val="00FF492C"/>
    <w:rsid w:val="00FF4A21"/>
    <w:rsid w:val="00FF5AA3"/>
    <w:rsid w:val="00FF5AD8"/>
    <w:rsid w:val="00FF6E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uiPriority="16"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77AD9"/>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77AD9"/>
    <w:rPr>
      <w:rFonts w:ascii="Arial Narrow" w:hAnsi="Arial Narrow" w:cs="Arial"/>
      <w:b/>
      <w:bCs/>
      <w:snapToGrid w:val="0"/>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D957DC"/>
    <w:pPr>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72"/>
    <w:qFormat/>
    <w:locked/>
    <w:rsid w:val="00D957DC"/>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C1941"/>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qFormat/>
    <w:rsid w:val="002C5099"/>
    <w:pPr>
      <w:numPr>
        <w:numId w:val="4"/>
      </w:numPr>
    </w:pPr>
    <w:rPr>
      <w:szCs w:val="24"/>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9"/>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C023B"/>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styleId="ListNumber">
    <w:name w:val="List Number"/>
    <w:basedOn w:val="Normal"/>
    <w:uiPriority w:val="16"/>
    <w:qFormat/>
    <w:rsid w:val="008C75EA"/>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8C75EA"/>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8C75EA"/>
    <w:pPr>
      <w:numPr>
        <w:numId w:val="5"/>
      </w:numPr>
    </w:pPr>
  </w:style>
  <w:style w:type="paragraph" w:styleId="ListNumber3">
    <w:name w:val="List Number 3"/>
    <w:basedOn w:val="Normal"/>
    <w:uiPriority w:val="16"/>
    <w:qFormat/>
    <w:rsid w:val="008C75EA"/>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8C75EA"/>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styleId="FootnoteText">
    <w:name w:val="footnote text"/>
    <w:aliases w:val="Footnote Text Char1,Footnote Text Char Char,Footnote Text Char2,Footnote Text Char Char1"/>
    <w:basedOn w:val="Normal"/>
    <w:link w:val="FootnoteTextChar"/>
    <w:unhideWhenUsed/>
    <w:rsid w:val="00D21406"/>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D21406"/>
    <w:rPr>
      <w:rFonts w:ascii="Calibri" w:hAnsi="Calibri" w:cs="Arial"/>
      <w:snapToGrid w:val="0"/>
      <w:lang w:eastAsia="en-US"/>
    </w:rPr>
  </w:style>
  <w:style w:type="character" w:styleId="FootnoteReference">
    <w:name w:val="footnote reference"/>
    <w:basedOn w:val="DefaultParagraphFont"/>
    <w:unhideWhenUsed/>
    <w:rsid w:val="00D21406"/>
    <w:rPr>
      <w:vertAlign w:val="superscript"/>
    </w:rPr>
  </w:style>
  <w:style w:type="paragraph" w:styleId="ListBullet">
    <w:name w:val="List Bullet"/>
    <w:basedOn w:val="Normal"/>
    <w:uiPriority w:val="16"/>
    <w:qFormat/>
    <w:rsid w:val="00AB3600"/>
    <w:pPr>
      <w:keepLines/>
      <w:widowControl/>
      <w:numPr>
        <w:numId w:val="7"/>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AB3600"/>
    <w:pPr>
      <w:numPr>
        <w:ilvl w:val="1"/>
      </w:numPr>
    </w:pPr>
  </w:style>
  <w:style w:type="paragraph" w:styleId="ListBullet3">
    <w:name w:val="List Bullet 3"/>
    <w:basedOn w:val="Normal"/>
    <w:uiPriority w:val="16"/>
    <w:qFormat/>
    <w:rsid w:val="00AB3600"/>
    <w:pPr>
      <w:keepLines/>
      <w:widowControl/>
      <w:numPr>
        <w:ilvl w:val="2"/>
        <w:numId w:val="7"/>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AB3600"/>
    <w:pPr>
      <w:keepLines/>
      <w:widowControl/>
      <w:numPr>
        <w:ilvl w:val="3"/>
        <w:numId w:val="7"/>
      </w:numPr>
      <w:spacing w:after="360" w:line="360" w:lineRule="auto"/>
      <w:contextualSpacing/>
      <w:jc w:val="left"/>
    </w:pPr>
    <w:rPr>
      <w:rFonts w:ascii="Arial" w:eastAsiaTheme="minorHAnsi" w:hAnsi="Arial" w:cstheme="minorBidi"/>
      <w:snapToGrid/>
      <w:sz w:val="20"/>
      <w:szCs w:val="20"/>
    </w:rPr>
  </w:style>
  <w:style w:type="table" w:customStyle="1" w:styleId="MSDAustralia">
    <w:name w:val="MSD Australia"/>
    <w:basedOn w:val="TableGrid"/>
    <w:uiPriority w:val="99"/>
    <w:rsid w:val="009E2981"/>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ource">
    <w:name w:val="Source"/>
    <w:basedOn w:val="Normal"/>
    <w:uiPriority w:val="35"/>
    <w:qFormat/>
    <w:rsid w:val="00371D03"/>
    <w:pPr>
      <w:keepLines/>
      <w:widowControl/>
      <w:numPr>
        <w:numId w:val="1"/>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TableParagraph">
    <w:name w:val="Table Paragraph"/>
    <w:basedOn w:val="Normal"/>
    <w:uiPriority w:val="1"/>
    <w:qFormat/>
    <w:rsid w:val="00ED20CF"/>
    <w:pPr>
      <w:jc w:val="left"/>
    </w:pPr>
    <w:rPr>
      <w:rFonts w:asciiTheme="minorHAnsi" w:eastAsiaTheme="minorHAnsi" w:hAnsiTheme="minorHAnsi" w:cstheme="minorBidi"/>
      <w:snapToGrid/>
      <w:sz w:val="22"/>
      <w:lang w:val="en-US"/>
    </w:rPr>
  </w:style>
  <w:style w:type="table" w:customStyle="1" w:styleId="MSDAustralia1">
    <w:name w:val="MSD Australia1"/>
    <w:basedOn w:val="TableGrid"/>
    <w:uiPriority w:val="99"/>
    <w:rsid w:val="00841D06"/>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ubHeading">
    <w:name w:val="Sub Heading"/>
    <w:basedOn w:val="Normal"/>
    <w:next w:val="Normal"/>
    <w:uiPriority w:val="9"/>
    <w:qFormat/>
    <w:rsid w:val="00C53A4A"/>
    <w:pPr>
      <w:keepLines/>
      <w:widowControl/>
      <w:spacing w:before="360" w:line="360" w:lineRule="auto"/>
      <w:ind w:left="720" w:hanging="360"/>
      <w:jc w:val="left"/>
    </w:pPr>
    <w:rPr>
      <w:rFonts w:ascii="Arial" w:eastAsiaTheme="minorHAnsi" w:hAnsi="Arial" w:cstheme="minorBidi"/>
      <w:b/>
      <w:snapToGrid/>
      <w:sz w:val="20"/>
      <w:szCs w:val="20"/>
    </w:rPr>
  </w:style>
  <w:style w:type="paragraph" w:customStyle="1" w:styleId="TableText0">
    <w:name w:val="Table Text"/>
    <w:basedOn w:val="Normal"/>
    <w:link w:val="TableTextChar0"/>
    <w:rsid w:val="00411ACA"/>
    <w:pPr>
      <w:keepNext/>
      <w:widowControl/>
      <w:spacing w:before="40" w:after="40"/>
    </w:pPr>
    <w:rPr>
      <w:rFonts w:ascii="Arial Narrow" w:eastAsiaTheme="minorHAnsi" w:hAnsi="Arial Narrow" w:cstheme="minorBidi"/>
      <w:snapToGrid/>
      <w:color w:val="000000" w:themeColor="text1"/>
      <w:sz w:val="20"/>
    </w:rPr>
  </w:style>
  <w:style w:type="character" w:customStyle="1" w:styleId="TableTextChar0">
    <w:name w:val="Table Text Char"/>
    <w:link w:val="TableText0"/>
    <w:rsid w:val="00411ACA"/>
    <w:rPr>
      <w:rFonts w:ascii="Arial Narrow" w:eastAsiaTheme="minorHAnsi" w:hAnsi="Arial Narrow" w:cstheme="minorBidi"/>
      <w:color w:val="000000" w:themeColor="text1"/>
      <w:szCs w:val="22"/>
      <w:lang w:eastAsia="en-US"/>
    </w:rPr>
  </w:style>
  <w:style w:type="character" w:styleId="Emphasis">
    <w:name w:val="Emphasis"/>
    <w:basedOn w:val="DefaultParagraphFont"/>
    <w:uiPriority w:val="20"/>
    <w:qFormat/>
    <w:rsid w:val="00CA2D99"/>
    <w:rPr>
      <w:i/>
      <w:iCs/>
    </w:rPr>
  </w:style>
  <w:style w:type="table" w:customStyle="1" w:styleId="ExecSummTable">
    <w:name w:val="Exec Summ Table"/>
    <w:basedOn w:val="MSDAustralia"/>
    <w:uiPriority w:val="99"/>
    <w:rsid w:val="00FC1941"/>
    <w:rPr>
      <w:sz w:val="18"/>
      <w:lang w:eastAsia="en-AU" w:bidi="th-TH"/>
    </w:rP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character" w:customStyle="1" w:styleId="Heading1Char">
    <w:name w:val="Heading 1 Char"/>
    <w:basedOn w:val="DefaultParagraphFont"/>
    <w:link w:val="Heading1"/>
    <w:rsid w:val="00607AF2"/>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607AF2"/>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607AF2"/>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607AF2"/>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607AF2"/>
    <w:rPr>
      <w:rFonts w:ascii="Calibri" w:hAnsi="Calibri" w:cs="Arial"/>
      <w:b/>
      <w:bCs/>
      <w:i/>
      <w:snapToGrid w:val="0"/>
      <w:sz w:val="24"/>
      <w:szCs w:val="22"/>
      <w:lang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607AF2"/>
    <w:rPr>
      <w:rFonts w:ascii="Calibri" w:hAnsi="Calibri" w:cs="Arial"/>
      <w:lang w:eastAsia="en-US"/>
    </w:rPr>
  </w:style>
  <w:style w:type="character" w:customStyle="1" w:styleId="CommentTextChar1">
    <w:name w:val="Comment Text Char1"/>
    <w:aliases w:val="- H19 Char1"/>
    <w:basedOn w:val="DefaultParagraphFont"/>
    <w:uiPriority w:val="99"/>
    <w:semiHidden/>
    <w:rsid w:val="00607AF2"/>
    <w:rPr>
      <w:rFonts w:ascii="Calibri" w:hAnsi="Calibri" w:cs="Arial"/>
      <w:lang w:eastAsia="en-US"/>
    </w:rPr>
  </w:style>
  <w:style w:type="character" w:customStyle="1" w:styleId="HeaderChar1">
    <w:name w:val="Header Char1"/>
    <w:aliases w:val="Page Header Char1,Header title Char1,he=header Char1,cntr/bld Char1"/>
    <w:basedOn w:val="DefaultParagraphFont"/>
    <w:uiPriority w:val="99"/>
    <w:semiHidden/>
    <w:rsid w:val="00607AF2"/>
    <w:rPr>
      <w:rFonts w:ascii="Calibri" w:hAnsi="Calibri" w:cs="Arial"/>
      <w:sz w:val="24"/>
      <w:szCs w:val="22"/>
      <w:lang w:eastAsia="en-US"/>
    </w:rPr>
  </w:style>
  <w:style w:type="paragraph" w:customStyle="1" w:styleId="EndNoteBibliographyTitle">
    <w:name w:val="EndNote Bibliography Title"/>
    <w:basedOn w:val="Normal"/>
    <w:link w:val="EndNoteBibliographyTitleChar"/>
    <w:rsid w:val="00D76C5F"/>
    <w:pPr>
      <w:jc w:val="center"/>
    </w:pPr>
    <w:rPr>
      <w:noProof/>
      <w:lang w:val="en-US"/>
    </w:rPr>
  </w:style>
  <w:style w:type="character" w:customStyle="1" w:styleId="EndNoteBibliographyTitleChar">
    <w:name w:val="EndNote Bibliography Title Char"/>
    <w:basedOn w:val="DefaultParagraphFont"/>
    <w:link w:val="EndNoteBibliographyTitle"/>
    <w:rsid w:val="00D76C5F"/>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D76C5F"/>
    <w:pPr>
      <w:jc w:val="left"/>
    </w:pPr>
    <w:rPr>
      <w:noProof/>
      <w:lang w:val="en-US"/>
    </w:rPr>
  </w:style>
  <w:style w:type="character" w:customStyle="1" w:styleId="EndNoteBibliographyChar">
    <w:name w:val="EndNote Bibliography Char"/>
    <w:basedOn w:val="DefaultParagraphFont"/>
    <w:link w:val="EndNoteBibliography"/>
    <w:rsid w:val="00D76C5F"/>
    <w:rPr>
      <w:rFonts w:ascii="Calibri" w:hAnsi="Calibri" w:cs="Arial"/>
      <w:noProof/>
      <w:snapToGrid w:val="0"/>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7618">
      <w:bodyDiv w:val="1"/>
      <w:marLeft w:val="0"/>
      <w:marRight w:val="0"/>
      <w:marTop w:val="0"/>
      <w:marBottom w:val="0"/>
      <w:divBdr>
        <w:top w:val="none" w:sz="0" w:space="0" w:color="auto"/>
        <w:left w:val="none" w:sz="0" w:space="0" w:color="auto"/>
        <w:bottom w:val="none" w:sz="0" w:space="0" w:color="auto"/>
        <w:right w:val="none" w:sz="0" w:space="0" w:color="auto"/>
      </w:divBdr>
    </w:div>
    <w:div w:id="393746978">
      <w:bodyDiv w:val="1"/>
      <w:marLeft w:val="0"/>
      <w:marRight w:val="0"/>
      <w:marTop w:val="0"/>
      <w:marBottom w:val="0"/>
      <w:divBdr>
        <w:top w:val="none" w:sz="0" w:space="0" w:color="auto"/>
        <w:left w:val="none" w:sz="0" w:space="0" w:color="auto"/>
        <w:bottom w:val="none" w:sz="0" w:space="0" w:color="auto"/>
        <w:right w:val="none" w:sz="0" w:space="0" w:color="auto"/>
      </w:divBdr>
    </w:div>
    <w:div w:id="479074410">
      <w:bodyDiv w:val="1"/>
      <w:marLeft w:val="0"/>
      <w:marRight w:val="0"/>
      <w:marTop w:val="0"/>
      <w:marBottom w:val="0"/>
      <w:divBdr>
        <w:top w:val="none" w:sz="0" w:space="0" w:color="auto"/>
        <w:left w:val="none" w:sz="0" w:space="0" w:color="auto"/>
        <w:bottom w:val="none" w:sz="0" w:space="0" w:color="auto"/>
        <w:right w:val="none" w:sz="0" w:space="0" w:color="auto"/>
      </w:divBdr>
    </w:div>
    <w:div w:id="497381969">
      <w:bodyDiv w:val="1"/>
      <w:marLeft w:val="0"/>
      <w:marRight w:val="0"/>
      <w:marTop w:val="0"/>
      <w:marBottom w:val="0"/>
      <w:divBdr>
        <w:top w:val="none" w:sz="0" w:space="0" w:color="auto"/>
        <w:left w:val="none" w:sz="0" w:space="0" w:color="auto"/>
        <w:bottom w:val="none" w:sz="0" w:space="0" w:color="auto"/>
        <w:right w:val="none" w:sz="0" w:space="0" w:color="auto"/>
      </w:divBdr>
    </w:div>
    <w:div w:id="542140452">
      <w:bodyDiv w:val="1"/>
      <w:marLeft w:val="0"/>
      <w:marRight w:val="0"/>
      <w:marTop w:val="0"/>
      <w:marBottom w:val="0"/>
      <w:divBdr>
        <w:top w:val="none" w:sz="0" w:space="0" w:color="auto"/>
        <w:left w:val="none" w:sz="0" w:space="0" w:color="auto"/>
        <w:bottom w:val="none" w:sz="0" w:space="0" w:color="auto"/>
        <w:right w:val="none" w:sz="0" w:space="0" w:color="auto"/>
      </w:divBdr>
    </w:div>
    <w:div w:id="638845511">
      <w:bodyDiv w:val="1"/>
      <w:marLeft w:val="0"/>
      <w:marRight w:val="0"/>
      <w:marTop w:val="0"/>
      <w:marBottom w:val="0"/>
      <w:divBdr>
        <w:top w:val="none" w:sz="0" w:space="0" w:color="auto"/>
        <w:left w:val="none" w:sz="0" w:space="0" w:color="auto"/>
        <w:bottom w:val="none" w:sz="0" w:space="0" w:color="auto"/>
        <w:right w:val="none" w:sz="0" w:space="0" w:color="auto"/>
      </w:divBdr>
    </w:div>
    <w:div w:id="796026829">
      <w:bodyDiv w:val="1"/>
      <w:marLeft w:val="0"/>
      <w:marRight w:val="0"/>
      <w:marTop w:val="0"/>
      <w:marBottom w:val="0"/>
      <w:divBdr>
        <w:top w:val="none" w:sz="0" w:space="0" w:color="auto"/>
        <w:left w:val="none" w:sz="0" w:space="0" w:color="auto"/>
        <w:bottom w:val="none" w:sz="0" w:space="0" w:color="auto"/>
        <w:right w:val="none" w:sz="0" w:space="0" w:color="auto"/>
      </w:divBdr>
    </w:div>
    <w:div w:id="1211499133">
      <w:bodyDiv w:val="1"/>
      <w:marLeft w:val="0"/>
      <w:marRight w:val="0"/>
      <w:marTop w:val="0"/>
      <w:marBottom w:val="0"/>
      <w:divBdr>
        <w:top w:val="none" w:sz="0" w:space="0" w:color="auto"/>
        <w:left w:val="none" w:sz="0" w:space="0" w:color="auto"/>
        <w:bottom w:val="none" w:sz="0" w:space="0" w:color="auto"/>
        <w:right w:val="none" w:sz="0" w:space="0" w:color="auto"/>
      </w:divBdr>
    </w:div>
    <w:div w:id="1795754648">
      <w:bodyDiv w:val="1"/>
      <w:marLeft w:val="0"/>
      <w:marRight w:val="0"/>
      <w:marTop w:val="0"/>
      <w:marBottom w:val="0"/>
      <w:divBdr>
        <w:top w:val="none" w:sz="0" w:space="0" w:color="auto"/>
        <w:left w:val="none" w:sz="0" w:space="0" w:color="auto"/>
        <w:bottom w:val="none" w:sz="0" w:space="0" w:color="auto"/>
        <w:right w:val="none" w:sz="0" w:space="0" w:color="auto"/>
      </w:divBdr>
    </w:div>
    <w:div w:id="20221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iki.cancer.org.au/australia/Clinical_question:What_is_the_role_of_adjuvant_systemic_therapy_in_patients_with_resected_melanoma%3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B194-DAF1-4311-A9C3-C8D9EA712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11939</Words>
  <Characters>69149</Characters>
  <Application>Microsoft Office Word</Application>
  <DocSecurity>0</DocSecurity>
  <Lines>576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2019-02-21T23:11:00Z</dcterms:created>
  <dcterms:modified xsi:type="dcterms:W3CDTF">2019-02-26T00:51:00Z</dcterms:modified>
</cp:coreProperties>
</file>