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DF4" w:rsidRPr="009E3DF4" w:rsidRDefault="009E3DF4" w:rsidP="009E3DF4"/>
    <w:p w:rsidR="006D6493" w:rsidRPr="00577C4D" w:rsidRDefault="000A6504" w:rsidP="006D6493">
      <w:pPr>
        <w:pStyle w:val="Title"/>
        <w:spacing w:before="120" w:after="160"/>
        <w:ind w:left="720" w:hanging="720"/>
        <w:rPr>
          <w:rFonts w:asciiTheme="minorHAnsi" w:hAnsiTheme="minorHAnsi"/>
          <w:sz w:val="36"/>
          <w:szCs w:val="36"/>
        </w:rPr>
      </w:pPr>
      <w:r>
        <w:rPr>
          <w:rFonts w:asciiTheme="minorHAnsi" w:hAnsiTheme="minorHAnsi"/>
          <w:sz w:val="36"/>
          <w:szCs w:val="36"/>
        </w:rPr>
        <w:t>7.10</w:t>
      </w:r>
      <w:r w:rsidR="006D6493" w:rsidRPr="002B5596">
        <w:rPr>
          <w:rFonts w:asciiTheme="minorHAnsi" w:hAnsiTheme="minorHAnsi"/>
          <w:sz w:val="36"/>
          <w:szCs w:val="36"/>
        </w:rPr>
        <w:tab/>
      </w:r>
      <w:r w:rsidR="00694E37">
        <w:rPr>
          <w:rFonts w:asciiTheme="minorHAnsi" w:hAnsiTheme="minorHAnsi"/>
          <w:sz w:val="36"/>
          <w:szCs w:val="36"/>
        </w:rPr>
        <w:t>LUMACAFTOR WITH</w:t>
      </w:r>
      <w:r w:rsidR="008553B5" w:rsidRPr="00DA2530">
        <w:rPr>
          <w:rFonts w:asciiTheme="minorHAnsi" w:hAnsiTheme="minorHAnsi"/>
          <w:sz w:val="36"/>
          <w:szCs w:val="36"/>
        </w:rPr>
        <w:t xml:space="preserve"> IVACAFTOR</w:t>
      </w:r>
      <w:r w:rsidR="008553B5">
        <w:rPr>
          <w:rFonts w:asciiTheme="minorHAnsi" w:hAnsiTheme="minorHAnsi"/>
          <w:sz w:val="36"/>
          <w:szCs w:val="36"/>
        </w:rPr>
        <w:br/>
      </w:r>
      <w:r w:rsidR="008553B5" w:rsidRPr="00DA2530">
        <w:rPr>
          <w:rFonts w:asciiTheme="minorHAnsi" w:hAnsiTheme="minorHAnsi"/>
          <w:sz w:val="36"/>
          <w:szCs w:val="36"/>
        </w:rPr>
        <w:t xml:space="preserve">Tablet containing </w:t>
      </w:r>
      <w:proofErr w:type="spellStart"/>
      <w:r w:rsidR="008553B5" w:rsidRPr="00DA2530">
        <w:rPr>
          <w:rFonts w:asciiTheme="minorHAnsi" w:hAnsiTheme="minorHAnsi"/>
          <w:sz w:val="36"/>
          <w:szCs w:val="36"/>
        </w:rPr>
        <w:t>lumacaftor</w:t>
      </w:r>
      <w:proofErr w:type="spellEnd"/>
      <w:r w:rsidR="008553B5" w:rsidRPr="00DA2530">
        <w:rPr>
          <w:rFonts w:asciiTheme="minorHAnsi" w:hAnsiTheme="minorHAnsi"/>
          <w:sz w:val="36"/>
          <w:szCs w:val="36"/>
        </w:rPr>
        <w:t xml:space="preserve"> 200 mg with </w:t>
      </w:r>
      <w:proofErr w:type="spellStart"/>
      <w:r w:rsidR="008553B5" w:rsidRPr="00DA2530">
        <w:rPr>
          <w:rFonts w:asciiTheme="minorHAnsi" w:hAnsiTheme="minorHAnsi"/>
          <w:sz w:val="36"/>
          <w:szCs w:val="36"/>
        </w:rPr>
        <w:t>ivacaftor</w:t>
      </w:r>
      <w:proofErr w:type="spellEnd"/>
      <w:r w:rsidR="008553B5" w:rsidRPr="00DA2530">
        <w:rPr>
          <w:rFonts w:asciiTheme="minorHAnsi" w:hAnsiTheme="minorHAnsi"/>
          <w:sz w:val="36"/>
          <w:szCs w:val="36"/>
        </w:rPr>
        <w:t xml:space="preserve"> 125 mg,</w:t>
      </w:r>
      <w:r w:rsidR="008553B5">
        <w:rPr>
          <w:rFonts w:asciiTheme="minorHAnsi" w:hAnsiTheme="minorHAnsi"/>
          <w:sz w:val="36"/>
          <w:szCs w:val="36"/>
        </w:rPr>
        <w:t xml:space="preserve"> </w:t>
      </w:r>
      <w:proofErr w:type="spellStart"/>
      <w:r w:rsidR="008553B5" w:rsidRPr="00DA2530">
        <w:rPr>
          <w:rFonts w:asciiTheme="minorHAnsi" w:hAnsiTheme="minorHAnsi"/>
          <w:sz w:val="36"/>
          <w:szCs w:val="36"/>
        </w:rPr>
        <w:t>Orkambi</w:t>
      </w:r>
      <w:proofErr w:type="spellEnd"/>
      <w:r w:rsidR="008553B5" w:rsidRPr="00DA2530">
        <w:rPr>
          <w:rFonts w:asciiTheme="minorHAnsi" w:hAnsiTheme="minorHAnsi"/>
          <w:sz w:val="36"/>
          <w:szCs w:val="36"/>
        </w:rPr>
        <w:t xml:space="preserve">®, </w:t>
      </w:r>
      <w:r w:rsidR="008553B5">
        <w:rPr>
          <w:rFonts w:asciiTheme="minorHAnsi" w:hAnsiTheme="minorHAnsi"/>
          <w:sz w:val="36"/>
          <w:szCs w:val="36"/>
        </w:rPr>
        <w:br/>
      </w:r>
      <w:r w:rsidR="008553B5" w:rsidRPr="00DA2530">
        <w:rPr>
          <w:rFonts w:asciiTheme="minorHAnsi" w:hAnsiTheme="minorHAnsi"/>
          <w:sz w:val="36"/>
          <w:szCs w:val="36"/>
        </w:rPr>
        <w:t>Vertex Pharmaceuticals</w:t>
      </w:r>
      <w:r w:rsidR="008553B5">
        <w:rPr>
          <w:rFonts w:asciiTheme="minorHAnsi" w:hAnsiTheme="minorHAnsi"/>
          <w:sz w:val="36"/>
          <w:szCs w:val="36"/>
        </w:rPr>
        <w:t xml:space="preserve"> (Australia) Pty Ltd</w:t>
      </w:r>
    </w:p>
    <w:p w:rsidR="008A50F1" w:rsidRPr="00D4572C" w:rsidRDefault="00CE10C4" w:rsidP="002D6558">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EA3F71" w:rsidRPr="00EA3F71" w:rsidRDefault="00EA3F71" w:rsidP="0073784D">
      <w:pPr>
        <w:numPr>
          <w:ilvl w:val="1"/>
          <w:numId w:val="1"/>
        </w:numPr>
        <w:spacing w:after="120"/>
        <w:jc w:val="both"/>
        <w:rPr>
          <w:rFonts w:asciiTheme="minorHAnsi" w:hAnsiTheme="minorHAnsi"/>
        </w:rPr>
      </w:pPr>
      <w:r w:rsidRPr="00EA3F71">
        <w:rPr>
          <w:rFonts w:asciiTheme="minorHAnsi" w:eastAsiaTheme="minorHAnsi" w:hAnsiTheme="minorHAnsi" w:cstheme="minorBidi"/>
          <w:szCs w:val="22"/>
        </w:rPr>
        <w:t xml:space="preserve">A </w:t>
      </w:r>
      <w:r w:rsidRPr="00EA3F71">
        <w:rPr>
          <w:rFonts w:asciiTheme="minorHAnsi" w:hAnsiTheme="minorHAnsi"/>
          <w:szCs w:val="22"/>
        </w:rPr>
        <w:t xml:space="preserve">resubmission to request a Section 100, Highly Specialised Drug Program, Authority Required listing for </w:t>
      </w:r>
      <w:proofErr w:type="spellStart"/>
      <w:r w:rsidRPr="00EA3F71">
        <w:rPr>
          <w:rFonts w:asciiTheme="minorHAnsi" w:hAnsiTheme="minorHAnsi"/>
          <w:szCs w:val="22"/>
        </w:rPr>
        <w:t>lumacaftor</w:t>
      </w:r>
      <w:proofErr w:type="spellEnd"/>
      <w:r w:rsidRPr="00EA3F71">
        <w:rPr>
          <w:rFonts w:asciiTheme="minorHAnsi" w:hAnsiTheme="minorHAnsi"/>
          <w:szCs w:val="22"/>
        </w:rPr>
        <w:t xml:space="preserve"> 200 mg</w:t>
      </w:r>
      <w:r w:rsidR="004B0E6F">
        <w:rPr>
          <w:rFonts w:asciiTheme="minorHAnsi" w:hAnsiTheme="minorHAnsi"/>
          <w:szCs w:val="22"/>
        </w:rPr>
        <w:t xml:space="preserve"> with </w:t>
      </w:r>
      <w:proofErr w:type="spellStart"/>
      <w:r w:rsidRPr="00EA3F71">
        <w:rPr>
          <w:rFonts w:asciiTheme="minorHAnsi" w:hAnsiTheme="minorHAnsi"/>
          <w:szCs w:val="22"/>
        </w:rPr>
        <w:t>ivacaftor</w:t>
      </w:r>
      <w:proofErr w:type="spellEnd"/>
      <w:r w:rsidRPr="00EA3F71">
        <w:rPr>
          <w:rFonts w:asciiTheme="minorHAnsi" w:hAnsiTheme="minorHAnsi"/>
          <w:szCs w:val="22"/>
        </w:rPr>
        <w:t xml:space="preserve"> 125 mg fixed dose combination </w:t>
      </w:r>
      <w:r w:rsidR="004B0E6F">
        <w:rPr>
          <w:rFonts w:asciiTheme="minorHAnsi" w:hAnsiTheme="minorHAnsi"/>
          <w:szCs w:val="22"/>
        </w:rPr>
        <w:t>(</w:t>
      </w:r>
      <w:proofErr w:type="spellStart"/>
      <w:r w:rsidR="004B0E6F">
        <w:rPr>
          <w:rFonts w:asciiTheme="minorHAnsi" w:hAnsiTheme="minorHAnsi"/>
          <w:szCs w:val="22"/>
        </w:rPr>
        <w:t>lumacaftor</w:t>
      </w:r>
      <w:proofErr w:type="spellEnd"/>
      <w:r w:rsidR="004B0E6F">
        <w:rPr>
          <w:rFonts w:asciiTheme="minorHAnsi" w:hAnsiTheme="minorHAnsi"/>
          <w:szCs w:val="22"/>
        </w:rPr>
        <w:t>/</w:t>
      </w:r>
      <w:proofErr w:type="spellStart"/>
      <w:r w:rsidR="004B0E6F">
        <w:rPr>
          <w:rFonts w:asciiTheme="minorHAnsi" w:hAnsiTheme="minorHAnsi"/>
          <w:szCs w:val="22"/>
        </w:rPr>
        <w:t>ivacaftor</w:t>
      </w:r>
      <w:proofErr w:type="spellEnd"/>
      <w:r w:rsidR="004B0E6F">
        <w:rPr>
          <w:rFonts w:asciiTheme="minorHAnsi" w:hAnsiTheme="minorHAnsi"/>
          <w:szCs w:val="22"/>
        </w:rPr>
        <w:t xml:space="preserve">) </w:t>
      </w:r>
      <w:r w:rsidRPr="00EA3F71">
        <w:rPr>
          <w:rFonts w:asciiTheme="minorHAnsi" w:hAnsiTheme="minorHAnsi"/>
          <w:szCs w:val="22"/>
        </w:rPr>
        <w:t xml:space="preserve">for treatment of patients with cystic fibrosis (CF) aged ≥12 years who are homozygous for the </w:t>
      </w:r>
      <w:r w:rsidRPr="00EA3F71">
        <w:rPr>
          <w:rFonts w:asciiTheme="minorHAnsi" w:hAnsiTheme="minorHAnsi"/>
          <w:i/>
          <w:iCs/>
          <w:szCs w:val="22"/>
        </w:rPr>
        <w:t xml:space="preserve">F508del </w:t>
      </w:r>
      <w:r w:rsidRPr="00EA3F71">
        <w:rPr>
          <w:rFonts w:asciiTheme="minorHAnsi" w:hAnsiTheme="minorHAnsi"/>
          <w:szCs w:val="22"/>
        </w:rPr>
        <w:t>mutation</w:t>
      </w:r>
      <w:r w:rsidRPr="00EA3F71">
        <w:rPr>
          <w:rFonts w:asciiTheme="minorHAnsi" w:hAnsiTheme="minorHAnsi"/>
          <w:iCs/>
          <w:szCs w:val="22"/>
        </w:rPr>
        <w:t xml:space="preserve"> in the </w:t>
      </w:r>
      <w:bookmarkStart w:id="0" w:name="_Hlk479157164"/>
      <w:r w:rsidRPr="00EA3F71">
        <w:rPr>
          <w:rFonts w:asciiTheme="minorHAnsi" w:hAnsiTheme="minorHAnsi"/>
          <w:iCs/>
          <w:szCs w:val="22"/>
        </w:rPr>
        <w:t xml:space="preserve">cystic fibrosis transmembrane conductance regulator </w:t>
      </w:r>
      <w:bookmarkEnd w:id="0"/>
      <w:r w:rsidRPr="00EA3F71">
        <w:rPr>
          <w:rFonts w:asciiTheme="minorHAnsi" w:hAnsiTheme="minorHAnsi"/>
          <w:iCs/>
          <w:szCs w:val="22"/>
        </w:rPr>
        <w:t xml:space="preserve">(CFTR) gene. This </w:t>
      </w:r>
      <w:r w:rsidR="006045E2">
        <w:rPr>
          <w:rFonts w:asciiTheme="minorHAnsi" w:hAnsiTheme="minorHAnsi"/>
          <w:iCs/>
          <w:szCs w:val="22"/>
        </w:rPr>
        <w:t>was</w:t>
      </w:r>
      <w:r w:rsidR="006045E2" w:rsidRPr="00EA3F71">
        <w:rPr>
          <w:rFonts w:asciiTheme="minorHAnsi" w:hAnsiTheme="minorHAnsi"/>
          <w:iCs/>
          <w:szCs w:val="22"/>
        </w:rPr>
        <w:t xml:space="preserve"> </w:t>
      </w:r>
      <w:r w:rsidRPr="00EA3F71">
        <w:rPr>
          <w:rFonts w:asciiTheme="minorHAnsi" w:hAnsiTheme="minorHAnsi"/>
          <w:iCs/>
          <w:szCs w:val="22"/>
        </w:rPr>
        <w:t xml:space="preserve">the fourth submission for this indication. The first submission was considered by the PBAC in March 2016, a minor resubmission was considered in November 2016 and a major resubmission was considered in July 2017. </w:t>
      </w:r>
    </w:p>
    <w:p w:rsidR="00EA3F71" w:rsidRPr="00817F56" w:rsidRDefault="00EA3F71" w:rsidP="00817F56">
      <w:pPr>
        <w:pStyle w:val="PBACHeading1"/>
        <w:spacing w:before="240" w:after="120"/>
        <w:ind w:left="709" w:hanging="709"/>
        <w:rPr>
          <w:rFonts w:asciiTheme="minorHAnsi" w:hAnsiTheme="minorHAnsi"/>
          <w:sz w:val="32"/>
          <w:szCs w:val="32"/>
        </w:rPr>
      </w:pPr>
      <w:r w:rsidRPr="00EA3F71">
        <w:rPr>
          <w:rFonts w:asciiTheme="minorHAnsi" w:hAnsiTheme="minorHAnsi"/>
          <w:sz w:val="32"/>
          <w:szCs w:val="32"/>
        </w:rPr>
        <w:t>Requested listing</w:t>
      </w:r>
    </w:p>
    <w:p w:rsidR="008155BB" w:rsidRPr="00CB0030" w:rsidRDefault="00EA3F71" w:rsidP="00CB0030">
      <w:pPr>
        <w:numPr>
          <w:ilvl w:val="1"/>
          <w:numId w:val="1"/>
        </w:numPr>
        <w:spacing w:after="120"/>
        <w:jc w:val="both"/>
        <w:rPr>
          <w:rFonts w:asciiTheme="minorHAnsi" w:eastAsiaTheme="minorHAnsi" w:hAnsiTheme="minorHAnsi" w:cstheme="minorBidi"/>
          <w:szCs w:val="22"/>
        </w:rPr>
      </w:pPr>
      <w:r w:rsidRPr="00EA3F71">
        <w:rPr>
          <w:rFonts w:asciiTheme="minorHAnsi" w:eastAsiaTheme="minorHAnsi" w:hAnsiTheme="minorHAnsi" w:cstheme="minorBidi"/>
          <w:szCs w:val="22"/>
        </w:rPr>
        <w:t xml:space="preserve">The submission requested the following listing: </w:t>
      </w:r>
    </w:p>
    <w:p w:rsidR="00EA3F71" w:rsidRPr="00EA3F71" w:rsidRDefault="00EA3F71" w:rsidP="00EA3F71">
      <w:pPr>
        <w:rPr>
          <w:rFonts w:ascii="Arial Narrow" w:hAnsi="Arial Narrow"/>
          <w:b/>
          <w:sz w:val="20"/>
          <w:szCs w:val="16"/>
        </w:rPr>
      </w:pPr>
      <w:r w:rsidRPr="00EA3F71">
        <w:rPr>
          <w:rFonts w:ascii="Arial Narrow" w:hAnsi="Arial Narrow"/>
          <w:b/>
          <w:sz w:val="20"/>
          <w:szCs w:val="16"/>
        </w:rPr>
        <w:t>Requested restriction</w:t>
      </w:r>
    </w:p>
    <w:tbl>
      <w:tblPr>
        <w:tblW w:w="4977" w:type="pct"/>
        <w:tblInd w:w="28" w:type="dxa"/>
        <w:tblCellMar>
          <w:left w:w="28" w:type="dxa"/>
          <w:right w:w="28" w:type="dxa"/>
        </w:tblCellMar>
        <w:tblLook w:val="0000" w:firstRow="0" w:lastRow="0" w:firstColumn="0" w:lastColumn="0" w:noHBand="0" w:noVBand="0"/>
      </w:tblPr>
      <w:tblGrid>
        <w:gridCol w:w="3338"/>
        <w:gridCol w:w="532"/>
        <w:gridCol w:w="532"/>
        <w:gridCol w:w="823"/>
        <w:gridCol w:w="1497"/>
        <w:gridCol w:w="841"/>
        <w:gridCol w:w="1472"/>
        <w:gridCol w:w="5"/>
      </w:tblGrid>
      <w:tr w:rsidR="00EA3F71" w:rsidRPr="00EA3F71" w:rsidTr="00714C7B">
        <w:trPr>
          <w:gridAfter w:val="1"/>
          <w:cantSplit/>
          <w:trHeight w:val="463"/>
        </w:trPr>
        <w:tc>
          <w:tcPr>
            <w:tcW w:w="1848" w:type="pct"/>
            <w:tcBorders>
              <w:top w:val="single" w:sz="4" w:space="0" w:color="auto"/>
              <w:bottom w:val="single" w:sz="4" w:space="0" w:color="auto"/>
            </w:tcBorders>
            <w:vAlign w:val="center"/>
          </w:tcPr>
          <w:p w:rsidR="00EA3F71" w:rsidRPr="00EA3F71" w:rsidRDefault="00EA3F71" w:rsidP="00EA3F71">
            <w:pPr>
              <w:keepNext/>
              <w:rPr>
                <w:rFonts w:ascii="Arial Narrow" w:hAnsi="Arial Narrow"/>
                <w:b/>
                <w:sz w:val="20"/>
              </w:rPr>
            </w:pPr>
            <w:r w:rsidRPr="00EA3F71">
              <w:rPr>
                <w:rFonts w:ascii="Arial Narrow" w:hAnsi="Arial Narrow"/>
                <w:b/>
                <w:sz w:val="20"/>
              </w:rPr>
              <w:t>Name, Restriction,</w:t>
            </w:r>
          </w:p>
          <w:p w:rsidR="00EA3F71" w:rsidRPr="00EA3F71" w:rsidRDefault="00EA3F71" w:rsidP="00EA3F71">
            <w:pPr>
              <w:keepNext/>
              <w:rPr>
                <w:rFonts w:ascii="Arial Narrow" w:hAnsi="Arial Narrow"/>
                <w:b/>
                <w:sz w:val="20"/>
              </w:rPr>
            </w:pPr>
            <w:r w:rsidRPr="00EA3F71">
              <w:rPr>
                <w:rFonts w:ascii="Arial Narrow" w:hAnsi="Arial Narrow"/>
                <w:b/>
                <w:sz w:val="20"/>
              </w:rPr>
              <w:t>Manner of administration and form</w:t>
            </w:r>
          </w:p>
        </w:tc>
        <w:tc>
          <w:tcPr>
            <w:tcW w:w="590" w:type="pct"/>
            <w:gridSpan w:val="2"/>
            <w:tcBorders>
              <w:top w:val="single" w:sz="4" w:space="0" w:color="auto"/>
              <w:bottom w:val="single" w:sz="4" w:space="0" w:color="auto"/>
            </w:tcBorders>
            <w:vAlign w:val="center"/>
          </w:tcPr>
          <w:p w:rsidR="00EA3F71" w:rsidRPr="00EA3F71" w:rsidRDefault="00EA3F71" w:rsidP="00EA3F71">
            <w:pPr>
              <w:keepNext/>
              <w:jc w:val="center"/>
              <w:rPr>
                <w:rFonts w:ascii="Arial Narrow" w:hAnsi="Arial Narrow"/>
                <w:b/>
                <w:sz w:val="20"/>
              </w:rPr>
            </w:pPr>
            <w:r w:rsidRPr="00EA3F71">
              <w:rPr>
                <w:rFonts w:ascii="Arial Narrow" w:hAnsi="Arial Narrow"/>
                <w:b/>
                <w:sz w:val="20"/>
              </w:rPr>
              <w:t>Max.</w:t>
            </w:r>
          </w:p>
          <w:p w:rsidR="00EA3F71" w:rsidRPr="00EA3F71" w:rsidRDefault="00EA3F71" w:rsidP="00EA3F71">
            <w:pPr>
              <w:keepNext/>
              <w:jc w:val="center"/>
              <w:rPr>
                <w:rFonts w:ascii="Arial Narrow" w:hAnsi="Arial Narrow"/>
                <w:b/>
                <w:sz w:val="20"/>
              </w:rPr>
            </w:pPr>
            <w:r w:rsidRPr="00EA3F71">
              <w:rPr>
                <w:rFonts w:ascii="Arial Narrow" w:hAnsi="Arial Narrow"/>
                <w:b/>
                <w:sz w:val="20"/>
              </w:rPr>
              <w:t>Qty</w:t>
            </w:r>
          </w:p>
        </w:tc>
        <w:tc>
          <w:tcPr>
            <w:tcW w:w="455" w:type="pct"/>
            <w:tcBorders>
              <w:top w:val="single" w:sz="4" w:space="0" w:color="auto"/>
              <w:bottom w:val="single" w:sz="4" w:space="0" w:color="auto"/>
            </w:tcBorders>
            <w:vAlign w:val="center"/>
          </w:tcPr>
          <w:p w:rsidR="00EA3F71" w:rsidRPr="00EA3F71" w:rsidRDefault="00EA3F71" w:rsidP="00EA3F71">
            <w:pPr>
              <w:keepNext/>
              <w:jc w:val="center"/>
              <w:rPr>
                <w:rFonts w:ascii="Arial Narrow" w:hAnsi="Arial Narrow"/>
                <w:b/>
                <w:sz w:val="20"/>
              </w:rPr>
            </w:pPr>
            <w:r w:rsidRPr="00EA3F71">
              <w:rPr>
                <w:rFonts w:ascii="Arial Narrow" w:hAnsi="Arial Narrow"/>
                <w:b/>
                <w:sz w:val="20"/>
              </w:rPr>
              <w:t>№.of</w:t>
            </w:r>
          </w:p>
          <w:p w:rsidR="00EA3F71" w:rsidRPr="00EA3F71" w:rsidRDefault="00EA3F71" w:rsidP="00EA3F71">
            <w:pPr>
              <w:keepNext/>
              <w:jc w:val="center"/>
              <w:rPr>
                <w:rFonts w:ascii="Arial Narrow" w:hAnsi="Arial Narrow"/>
                <w:b/>
                <w:sz w:val="20"/>
              </w:rPr>
            </w:pPr>
            <w:r w:rsidRPr="00EA3F71">
              <w:rPr>
                <w:rFonts w:ascii="Arial Narrow" w:hAnsi="Arial Narrow"/>
                <w:b/>
                <w:sz w:val="20"/>
              </w:rPr>
              <w:t>Rpts</w:t>
            </w:r>
          </w:p>
        </w:tc>
        <w:tc>
          <w:tcPr>
            <w:tcW w:w="828" w:type="pct"/>
            <w:tcBorders>
              <w:top w:val="single" w:sz="4" w:space="0" w:color="auto"/>
              <w:bottom w:val="single" w:sz="4" w:space="0" w:color="auto"/>
            </w:tcBorders>
            <w:vAlign w:val="center"/>
          </w:tcPr>
          <w:p w:rsidR="00EA3F71" w:rsidRPr="00EA3F71" w:rsidRDefault="00EA3F71" w:rsidP="00EA3F71">
            <w:pPr>
              <w:keepNext/>
              <w:jc w:val="center"/>
              <w:rPr>
                <w:rFonts w:ascii="Arial Narrow" w:hAnsi="Arial Narrow"/>
                <w:b/>
                <w:sz w:val="20"/>
              </w:rPr>
            </w:pPr>
            <w:r w:rsidRPr="00EA3F71">
              <w:rPr>
                <w:rFonts w:ascii="Arial Narrow" w:hAnsi="Arial Narrow"/>
                <w:b/>
                <w:sz w:val="20"/>
              </w:rPr>
              <w:t xml:space="preserve">Dispensed Price for Max. Qty </w:t>
            </w:r>
          </w:p>
        </w:tc>
        <w:tc>
          <w:tcPr>
            <w:tcW w:w="1280" w:type="pct"/>
            <w:gridSpan w:val="2"/>
            <w:tcBorders>
              <w:top w:val="single" w:sz="4" w:space="0" w:color="auto"/>
              <w:bottom w:val="single" w:sz="4" w:space="0" w:color="auto"/>
            </w:tcBorders>
            <w:vAlign w:val="center"/>
          </w:tcPr>
          <w:p w:rsidR="00EA3F71" w:rsidRPr="00EA3F71" w:rsidRDefault="00EA3F71" w:rsidP="00EA3F71">
            <w:pPr>
              <w:keepNext/>
              <w:jc w:val="center"/>
              <w:rPr>
                <w:rFonts w:ascii="Arial Narrow" w:hAnsi="Arial Narrow"/>
                <w:b/>
                <w:sz w:val="20"/>
                <w:lang w:val="fr-FR"/>
              </w:rPr>
            </w:pPr>
            <w:r w:rsidRPr="00EA3F71">
              <w:rPr>
                <w:rFonts w:ascii="Arial Narrow" w:hAnsi="Arial Narrow"/>
                <w:b/>
                <w:sz w:val="20"/>
              </w:rPr>
              <w:t>Proprietary Name and Manufacturer</w:t>
            </w:r>
          </w:p>
        </w:tc>
      </w:tr>
      <w:tr w:rsidR="00EA3F71" w:rsidRPr="00EA3F71" w:rsidTr="00714C7B">
        <w:trPr>
          <w:gridAfter w:val="1"/>
          <w:cantSplit/>
          <w:trHeight w:val="567"/>
        </w:trPr>
        <w:tc>
          <w:tcPr>
            <w:tcW w:w="1848" w:type="pct"/>
            <w:vAlign w:val="center"/>
          </w:tcPr>
          <w:p w:rsidR="00EA3F71" w:rsidRPr="00EA3F71" w:rsidRDefault="00EA3F71" w:rsidP="00EA3F71">
            <w:pPr>
              <w:keepNext/>
              <w:rPr>
                <w:rFonts w:ascii="Arial Narrow" w:hAnsi="Arial Narrow"/>
                <w:sz w:val="20"/>
                <w:lang w:val="nn-NO"/>
              </w:rPr>
            </w:pPr>
            <w:r w:rsidRPr="00EA3F71">
              <w:rPr>
                <w:rFonts w:ascii="Arial Narrow" w:hAnsi="Arial Narrow"/>
                <w:sz w:val="20"/>
                <w:lang w:val="nn-NO"/>
              </w:rPr>
              <w:t xml:space="preserve">lumacaftor 200 mg/ ivacaftor 125 mg </w:t>
            </w:r>
          </w:p>
          <w:p w:rsidR="00EA3F71" w:rsidRPr="00EA3F71" w:rsidRDefault="00EA3F71" w:rsidP="00EA3F71">
            <w:pPr>
              <w:keepNext/>
              <w:rPr>
                <w:rFonts w:ascii="Arial Narrow" w:hAnsi="Arial Narrow"/>
                <w:sz w:val="20"/>
                <w:lang w:val="nn-NO"/>
              </w:rPr>
            </w:pPr>
            <w:r w:rsidRPr="00EA3F71">
              <w:rPr>
                <w:rFonts w:ascii="Arial Narrow" w:hAnsi="Arial Narrow"/>
                <w:sz w:val="20"/>
                <w:lang w:val="nn-NO"/>
              </w:rPr>
              <w:t>tablets</w:t>
            </w:r>
          </w:p>
        </w:tc>
        <w:tc>
          <w:tcPr>
            <w:tcW w:w="590" w:type="pct"/>
            <w:gridSpan w:val="2"/>
            <w:vAlign w:val="center"/>
          </w:tcPr>
          <w:p w:rsidR="00EA3F71" w:rsidRPr="00EA3F71" w:rsidRDefault="00EA3F71" w:rsidP="00EA3F71">
            <w:pPr>
              <w:keepNext/>
              <w:rPr>
                <w:rFonts w:ascii="Arial Narrow" w:hAnsi="Arial Narrow"/>
                <w:sz w:val="20"/>
              </w:rPr>
            </w:pPr>
            <w:r w:rsidRPr="00EA3F71">
              <w:rPr>
                <w:rFonts w:ascii="Arial Narrow" w:hAnsi="Arial Narrow"/>
                <w:sz w:val="20"/>
              </w:rPr>
              <w:t>Pack containing 112 tablets</w:t>
            </w:r>
          </w:p>
        </w:tc>
        <w:tc>
          <w:tcPr>
            <w:tcW w:w="455" w:type="pct"/>
            <w:vAlign w:val="center"/>
          </w:tcPr>
          <w:p w:rsidR="00EA3F71" w:rsidRPr="00EA3F71" w:rsidRDefault="00EA3F71" w:rsidP="00EA3F71">
            <w:pPr>
              <w:keepNext/>
              <w:jc w:val="center"/>
              <w:rPr>
                <w:rFonts w:ascii="Arial Narrow" w:hAnsi="Arial Narrow"/>
                <w:sz w:val="20"/>
              </w:rPr>
            </w:pPr>
          </w:p>
          <w:p w:rsidR="00EA3F71" w:rsidRPr="00EA3F71" w:rsidRDefault="00EA3F71" w:rsidP="00EA3F71">
            <w:pPr>
              <w:keepNext/>
              <w:jc w:val="center"/>
              <w:rPr>
                <w:rFonts w:ascii="Arial Narrow" w:hAnsi="Arial Narrow"/>
                <w:sz w:val="20"/>
              </w:rPr>
            </w:pPr>
            <w:r w:rsidRPr="00EA3F71">
              <w:rPr>
                <w:rFonts w:ascii="Arial Narrow" w:hAnsi="Arial Narrow"/>
                <w:sz w:val="20"/>
              </w:rPr>
              <w:t>5</w:t>
            </w:r>
          </w:p>
        </w:tc>
        <w:tc>
          <w:tcPr>
            <w:tcW w:w="828" w:type="pct"/>
            <w:vAlign w:val="center"/>
          </w:tcPr>
          <w:p w:rsidR="00EA3F71" w:rsidRPr="00EA3F71" w:rsidRDefault="00EA3F71" w:rsidP="00EA3F71">
            <w:pPr>
              <w:keepNext/>
              <w:jc w:val="center"/>
              <w:rPr>
                <w:rFonts w:ascii="Arial Narrow" w:hAnsi="Arial Narrow"/>
                <w:sz w:val="20"/>
              </w:rPr>
            </w:pPr>
          </w:p>
          <w:p w:rsidR="00EA3F71" w:rsidRPr="00EA3F71" w:rsidRDefault="00EA3F71" w:rsidP="00EA3F71">
            <w:pPr>
              <w:keepNext/>
              <w:jc w:val="center"/>
              <w:rPr>
                <w:rFonts w:ascii="Arial Narrow" w:hAnsi="Arial Narrow"/>
                <w:sz w:val="20"/>
              </w:rPr>
            </w:pPr>
            <w:r w:rsidRPr="00EA3F71">
              <w:rPr>
                <w:rFonts w:ascii="Arial Narrow" w:hAnsi="Arial Narrow"/>
                <w:sz w:val="20"/>
              </w:rPr>
              <w:t>$18,750</w:t>
            </w:r>
          </w:p>
          <w:p w:rsidR="00EA3F71" w:rsidRPr="00EA3F71" w:rsidRDefault="00EA3F71" w:rsidP="00EA3F71">
            <w:pPr>
              <w:keepNext/>
              <w:jc w:val="center"/>
              <w:rPr>
                <w:rFonts w:ascii="Arial Narrow" w:hAnsi="Arial Narrow"/>
                <w:sz w:val="20"/>
              </w:rPr>
            </w:pPr>
            <w:r w:rsidRPr="00EA3F71">
              <w:rPr>
                <w:rFonts w:ascii="Arial Narrow" w:hAnsi="Arial Narrow"/>
                <w:sz w:val="20"/>
              </w:rPr>
              <w:t>(published)</w:t>
            </w:r>
          </w:p>
        </w:tc>
        <w:tc>
          <w:tcPr>
            <w:tcW w:w="465" w:type="pct"/>
            <w:vAlign w:val="center"/>
          </w:tcPr>
          <w:p w:rsidR="00EA3F71" w:rsidRPr="00EA3F71" w:rsidRDefault="00EA3F71" w:rsidP="00EA3F71">
            <w:pPr>
              <w:keepNext/>
              <w:jc w:val="center"/>
              <w:rPr>
                <w:rFonts w:ascii="Arial Narrow" w:hAnsi="Arial Narrow"/>
                <w:sz w:val="20"/>
              </w:rPr>
            </w:pPr>
            <w:proofErr w:type="spellStart"/>
            <w:r w:rsidRPr="00EA3F71">
              <w:rPr>
                <w:rFonts w:ascii="Arial Narrow" w:hAnsi="Arial Narrow"/>
                <w:sz w:val="20"/>
              </w:rPr>
              <w:t>Orkambi</w:t>
            </w:r>
            <w:proofErr w:type="spellEnd"/>
            <w:r w:rsidRPr="00EA3F71">
              <w:rPr>
                <w:rFonts w:ascii="Arial Narrow" w:hAnsi="Arial Narrow"/>
                <w:sz w:val="20"/>
              </w:rPr>
              <w:t>™</w:t>
            </w:r>
          </w:p>
        </w:tc>
        <w:tc>
          <w:tcPr>
            <w:tcW w:w="815" w:type="pct"/>
            <w:vAlign w:val="center"/>
          </w:tcPr>
          <w:p w:rsidR="00EA3F71" w:rsidRPr="00EA3F71" w:rsidRDefault="00EA3F71" w:rsidP="00EA3F71">
            <w:pPr>
              <w:keepNext/>
              <w:jc w:val="center"/>
              <w:rPr>
                <w:rFonts w:ascii="Arial Narrow" w:hAnsi="Arial Narrow"/>
                <w:sz w:val="20"/>
              </w:rPr>
            </w:pPr>
            <w:r w:rsidRPr="00EA3F71">
              <w:rPr>
                <w:rFonts w:ascii="Arial Narrow" w:hAnsi="Arial Narrow"/>
                <w:sz w:val="20"/>
              </w:rPr>
              <w:t>Vertex Pharmaceuticals (Australia) Pty Ltd</w:t>
            </w:r>
          </w:p>
          <w:p w:rsidR="00EA3F71" w:rsidRPr="00EA3F71" w:rsidRDefault="00EA3F71" w:rsidP="00EA3F71">
            <w:pPr>
              <w:keepNext/>
              <w:rPr>
                <w:rFonts w:ascii="Arial Narrow" w:hAnsi="Arial Narrow"/>
                <w:sz w:val="20"/>
              </w:rPr>
            </w:pP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Condition:</w:t>
            </w: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 xml:space="preserve">Cystic Fibrosis (CF) </w:t>
            </w: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PBS Indication:</w:t>
            </w: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 xml:space="preserve">Treatment of cystic fibrosis in patients aged ≥ 12 years who are homozygous for the </w:t>
            </w:r>
            <w:r w:rsidRPr="00EA3F71">
              <w:rPr>
                <w:rFonts w:ascii="Arial Narrow" w:hAnsi="Arial Narrow"/>
                <w:i/>
                <w:sz w:val="20"/>
              </w:rPr>
              <w:t xml:space="preserve">F508del </w:t>
            </w:r>
            <w:r w:rsidRPr="00EA3F71">
              <w:rPr>
                <w:rFonts w:ascii="Arial Narrow" w:hAnsi="Arial Narrow"/>
                <w:sz w:val="20"/>
              </w:rPr>
              <w:t xml:space="preserve">mutation in the CFTR gene. </w:t>
            </w:r>
          </w:p>
        </w:tc>
      </w:tr>
      <w:tr w:rsidR="00ED4A83" w:rsidRPr="00EA3F71" w:rsidTr="00714C7B">
        <w:tblPrEx>
          <w:tblCellMar>
            <w:left w:w="108" w:type="dxa"/>
            <w:right w:w="108" w:type="dxa"/>
          </w:tblCellMar>
        </w:tblPrEx>
        <w:trPr>
          <w:cantSplit/>
          <w:trHeight w:val="528"/>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Treatment phase:</w:t>
            </w: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N/A</w:t>
            </w: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Restriction:</w:t>
            </w:r>
          </w:p>
          <w:p w:rsidR="00ED4A83" w:rsidRPr="00EA3F71" w:rsidRDefault="00ED4A83" w:rsidP="00EA3F71">
            <w:pPr>
              <w:rPr>
                <w:rFonts w:ascii="Arial Narrow" w:hAnsi="Arial Narrow"/>
                <w:b/>
                <w:sz w:val="20"/>
              </w:rPr>
            </w:pPr>
            <w:r w:rsidRPr="00EA3F71">
              <w:rPr>
                <w:rFonts w:ascii="Arial Narrow" w:hAnsi="Arial Narrow"/>
                <w:sz w:val="20"/>
              </w:rPr>
              <w:t xml:space="preserve">Section 100 (HSD) </w:t>
            </w:r>
          </w:p>
          <w:p w:rsidR="00ED4A83" w:rsidRPr="00EA3F71" w:rsidRDefault="00ED4A83" w:rsidP="00EA3F71">
            <w:pPr>
              <w:rPr>
                <w:rFonts w:ascii="Arial Narrow" w:hAnsi="Arial Narrow"/>
                <w:i/>
                <w:sz w:val="20"/>
              </w:rPr>
            </w:pP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fldChar w:fldCharType="begin">
                <w:ffData>
                  <w:name w:val="Check1"/>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Restricted benefit</w:t>
            </w:r>
          </w:p>
          <w:p w:rsidR="00ED4A83" w:rsidRPr="00EA3F71" w:rsidRDefault="00ED4A83" w:rsidP="00EA3F71">
            <w:pPr>
              <w:rPr>
                <w:rFonts w:ascii="Arial Narrow" w:hAnsi="Arial Narrow"/>
                <w:sz w:val="20"/>
              </w:rPr>
            </w:pPr>
            <w:r w:rsidRPr="00EA3F71">
              <w:rPr>
                <w:rFonts w:ascii="Arial Narrow" w:hAnsi="Arial Narrow"/>
                <w:sz w:val="20"/>
              </w:rPr>
              <w:fldChar w:fldCharType="begin">
                <w:ffData>
                  <w:name w:val=""/>
                  <w:enabled/>
                  <w:calcOnExit w:val="0"/>
                  <w:checkBox>
                    <w:sizeAuto/>
                    <w:default w:val="1"/>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In Writing</w:t>
            </w:r>
          </w:p>
          <w:p w:rsidR="00ED4A83" w:rsidRPr="00EA3F71" w:rsidRDefault="00ED4A83" w:rsidP="00EA3F71">
            <w:pPr>
              <w:rPr>
                <w:rFonts w:ascii="Arial Narrow" w:hAnsi="Arial Narrow"/>
                <w:sz w:val="20"/>
              </w:rPr>
            </w:pPr>
            <w:r w:rsidRPr="00EA3F71">
              <w:rPr>
                <w:rFonts w:ascii="Arial Narrow" w:hAnsi="Arial Narrow"/>
                <w:sz w:val="20"/>
              </w:rPr>
              <w:fldChar w:fldCharType="begin">
                <w:ffData>
                  <w:name w:val="Check3"/>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Telephone</w:t>
            </w:r>
          </w:p>
          <w:p w:rsidR="00ED4A83" w:rsidRPr="00EA3F71" w:rsidRDefault="00ED4A83" w:rsidP="00EA3F71">
            <w:pPr>
              <w:rPr>
                <w:rFonts w:ascii="Arial Narrow" w:hAnsi="Arial Narrow"/>
                <w:sz w:val="20"/>
              </w:rPr>
            </w:pPr>
            <w:r w:rsidRPr="00EA3F71">
              <w:rPr>
                <w:rFonts w:ascii="Arial Narrow" w:hAnsi="Arial Narrow"/>
                <w:sz w:val="20"/>
              </w:rPr>
              <w:fldChar w:fldCharType="begin">
                <w:ffData>
                  <w:name w:val=""/>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Emergency</w:t>
            </w:r>
          </w:p>
          <w:p w:rsidR="00ED4A83" w:rsidRPr="00EA3F71" w:rsidRDefault="00ED4A83" w:rsidP="00EA3F71">
            <w:pPr>
              <w:rPr>
                <w:rFonts w:ascii="Arial Narrow" w:hAnsi="Arial Narrow"/>
                <w:sz w:val="20"/>
              </w:rPr>
            </w:pPr>
            <w:r w:rsidRPr="00EA3F71">
              <w:rPr>
                <w:rFonts w:ascii="Arial Narrow" w:hAnsi="Arial Narrow"/>
                <w:sz w:val="20"/>
              </w:rPr>
              <w:fldChar w:fldCharType="begin">
                <w:ffData>
                  <w:name w:val="Check5"/>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Electronic</w:t>
            </w:r>
          </w:p>
          <w:p w:rsidR="00ED4A83" w:rsidRPr="00EA3F71" w:rsidRDefault="00ED4A83" w:rsidP="00EA3F71">
            <w:pPr>
              <w:rPr>
                <w:rFonts w:ascii="Arial Narrow" w:hAnsi="Arial Narrow"/>
                <w:sz w:val="20"/>
              </w:rPr>
            </w:pPr>
            <w:r w:rsidRPr="00EA3F71">
              <w:rPr>
                <w:rFonts w:ascii="Arial Narrow" w:hAnsi="Arial Narrow"/>
                <w:sz w:val="20"/>
              </w:rPr>
              <w:fldChar w:fldCharType="begin">
                <w:ffData>
                  <w:name w:val="Check5"/>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Streamlined</w:t>
            </w: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Treatment criteria:</w:t>
            </w:r>
          </w:p>
          <w:p w:rsidR="00ED4A83" w:rsidRPr="00EA3F71" w:rsidRDefault="00ED4A83" w:rsidP="00EA3F71">
            <w:pPr>
              <w:rPr>
                <w:rFonts w:ascii="Arial Narrow" w:hAnsi="Arial Narrow"/>
                <w:i/>
                <w:sz w:val="20"/>
              </w:rPr>
            </w:pP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Patients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p w:rsidR="00ED4A83" w:rsidRPr="00EA3F71" w:rsidRDefault="00ED4A83" w:rsidP="00EA3F71">
            <w:pPr>
              <w:rPr>
                <w:rFonts w:ascii="Arial Narrow" w:hAnsi="Arial Narrow"/>
                <w:sz w:val="20"/>
              </w:rPr>
            </w:pPr>
            <w:r w:rsidRPr="00EA3F71">
              <w:rPr>
                <w:rFonts w:ascii="Arial Narrow" w:hAnsi="Arial Narrow"/>
                <w:sz w:val="20"/>
              </w:rPr>
              <w:t>AND</w:t>
            </w:r>
          </w:p>
          <w:p w:rsidR="00ED4A83" w:rsidRPr="00EA3F71" w:rsidRDefault="00ED4A83" w:rsidP="00EA3F71">
            <w:pPr>
              <w:rPr>
                <w:rFonts w:ascii="Arial Narrow" w:hAnsi="Arial Narrow"/>
                <w:sz w:val="20"/>
              </w:rPr>
            </w:pPr>
            <w:r w:rsidRPr="00EA3F71">
              <w:rPr>
                <w:rFonts w:ascii="Arial Narrow" w:hAnsi="Arial Narrow"/>
                <w:sz w:val="20"/>
              </w:rPr>
              <w:t>Patient must be homozygous for the F508del mutation in the CFTR gene</w:t>
            </w:r>
          </w:p>
          <w:p w:rsidR="00ED4A83" w:rsidRPr="00EA3F71" w:rsidRDefault="00ED4A83" w:rsidP="00EA3F71">
            <w:pPr>
              <w:rPr>
                <w:rFonts w:ascii="Arial Narrow" w:hAnsi="Arial Narrow"/>
                <w:sz w:val="20"/>
              </w:rPr>
            </w:pPr>
            <w:r w:rsidRPr="00EA3F71">
              <w:rPr>
                <w:rFonts w:ascii="Arial Narrow" w:hAnsi="Arial Narrow"/>
                <w:sz w:val="20"/>
              </w:rPr>
              <w:t>AND</w:t>
            </w:r>
          </w:p>
          <w:p w:rsidR="00ED4A83" w:rsidRPr="00EA3F71" w:rsidRDefault="00ED4A83" w:rsidP="00EA3F71">
            <w:pPr>
              <w:rPr>
                <w:rFonts w:ascii="Arial Narrow" w:hAnsi="Arial Narrow"/>
                <w:sz w:val="20"/>
              </w:rPr>
            </w:pPr>
            <w:r w:rsidRPr="00EA3F71">
              <w:rPr>
                <w:rFonts w:ascii="Arial Narrow" w:hAnsi="Arial Narrow"/>
                <w:sz w:val="20"/>
              </w:rPr>
              <w:t>The treatment must be given concomitantly with standard therapy for this condition</w:t>
            </w: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Clinical criteria:</w:t>
            </w:r>
          </w:p>
          <w:p w:rsidR="00ED4A83" w:rsidRPr="00EA3F71" w:rsidRDefault="00ED4A83" w:rsidP="00EA3F71">
            <w:pPr>
              <w:rPr>
                <w:rFonts w:ascii="Arial Narrow" w:hAnsi="Arial Narrow"/>
                <w:i/>
                <w:sz w:val="20"/>
              </w:rPr>
            </w:pP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 xml:space="preserve">Treatment of cystic fibrosis in patients aged </w:t>
            </w:r>
            <w:proofErr w:type="gramStart"/>
            <w:r w:rsidRPr="00EA3F71">
              <w:rPr>
                <w:rFonts w:ascii="Arial Narrow" w:hAnsi="Arial Narrow"/>
                <w:sz w:val="20"/>
              </w:rPr>
              <w:t>years</w:t>
            </w:r>
            <w:proofErr w:type="gramEnd"/>
            <w:r w:rsidRPr="00EA3F71">
              <w:rPr>
                <w:rFonts w:ascii="Arial Narrow" w:hAnsi="Arial Narrow"/>
                <w:sz w:val="20"/>
              </w:rPr>
              <w:t xml:space="preserve"> ≥ 12 years who are homozygous for the F508del mutation in the CFTR gene.  </w:t>
            </w: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i/>
                <w:sz w:val="20"/>
              </w:rPr>
            </w:pPr>
            <w:r w:rsidRPr="00EA3F71">
              <w:rPr>
                <w:rFonts w:ascii="Arial Narrow" w:hAnsi="Arial Narrow"/>
                <w:b/>
                <w:sz w:val="20"/>
              </w:rPr>
              <w:t>Population criteria:</w:t>
            </w: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Patients must be aged ≥ 12 years.</w:t>
            </w: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Foreword:</w:t>
            </w: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N/A</w:t>
            </w: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Definitions:</w:t>
            </w: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N/A</w:t>
            </w: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Prescriber Instructions:</w:t>
            </w: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The authority application must be in writing and must include:</w:t>
            </w:r>
          </w:p>
          <w:p w:rsidR="00ED4A83" w:rsidRPr="00EA3F71" w:rsidRDefault="00ED4A83" w:rsidP="00EA3F71">
            <w:pPr>
              <w:rPr>
                <w:rFonts w:ascii="Arial Narrow" w:hAnsi="Arial Narrow"/>
                <w:sz w:val="20"/>
              </w:rPr>
            </w:pPr>
            <w:r w:rsidRPr="00EA3F71">
              <w:rPr>
                <w:rFonts w:ascii="Arial Narrow" w:hAnsi="Arial Narrow"/>
                <w:sz w:val="20"/>
              </w:rPr>
              <w:t>(1) a completed authority prescription form; and</w:t>
            </w:r>
          </w:p>
          <w:p w:rsidR="00ED4A83" w:rsidRPr="00EA3F71" w:rsidRDefault="00ED4A83" w:rsidP="00EA3F71">
            <w:pPr>
              <w:rPr>
                <w:rFonts w:ascii="Arial Narrow" w:hAnsi="Arial Narrow"/>
                <w:sz w:val="20"/>
              </w:rPr>
            </w:pPr>
            <w:r w:rsidRPr="00EA3F71">
              <w:rPr>
                <w:rFonts w:ascii="Arial Narrow" w:hAnsi="Arial Narrow"/>
                <w:sz w:val="20"/>
              </w:rPr>
              <w:t xml:space="preserve">(2) a completed Cystic Fibrosis </w:t>
            </w:r>
            <w:proofErr w:type="spellStart"/>
            <w:r w:rsidRPr="00EA3F71">
              <w:rPr>
                <w:rFonts w:ascii="Arial Narrow" w:hAnsi="Arial Narrow"/>
                <w:sz w:val="20"/>
              </w:rPr>
              <w:t>Lumacaftor</w:t>
            </w:r>
            <w:proofErr w:type="spellEnd"/>
            <w:r w:rsidRPr="00EA3F71">
              <w:rPr>
                <w:rFonts w:ascii="Arial Narrow" w:hAnsi="Arial Narrow"/>
                <w:sz w:val="20"/>
              </w:rPr>
              <w:t xml:space="preserve"> with </w:t>
            </w:r>
            <w:proofErr w:type="spellStart"/>
            <w:r w:rsidRPr="00EA3F71">
              <w:rPr>
                <w:rFonts w:ascii="Arial Narrow" w:hAnsi="Arial Narrow"/>
                <w:sz w:val="20"/>
              </w:rPr>
              <w:t>Ivacaftor</w:t>
            </w:r>
            <w:proofErr w:type="spellEnd"/>
            <w:r w:rsidRPr="00EA3F71">
              <w:rPr>
                <w:rFonts w:ascii="Arial Narrow" w:hAnsi="Arial Narrow"/>
                <w:sz w:val="20"/>
              </w:rPr>
              <w:t xml:space="preserve"> Authority Application Supporting Information Form; and</w:t>
            </w:r>
          </w:p>
          <w:p w:rsidR="00ED4A83" w:rsidRPr="00EA3F71" w:rsidRDefault="00ED4A83" w:rsidP="00EA3F71">
            <w:pPr>
              <w:rPr>
                <w:rFonts w:ascii="Arial Narrow" w:hAnsi="Arial Narrow"/>
                <w:sz w:val="20"/>
              </w:rPr>
            </w:pPr>
            <w:r w:rsidRPr="00EA3F71">
              <w:rPr>
                <w:rFonts w:ascii="Arial Narrow" w:hAnsi="Arial Narrow"/>
                <w:sz w:val="20"/>
              </w:rPr>
              <w:t>(3) a signed patient acknowledgement; or an acknowledgement signed by a parent or authorized guardian; if applicable; and</w:t>
            </w:r>
          </w:p>
          <w:p w:rsidR="00ED4A83" w:rsidRPr="00EA3F71" w:rsidRDefault="00ED4A83" w:rsidP="00EA3F71">
            <w:pPr>
              <w:rPr>
                <w:rFonts w:ascii="Arial Narrow" w:hAnsi="Arial Narrow"/>
                <w:sz w:val="20"/>
              </w:rPr>
            </w:pPr>
            <w:r w:rsidRPr="00EA3F71">
              <w:rPr>
                <w:rFonts w:ascii="Arial Narrow" w:hAnsi="Arial Narrow"/>
                <w:sz w:val="20"/>
              </w:rPr>
              <w:t xml:space="preserve">(4) </w:t>
            </w:r>
            <w:proofErr w:type="gramStart"/>
            <w:r w:rsidRPr="00EA3F71">
              <w:rPr>
                <w:rFonts w:ascii="Arial Narrow" w:hAnsi="Arial Narrow"/>
                <w:sz w:val="20"/>
              </w:rPr>
              <w:t>a</w:t>
            </w:r>
            <w:proofErr w:type="gramEnd"/>
            <w:r w:rsidRPr="00EA3F71">
              <w:rPr>
                <w:rFonts w:ascii="Arial Narrow" w:hAnsi="Arial Narrow"/>
                <w:sz w:val="20"/>
              </w:rPr>
              <w:t xml:space="preserve"> copy of the pathology report detailing the molecular testing for the patient being homozygous for the </w:t>
            </w:r>
            <w:r w:rsidRPr="00EA3F71">
              <w:rPr>
                <w:rFonts w:ascii="Arial Narrow" w:hAnsi="Arial Narrow"/>
                <w:i/>
                <w:sz w:val="20"/>
              </w:rPr>
              <w:t xml:space="preserve">F508del </w:t>
            </w:r>
            <w:r w:rsidRPr="00EA3F71">
              <w:rPr>
                <w:rFonts w:ascii="Arial Narrow" w:hAnsi="Arial Narrow"/>
                <w:sz w:val="20"/>
              </w:rPr>
              <w:t>mutation on the CFTR gene.</w:t>
            </w: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Administrative Advice:</w:t>
            </w: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N/A</w:t>
            </w:r>
          </w:p>
        </w:tc>
      </w:tr>
      <w:tr w:rsidR="00ED4A83" w:rsidRPr="00EA3F71" w:rsidTr="00714C7B">
        <w:tblPrEx>
          <w:tblCellMar>
            <w:left w:w="108" w:type="dxa"/>
            <w:right w:w="108" w:type="dxa"/>
          </w:tblCellMar>
        </w:tblPrEx>
        <w:trPr>
          <w:cantSplit/>
        </w:trPr>
        <w:tc>
          <w:tcPr>
            <w:tcW w:w="3402" w:type="dxa"/>
            <w:gridSpan w:val="2"/>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b/>
                <w:sz w:val="20"/>
              </w:rPr>
            </w:pPr>
            <w:r w:rsidRPr="00EA3F71">
              <w:rPr>
                <w:rFonts w:ascii="Arial Narrow" w:hAnsi="Arial Narrow"/>
                <w:b/>
                <w:sz w:val="20"/>
              </w:rPr>
              <w:t>Cautions:</w:t>
            </w:r>
          </w:p>
        </w:tc>
        <w:tc>
          <w:tcPr>
            <w:tcW w:w="5670" w:type="dxa"/>
            <w:gridSpan w:val="6"/>
            <w:tcBorders>
              <w:top w:val="single" w:sz="4" w:space="0" w:color="auto"/>
              <w:left w:val="single" w:sz="4" w:space="0" w:color="auto"/>
              <w:bottom w:val="single" w:sz="4" w:space="0" w:color="auto"/>
              <w:right w:val="single" w:sz="4" w:space="0" w:color="auto"/>
            </w:tcBorders>
          </w:tcPr>
          <w:p w:rsidR="00ED4A83" w:rsidRPr="00EA3F71" w:rsidRDefault="00ED4A83" w:rsidP="00EA3F71">
            <w:pPr>
              <w:rPr>
                <w:rFonts w:ascii="Arial Narrow" w:hAnsi="Arial Narrow"/>
                <w:sz w:val="20"/>
              </w:rPr>
            </w:pPr>
            <w:r w:rsidRPr="00EA3F71">
              <w:rPr>
                <w:rFonts w:ascii="Arial Narrow" w:hAnsi="Arial Narrow"/>
                <w:sz w:val="20"/>
              </w:rPr>
              <w:t>N/A</w:t>
            </w:r>
          </w:p>
        </w:tc>
      </w:tr>
    </w:tbl>
    <w:p w:rsidR="00EA3F71" w:rsidRPr="00EA3F71" w:rsidRDefault="00EA3F71" w:rsidP="00EA3F71">
      <w:pPr>
        <w:rPr>
          <w:rFonts w:ascii="Arial Narrow" w:hAnsi="Arial Narrow"/>
          <w:sz w:val="18"/>
        </w:rPr>
      </w:pPr>
      <w:r w:rsidRPr="00EA3F71">
        <w:rPr>
          <w:rFonts w:ascii="Arial Narrow" w:hAnsi="Arial Narrow"/>
          <w:sz w:val="18"/>
        </w:rPr>
        <w:t>Abbreviations: CF=cystic fibrosis; CFTR</w:t>
      </w:r>
      <w:r w:rsidRPr="00EA3F71">
        <w:t xml:space="preserve"> </w:t>
      </w:r>
      <w:r w:rsidRPr="00EA3F71">
        <w:rPr>
          <w:rFonts w:ascii="Arial Narrow" w:hAnsi="Arial Narrow"/>
          <w:sz w:val="18"/>
        </w:rPr>
        <w:t>cystic fibrosis transmembrane conductance regulator; HSD=highly specialised drugs</w:t>
      </w:r>
    </w:p>
    <w:p w:rsidR="00EA3F71" w:rsidRPr="00EA3F71" w:rsidRDefault="00EA3F71" w:rsidP="00EA3F71">
      <w:pPr>
        <w:rPr>
          <w:rFonts w:ascii="Arial Narrow" w:hAnsi="Arial Narrow"/>
          <w:sz w:val="18"/>
        </w:rPr>
      </w:pPr>
      <w:r w:rsidRPr="00EA3F71">
        <w:rPr>
          <w:rFonts w:ascii="Arial Narrow" w:hAnsi="Arial Narrow"/>
          <w:sz w:val="18"/>
        </w:rPr>
        <w:t>Source: Table 1.4.2, p 58 of the submission</w:t>
      </w:r>
    </w:p>
    <w:p w:rsidR="008155BB" w:rsidRDefault="008155BB" w:rsidP="006045E2">
      <w:pPr>
        <w:rPr>
          <w:rFonts w:asciiTheme="minorHAnsi" w:hAnsiTheme="minorHAnsi"/>
          <w:b/>
        </w:rPr>
      </w:pPr>
    </w:p>
    <w:p w:rsidR="006045E2" w:rsidRPr="00094D52" w:rsidRDefault="006045E2" w:rsidP="006045E2">
      <w:pPr>
        <w:rPr>
          <w:rFonts w:asciiTheme="minorHAnsi" w:hAnsiTheme="minorHAnsi"/>
          <w:b/>
        </w:rPr>
      </w:pPr>
      <w:r w:rsidRPr="00094D52">
        <w:rPr>
          <w:rFonts w:asciiTheme="minorHAnsi" w:hAnsiTheme="minorHAnsi"/>
          <w:b/>
        </w:rPr>
        <w:t>Suggested wording for the restriction</w:t>
      </w:r>
    </w:p>
    <w:p w:rsidR="00094D52" w:rsidRPr="00094D52" w:rsidRDefault="00094D52" w:rsidP="00094D52">
      <w:pPr>
        <w:pStyle w:val="ListParagraph"/>
        <w:ind w:left="0"/>
        <w:rPr>
          <w:rFonts w:asciiTheme="minorHAnsi" w:eastAsiaTheme="minorHAnsi" w:hAnsiTheme="minorHAnsi" w:cstheme="minorBidi"/>
          <w:sz w:val="24"/>
          <w:szCs w:val="24"/>
        </w:rPr>
      </w:pPr>
    </w:p>
    <w:p w:rsidR="00094D52" w:rsidRPr="0073784D" w:rsidRDefault="00094D52" w:rsidP="0073784D">
      <w:pPr>
        <w:numPr>
          <w:ilvl w:val="1"/>
          <w:numId w:val="1"/>
        </w:numPr>
        <w:spacing w:after="120"/>
        <w:jc w:val="both"/>
        <w:rPr>
          <w:rFonts w:asciiTheme="minorHAnsi" w:eastAsiaTheme="minorHAnsi" w:hAnsiTheme="minorHAnsi" w:cstheme="minorBidi"/>
          <w:szCs w:val="22"/>
        </w:rPr>
      </w:pPr>
      <w:r w:rsidRPr="0073784D">
        <w:rPr>
          <w:rFonts w:asciiTheme="minorHAnsi" w:eastAsiaTheme="minorHAnsi" w:hAnsiTheme="minorHAnsi" w:cstheme="minorBidi"/>
          <w:szCs w:val="22"/>
        </w:rPr>
        <w:t xml:space="preserve">See Section 8 for PBAC recommended </w:t>
      </w:r>
      <w:r w:rsidR="00F075FB" w:rsidRPr="0073784D">
        <w:rPr>
          <w:rFonts w:asciiTheme="minorHAnsi" w:eastAsiaTheme="minorHAnsi" w:hAnsiTheme="minorHAnsi" w:cstheme="minorBidi"/>
          <w:szCs w:val="22"/>
        </w:rPr>
        <w:t xml:space="preserve">wording </w:t>
      </w:r>
      <w:r w:rsidRPr="0073784D">
        <w:rPr>
          <w:rFonts w:asciiTheme="minorHAnsi" w:eastAsiaTheme="minorHAnsi" w:hAnsiTheme="minorHAnsi" w:cstheme="minorBidi"/>
          <w:szCs w:val="22"/>
        </w:rPr>
        <w:t>for the restriction.</w:t>
      </w:r>
    </w:p>
    <w:p w:rsidR="009234AA" w:rsidRPr="002D6558" w:rsidRDefault="009234AA" w:rsidP="0073784D">
      <w:pPr>
        <w:numPr>
          <w:ilvl w:val="1"/>
          <w:numId w:val="1"/>
        </w:numPr>
        <w:spacing w:after="120"/>
        <w:jc w:val="both"/>
        <w:rPr>
          <w:rFonts w:asciiTheme="minorHAnsi" w:hAnsiTheme="minorHAnsi"/>
        </w:rPr>
      </w:pPr>
      <w:r w:rsidRPr="00DA2530">
        <w:rPr>
          <w:rFonts w:asciiTheme="minorHAnsi" w:hAnsiTheme="minorHAnsi"/>
        </w:rPr>
        <w:t xml:space="preserve">The recommended dose is two tablets (each containing </w:t>
      </w:r>
      <w:proofErr w:type="spellStart"/>
      <w:r w:rsidRPr="00DA2530">
        <w:rPr>
          <w:rFonts w:asciiTheme="minorHAnsi" w:hAnsiTheme="minorHAnsi"/>
        </w:rPr>
        <w:t>lumacaftor</w:t>
      </w:r>
      <w:proofErr w:type="spellEnd"/>
      <w:r w:rsidRPr="00DA2530">
        <w:rPr>
          <w:rFonts w:asciiTheme="minorHAnsi" w:hAnsiTheme="minorHAnsi"/>
        </w:rPr>
        <w:t xml:space="preserve"> 200 mg/</w:t>
      </w:r>
      <w:proofErr w:type="spellStart"/>
      <w:r w:rsidRPr="00DA2530">
        <w:rPr>
          <w:rFonts w:asciiTheme="minorHAnsi" w:hAnsiTheme="minorHAnsi"/>
        </w:rPr>
        <w:t>ivacaftor</w:t>
      </w:r>
      <w:proofErr w:type="spellEnd"/>
      <w:r w:rsidRPr="00DA2530">
        <w:rPr>
          <w:rFonts w:asciiTheme="minorHAnsi" w:hAnsiTheme="minorHAnsi"/>
        </w:rPr>
        <w:t xml:space="preserve"> 125 mg) taken orally every 12 hours. The treatment is ongoing for the lifetime of the patient. Dose reductions are recommended in the </w:t>
      </w:r>
      <w:r>
        <w:rPr>
          <w:rFonts w:asciiTheme="minorHAnsi" w:hAnsiTheme="minorHAnsi"/>
        </w:rPr>
        <w:t xml:space="preserve">TGA approved </w:t>
      </w:r>
      <w:r w:rsidRPr="00DA2530">
        <w:rPr>
          <w:rFonts w:asciiTheme="minorHAnsi" w:hAnsiTheme="minorHAnsi"/>
        </w:rPr>
        <w:t>product information (PI) for patients with moderate or severe hepatic impairment.</w:t>
      </w:r>
    </w:p>
    <w:p w:rsidR="00D54DEF" w:rsidRPr="002D6558" w:rsidRDefault="009E3DF4" w:rsidP="00D54DEF">
      <w:pPr>
        <w:rPr>
          <w:rFonts w:asciiTheme="minorHAnsi" w:hAnsiTheme="minorHAnsi"/>
          <w:i/>
        </w:rPr>
      </w:pPr>
      <w:r w:rsidRPr="00281337">
        <w:rPr>
          <w:rFonts w:asciiTheme="minorHAnsi" w:hAnsiTheme="minorHAnsi"/>
          <w:i/>
        </w:rPr>
        <w:t>For more detail on PBAC’s view, see section 7 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9234AA" w:rsidRPr="009234AA" w:rsidRDefault="009234AA" w:rsidP="009234AA">
      <w:pPr>
        <w:pStyle w:val="ListParagraph"/>
        <w:widowControl/>
        <w:numPr>
          <w:ilvl w:val="1"/>
          <w:numId w:val="3"/>
        </w:numPr>
        <w:spacing w:after="120"/>
        <w:contextualSpacing w:val="0"/>
        <w:rPr>
          <w:rFonts w:asciiTheme="minorHAnsi" w:hAnsiTheme="minorHAnsi"/>
          <w:sz w:val="24"/>
          <w:szCs w:val="24"/>
        </w:rPr>
      </w:pPr>
      <w:r w:rsidRPr="009E3DF4">
        <w:rPr>
          <w:rFonts w:asciiTheme="minorHAnsi" w:hAnsiTheme="minorHAnsi"/>
          <w:sz w:val="24"/>
          <w:szCs w:val="24"/>
        </w:rPr>
        <w:t xml:space="preserve">TGA status at the time of PBAC consideration: </w:t>
      </w:r>
      <w:proofErr w:type="spellStart"/>
      <w:r w:rsidRPr="009F7057">
        <w:rPr>
          <w:rFonts w:asciiTheme="minorHAnsi" w:hAnsiTheme="minorHAnsi"/>
          <w:sz w:val="24"/>
          <w:szCs w:val="24"/>
        </w:rPr>
        <w:t>Lumacaftor</w:t>
      </w:r>
      <w:proofErr w:type="spellEnd"/>
      <w:r w:rsidRPr="009F7057">
        <w:rPr>
          <w:rFonts w:asciiTheme="minorHAnsi" w:hAnsiTheme="minorHAnsi"/>
          <w:sz w:val="24"/>
          <w:szCs w:val="24"/>
        </w:rPr>
        <w:t>/</w:t>
      </w:r>
      <w:proofErr w:type="spellStart"/>
      <w:r w:rsidRPr="009F7057">
        <w:rPr>
          <w:rFonts w:asciiTheme="minorHAnsi" w:hAnsiTheme="minorHAnsi"/>
          <w:sz w:val="24"/>
          <w:szCs w:val="24"/>
        </w:rPr>
        <w:t>ivacaftor</w:t>
      </w:r>
      <w:proofErr w:type="spellEnd"/>
      <w:r w:rsidRPr="009F7057">
        <w:rPr>
          <w:rFonts w:asciiTheme="minorHAnsi" w:hAnsiTheme="minorHAnsi"/>
          <w:sz w:val="24"/>
          <w:szCs w:val="24"/>
        </w:rPr>
        <w:t xml:space="preserve"> was registered by the TGA for “the treatment of cystic fibrosis (CF) in patients age</w:t>
      </w:r>
      <w:r>
        <w:rPr>
          <w:rFonts w:asciiTheme="minorHAnsi" w:hAnsiTheme="minorHAnsi"/>
          <w:sz w:val="24"/>
          <w:szCs w:val="24"/>
        </w:rPr>
        <w:t>d</w:t>
      </w:r>
      <w:r w:rsidRPr="009F7057">
        <w:rPr>
          <w:rFonts w:asciiTheme="minorHAnsi" w:hAnsiTheme="minorHAnsi"/>
          <w:sz w:val="24"/>
          <w:szCs w:val="24"/>
        </w:rPr>
        <w:t xml:space="preserve"> 12 years and older who are homozygous for the F508del mutation in </w:t>
      </w:r>
      <w:r w:rsidR="0073784D">
        <w:rPr>
          <w:rFonts w:asciiTheme="minorHAnsi" w:hAnsiTheme="minorHAnsi"/>
          <w:sz w:val="24"/>
          <w:szCs w:val="24"/>
        </w:rPr>
        <w:t>the CFTR gene” on 8 March 2016.</w:t>
      </w:r>
    </w:p>
    <w:p w:rsidR="00D71C08" w:rsidRPr="004B0E6F" w:rsidRDefault="008553B5" w:rsidP="0080519B">
      <w:pPr>
        <w:pStyle w:val="ListParagraph"/>
        <w:widowControl/>
        <w:numPr>
          <w:ilvl w:val="1"/>
          <w:numId w:val="3"/>
        </w:numPr>
        <w:spacing w:before="120" w:after="16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2"/>
        </w:rPr>
        <w:t xml:space="preserve">This </w:t>
      </w:r>
      <w:r w:rsidR="009234AA">
        <w:rPr>
          <w:rFonts w:asciiTheme="minorHAnsi" w:eastAsiaTheme="minorHAnsi" w:hAnsiTheme="minorHAnsi" w:cstheme="minorBidi"/>
          <w:snapToGrid/>
          <w:sz w:val="24"/>
          <w:szCs w:val="22"/>
        </w:rPr>
        <w:t>was</w:t>
      </w:r>
      <w:r>
        <w:rPr>
          <w:rFonts w:asciiTheme="minorHAnsi" w:eastAsiaTheme="minorHAnsi" w:hAnsiTheme="minorHAnsi" w:cstheme="minorBidi"/>
          <w:snapToGrid/>
          <w:sz w:val="24"/>
          <w:szCs w:val="22"/>
        </w:rPr>
        <w:t xml:space="preserve"> the fo</w:t>
      </w:r>
      <w:r w:rsidR="00206DD3">
        <w:rPr>
          <w:rFonts w:asciiTheme="minorHAnsi" w:eastAsiaTheme="minorHAnsi" w:hAnsiTheme="minorHAnsi" w:cstheme="minorBidi"/>
          <w:snapToGrid/>
          <w:sz w:val="24"/>
          <w:szCs w:val="22"/>
        </w:rPr>
        <w:t>u</w:t>
      </w:r>
      <w:r>
        <w:rPr>
          <w:rFonts w:asciiTheme="minorHAnsi" w:eastAsiaTheme="minorHAnsi" w:hAnsiTheme="minorHAnsi" w:cstheme="minorBidi"/>
          <w:snapToGrid/>
          <w:sz w:val="24"/>
          <w:szCs w:val="22"/>
        </w:rPr>
        <w:t xml:space="preserve">rth PBAC submission </w:t>
      </w:r>
      <w:r w:rsidR="009234AA">
        <w:rPr>
          <w:rFonts w:asciiTheme="minorHAnsi" w:eastAsiaTheme="minorHAnsi" w:hAnsiTheme="minorHAnsi" w:cstheme="minorBidi"/>
          <w:snapToGrid/>
          <w:sz w:val="24"/>
          <w:szCs w:val="22"/>
        </w:rPr>
        <w:t>requesting</w:t>
      </w:r>
      <w:r>
        <w:rPr>
          <w:rFonts w:asciiTheme="minorHAnsi" w:eastAsiaTheme="minorHAnsi" w:hAnsiTheme="minorHAnsi" w:cstheme="minorBidi"/>
          <w:snapToGrid/>
          <w:sz w:val="24"/>
          <w:szCs w:val="22"/>
        </w:rPr>
        <w:t xml:space="preserve"> </w:t>
      </w:r>
      <w:r w:rsidR="00D71C08" w:rsidRPr="00D71C08">
        <w:rPr>
          <w:rFonts w:asciiTheme="minorHAnsi" w:eastAsiaTheme="minorHAnsi" w:hAnsiTheme="minorHAnsi" w:cstheme="minorBidi"/>
          <w:snapToGrid/>
          <w:sz w:val="24"/>
          <w:szCs w:val="22"/>
        </w:rPr>
        <w:t xml:space="preserve">listing for </w:t>
      </w:r>
      <w:proofErr w:type="spellStart"/>
      <w:r w:rsidR="00D71C08" w:rsidRPr="00D71C08">
        <w:rPr>
          <w:rFonts w:asciiTheme="minorHAnsi" w:eastAsiaTheme="minorHAnsi" w:hAnsiTheme="minorHAnsi" w:cstheme="minorBidi"/>
          <w:snapToGrid/>
          <w:sz w:val="24"/>
          <w:szCs w:val="22"/>
        </w:rPr>
        <w:t>lumacaftor</w:t>
      </w:r>
      <w:proofErr w:type="spellEnd"/>
      <w:r w:rsidR="00D71C08" w:rsidRPr="00D71C08">
        <w:rPr>
          <w:rFonts w:asciiTheme="minorHAnsi" w:eastAsiaTheme="minorHAnsi" w:hAnsiTheme="minorHAnsi" w:cstheme="minorBidi"/>
          <w:snapToGrid/>
          <w:sz w:val="24"/>
          <w:szCs w:val="22"/>
        </w:rPr>
        <w:t>/</w:t>
      </w:r>
      <w:proofErr w:type="spellStart"/>
      <w:r w:rsidR="00D71C08" w:rsidRPr="00D71C08">
        <w:rPr>
          <w:rFonts w:asciiTheme="minorHAnsi" w:eastAsiaTheme="minorHAnsi" w:hAnsiTheme="minorHAnsi" w:cstheme="minorBidi"/>
          <w:snapToGrid/>
          <w:sz w:val="24"/>
          <w:szCs w:val="22"/>
        </w:rPr>
        <w:t>ivacaftor</w:t>
      </w:r>
      <w:proofErr w:type="spellEnd"/>
      <w:r w:rsidR="00D71C08" w:rsidRPr="00D71C08">
        <w:rPr>
          <w:rFonts w:asciiTheme="minorHAnsi" w:eastAsiaTheme="minorHAnsi" w:hAnsiTheme="minorHAnsi" w:cstheme="minorBidi"/>
          <w:snapToGrid/>
          <w:sz w:val="24"/>
          <w:szCs w:val="22"/>
        </w:rPr>
        <w:t xml:space="preserve"> for the treatment of patients with cystic fibrosis (CF) aged ≥12 years who are homozygous for the F508del mutation in the cystic fibrosis transmembrane conductance regulator (CFTR) gene</w:t>
      </w:r>
      <w:r w:rsidR="00D71C08" w:rsidRPr="004B0E6F">
        <w:rPr>
          <w:rFonts w:asciiTheme="minorHAnsi" w:eastAsiaTheme="minorHAnsi" w:hAnsiTheme="minorHAnsi" w:cstheme="minorBidi"/>
          <w:snapToGrid/>
          <w:sz w:val="24"/>
          <w:szCs w:val="24"/>
        </w:rPr>
        <w:t>.</w:t>
      </w:r>
      <w:r w:rsidR="004B0E6F" w:rsidRPr="004B0E6F">
        <w:rPr>
          <w:rFonts w:asciiTheme="minorHAnsi" w:eastAsiaTheme="minorHAnsi" w:hAnsiTheme="minorHAnsi" w:cstheme="minorBidi"/>
          <w:snapToGrid/>
          <w:sz w:val="24"/>
          <w:szCs w:val="24"/>
        </w:rPr>
        <w:t xml:space="preserve"> A summary of the price, </w:t>
      </w:r>
      <w:r w:rsidR="004B0E6F" w:rsidRPr="004B0E6F">
        <w:rPr>
          <w:rFonts w:asciiTheme="minorHAnsi" w:eastAsiaTheme="minorHAnsi" w:hAnsiTheme="minorHAnsi"/>
          <w:snapToGrid/>
          <w:sz w:val="24"/>
          <w:szCs w:val="24"/>
        </w:rPr>
        <w:t xml:space="preserve">key clinical data and </w:t>
      </w:r>
      <w:r w:rsidR="00746372">
        <w:rPr>
          <w:rFonts w:asciiTheme="minorHAnsi" w:eastAsiaTheme="minorHAnsi" w:hAnsiTheme="minorHAnsi"/>
          <w:snapToGrid/>
          <w:sz w:val="24"/>
          <w:szCs w:val="24"/>
        </w:rPr>
        <w:t xml:space="preserve">clinical </w:t>
      </w:r>
      <w:r w:rsidR="004B0E6F" w:rsidRPr="004B0E6F">
        <w:rPr>
          <w:rFonts w:asciiTheme="minorHAnsi" w:eastAsiaTheme="minorHAnsi" w:hAnsiTheme="minorHAnsi"/>
          <w:snapToGrid/>
          <w:sz w:val="24"/>
          <w:szCs w:val="24"/>
        </w:rPr>
        <w:t xml:space="preserve">claim </w:t>
      </w:r>
      <w:r w:rsidR="004B0E6F">
        <w:rPr>
          <w:rFonts w:asciiTheme="minorHAnsi" w:eastAsiaTheme="minorHAnsi" w:hAnsiTheme="minorHAnsi"/>
          <w:snapToGrid/>
          <w:sz w:val="24"/>
          <w:szCs w:val="24"/>
        </w:rPr>
        <w:t xml:space="preserve">presented in each submission </w:t>
      </w:r>
      <w:r w:rsidR="004B0E6F" w:rsidRPr="004B0E6F">
        <w:rPr>
          <w:rFonts w:asciiTheme="minorHAnsi" w:eastAsiaTheme="minorHAnsi" w:hAnsiTheme="minorHAnsi"/>
          <w:snapToGrid/>
          <w:sz w:val="24"/>
          <w:szCs w:val="24"/>
        </w:rPr>
        <w:t>is provided</w:t>
      </w:r>
      <w:r w:rsidR="004B0E6F">
        <w:rPr>
          <w:rFonts w:asciiTheme="minorHAnsi" w:eastAsiaTheme="minorHAnsi" w:hAnsiTheme="minorHAnsi"/>
          <w:snapToGrid/>
          <w:sz w:val="24"/>
          <w:szCs w:val="24"/>
        </w:rPr>
        <w:t xml:space="preserve"> </w:t>
      </w:r>
      <w:r w:rsidR="004B0E6F" w:rsidRPr="004B0E6F">
        <w:rPr>
          <w:rFonts w:asciiTheme="minorHAnsi" w:eastAsiaTheme="minorHAnsi" w:hAnsiTheme="minorHAnsi"/>
          <w:snapToGrid/>
          <w:sz w:val="24"/>
          <w:szCs w:val="24"/>
        </w:rPr>
        <w:t>in Table 1.</w:t>
      </w:r>
    </w:p>
    <w:p w:rsidR="004B0E6F" w:rsidRPr="00B2504F" w:rsidRDefault="004B0E6F" w:rsidP="004B0E6F">
      <w:pPr>
        <w:spacing w:before="120"/>
        <w:rPr>
          <w:rFonts w:ascii="Arial Narrow" w:eastAsiaTheme="minorHAnsi" w:hAnsi="Arial Narrow" w:cstheme="minorBidi"/>
          <w:b/>
          <w:sz w:val="20"/>
        </w:rPr>
      </w:pPr>
      <w:r w:rsidRPr="00B2504F">
        <w:rPr>
          <w:rFonts w:ascii="Arial Narrow" w:eastAsiaTheme="minorHAnsi" w:hAnsi="Arial Narrow" w:cstheme="minorBidi"/>
          <w:b/>
          <w:sz w:val="20"/>
        </w:rPr>
        <w:lastRenderedPageBreak/>
        <w:t xml:space="preserve">Table 1: Summary of price, </w:t>
      </w:r>
      <w:r w:rsidRPr="00B2504F">
        <w:rPr>
          <w:rFonts w:ascii="Arial Narrow" w:eastAsiaTheme="minorHAnsi" w:hAnsi="Arial Narrow"/>
          <w:b/>
          <w:sz w:val="20"/>
        </w:rPr>
        <w:t xml:space="preserve">key clinical data and </w:t>
      </w:r>
      <w:r w:rsidR="00746372" w:rsidRPr="00B2504F">
        <w:rPr>
          <w:rFonts w:ascii="Arial Narrow" w:eastAsiaTheme="minorHAnsi" w:hAnsi="Arial Narrow"/>
          <w:b/>
          <w:sz w:val="20"/>
        </w:rPr>
        <w:t>clinical</w:t>
      </w:r>
      <w:r w:rsidRPr="00B2504F">
        <w:rPr>
          <w:rFonts w:ascii="Arial Narrow" w:eastAsiaTheme="minorHAnsi" w:hAnsi="Arial Narrow"/>
          <w:b/>
          <w:sz w:val="20"/>
        </w:rPr>
        <w:t xml:space="preserve"> claim in current and previous submissions requesting listing of </w:t>
      </w:r>
      <w:proofErr w:type="spellStart"/>
      <w:r w:rsidRPr="00B2504F">
        <w:rPr>
          <w:rFonts w:ascii="Arial Narrow" w:eastAsiaTheme="minorHAnsi" w:hAnsi="Arial Narrow"/>
          <w:b/>
          <w:sz w:val="20"/>
        </w:rPr>
        <w:t>lumacaftor</w:t>
      </w:r>
      <w:proofErr w:type="spellEnd"/>
      <w:r w:rsidRPr="00B2504F">
        <w:rPr>
          <w:rFonts w:ascii="Arial Narrow" w:eastAsiaTheme="minorHAnsi" w:hAnsi="Arial Narrow"/>
          <w:b/>
          <w:sz w:val="20"/>
        </w:rPr>
        <w:t>/</w:t>
      </w:r>
      <w:proofErr w:type="spellStart"/>
      <w:r w:rsidRPr="00B2504F">
        <w:rPr>
          <w:rFonts w:ascii="Arial Narrow" w:eastAsiaTheme="minorHAnsi" w:hAnsi="Arial Narrow"/>
          <w:b/>
          <w:sz w:val="20"/>
        </w:rPr>
        <w:t>ivacaftor</w:t>
      </w:r>
      <w:proofErr w:type="spellEnd"/>
    </w:p>
    <w:tbl>
      <w:tblPr>
        <w:tblStyle w:val="TableGrid"/>
        <w:tblW w:w="5000" w:type="pct"/>
        <w:tblLook w:val="04A0" w:firstRow="1" w:lastRow="0" w:firstColumn="1" w:lastColumn="0" w:noHBand="0" w:noVBand="1"/>
        <w:tblCaption w:val="Table 1: Summary of price, key clinical data and clinical claim in current and previous submissions requesting listing of lumacaftor/ivacaftor"/>
      </w:tblPr>
      <w:tblGrid>
        <w:gridCol w:w="1334"/>
        <w:gridCol w:w="1076"/>
        <w:gridCol w:w="6832"/>
      </w:tblGrid>
      <w:tr w:rsidR="00C83A0D" w:rsidTr="00B2504F">
        <w:trPr>
          <w:tblHeader/>
        </w:trPr>
        <w:tc>
          <w:tcPr>
            <w:tcW w:w="722" w:type="pct"/>
          </w:tcPr>
          <w:p w:rsidR="00C83A0D" w:rsidRPr="00746372" w:rsidRDefault="00C83A0D" w:rsidP="00C83A0D">
            <w:pPr>
              <w:pStyle w:val="PBACHeading1"/>
              <w:numPr>
                <w:ilvl w:val="0"/>
                <w:numId w:val="0"/>
              </w:numPr>
              <w:rPr>
                <w:rFonts w:ascii="Arial Narrow" w:eastAsiaTheme="minorHAnsi" w:hAnsi="Arial Narrow"/>
                <w:snapToGrid/>
                <w:sz w:val="20"/>
                <w:szCs w:val="20"/>
              </w:rPr>
            </w:pPr>
            <w:r w:rsidRPr="00746372">
              <w:rPr>
                <w:rFonts w:ascii="Arial Narrow" w:eastAsiaTheme="minorHAnsi" w:hAnsi="Arial Narrow"/>
                <w:snapToGrid/>
                <w:sz w:val="20"/>
                <w:szCs w:val="20"/>
              </w:rPr>
              <w:t>Submission</w:t>
            </w:r>
          </w:p>
        </w:tc>
        <w:tc>
          <w:tcPr>
            <w:tcW w:w="582" w:type="pct"/>
          </w:tcPr>
          <w:p w:rsidR="00C83A0D" w:rsidRPr="00746372" w:rsidRDefault="00C83A0D" w:rsidP="00C83A0D">
            <w:pPr>
              <w:pStyle w:val="PBACHeading1"/>
              <w:numPr>
                <w:ilvl w:val="0"/>
                <w:numId w:val="0"/>
              </w:numPr>
              <w:rPr>
                <w:rFonts w:ascii="Arial Narrow" w:eastAsiaTheme="minorHAnsi" w:hAnsi="Arial Narrow"/>
                <w:snapToGrid/>
                <w:sz w:val="20"/>
                <w:szCs w:val="20"/>
              </w:rPr>
            </w:pPr>
            <w:r w:rsidRPr="00746372">
              <w:rPr>
                <w:rFonts w:ascii="Arial Narrow" w:eastAsiaTheme="minorHAnsi" w:hAnsi="Arial Narrow"/>
                <w:snapToGrid/>
                <w:sz w:val="20"/>
                <w:szCs w:val="20"/>
              </w:rPr>
              <w:t>PBAC meeting</w:t>
            </w:r>
          </w:p>
        </w:tc>
        <w:tc>
          <w:tcPr>
            <w:tcW w:w="3696" w:type="pct"/>
          </w:tcPr>
          <w:p w:rsidR="00C83A0D" w:rsidRPr="00746372" w:rsidRDefault="00C83A0D" w:rsidP="0043061D">
            <w:pPr>
              <w:pStyle w:val="PBACHeading1"/>
              <w:numPr>
                <w:ilvl w:val="0"/>
                <w:numId w:val="0"/>
              </w:numPr>
              <w:rPr>
                <w:rFonts w:ascii="Arial Narrow" w:eastAsiaTheme="minorHAnsi" w:hAnsi="Arial Narrow"/>
                <w:snapToGrid/>
                <w:sz w:val="20"/>
                <w:szCs w:val="20"/>
              </w:rPr>
            </w:pPr>
            <w:r w:rsidRPr="00746372">
              <w:rPr>
                <w:rFonts w:ascii="Arial Narrow" w:eastAsiaTheme="minorHAnsi" w:hAnsi="Arial Narrow"/>
                <w:snapToGrid/>
                <w:sz w:val="20"/>
                <w:szCs w:val="20"/>
              </w:rPr>
              <w:t xml:space="preserve">Price, key clinical data and </w:t>
            </w:r>
            <w:r w:rsidR="00746372">
              <w:rPr>
                <w:rFonts w:ascii="Arial Narrow" w:eastAsiaTheme="minorHAnsi" w:hAnsi="Arial Narrow"/>
                <w:snapToGrid/>
                <w:sz w:val="20"/>
                <w:szCs w:val="20"/>
              </w:rPr>
              <w:t xml:space="preserve">clinical </w:t>
            </w:r>
            <w:r w:rsidRPr="00746372">
              <w:rPr>
                <w:rFonts w:ascii="Arial Narrow" w:eastAsiaTheme="minorHAnsi" w:hAnsi="Arial Narrow"/>
                <w:snapToGrid/>
                <w:sz w:val="20"/>
                <w:szCs w:val="20"/>
              </w:rPr>
              <w:t>claim</w:t>
            </w:r>
          </w:p>
        </w:tc>
      </w:tr>
      <w:tr w:rsidR="00C83A0D" w:rsidTr="00B2504F">
        <w:tc>
          <w:tcPr>
            <w:tcW w:w="722" w:type="pct"/>
          </w:tcPr>
          <w:p w:rsidR="00C83A0D" w:rsidRPr="00746372" w:rsidRDefault="00FC0598" w:rsidP="00C83A0D">
            <w:pPr>
              <w:pStyle w:val="PBACHeading1"/>
              <w:numPr>
                <w:ilvl w:val="0"/>
                <w:numId w:val="0"/>
              </w:numPr>
              <w:rPr>
                <w:rFonts w:ascii="Arial Narrow" w:eastAsiaTheme="minorHAnsi" w:hAnsi="Arial Narrow"/>
                <w:b w:val="0"/>
                <w:snapToGrid/>
                <w:sz w:val="20"/>
                <w:szCs w:val="20"/>
              </w:rPr>
            </w:pPr>
            <w:r w:rsidRPr="00746372">
              <w:rPr>
                <w:rFonts w:ascii="Arial Narrow" w:eastAsiaTheme="minorHAnsi" w:hAnsi="Arial Narrow"/>
                <w:b w:val="0"/>
                <w:snapToGrid/>
                <w:sz w:val="20"/>
                <w:szCs w:val="20"/>
              </w:rPr>
              <w:t>1</w:t>
            </w:r>
          </w:p>
        </w:tc>
        <w:tc>
          <w:tcPr>
            <w:tcW w:w="582" w:type="pct"/>
          </w:tcPr>
          <w:p w:rsidR="00C83A0D" w:rsidRPr="00746372" w:rsidRDefault="00FC0598" w:rsidP="00C83A0D">
            <w:pPr>
              <w:pStyle w:val="PBACHeading1"/>
              <w:numPr>
                <w:ilvl w:val="0"/>
                <w:numId w:val="0"/>
              </w:numPr>
              <w:rPr>
                <w:rFonts w:ascii="Arial Narrow" w:eastAsiaTheme="minorHAnsi" w:hAnsi="Arial Narrow"/>
                <w:b w:val="0"/>
                <w:snapToGrid/>
                <w:sz w:val="20"/>
                <w:szCs w:val="20"/>
              </w:rPr>
            </w:pPr>
            <w:r w:rsidRPr="00746372">
              <w:rPr>
                <w:rFonts w:ascii="Arial Narrow" w:eastAsiaTheme="minorHAnsi" w:hAnsi="Arial Narrow"/>
                <w:b w:val="0"/>
                <w:snapToGrid/>
                <w:sz w:val="20"/>
                <w:szCs w:val="20"/>
              </w:rPr>
              <w:t>March 2016</w:t>
            </w:r>
          </w:p>
        </w:tc>
        <w:tc>
          <w:tcPr>
            <w:tcW w:w="3696" w:type="pct"/>
          </w:tcPr>
          <w:p w:rsidR="00FC0598" w:rsidRPr="009E3DF4" w:rsidRDefault="00FC0598" w:rsidP="00FC0598">
            <w:pPr>
              <w:pStyle w:val="PBACHeading1"/>
              <w:numPr>
                <w:ilvl w:val="0"/>
                <w:numId w:val="0"/>
              </w:numPr>
              <w:ind w:left="720" w:hanging="720"/>
              <w:rPr>
                <w:rFonts w:ascii="Arial Narrow" w:eastAsiaTheme="minorHAnsi" w:hAnsi="Arial Narrow"/>
                <w:snapToGrid/>
                <w:sz w:val="20"/>
                <w:szCs w:val="20"/>
              </w:rPr>
            </w:pPr>
            <w:r w:rsidRPr="009E3DF4">
              <w:rPr>
                <w:rFonts w:ascii="Arial Narrow" w:eastAsiaTheme="minorHAnsi" w:hAnsi="Arial Narrow"/>
                <w:snapToGrid/>
                <w:sz w:val="20"/>
                <w:szCs w:val="20"/>
              </w:rPr>
              <w:t>Price:</w:t>
            </w:r>
          </w:p>
          <w:p w:rsidR="00FC0598" w:rsidRPr="009E3DF4" w:rsidRDefault="00FC0598" w:rsidP="00FC0598">
            <w:pPr>
              <w:pStyle w:val="PBACHeading1"/>
              <w:numPr>
                <w:ilvl w:val="0"/>
                <w:numId w:val="0"/>
              </w:numPr>
              <w:ind w:left="720" w:hanging="720"/>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w:t>
            </w:r>
            <w:r w:rsidR="004978B4">
              <w:rPr>
                <w:rFonts w:ascii="Arial Narrow" w:eastAsiaTheme="minorHAnsi" w:hAnsi="Arial Narrow"/>
                <w:b w:val="0"/>
                <w:noProof/>
                <w:snapToGrid/>
                <w:color w:val="000000"/>
                <w:sz w:val="20"/>
                <w:szCs w:val="20"/>
                <w:highlight w:val="black"/>
              </w:rPr>
              <w:t>''''''''''''''''''</w:t>
            </w:r>
            <w:r w:rsidRPr="009E3DF4">
              <w:rPr>
                <w:rFonts w:ascii="Arial Narrow" w:eastAsiaTheme="minorHAnsi" w:hAnsi="Arial Narrow"/>
                <w:b w:val="0"/>
                <w:snapToGrid/>
                <w:sz w:val="20"/>
                <w:szCs w:val="20"/>
              </w:rPr>
              <w:t xml:space="preserve"> per patient per year</w:t>
            </w:r>
          </w:p>
          <w:p w:rsidR="00FC0598" w:rsidRPr="009E3DF4" w:rsidRDefault="00FC0598" w:rsidP="00FC0598">
            <w:pPr>
              <w:pStyle w:val="PBACHeading1"/>
              <w:numPr>
                <w:ilvl w:val="0"/>
                <w:numId w:val="0"/>
              </w:numPr>
              <w:ind w:left="720"/>
              <w:rPr>
                <w:rFonts w:ascii="Arial Narrow" w:eastAsiaTheme="minorHAnsi" w:hAnsi="Arial Narrow"/>
                <w:snapToGrid/>
                <w:sz w:val="20"/>
                <w:szCs w:val="20"/>
              </w:rPr>
            </w:pPr>
          </w:p>
          <w:p w:rsidR="00FC0598" w:rsidRPr="009E3DF4" w:rsidRDefault="00FC0598" w:rsidP="00FC0598">
            <w:pPr>
              <w:pStyle w:val="PBACHeading1"/>
              <w:numPr>
                <w:ilvl w:val="0"/>
                <w:numId w:val="0"/>
              </w:numPr>
              <w:ind w:left="720" w:hanging="720"/>
              <w:rPr>
                <w:rFonts w:ascii="Arial Narrow" w:eastAsiaTheme="minorHAnsi" w:hAnsi="Arial Narrow"/>
                <w:snapToGrid/>
                <w:sz w:val="20"/>
                <w:szCs w:val="20"/>
              </w:rPr>
            </w:pPr>
            <w:r w:rsidRPr="009E3DF4">
              <w:rPr>
                <w:rFonts w:ascii="Arial Narrow" w:eastAsiaTheme="minorHAnsi" w:hAnsi="Arial Narrow"/>
                <w:snapToGrid/>
                <w:sz w:val="20"/>
                <w:szCs w:val="20"/>
              </w:rPr>
              <w:t>Key Clinical data:</w:t>
            </w:r>
          </w:p>
          <w:p w:rsidR="00FC0598" w:rsidRPr="009E3DF4" w:rsidRDefault="00FC0598" w:rsidP="00FC0598">
            <w:pPr>
              <w:pStyle w:val="PBACHeading1"/>
              <w:numPr>
                <w:ilvl w:val="0"/>
                <w:numId w:val="0"/>
              </w:numPr>
              <w:ind w:left="720" w:hanging="720"/>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TRAFFIC &amp; TRANSPORT 24 week R</w:t>
            </w:r>
            <w:r w:rsidR="00746372" w:rsidRPr="009E3DF4">
              <w:rPr>
                <w:rFonts w:ascii="Arial Narrow" w:eastAsiaTheme="minorHAnsi" w:hAnsi="Arial Narrow"/>
                <w:b w:val="0"/>
                <w:snapToGrid/>
                <w:sz w:val="20"/>
                <w:szCs w:val="20"/>
              </w:rPr>
              <w:t xml:space="preserve">andomised </w:t>
            </w:r>
            <w:r w:rsidRPr="009E3DF4">
              <w:rPr>
                <w:rFonts w:ascii="Arial Narrow" w:eastAsiaTheme="minorHAnsi" w:hAnsi="Arial Narrow"/>
                <w:b w:val="0"/>
                <w:snapToGrid/>
                <w:sz w:val="20"/>
                <w:szCs w:val="20"/>
              </w:rPr>
              <w:t>C</w:t>
            </w:r>
            <w:r w:rsidR="00746372" w:rsidRPr="009E3DF4">
              <w:rPr>
                <w:rFonts w:ascii="Arial Narrow" w:eastAsiaTheme="minorHAnsi" w:hAnsi="Arial Narrow"/>
                <w:b w:val="0"/>
                <w:snapToGrid/>
                <w:sz w:val="20"/>
                <w:szCs w:val="20"/>
              </w:rPr>
              <w:t xml:space="preserve">ontrolled </w:t>
            </w:r>
            <w:r w:rsidRPr="009E3DF4">
              <w:rPr>
                <w:rFonts w:ascii="Arial Narrow" w:eastAsiaTheme="minorHAnsi" w:hAnsi="Arial Narrow"/>
                <w:b w:val="0"/>
                <w:snapToGrid/>
                <w:sz w:val="20"/>
                <w:szCs w:val="20"/>
              </w:rPr>
              <w:t>T</w:t>
            </w:r>
            <w:r w:rsidR="00746372" w:rsidRPr="009E3DF4">
              <w:rPr>
                <w:rFonts w:ascii="Arial Narrow" w:eastAsiaTheme="minorHAnsi" w:hAnsi="Arial Narrow"/>
                <w:b w:val="0"/>
                <w:snapToGrid/>
                <w:sz w:val="20"/>
                <w:szCs w:val="20"/>
              </w:rPr>
              <w:t>rial</w:t>
            </w:r>
            <w:r w:rsidRPr="009E3DF4">
              <w:rPr>
                <w:rFonts w:ascii="Arial Narrow" w:eastAsiaTheme="minorHAnsi" w:hAnsi="Arial Narrow"/>
                <w:b w:val="0"/>
                <w:snapToGrid/>
                <w:sz w:val="20"/>
                <w:szCs w:val="20"/>
              </w:rPr>
              <w:t>s</w:t>
            </w:r>
            <w:r w:rsidR="00746372" w:rsidRPr="009E3DF4">
              <w:rPr>
                <w:rFonts w:ascii="Arial Narrow" w:eastAsiaTheme="minorHAnsi" w:hAnsi="Arial Narrow"/>
                <w:b w:val="0"/>
                <w:snapToGrid/>
                <w:sz w:val="20"/>
                <w:szCs w:val="20"/>
              </w:rPr>
              <w:t xml:space="preserve"> (RCTs)</w:t>
            </w:r>
          </w:p>
          <w:p w:rsidR="00FC0598" w:rsidRPr="009E3DF4" w:rsidRDefault="00FC0598" w:rsidP="00746372">
            <w:pPr>
              <w:pStyle w:val="PBACHeading1"/>
              <w:numPr>
                <w:ilvl w:val="0"/>
                <w:numId w:val="0"/>
              </w:numPr>
              <w:ind w:left="720" w:hanging="720"/>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PROGRESS 96 week open label extension trial – 24 week interim results.</w:t>
            </w:r>
          </w:p>
          <w:p w:rsidR="00FC0598" w:rsidRPr="009E3DF4" w:rsidRDefault="00FC0598" w:rsidP="00FC0598">
            <w:pPr>
              <w:pStyle w:val="PBACHeading1"/>
              <w:numPr>
                <w:ilvl w:val="0"/>
                <w:numId w:val="0"/>
              </w:numPr>
              <w:ind w:left="720"/>
              <w:rPr>
                <w:rFonts w:ascii="Arial Narrow" w:eastAsiaTheme="minorHAnsi" w:hAnsi="Arial Narrow"/>
                <w:snapToGrid/>
                <w:sz w:val="20"/>
                <w:szCs w:val="20"/>
              </w:rPr>
            </w:pPr>
          </w:p>
          <w:p w:rsidR="00C83A0D" w:rsidRPr="009E3DF4" w:rsidRDefault="00FC0598" w:rsidP="00FC0598">
            <w:pPr>
              <w:pStyle w:val="PBACHeading1"/>
              <w:numPr>
                <w:ilvl w:val="0"/>
                <w:numId w:val="0"/>
              </w:numPr>
              <w:rPr>
                <w:rFonts w:ascii="Arial Narrow" w:eastAsiaTheme="minorHAnsi" w:hAnsi="Arial Narrow"/>
                <w:snapToGrid/>
                <w:sz w:val="20"/>
                <w:szCs w:val="20"/>
              </w:rPr>
            </w:pPr>
            <w:r w:rsidRPr="009E3DF4">
              <w:rPr>
                <w:rFonts w:ascii="Arial Narrow" w:eastAsiaTheme="minorHAnsi" w:hAnsi="Arial Narrow"/>
                <w:snapToGrid/>
                <w:sz w:val="20"/>
                <w:szCs w:val="20"/>
              </w:rPr>
              <w:t>Claim:</w:t>
            </w:r>
          </w:p>
          <w:p w:rsidR="00FC0598" w:rsidRPr="009E3DF4" w:rsidRDefault="00FC0598" w:rsidP="00FC0598">
            <w:pPr>
              <w:pStyle w:val="PBACHeading1"/>
              <w:numPr>
                <w:ilvl w:val="0"/>
                <w:numId w:val="0"/>
              </w:numPr>
              <w:rPr>
                <w:rFonts w:ascii="Arial Narrow" w:eastAsiaTheme="minorHAnsi" w:hAnsi="Arial Narrow"/>
                <w:snapToGrid/>
                <w:sz w:val="20"/>
                <w:szCs w:val="20"/>
              </w:rPr>
            </w:pPr>
            <w:proofErr w:type="spellStart"/>
            <w:r w:rsidRPr="009E3DF4">
              <w:rPr>
                <w:rFonts w:ascii="Arial Narrow" w:eastAsiaTheme="minorHAnsi" w:hAnsi="Arial Narrow"/>
                <w:b w:val="0"/>
                <w:snapToGrid/>
                <w:sz w:val="20"/>
                <w:szCs w:val="20"/>
              </w:rPr>
              <w:t>Lumacaftor</w:t>
            </w:r>
            <w:proofErr w:type="spellEnd"/>
            <w:r w:rsidRPr="009E3DF4">
              <w:rPr>
                <w:rFonts w:ascii="Arial Narrow" w:eastAsiaTheme="minorHAnsi" w:hAnsi="Arial Narrow"/>
                <w:b w:val="0"/>
                <w:snapToGrid/>
                <w:sz w:val="20"/>
                <w:szCs w:val="20"/>
              </w:rPr>
              <w:t>/</w:t>
            </w:r>
            <w:proofErr w:type="spellStart"/>
            <w:r w:rsidRPr="009E3DF4">
              <w:rPr>
                <w:rFonts w:ascii="Arial Narrow" w:eastAsiaTheme="minorHAnsi" w:hAnsi="Arial Narrow"/>
                <w:b w:val="0"/>
                <w:snapToGrid/>
                <w:sz w:val="20"/>
                <w:szCs w:val="20"/>
              </w:rPr>
              <w:t>ivacaftor</w:t>
            </w:r>
            <w:proofErr w:type="spellEnd"/>
            <w:r w:rsidRPr="009E3DF4">
              <w:rPr>
                <w:rFonts w:ascii="Arial Narrow" w:eastAsiaTheme="minorHAnsi" w:hAnsi="Arial Narrow"/>
                <w:b w:val="0"/>
                <w:snapToGrid/>
                <w:sz w:val="20"/>
                <w:szCs w:val="20"/>
              </w:rPr>
              <w:t xml:space="preserve"> improves key CF treatment outcomes which are associated with prolongation of life expectancy – FEV</w:t>
            </w:r>
            <w:r w:rsidRPr="009E3DF4">
              <w:rPr>
                <w:rFonts w:ascii="Arial Narrow" w:eastAsiaTheme="minorHAnsi" w:hAnsi="Arial Narrow"/>
                <w:b w:val="0"/>
                <w:snapToGrid/>
                <w:sz w:val="20"/>
                <w:szCs w:val="20"/>
                <w:vertAlign w:val="subscript"/>
              </w:rPr>
              <w:t>1</w:t>
            </w:r>
            <w:r w:rsidRPr="009E3DF4">
              <w:rPr>
                <w:rFonts w:ascii="Arial Narrow" w:eastAsiaTheme="minorHAnsi" w:hAnsi="Arial Narrow"/>
                <w:b w:val="0"/>
                <w:snapToGrid/>
                <w:sz w:val="20"/>
                <w:szCs w:val="20"/>
              </w:rPr>
              <w:t xml:space="preserve">, BMI and rate of pulmonary exacerbations – and provides a durable benefit in this otherwise relentlessly progressive, fatal disease. Further, </w:t>
            </w:r>
            <w:proofErr w:type="spellStart"/>
            <w:r w:rsidRPr="009E3DF4">
              <w:rPr>
                <w:rFonts w:ascii="Arial Narrow" w:eastAsiaTheme="minorHAnsi" w:hAnsi="Arial Narrow"/>
                <w:b w:val="0"/>
                <w:snapToGrid/>
                <w:sz w:val="20"/>
                <w:szCs w:val="20"/>
              </w:rPr>
              <w:t>lumacaftor</w:t>
            </w:r>
            <w:proofErr w:type="spellEnd"/>
            <w:r w:rsidRPr="009E3DF4">
              <w:rPr>
                <w:rFonts w:ascii="Arial Narrow" w:eastAsiaTheme="minorHAnsi" w:hAnsi="Arial Narrow"/>
                <w:b w:val="0"/>
                <w:snapToGrid/>
                <w:sz w:val="20"/>
                <w:szCs w:val="20"/>
              </w:rPr>
              <w:t>/</w:t>
            </w:r>
            <w:proofErr w:type="spellStart"/>
            <w:r w:rsidRPr="009E3DF4">
              <w:rPr>
                <w:rFonts w:ascii="Arial Narrow" w:eastAsiaTheme="minorHAnsi" w:hAnsi="Arial Narrow"/>
                <w:b w:val="0"/>
                <w:snapToGrid/>
                <w:sz w:val="20"/>
                <w:szCs w:val="20"/>
              </w:rPr>
              <w:t>ivacaftor</w:t>
            </w:r>
            <w:proofErr w:type="spellEnd"/>
            <w:r w:rsidRPr="009E3DF4">
              <w:rPr>
                <w:rFonts w:ascii="Arial Narrow" w:eastAsiaTheme="minorHAnsi" w:hAnsi="Arial Narrow"/>
                <w:b w:val="0"/>
                <w:snapToGrid/>
                <w:sz w:val="20"/>
                <w:szCs w:val="20"/>
              </w:rPr>
              <w:t xml:space="preserve"> on top of BSC has an equivalent safety profile to BSC (Vertex submission to March 2016 PBAC, pp. 117)</w:t>
            </w:r>
            <w:r w:rsidR="00FB1ADA" w:rsidRPr="009E3DF4">
              <w:rPr>
                <w:rFonts w:ascii="Arial Narrow" w:eastAsiaTheme="minorHAnsi" w:hAnsi="Arial Narrow"/>
                <w:snapToGrid/>
                <w:sz w:val="20"/>
                <w:szCs w:val="20"/>
              </w:rPr>
              <w:t>.</w:t>
            </w:r>
            <w:r w:rsidRPr="009E3DF4">
              <w:rPr>
                <w:rFonts w:ascii="Arial Narrow" w:eastAsiaTheme="minorHAnsi" w:hAnsi="Arial Narrow"/>
                <w:snapToGrid/>
                <w:sz w:val="20"/>
                <w:szCs w:val="20"/>
              </w:rPr>
              <w:t xml:space="preserve"> </w:t>
            </w:r>
          </w:p>
          <w:p w:rsidR="00C662A4" w:rsidRPr="009E3DF4" w:rsidRDefault="00C662A4" w:rsidP="00FC0598">
            <w:pPr>
              <w:pStyle w:val="PBACHeading1"/>
              <w:numPr>
                <w:ilvl w:val="0"/>
                <w:numId w:val="0"/>
              </w:numPr>
              <w:rPr>
                <w:rFonts w:ascii="Arial Narrow" w:eastAsiaTheme="minorHAnsi" w:hAnsi="Arial Narrow"/>
                <w:snapToGrid/>
                <w:sz w:val="20"/>
                <w:szCs w:val="20"/>
              </w:rPr>
            </w:pPr>
          </w:p>
          <w:p w:rsidR="00C662A4" w:rsidRPr="009E3DF4" w:rsidRDefault="00C662A4" w:rsidP="00C662A4">
            <w:pPr>
              <w:pStyle w:val="PBACHeading1"/>
              <w:numPr>
                <w:ilvl w:val="0"/>
                <w:numId w:val="0"/>
              </w:numPr>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No decline in FEV</w:t>
            </w:r>
            <w:r w:rsidRPr="009E3DF4">
              <w:rPr>
                <w:rFonts w:ascii="Arial Narrow" w:eastAsiaTheme="minorHAnsi" w:hAnsi="Arial Narrow"/>
                <w:b w:val="0"/>
                <w:snapToGrid/>
                <w:sz w:val="20"/>
                <w:szCs w:val="20"/>
                <w:vertAlign w:val="subscript"/>
              </w:rPr>
              <w:t xml:space="preserve">1 </w:t>
            </w:r>
            <w:r w:rsidRPr="009E3DF4">
              <w:rPr>
                <w:rFonts w:ascii="Arial Narrow" w:eastAsiaTheme="minorHAnsi" w:hAnsi="Arial Narrow"/>
                <w:b w:val="0"/>
                <w:snapToGrid/>
                <w:sz w:val="20"/>
                <w:szCs w:val="20"/>
              </w:rPr>
              <w:t xml:space="preserve">for </w:t>
            </w:r>
            <w:proofErr w:type="spellStart"/>
            <w:r w:rsidRPr="009E3DF4">
              <w:rPr>
                <w:rFonts w:ascii="Arial Narrow" w:eastAsiaTheme="minorHAnsi" w:hAnsi="Arial Narrow"/>
                <w:b w:val="0"/>
                <w:snapToGrid/>
                <w:sz w:val="20"/>
                <w:szCs w:val="20"/>
              </w:rPr>
              <w:t>Orkambi</w:t>
            </w:r>
            <w:proofErr w:type="spellEnd"/>
            <w:r w:rsidRPr="009E3DF4">
              <w:rPr>
                <w:rFonts w:ascii="Arial Narrow" w:eastAsiaTheme="minorHAnsi" w:hAnsi="Arial Narrow"/>
                <w:b w:val="0"/>
                <w:snapToGrid/>
                <w:sz w:val="20"/>
                <w:szCs w:val="20"/>
              </w:rPr>
              <w:t xml:space="preserve"> treated patients over time.</w:t>
            </w:r>
          </w:p>
          <w:p w:rsidR="00FB1ADA" w:rsidRPr="009E3DF4" w:rsidRDefault="00FB1ADA" w:rsidP="00C662A4">
            <w:pPr>
              <w:pStyle w:val="PBACHeading1"/>
              <w:numPr>
                <w:ilvl w:val="0"/>
                <w:numId w:val="0"/>
              </w:numPr>
              <w:rPr>
                <w:rFonts w:ascii="Arial Narrow" w:eastAsiaTheme="minorHAnsi" w:hAnsi="Arial Narrow"/>
                <w:b w:val="0"/>
                <w:snapToGrid/>
                <w:sz w:val="20"/>
                <w:szCs w:val="20"/>
              </w:rPr>
            </w:pPr>
          </w:p>
          <w:p w:rsidR="00FC0598" w:rsidRPr="009E3DF4" w:rsidRDefault="00FB1ADA" w:rsidP="005C5A18">
            <w:pPr>
              <w:pStyle w:val="PBACHeading1"/>
              <w:numPr>
                <w:ilvl w:val="0"/>
                <w:numId w:val="0"/>
              </w:numPr>
              <w:rPr>
                <w:rFonts w:ascii="Arial Narrow" w:eastAsiaTheme="minorHAnsi" w:hAnsi="Arial Narrow"/>
                <w:snapToGrid/>
                <w:sz w:val="20"/>
                <w:szCs w:val="20"/>
              </w:rPr>
            </w:pPr>
            <w:r w:rsidRPr="009E3DF4">
              <w:rPr>
                <w:rFonts w:ascii="Arial Narrow" w:eastAsiaTheme="minorHAnsi" w:hAnsi="Arial Narrow"/>
                <w:b w:val="0"/>
                <w:snapToGrid/>
                <w:sz w:val="20"/>
                <w:szCs w:val="20"/>
              </w:rPr>
              <w:t>The PBAC did not accept this claim.</w:t>
            </w:r>
          </w:p>
        </w:tc>
      </w:tr>
      <w:tr w:rsidR="00C83A0D" w:rsidTr="00B2504F">
        <w:tc>
          <w:tcPr>
            <w:tcW w:w="722" w:type="pct"/>
          </w:tcPr>
          <w:p w:rsidR="00C83A0D" w:rsidRPr="00746372" w:rsidRDefault="00FC0598" w:rsidP="00C83A0D">
            <w:pPr>
              <w:pStyle w:val="PBACHeading1"/>
              <w:numPr>
                <w:ilvl w:val="0"/>
                <w:numId w:val="0"/>
              </w:numPr>
              <w:rPr>
                <w:rFonts w:ascii="Arial Narrow" w:eastAsiaTheme="minorHAnsi" w:hAnsi="Arial Narrow"/>
                <w:b w:val="0"/>
                <w:snapToGrid/>
                <w:sz w:val="20"/>
                <w:szCs w:val="20"/>
              </w:rPr>
            </w:pPr>
            <w:r w:rsidRPr="00746372">
              <w:rPr>
                <w:rFonts w:ascii="Arial Narrow" w:eastAsiaTheme="minorHAnsi" w:hAnsi="Arial Narrow"/>
                <w:b w:val="0"/>
                <w:snapToGrid/>
                <w:sz w:val="20"/>
                <w:szCs w:val="20"/>
              </w:rPr>
              <w:t>2</w:t>
            </w:r>
          </w:p>
        </w:tc>
        <w:tc>
          <w:tcPr>
            <w:tcW w:w="582" w:type="pct"/>
          </w:tcPr>
          <w:p w:rsidR="00C83A0D" w:rsidRPr="00746372" w:rsidRDefault="00FC0598" w:rsidP="00C83A0D">
            <w:pPr>
              <w:pStyle w:val="PBACHeading1"/>
              <w:numPr>
                <w:ilvl w:val="0"/>
                <w:numId w:val="0"/>
              </w:numPr>
              <w:rPr>
                <w:rFonts w:ascii="Arial Narrow" w:eastAsiaTheme="minorHAnsi" w:hAnsi="Arial Narrow"/>
                <w:b w:val="0"/>
                <w:snapToGrid/>
                <w:sz w:val="20"/>
                <w:szCs w:val="20"/>
              </w:rPr>
            </w:pPr>
            <w:r w:rsidRPr="00746372">
              <w:rPr>
                <w:rFonts w:ascii="Arial Narrow" w:eastAsiaTheme="minorHAnsi" w:hAnsi="Arial Narrow"/>
                <w:b w:val="0"/>
                <w:snapToGrid/>
                <w:sz w:val="20"/>
                <w:szCs w:val="20"/>
              </w:rPr>
              <w:t>November 2016</w:t>
            </w:r>
          </w:p>
        </w:tc>
        <w:tc>
          <w:tcPr>
            <w:tcW w:w="3696" w:type="pct"/>
          </w:tcPr>
          <w:p w:rsidR="00C83A0D" w:rsidRPr="009E3DF4" w:rsidRDefault="00C83A0D" w:rsidP="00C83A0D">
            <w:pPr>
              <w:pStyle w:val="PBACHeading1"/>
              <w:numPr>
                <w:ilvl w:val="0"/>
                <w:numId w:val="0"/>
              </w:numPr>
              <w:rPr>
                <w:rFonts w:ascii="Arial Narrow" w:eastAsiaTheme="minorHAnsi" w:hAnsi="Arial Narrow"/>
                <w:snapToGrid/>
                <w:sz w:val="20"/>
                <w:szCs w:val="20"/>
              </w:rPr>
            </w:pPr>
            <w:r w:rsidRPr="009E3DF4">
              <w:rPr>
                <w:rFonts w:ascii="Arial Narrow" w:eastAsiaTheme="minorHAnsi" w:hAnsi="Arial Narrow"/>
                <w:snapToGrid/>
                <w:sz w:val="20"/>
                <w:szCs w:val="20"/>
              </w:rPr>
              <w:t>Price:</w:t>
            </w:r>
          </w:p>
          <w:p w:rsidR="00FC0598" w:rsidRPr="009E3DF4" w:rsidRDefault="004E09A3" w:rsidP="00C83A0D">
            <w:pPr>
              <w:pStyle w:val="PBACHeading1"/>
              <w:numPr>
                <w:ilvl w:val="0"/>
                <w:numId w:val="0"/>
              </w:numPr>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w:t>
            </w:r>
            <w:r w:rsidR="004978B4">
              <w:rPr>
                <w:rFonts w:ascii="Arial Narrow" w:eastAsiaTheme="minorHAnsi" w:hAnsi="Arial Narrow"/>
                <w:b w:val="0"/>
                <w:noProof/>
                <w:snapToGrid/>
                <w:color w:val="000000"/>
                <w:sz w:val="20"/>
                <w:szCs w:val="20"/>
                <w:highlight w:val="black"/>
              </w:rPr>
              <w:t>'''''''''''''''''</w:t>
            </w:r>
            <w:r w:rsidRPr="009E3DF4">
              <w:rPr>
                <w:rFonts w:ascii="Arial Narrow" w:eastAsiaTheme="minorHAnsi" w:hAnsi="Arial Narrow"/>
                <w:b w:val="0"/>
                <w:snapToGrid/>
                <w:sz w:val="20"/>
                <w:szCs w:val="20"/>
              </w:rPr>
              <w:t xml:space="preserve"> per patient per year</w:t>
            </w:r>
            <w:r w:rsidR="0043061D" w:rsidRPr="009E3DF4">
              <w:rPr>
                <w:rFonts w:ascii="Arial Narrow" w:eastAsiaTheme="minorHAnsi" w:hAnsi="Arial Narrow"/>
                <w:b w:val="0"/>
                <w:snapToGrid/>
                <w:sz w:val="20"/>
                <w:szCs w:val="20"/>
              </w:rPr>
              <w:t>**</w:t>
            </w:r>
          </w:p>
          <w:p w:rsidR="00C83A0D" w:rsidRPr="009E3DF4" w:rsidRDefault="00C83A0D" w:rsidP="00C83A0D">
            <w:pPr>
              <w:pStyle w:val="PBACHeading1"/>
              <w:numPr>
                <w:ilvl w:val="0"/>
                <w:numId w:val="0"/>
              </w:numPr>
              <w:rPr>
                <w:rFonts w:ascii="Arial Narrow" w:eastAsiaTheme="minorHAnsi" w:hAnsi="Arial Narrow"/>
                <w:snapToGrid/>
                <w:sz w:val="20"/>
                <w:szCs w:val="20"/>
              </w:rPr>
            </w:pPr>
          </w:p>
          <w:p w:rsidR="00C83A0D" w:rsidRPr="009E3DF4" w:rsidRDefault="00C83A0D" w:rsidP="00C83A0D">
            <w:pPr>
              <w:pStyle w:val="PBACHeading1"/>
              <w:numPr>
                <w:ilvl w:val="0"/>
                <w:numId w:val="0"/>
              </w:numPr>
              <w:rPr>
                <w:rFonts w:ascii="Arial Narrow" w:eastAsiaTheme="minorHAnsi" w:hAnsi="Arial Narrow"/>
                <w:snapToGrid/>
                <w:sz w:val="20"/>
                <w:szCs w:val="20"/>
              </w:rPr>
            </w:pPr>
            <w:r w:rsidRPr="009E3DF4">
              <w:rPr>
                <w:rFonts w:ascii="Arial Narrow" w:eastAsiaTheme="minorHAnsi" w:hAnsi="Arial Narrow"/>
                <w:snapToGrid/>
                <w:sz w:val="20"/>
                <w:szCs w:val="20"/>
              </w:rPr>
              <w:t>Key Clinical data:</w:t>
            </w:r>
          </w:p>
          <w:p w:rsidR="00FC0598" w:rsidRPr="009E3DF4" w:rsidRDefault="00FC0598" w:rsidP="00FC0598">
            <w:pPr>
              <w:pStyle w:val="PBACHeading1"/>
              <w:numPr>
                <w:ilvl w:val="0"/>
                <w:numId w:val="0"/>
              </w:numPr>
              <w:ind w:left="720" w:hanging="720"/>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TRAFFIC &amp; TRANSPORT 24 week RCTs</w:t>
            </w:r>
          </w:p>
          <w:p w:rsidR="00FC0598" w:rsidRPr="009E3DF4" w:rsidRDefault="00FC0598" w:rsidP="00FC0598">
            <w:pPr>
              <w:pStyle w:val="PBACHeading1"/>
              <w:numPr>
                <w:ilvl w:val="0"/>
                <w:numId w:val="0"/>
              </w:numPr>
              <w:ind w:left="34" w:hanging="34"/>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PROGRESS 96 week open label extension trial – 24 week interim results.</w:t>
            </w:r>
          </w:p>
          <w:p w:rsidR="00C83A0D" w:rsidRPr="009E3DF4" w:rsidRDefault="00C83A0D" w:rsidP="00C83A0D">
            <w:pPr>
              <w:pStyle w:val="PBACHeading1"/>
              <w:numPr>
                <w:ilvl w:val="0"/>
                <w:numId w:val="0"/>
              </w:numPr>
              <w:rPr>
                <w:rFonts w:ascii="Arial Narrow" w:eastAsiaTheme="minorHAnsi" w:hAnsi="Arial Narrow"/>
                <w:snapToGrid/>
                <w:sz w:val="20"/>
                <w:szCs w:val="20"/>
              </w:rPr>
            </w:pPr>
          </w:p>
          <w:p w:rsidR="00C83A0D" w:rsidRPr="009E3DF4" w:rsidRDefault="00C83A0D" w:rsidP="00C83A0D">
            <w:pPr>
              <w:pStyle w:val="PBACHeading1"/>
              <w:numPr>
                <w:ilvl w:val="0"/>
                <w:numId w:val="0"/>
              </w:numPr>
              <w:rPr>
                <w:rFonts w:ascii="Arial Narrow" w:eastAsiaTheme="minorHAnsi" w:hAnsi="Arial Narrow"/>
                <w:snapToGrid/>
                <w:sz w:val="20"/>
                <w:szCs w:val="20"/>
              </w:rPr>
            </w:pPr>
            <w:r w:rsidRPr="009E3DF4">
              <w:rPr>
                <w:rFonts w:ascii="Arial Narrow" w:eastAsiaTheme="minorHAnsi" w:hAnsi="Arial Narrow"/>
                <w:snapToGrid/>
                <w:sz w:val="20"/>
                <w:szCs w:val="20"/>
              </w:rPr>
              <w:t>Claim:</w:t>
            </w:r>
          </w:p>
          <w:p w:rsidR="00C83A0D" w:rsidRPr="009E3DF4" w:rsidRDefault="00C83A0D" w:rsidP="00FC0598">
            <w:pPr>
              <w:pStyle w:val="PBACHeading1"/>
              <w:numPr>
                <w:ilvl w:val="0"/>
                <w:numId w:val="0"/>
              </w:numPr>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 xml:space="preserve">Evidence from two large, high </w:t>
            </w:r>
            <w:proofErr w:type="gramStart"/>
            <w:r w:rsidRPr="009E3DF4">
              <w:rPr>
                <w:rFonts w:ascii="Arial Narrow" w:eastAsiaTheme="minorHAnsi" w:hAnsi="Arial Narrow"/>
                <w:b w:val="0"/>
                <w:snapToGrid/>
                <w:sz w:val="20"/>
                <w:szCs w:val="20"/>
              </w:rPr>
              <w:t>quality</w:t>
            </w:r>
            <w:proofErr w:type="gramEnd"/>
            <w:r w:rsidRPr="009E3DF4">
              <w:rPr>
                <w:rFonts w:ascii="Arial Narrow" w:eastAsiaTheme="minorHAnsi" w:hAnsi="Arial Narrow"/>
                <w:b w:val="0"/>
                <w:snapToGrid/>
                <w:sz w:val="20"/>
                <w:szCs w:val="20"/>
              </w:rPr>
              <w:t xml:space="preserve">, Phase 3, placebo-controlled randomised trials indicates that </w:t>
            </w:r>
            <w:proofErr w:type="spellStart"/>
            <w:r w:rsidRPr="009E3DF4">
              <w:rPr>
                <w:rFonts w:ascii="Arial Narrow" w:eastAsiaTheme="minorHAnsi" w:hAnsi="Arial Narrow"/>
                <w:b w:val="0"/>
                <w:snapToGrid/>
                <w:sz w:val="20"/>
                <w:szCs w:val="20"/>
              </w:rPr>
              <w:t>lumacaftor</w:t>
            </w:r>
            <w:proofErr w:type="spellEnd"/>
            <w:r w:rsidRPr="009E3DF4">
              <w:rPr>
                <w:rFonts w:ascii="Arial Narrow" w:eastAsiaTheme="minorHAnsi" w:hAnsi="Arial Narrow"/>
                <w:b w:val="0"/>
                <w:snapToGrid/>
                <w:sz w:val="20"/>
                <w:szCs w:val="20"/>
              </w:rPr>
              <w:t>/</w:t>
            </w:r>
            <w:proofErr w:type="spellStart"/>
            <w:r w:rsidRPr="009E3DF4">
              <w:rPr>
                <w:rFonts w:ascii="Arial Narrow" w:eastAsiaTheme="minorHAnsi" w:hAnsi="Arial Narrow"/>
                <w:b w:val="0"/>
                <w:snapToGrid/>
                <w:sz w:val="20"/>
                <w:szCs w:val="20"/>
              </w:rPr>
              <w:t>ivacaftor</w:t>
            </w:r>
            <w:proofErr w:type="spellEnd"/>
            <w:r w:rsidRPr="009E3DF4">
              <w:rPr>
                <w:rFonts w:ascii="Arial Narrow" w:eastAsiaTheme="minorHAnsi" w:hAnsi="Arial Narrow"/>
                <w:b w:val="0"/>
                <w:snapToGrid/>
                <w:sz w:val="20"/>
                <w:szCs w:val="20"/>
              </w:rPr>
              <w:t xml:space="preserve"> improves key CF treatment outcomes that are associated with prolongation of life – a benefit that is over-and-above that currently provided by BSC (</w:t>
            </w:r>
            <w:r w:rsidR="00FC0598" w:rsidRPr="009E3DF4">
              <w:rPr>
                <w:rFonts w:ascii="Arial Narrow" w:eastAsiaTheme="minorHAnsi" w:hAnsi="Arial Narrow"/>
                <w:b w:val="0"/>
                <w:snapToGrid/>
                <w:sz w:val="20"/>
                <w:szCs w:val="20"/>
              </w:rPr>
              <w:t>Vertex sub to Nov 16 PBAC, pp 4)</w:t>
            </w:r>
            <w:r w:rsidR="00FB1ADA" w:rsidRPr="009E3DF4">
              <w:rPr>
                <w:rFonts w:ascii="Arial Narrow" w:eastAsiaTheme="minorHAnsi" w:hAnsi="Arial Narrow"/>
                <w:b w:val="0"/>
                <w:snapToGrid/>
                <w:sz w:val="20"/>
                <w:szCs w:val="20"/>
              </w:rPr>
              <w:t>.</w:t>
            </w:r>
          </w:p>
          <w:p w:rsidR="00C662A4" w:rsidRPr="009E3DF4" w:rsidRDefault="00C662A4" w:rsidP="00C662A4">
            <w:pPr>
              <w:pStyle w:val="PBACHeading1"/>
              <w:numPr>
                <w:ilvl w:val="0"/>
                <w:numId w:val="0"/>
              </w:numPr>
              <w:ind w:left="720"/>
              <w:rPr>
                <w:rFonts w:ascii="Arial Narrow" w:eastAsiaTheme="minorHAnsi" w:hAnsi="Arial Narrow"/>
                <w:b w:val="0"/>
                <w:snapToGrid/>
                <w:sz w:val="20"/>
                <w:szCs w:val="20"/>
              </w:rPr>
            </w:pPr>
          </w:p>
          <w:p w:rsidR="00C662A4" w:rsidRPr="009E3DF4" w:rsidRDefault="00C662A4" w:rsidP="00C662A4">
            <w:pPr>
              <w:pStyle w:val="PBACHeading1"/>
              <w:numPr>
                <w:ilvl w:val="0"/>
                <w:numId w:val="0"/>
              </w:numPr>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No decline in FEV</w:t>
            </w:r>
            <w:r w:rsidRPr="009E3DF4">
              <w:rPr>
                <w:rFonts w:ascii="Arial Narrow" w:eastAsiaTheme="minorHAnsi" w:hAnsi="Arial Narrow"/>
                <w:b w:val="0"/>
                <w:snapToGrid/>
                <w:sz w:val="20"/>
                <w:szCs w:val="20"/>
                <w:vertAlign w:val="subscript"/>
              </w:rPr>
              <w:t>1</w:t>
            </w:r>
            <w:r w:rsidRPr="009E3DF4">
              <w:rPr>
                <w:rFonts w:ascii="Arial Narrow" w:eastAsiaTheme="minorHAnsi" w:hAnsi="Arial Narrow"/>
                <w:b w:val="0"/>
                <w:snapToGrid/>
                <w:sz w:val="20"/>
                <w:szCs w:val="20"/>
              </w:rPr>
              <w:t xml:space="preserve"> for </w:t>
            </w:r>
            <w:proofErr w:type="spellStart"/>
            <w:r w:rsidRPr="009E3DF4">
              <w:rPr>
                <w:rFonts w:ascii="Arial Narrow" w:eastAsiaTheme="minorHAnsi" w:hAnsi="Arial Narrow"/>
                <w:b w:val="0"/>
                <w:snapToGrid/>
                <w:sz w:val="20"/>
                <w:szCs w:val="20"/>
              </w:rPr>
              <w:t>Orkambi</w:t>
            </w:r>
            <w:proofErr w:type="spellEnd"/>
            <w:r w:rsidRPr="009E3DF4">
              <w:rPr>
                <w:rFonts w:ascii="Arial Narrow" w:eastAsiaTheme="minorHAnsi" w:hAnsi="Arial Narrow"/>
                <w:b w:val="0"/>
                <w:snapToGrid/>
                <w:sz w:val="20"/>
                <w:szCs w:val="20"/>
              </w:rPr>
              <w:t xml:space="preserve"> treated patients over time.</w:t>
            </w:r>
          </w:p>
          <w:p w:rsidR="00FB1ADA" w:rsidRPr="009E3DF4" w:rsidRDefault="00FB1ADA" w:rsidP="00C662A4">
            <w:pPr>
              <w:pStyle w:val="PBACHeading1"/>
              <w:numPr>
                <w:ilvl w:val="0"/>
                <w:numId w:val="0"/>
              </w:numPr>
              <w:rPr>
                <w:rFonts w:ascii="Arial Narrow" w:eastAsiaTheme="minorHAnsi" w:hAnsi="Arial Narrow"/>
                <w:b w:val="0"/>
                <w:snapToGrid/>
                <w:sz w:val="20"/>
                <w:szCs w:val="20"/>
              </w:rPr>
            </w:pPr>
          </w:p>
          <w:p w:rsidR="00C662A4" w:rsidRPr="009E3DF4" w:rsidRDefault="00FB1ADA" w:rsidP="005C5A18">
            <w:pPr>
              <w:pStyle w:val="PBACHeading1"/>
              <w:numPr>
                <w:ilvl w:val="0"/>
                <w:numId w:val="0"/>
              </w:numPr>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The PBAC did not accept this claim.</w:t>
            </w:r>
          </w:p>
        </w:tc>
      </w:tr>
      <w:tr w:rsidR="00C83A0D" w:rsidTr="00B2504F">
        <w:tc>
          <w:tcPr>
            <w:tcW w:w="722" w:type="pct"/>
          </w:tcPr>
          <w:p w:rsidR="00C83A0D" w:rsidRPr="00746372" w:rsidRDefault="0073703D" w:rsidP="00C83A0D">
            <w:pPr>
              <w:pStyle w:val="PBACHeading1"/>
              <w:numPr>
                <w:ilvl w:val="0"/>
                <w:numId w:val="0"/>
              </w:numPr>
              <w:rPr>
                <w:rFonts w:ascii="Arial Narrow" w:eastAsiaTheme="minorHAnsi" w:hAnsi="Arial Narrow"/>
                <w:snapToGrid/>
                <w:sz w:val="20"/>
                <w:szCs w:val="20"/>
              </w:rPr>
            </w:pPr>
            <w:r w:rsidRPr="00746372">
              <w:rPr>
                <w:rFonts w:ascii="Arial Narrow" w:eastAsiaTheme="minorHAnsi" w:hAnsi="Arial Narrow"/>
                <w:snapToGrid/>
                <w:sz w:val="20"/>
                <w:szCs w:val="20"/>
              </w:rPr>
              <w:t>3</w:t>
            </w:r>
          </w:p>
        </w:tc>
        <w:tc>
          <w:tcPr>
            <w:tcW w:w="582" w:type="pct"/>
          </w:tcPr>
          <w:p w:rsidR="00C83A0D" w:rsidRPr="00746372" w:rsidRDefault="0073703D" w:rsidP="00C83A0D">
            <w:pPr>
              <w:pStyle w:val="PBACHeading1"/>
              <w:numPr>
                <w:ilvl w:val="0"/>
                <w:numId w:val="0"/>
              </w:numPr>
              <w:rPr>
                <w:rFonts w:ascii="Arial Narrow" w:eastAsiaTheme="minorHAnsi" w:hAnsi="Arial Narrow"/>
                <w:snapToGrid/>
                <w:sz w:val="20"/>
                <w:szCs w:val="20"/>
              </w:rPr>
            </w:pPr>
            <w:r w:rsidRPr="00746372">
              <w:rPr>
                <w:rFonts w:ascii="Arial Narrow" w:eastAsiaTheme="minorHAnsi" w:hAnsi="Arial Narrow"/>
                <w:snapToGrid/>
                <w:sz w:val="20"/>
                <w:szCs w:val="20"/>
              </w:rPr>
              <w:t>July 2017</w:t>
            </w:r>
          </w:p>
        </w:tc>
        <w:tc>
          <w:tcPr>
            <w:tcW w:w="3696" w:type="pct"/>
          </w:tcPr>
          <w:p w:rsidR="0073703D" w:rsidRPr="009E3DF4" w:rsidRDefault="0073703D" w:rsidP="0073703D">
            <w:pPr>
              <w:pStyle w:val="PBACHeading1"/>
              <w:numPr>
                <w:ilvl w:val="0"/>
                <w:numId w:val="0"/>
              </w:numPr>
              <w:rPr>
                <w:rFonts w:ascii="Arial Narrow" w:eastAsiaTheme="minorHAnsi" w:hAnsi="Arial Narrow"/>
                <w:snapToGrid/>
                <w:sz w:val="20"/>
                <w:szCs w:val="20"/>
              </w:rPr>
            </w:pPr>
            <w:r w:rsidRPr="009E3DF4">
              <w:rPr>
                <w:rFonts w:ascii="Arial Narrow" w:eastAsiaTheme="minorHAnsi" w:hAnsi="Arial Narrow"/>
                <w:snapToGrid/>
                <w:sz w:val="20"/>
                <w:szCs w:val="20"/>
              </w:rPr>
              <w:t>Price:</w:t>
            </w:r>
          </w:p>
          <w:p w:rsidR="0073703D" w:rsidRPr="009E3DF4" w:rsidRDefault="0073703D" w:rsidP="0073703D">
            <w:pPr>
              <w:pStyle w:val="PBACHeading1"/>
              <w:numPr>
                <w:ilvl w:val="0"/>
                <w:numId w:val="0"/>
              </w:numPr>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w:t>
            </w:r>
            <w:r w:rsidR="004978B4">
              <w:rPr>
                <w:rFonts w:ascii="Arial Narrow" w:eastAsiaTheme="minorHAnsi" w:hAnsi="Arial Narrow"/>
                <w:b w:val="0"/>
                <w:noProof/>
                <w:snapToGrid/>
                <w:color w:val="000000"/>
                <w:sz w:val="20"/>
                <w:szCs w:val="20"/>
                <w:highlight w:val="black"/>
              </w:rPr>
              <w:t>''''''''''''''''''''</w:t>
            </w:r>
            <w:r w:rsidRPr="009E3DF4">
              <w:rPr>
                <w:rFonts w:ascii="Arial Narrow" w:eastAsiaTheme="minorHAnsi" w:hAnsi="Arial Narrow"/>
                <w:b w:val="0"/>
                <w:snapToGrid/>
                <w:sz w:val="20"/>
                <w:szCs w:val="20"/>
              </w:rPr>
              <w:t xml:space="preserve"> per patient per year</w:t>
            </w:r>
            <w:r w:rsidR="0043061D" w:rsidRPr="009E3DF4">
              <w:rPr>
                <w:rFonts w:ascii="Arial Narrow" w:eastAsiaTheme="minorHAnsi" w:hAnsi="Arial Narrow"/>
                <w:b w:val="0"/>
                <w:snapToGrid/>
                <w:sz w:val="20"/>
                <w:szCs w:val="20"/>
              </w:rPr>
              <w:t>**</w:t>
            </w:r>
          </w:p>
          <w:p w:rsidR="0073703D" w:rsidRPr="009E3DF4" w:rsidRDefault="0073703D" w:rsidP="0073703D">
            <w:pPr>
              <w:pStyle w:val="PBACHeading1"/>
              <w:numPr>
                <w:ilvl w:val="0"/>
                <w:numId w:val="0"/>
              </w:numPr>
              <w:rPr>
                <w:rFonts w:ascii="Arial Narrow" w:eastAsiaTheme="minorHAnsi" w:hAnsi="Arial Narrow"/>
                <w:snapToGrid/>
                <w:sz w:val="20"/>
                <w:szCs w:val="20"/>
              </w:rPr>
            </w:pPr>
          </w:p>
          <w:p w:rsidR="0073703D" w:rsidRPr="009E3DF4" w:rsidRDefault="0073703D" w:rsidP="0073703D">
            <w:pPr>
              <w:pStyle w:val="PBACHeading1"/>
              <w:numPr>
                <w:ilvl w:val="0"/>
                <w:numId w:val="0"/>
              </w:numPr>
              <w:rPr>
                <w:rFonts w:ascii="Arial Narrow" w:eastAsiaTheme="minorHAnsi" w:hAnsi="Arial Narrow"/>
                <w:snapToGrid/>
                <w:sz w:val="20"/>
                <w:szCs w:val="20"/>
              </w:rPr>
            </w:pPr>
            <w:r w:rsidRPr="009E3DF4">
              <w:rPr>
                <w:rFonts w:ascii="Arial Narrow" w:eastAsiaTheme="minorHAnsi" w:hAnsi="Arial Narrow"/>
                <w:snapToGrid/>
                <w:sz w:val="20"/>
                <w:szCs w:val="20"/>
              </w:rPr>
              <w:t>Key Clinical data:</w:t>
            </w:r>
          </w:p>
          <w:p w:rsidR="0073703D" w:rsidRPr="009E3DF4" w:rsidRDefault="0073703D" w:rsidP="0073703D">
            <w:pPr>
              <w:pStyle w:val="PBACHeading1"/>
              <w:numPr>
                <w:ilvl w:val="0"/>
                <w:numId w:val="0"/>
              </w:numPr>
              <w:ind w:left="720" w:hanging="720"/>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TRAFFIC &amp; TRANSPORT 24 week RCTs</w:t>
            </w:r>
          </w:p>
          <w:p w:rsidR="0073703D" w:rsidRPr="009E3DF4" w:rsidRDefault="0073703D" w:rsidP="0073703D">
            <w:pPr>
              <w:pStyle w:val="PBACHeading1"/>
              <w:numPr>
                <w:ilvl w:val="0"/>
                <w:numId w:val="0"/>
              </w:numPr>
              <w:ind w:left="34" w:hanging="34"/>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 xml:space="preserve">PROGRESS 96 week open label extension trial – </w:t>
            </w:r>
            <w:r w:rsidR="0043061D" w:rsidRPr="009E3DF4">
              <w:rPr>
                <w:rFonts w:ascii="Arial Narrow" w:eastAsiaTheme="minorHAnsi" w:hAnsi="Arial Narrow"/>
                <w:b w:val="0"/>
                <w:snapToGrid/>
                <w:sz w:val="20"/>
                <w:szCs w:val="20"/>
              </w:rPr>
              <w:t>96</w:t>
            </w:r>
            <w:r w:rsidRPr="009E3DF4">
              <w:rPr>
                <w:rFonts w:ascii="Arial Narrow" w:eastAsiaTheme="minorHAnsi" w:hAnsi="Arial Narrow"/>
                <w:b w:val="0"/>
                <w:snapToGrid/>
                <w:sz w:val="20"/>
                <w:szCs w:val="20"/>
              </w:rPr>
              <w:t xml:space="preserve"> week results</w:t>
            </w:r>
            <w:r w:rsidR="0043061D" w:rsidRPr="009E3DF4">
              <w:rPr>
                <w:rFonts w:ascii="Arial Narrow" w:eastAsiaTheme="minorHAnsi" w:hAnsi="Arial Narrow"/>
                <w:b w:val="0"/>
                <w:snapToGrid/>
                <w:sz w:val="20"/>
                <w:szCs w:val="20"/>
              </w:rPr>
              <w:t>, part reported</w:t>
            </w:r>
            <w:r w:rsidRPr="009E3DF4">
              <w:rPr>
                <w:rFonts w:ascii="Arial Narrow" w:eastAsiaTheme="minorHAnsi" w:hAnsi="Arial Narrow"/>
                <w:b w:val="0"/>
                <w:snapToGrid/>
                <w:sz w:val="20"/>
                <w:szCs w:val="20"/>
              </w:rPr>
              <w:t>.</w:t>
            </w:r>
          </w:p>
          <w:p w:rsidR="0073703D" w:rsidRPr="009E3DF4" w:rsidRDefault="0073703D" w:rsidP="0073703D">
            <w:pPr>
              <w:pStyle w:val="PBACHeading1"/>
              <w:numPr>
                <w:ilvl w:val="0"/>
                <w:numId w:val="0"/>
              </w:numPr>
              <w:rPr>
                <w:rFonts w:ascii="Arial Narrow" w:eastAsiaTheme="minorHAnsi" w:hAnsi="Arial Narrow"/>
                <w:snapToGrid/>
                <w:sz w:val="20"/>
                <w:szCs w:val="20"/>
              </w:rPr>
            </w:pPr>
          </w:p>
          <w:p w:rsidR="0073703D" w:rsidRPr="009E3DF4" w:rsidRDefault="0073703D" w:rsidP="0073703D">
            <w:pPr>
              <w:pStyle w:val="PBACHeading1"/>
              <w:numPr>
                <w:ilvl w:val="0"/>
                <w:numId w:val="0"/>
              </w:numPr>
              <w:rPr>
                <w:rFonts w:ascii="Arial Narrow" w:eastAsiaTheme="minorHAnsi" w:hAnsi="Arial Narrow"/>
                <w:snapToGrid/>
                <w:sz w:val="20"/>
                <w:szCs w:val="20"/>
              </w:rPr>
            </w:pPr>
            <w:r w:rsidRPr="009E3DF4">
              <w:rPr>
                <w:rFonts w:ascii="Arial Narrow" w:eastAsiaTheme="minorHAnsi" w:hAnsi="Arial Narrow"/>
                <w:snapToGrid/>
                <w:sz w:val="20"/>
                <w:szCs w:val="20"/>
              </w:rPr>
              <w:t>Claim:</w:t>
            </w:r>
          </w:p>
          <w:p w:rsidR="00C83A0D" w:rsidRPr="009E3DF4" w:rsidRDefault="002204A6" w:rsidP="002204A6">
            <w:pPr>
              <w:pStyle w:val="PBACHeading1"/>
              <w:numPr>
                <w:ilvl w:val="0"/>
                <w:numId w:val="0"/>
              </w:numPr>
              <w:rPr>
                <w:rFonts w:ascii="Arial Narrow" w:eastAsiaTheme="minorHAnsi" w:hAnsi="Arial Narrow"/>
                <w:b w:val="0"/>
                <w:snapToGrid/>
                <w:sz w:val="20"/>
                <w:szCs w:val="20"/>
              </w:rPr>
            </w:pPr>
            <w:r w:rsidRPr="009E3DF4">
              <w:rPr>
                <w:rFonts w:ascii="Arial Narrow" w:eastAsiaTheme="minorHAnsi" w:hAnsi="Arial Narrow"/>
                <w:b w:val="0"/>
                <w:snapToGrid/>
                <w:sz w:val="20"/>
                <w:szCs w:val="20"/>
              </w:rPr>
              <w:t>New longer-term efficacy data from PROGRESS demonstrates sustained improvements in key CF treatment outcomes that are associated with prolongation of life. Despite the progressive nature of cystic fibrosis, mean ppFEV1 remained above the pre</w:t>
            </w:r>
            <w:r w:rsidR="00746372" w:rsidRPr="009E3DF4">
              <w:rPr>
                <w:rFonts w:ascii="Arial Narrow" w:eastAsiaTheme="minorHAnsi" w:hAnsi="Arial Narrow"/>
                <w:b w:val="0"/>
                <w:snapToGrid/>
                <w:sz w:val="20"/>
                <w:szCs w:val="20"/>
              </w:rPr>
              <w:t>-</w:t>
            </w:r>
            <w:r w:rsidRPr="009E3DF4">
              <w:rPr>
                <w:rFonts w:ascii="Arial Narrow" w:eastAsiaTheme="minorHAnsi" w:hAnsi="Arial Narrow"/>
                <w:b w:val="0"/>
                <w:snapToGrid/>
                <w:sz w:val="20"/>
                <w:szCs w:val="20"/>
              </w:rPr>
              <w:t xml:space="preserve">treatment baseline after up to 120 weeks of cumulative exposure to </w:t>
            </w:r>
            <w:proofErr w:type="spellStart"/>
            <w:r w:rsidRPr="009E3DF4">
              <w:rPr>
                <w:rFonts w:ascii="Arial Narrow" w:eastAsiaTheme="minorHAnsi" w:hAnsi="Arial Narrow"/>
                <w:b w:val="0"/>
                <w:snapToGrid/>
                <w:sz w:val="20"/>
                <w:szCs w:val="20"/>
              </w:rPr>
              <w:t>lumacaftor</w:t>
            </w:r>
            <w:proofErr w:type="spellEnd"/>
            <w:r w:rsidRPr="009E3DF4">
              <w:rPr>
                <w:rFonts w:ascii="Arial Narrow" w:eastAsiaTheme="minorHAnsi" w:hAnsi="Arial Narrow"/>
                <w:b w:val="0"/>
                <w:snapToGrid/>
                <w:sz w:val="20"/>
                <w:szCs w:val="20"/>
              </w:rPr>
              <w:t>/</w:t>
            </w:r>
            <w:proofErr w:type="spellStart"/>
            <w:r w:rsidRPr="009E3DF4">
              <w:rPr>
                <w:rFonts w:ascii="Arial Narrow" w:eastAsiaTheme="minorHAnsi" w:hAnsi="Arial Narrow"/>
                <w:b w:val="0"/>
                <w:snapToGrid/>
                <w:sz w:val="20"/>
                <w:szCs w:val="20"/>
              </w:rPr>
              <w:t>ivacaftor</w:t>
            </w:r>
            <w:proofErr w:type="spellEnd"/>
            <w:r w:rsidRPr="009E3DF4">
              <w:rPr>
                <w:rFonts w:ascii="Arial Narrow" w:eastAsiaTheme="minorHAnsi" w:hAnsi="Arial Narrow"/>
                <w:b w:val="0"/>
                <w:snapToGrid/>
                <w:sz w:val="20"/>
                <w:szCs w:val="20"/>
              </w:rPr>
              <w:t xml:space="preserve">. In addition, there were sustained benefits of combined </w:t>
            </w:r>
            <w:proofErr w:type="spellStart"/>
            <w:r w:rsidRPr="009E3DF4">
              <w:rPr>
                <w:rFonts w:ascii="Arial Narrow" w:eastAsiaTheme="minorHAnsi" w:hAnsi="Arial Narrow"/>
                <w:b w:val="0"/>
                <w:snapToGrid/>
                <w:sz w:val="20"/>
                <w:szCs w:val="20"/>
              </w:rPr>
              <w:t>lumacaftor</w:t>
            </w:r>
            <w:proofErr w:type="spellEnd"/>
            <w:r w:rsidRPr="009E3DF4">
              <w:rPr>
                <w:rFonts w:ascii="Arial Narrow" w:eastAsiaTheme="minorHAnsi" w:hAnsi="Arial Narrow"/>
                <w:b w:val="0"/>
                <w:snapToGrid/>
                <w:sz w:val="20"/>
                <w:szCs w:val="20"/>
              </w:rPr>
              <w:t>/</w:t>
            </w:r>
            <w:proofErr w:type="spellStart"/>
            <w:r w:rsidRPr="009E3DF4">
              <w:rPr>
                <w:rFonts w:ascii="Arial Narrow" w:eastAsiaTheme="minorHAnsi" w:hAnsi="Arial Narrow"/>
                <w:b w:val="0"/>
                <w:snapToGrid/>
                <w:sz w:val="20"/>
                <w:szCs w:val="20"/>
              </w:rPr>
              <w:t>ivacaftor</w:t>
            </w:r>
            <w:proofErr w:type="spellEnd"/>
            <w:r w:rsidRPr="009E3DF4">
              <w:rPr>
                <w:rFonts w:ascii="Arial Narrow" w:eastAsiaTheme="minorHAnsi" w:hAnsi="Arial Narrow"/>
                <w:b w:val="0"/>
                <w:snapToGrid/>
                <w:sz w:val="20"/>
                <w:szCs w:val="20"/>
              </w:rPr>
              <w:t xml:space="preserve"> therapy on pulmonary exacerbation rates and patient-reported respiratory symptoms, and continued improvement in nutritional status. These data show that </w:t>
            </w:r>
            <w:proofErr w:type="spellStart"/>
            <w:r w:rsidRPr="009E3DF4">
              <w:rPr>
                <w:rFonts w:ascii="Arial Narrow" w:eastAsiaTheme="minorHAnsi" w:hAnsi="Arial Narrow"/>
                <w:b w:val="0"/>
                <w:snapToGrid/>
                <w:sz w:val="20"/>
                <w:szCs w:val="20"/>
              </w:rPr>
              <w:t>lumacaftor</w:t>
            </w:r>
            <w:proofErr w:type="spellEnd"/>
            <w:r w:rsidRPr="009E3DF4">
              <w:rPr>
                <w:rFonts w:ascii="Arial Narrow" w:eastAsiaTheme="minorHAnsi" w:hAnsi="Arial Narrow"/>
                <w:b w:val="0"/>
                <w:snapToGrid/>
                <w:sz w:val="20"/>
                <w:szCs w:val="20"/>
              </w:rPr>
              <w:t>/</w:t>
            </w:r>
            <w:proofErr w:type="spellStart"/>
            <w:r w:rsidRPr="009E3DF4">
              <w:rPr>
                <w:rFonts w:ascii="Arial Narrow" w:eastAsiaTheme="minorHAnsi" w:hAnsi="Arial Narrow"/>
                <w:b w:val="0"/>
                <w:snapToGrid/>
                <w:sz w:val="20"/>
                <w:szCs w:val="20"/>
              </w:rPr>
              <w:t>ivacaftor</w:t>
            </w:r>
            <w:proofErr w:type="spellEnd"/>
            <w:r w:rsidRPr="009E3DF4">
              <w:rPr>
                <w:rFonts w:ascii="Arial Narrow" w:eastAsiaTheme="minorHAnsi" w:hAnsi="Arial Narrow"/>
                <w:b w:val="0"/>
                <w:snapToGrid/>
                <w:sz w:val="20"/>
                <w:szCs w:val="20"/>
              </w:rPr>
              <w:t xml:space="preserve"> combination therapy provides multisystem benefits that continue to dampen the expected disease trajectory over the longer term, and suggests that </w:t>
            </w:r>
            <w:proofErr w:type="spellStart"/>
            <w:r w:rsidRPr="009E3DF4">
              <w:rPr>
                <w:rFonts w:ascii="Arial Narrow" w:eastAsiaTheme="minorHAnsi" w:hAnsi="Arial Narrow"/>
                <w:b w:val="0"/>
                <w:snapToGrid/>
                <w:sz w:val="20"/>
                <w:szCs w:val="20"/>
              </w:rPr>
              <w:t>lumacaftor</w:t>
            </w:r>
            <w:proofErr w:type="spellEnd"/>
            <w:r w:rsidRPr="009E3DF4">
              <w:rPr>
                <w:rFonts w:ascii="Arial Narrow" w:eastAsiaTheme="minorHAnsi" w:hAnsi="Arial Narrow"/>
                <w:b w:val="0"/>
                <w:snapToGrid/>
                <w:sz w:val="20"/>
                <w:szCs w:val="20"/>
              </w:rPr>
              <w:t>/</w:t>
            </w:r>
            <w:proofErr w:type="spellStart"/>
            <w:r w:rsidRPr="009E3DF4">
              <w:rPr>
                <w:rFonts w:ascii="Arial Narrow" w:eastAsiaTheme="minorHAnsi" w:hAnsi="Arial Narrow"/>
                <w:b w:val="0"/>
                <w:snapToGrid/>
                <w:sz w:val="20"/>
                <w:szCs w:val="20"/>
              </w:rPr>
              <w:t>ivacaftor</w:t>
            </w:r>
            <w:proofErr w:type="spellEnd"/>
            <w:r w:rsidRPr="009E3DF4">
              <w:rPr>
                <w:rFonts w:ascii="Arial Narrow" w:eastAsiaTheme="minorHAnsi" w:hAnsi="Arial Narrow"/>
                <w:b w:val="0"/>
                <w:snapToGrid/>
                <w:sz w:val="20"/>
                <w:szCs w:val="20"/>
              </w:rPr>
              <w:t xml:space="preserve"> is a disease modifying therapy in cystic fibrosis (Vertex submission to July 2017 PBAC meeting pp 140).</w:t>
            </w:r>
          </w:p>
          <w:p w:rsidR="002204A6" w:rsidRPr="009E3DF4" w:rsidRDefault="002204A6" w:rsidP="002204A6">
            <w:pPr>
              <w:pStyle w:val="PBACHeading1"/>
              <w:numPr>
                <w:ilvl w:val="0"/>
                <w:numId w:val="0"/>
              </w:numPr>
              <w:rPr>
                <w:rFonts w:ascii="Arial Narrow" w:eastAsiaTheme="minorHAnsi" w:hAnsi="Arial Narrow"/>
                <w:b w:val="0"/>
                <w:snapToGrid/>
                <w:sz w:val="20"/>
                <w:szCs w:val="20"/>
              </w:rPr>
            </w:pPr>
          </w:p>
          <w:p w:rsidR="002204A6" w:rsidRPr="009E3DF4" w:rsidRDefault="002204A6" w:rsidP="002204A6">
            <w:pPr>
              <w:pStyle w:val="PBACHeading1"/>
              <w:numPr>
                <w:ilvl w:val="0"/>
                <w:numId w:val="0"/>
              </w:numPr>
              <w:rPr>
                <w:rFonts w:ascii="Arial Narrow" w:eastAsiaTheme="minorHAnsi" w:hAnsi="Arial Narrow"/>
                <w:b w:val="0"/>
                <w:snapToGrid/>
                <w:sz w:val="20"/>
                <w:szCs w:val="20"/>
              </w:rPr>
            </w:pPr>
            <w:r w:rsidRPr="009E3DF4">
              <w:rPr>
                <w:rFonts w:ascii="Arial Narrow" w:eastAsiaTheme="minorHAnsi" w:hAnsi="Arial Narrow"/>
                <w:b w:val="0"/>
                <w:snapToGrid/>
                <w:sz w:val="20"/>
                <w:szCs w:val="20"/>
              </w:rPr>
              <w:lastRenderedPageBreak/>
              <w:t>No decline in FEV</w:t>
            </w:r>
            <w:r w:rsidRPr="009E3DF4">
              <w:rPr>
                <w:rFonts w:ascii="Arial Narrow" w:eastAsiaTheme="minorHAnsi" w:hAnsi="Arial Narrow"/>
                <w:b w:val="0"/>
                <w:snapToGrid/>
                <w:sz w:val="20"/>
                <w:szCs w:val="20"/>
                <w:vertAlign w:val="subscript"/>
              </w:rPr>
              <w:t xml:space="preserve">1 </w:t>
            </w:r>
            <w:r w:rsidRPr="009E3DF4">
              <w:rPr>
                <w:rFonts w:ascii="Arial Narrow" w:eastAsiaTheme="minorHAnsi" w:hAnsi="Arial Narrow"/>
                <w:b w:val="0"/>
                <w:snapToGrid/>
                <w:sz w:val="20"/>
                <w:szCs w:val="20"/>
              </w:rPr>
              <w:t xml:space="preserve">for </w:t>
            </w:r>
            <w:proofErr w:type="spellStart"/>
            <w:r w:rsidRPr="009E3DF4">
              <w:rPr>
                <w:rFonts w:ascii="Arial Narrow" w:eastAsiaTheme="minorHAnsi" w:hAnsi="Arial Narrow"/>
                <w:b w:val="0"/>
                <w:snapToGrid/>
                <w:sz w:val="20"/>
                <w:szCs w:val="20"/>
              </w:rPr>
              <w:t>Orkambi</w:t>
            </w:r>
            <w:proofErr w:type="spellEnd"/>
            <w:r w:rsidRPr="009E3DF4">
              <w:rPr>
                <w:rFonts w:ascii="Arial Narrow" w:eastAsiaTheme="minorHAnsi" w:hAnsi="Arial Narrow"/>
                <w:b w:val="0"/>
                <w:snapToGrid/>
                <w:sz w:val="20"/>
                <w:szCs w:val="20"/>
              </w:rPr>
              <w:t xml:space="preserve"> treated patients over time.</w:t>
            </w:r>
          </w:p>
          <w:p w:rsidR="00FB1ADA" w:rsidRPr="009E3DF4" w:rsidRDefault="00FB1ADA" w:rsidP="002204A6">
            <w:pPr>
              <w:pStyle w:val="PBACHeading1"/>
              <w:numPr>
                <w:ilvl w:val="0"/>
                <w:numId w:val="0"/>
              </w:numPr>
              <w:rPr>
                <w:rFonts w:ascii="Arial Narrow" w:eastAsiaTheme="minorHAnsi" w:hAnsi="Arial Narrow"/>
                <w:b w:val="0"/>
                <w:snapToGrid/>
                <w:sz w:val="20"/>
                <w:szCs w:val="20"/>
              </w:rPr>
            </w:pPr>
          </w:p>
          <w:p w:rsidR="002204A6" w:rsidRPr="009E3DF4" w:rsidRDefault="00FB1ADA" w:rsidP="005C5A18">
            <w:pPr>
              <w:pStyle w:val="PBACHeading1"/>
              <w:numPr>
                <w:ilvl w:val="0"/>
                <w:numId w:val="0"/>
              </w:numPr>
              <w:rPr>
                <w:rFonts w:ascii="Arial Narrow" w:eastAsiaTheme="minorHAnsi" w:hAnsi="Arial Narrow"/>
                <w:snapToGrid/>
                <w:sz w:val="20"/>
                <w:szCs w:val="20"/>
              </w:rPr>
            </w:pPr>
            <w:r w:rsidRPr="009E3DF4">
              <w:rPr>
                <w:rFonts w:ascii="Arial Narrow" w:eastAsiaTheme="minorHAnsi" w:hAnsi="Arial Narrow"/>
                <w:b w:val="0"/>
                <w:snapToGrid/>
                <w:sz w:val="20"/>
                <w:szCs w:val="20"/>
              </w:rPr>
              <w:t>The PBAC did not accept this claim.</w:t>
            </w:r>
          </w:p>
        </w:tc>
      </w:tr>
      <w:tr w:rsidR="00C83A0D" w:rsidRPr="003738E7" w:rsidTr="00B2504F">
        <w:tc>
          <w:tcPr>
            <w:tcW w:w="722" w:type="pct"/>
          </w:tcPr>
          <w:p w:rsidR="00C83A0D" w:rsidRPr="003738E7" w:rsidRDefault="0073703D" w:rsidP="00C83A0D">
            <w:pPr>
              <w:pStyle w:val="PBACHeading1"/>
              <w:numPr>
                <w:ilvl w:val="0"/>
                <w:numId w:val="0"/>
              </w:numPr>
              <w:rPr>
                <w:rFonts w:ascii="Arial Narrow" w:eastAsiaTheme="minorHAnsi" w:hAnsi="Arial Narrow"/>
                <w:snapToGrid/>
                <w:sz w:val="20"/>
                <w:szCs w:val="20"/>
              </w:rPr>
            </w:pPr>
            <w:r w:rsidRPr="003738E7">
              <w:rPr>
                <w:rFonts w:ascii="Arial Narrow" w:eastAsiaTheme="minorHAnsi" w:hAnsi="Arial Narrow"/>
                <w:snapToGrid/>
                <w:sz w:val="20"/>
                <w:szCs w:val="20"/>
              </w:rPr>
              <w:lastRenderedPageBreak/>
              <w:t>4</w:t>
            </w:r>
          </w:p>
        </w:tc>
        <w:tc>
          <w:tcPr>
            <w:tcW w:w="582" w:type="pct"/>
          </w:tcPr>
          <w:p w:rsidR="00C83A0D" w:rsidRPr="003738E7" w:rsidRDefault="0073703D" w:rsidP="00C83A0D">
            <w:pPr>
              <w:pStyle w:val="PBACHeading1"/>
              <w:numPr>
                <w:ilvl w:val="0"/>
                <w:numId w:val="0"/>
              </w:numPr>
              <w:rPr>
                <w:rFonts w:ascii="Arial Narrow" w:eastAsiaTheme="minorHAnsi" w:hAnsi="Arial Narrow"/>
                <w:snapToGrid/>
                <w:sz w:val="20"/>
                <w:szCs w:val="20"/>
              </w:rPr>
            </w:pPr>
            <w:r w:rsidRPr="003738E7">
              <w:rPr>
                <w:rFonts w:ascii="Arial Narrow" w:eastAsiaTheme="minorHAnsi" w:hAnsi="Arial Narrow"/>
                <w:snapToGrid/>
                <w:sz w:val="20"/>
                <w:szCs w:val="20"/>
              </w:rPr>
              <w:t>July 2018</w:t>
            </w:r>
          </w:p>
        </w:tc>
        <w:tc>
          <w:tcPr>
            <w:tcW w:w="3696" w:type="pct"/>
          </w:tcPr>
          <w:p w:rsidR="0073703D" w:rsidRPr="003738E7" w:rsidRDefault="0073703D" w:rsidP="0073703D">
            <w:pPr>
              <w:pStyle w:val="PBACHeading1"/>
              <w:numPr>
                <w:ilvl w:val="0"/>
                <w:numId w:val="0"/>
              </w:numPr>
              <w:rPr>
                <w:rFonts w:ascii="Arial Narrow" w:eastAsiaTheme="minorHAnsi" w:hAnsi="Arial Narrow"/>
                <w:snapToGrid/>
                <w:sz w:val="20"/>
                <w:szCs w:val="20"/>
              </w:rPr>
            </w:pPr>
            <w:r w:rsidRPr="003738E7">
              <w:rPr>
                <w:rFonts w:ascii="Arial Narrow" w:eastAsiaTheme="minorHAnsi" w:hAnsi="Arial Narrow"/>
                <w:snapToGrid/>
                <w:sz w:val="20"/>
                <w:szCs w:val="20"/>
              </w:rPr>
              <w:t>Price:</w:t>
            </w:r>
          </w:p>
          <w:p w:rsidR="0073703D" w:rsidRPr="003738E7" w:rsidRDefault="0073703D" w:rsidP="0073703D">
            <w:pPr>
              <w:pStyle w:val="PBACHeading1"/>
              <w:numPr>
                <w:ilvl w:val="0"/>
                <w:numId w:val="0"/>
              </w:numPr>
              <w:rPr>
                <w:rFonts w:ascii="Arial Narrow" w:eastAsiaTheme="minorHAnsi" w:hAnsi="Arial Narrow"/>
                <w:b w:val="0"/>
                <w:snapToGrid/>
                <w:sz w:val="20"/>
                <w:szCs w:val="20"/>
              </w:rPr>
            </w:pPr>
            <w:r w:rsidRPr="003738E7">
              <w:rPr>
                <w:rFonts w:ascii="Arial Narrow" w:eastAsiaTheme="minorHAnsi" w:hAnsi="Arial Narrow"/>
                <w:b w:val="0"/>
                <w:snapToGrid/>
                <w:sz w:val="20"/>
                <w:szCs w:val="20"/>
              </w:rPr>
              <w:t>$</w:t>
            </w:r>
            <w:r w:rsidR="004978B4">
              <w:rPr>
                <w:rFonts w:ascii="Arial Narrow" w:eastAsiaTheme="minorHAnsi" w:hAnsi="Arial Narrow"/>
                <w:b w:val="0"/>
                <w:noProof/>
                <w:snapToGrid/>
                <w:color w:val="000000"/>
                <w:sz w:val="20"/>
                <w:szCs w:val="20"/>
                <w:highlight w:val="black"/>
              </w:rPr>
              <w:t>''''''''''''''''</w:t>
            </w:r>
            <w:r w:rsidRPr="003738E7">
              <w:rPr>
                <w:rFonts w:ascii="Arial Narrow" w:eastAsiaTheme="minorHAnsi" w:hAnsi="Arial Narrow"/>
                <w:b w:val="0"/>
                <w:snapToGrid/>
                <w:sz w:val="20"/>
                <w:szCs w:val="20"/>
              </w:rPr>
              <w:t xml:space="preserve"> per patient per year</w:t>
            </w:r>
            <w:r w:rsidR="0043061D" w:rsidRPr="003738E7">
              <w:rPr>
                <w:rFonts w:ascii="Arial Narrow" w:eastAsiaTheme="minorHAnsi" w:hAnsi="Arial Narrow"/>
                <w:b w:val="0"/>
                <w:snapToGrid/>
                <w:sz w:val="20"/>
                <w:szCs w:val="20"/>
              </w:rPr>
              <w:t>**</w:t>
            </w:r>
            <w:r w:rsidR="00604A39" w:rsidRPr="003738E7">
              <w:rPr>
                <w:rFonts w:ascii="Arial Narrow" w:eastAsiaTheme="minorHAnsi" w:hAnsi="Arial Narrow"/>
                <w:b w:val="0"/>
                <w:snapToGrid/>
                <w:sz w:val="20"/>
                <w:szCs w:val="20"/>
                <w:vertAlign w:val="superscript"/>
              </w:rPr>
              <w:t>‡</w:t>
            </w:r>
          </w:p>
          <w:p w:rsidR="0073703D" w:rsidRPr="003738E7" w:rsidRDefault="0073703D" w:rsidP="0073703D">
            <w:pPr>
              <w:pStyle w:val="PBACHeading1"/>
              <w:numPr>
                <w:ilvl w:val="0"/>
                <w:numId w:val="0"/>
              </w:numPr>
              <w:rPr>
                <w:rFonts w:ascii="Arial Narrow" w:eastAsiaTheme="minorHAnsi" w:hAnsi="Arial Narrow"/>
                <w:snapToGrid/>
                <w:sz w:val="20"/>
                <w:szCs w:val="20"/>
              </w:rPr>
            </w:pPr>
          </w:p>
          <w:p w:rsidR="0073703D" w:rsidRPr="003738E7" w:rsidRDefault="0073703D" w:rsidP="0073703D">
            <w:pPr>
              <w:pStyle w:val="PBACHeading1"/>
              <w:numPr>
                <w:ilvl w:val="0"/>
                <w:numId w:val="0"/>
              </w:numPr>
              <w:rPr>
                <w:rFonts w:ascii="Arial Narrow" w:eastAsiaTheme="minorHAnsi" w:hAnsi="Arial Narrow"/>
                <w:snapToGrid/>
                <w:sz w:val="20"/>
                <w:szCs w:val="20"/>
              </w:rPr>
            </w:pPr>
            <w:r w:rsidRPr="003738E7">
              <w:rPr>
                <w:rFonts w:ascii="Arial Narrow" w:eastAsiaTheme="minorHAnsi" w:hAnsi="Arial Narrow"/>
                <w:snapToGrid/>
                <w:sz w:val="20"/>
                <w:szCs w:val="20"/>
              </w:rPr>
              <w:t>Key Clinical data:</w:t>
            </w:r>
          </w:p>
          <w:p w:rsidR="0073703D" w:rsidRPr="003738E7" w:rsidRDefault="0073703D" w:rsidP="0073703D">
            <w:pPr>
              <w:pStyle w:val="PBACHeading1"/>
              <w:numPr>
                <w:ilvl w:val="0"/>
                <w:numId w:val="0"/>
              </w:numPr>
              <w:ind w:left="720" w:hanging="720"/>
              <w:rPr>
                <w:rFonts w:ascii="Arial Narrow" w:eastAsiaTheme="minorHAnsi" w:hAnsi="Arial Narrow"/>
                <w:b w:val="0"/>
                <w:snapToGrid/>
                <w:sz w:val="20"/>
                <w:szCs w:val="20"/>
              </w:rPr>
            </w:pPr>
            <w:r w:rsidRPr="003738E7">
              <w:rPr>
                <w:rFonts w:ascii="Arial Narrow" w:eastAsiaTheme="minorHAnsi" w:hAnsi="Arial Narrow"/>
                <w:b w:val="0"/>
                <w:snapToGrid/>
                <w:sz w:val="20"/>
                <w:szCs w:val="20"/>
              </w:rPr>
              <w:t>TRAFFIC &amp; TRANSPORT 24 week RCTs</w:t>
            </w:r>
          </w:p>
          <w:p w:rsidR="0073703D" w:rsidRPr="003738E7" w:rsidRDefault="0073703D" w:rsidP="0073703D">
            <w:pPr>
              <w:pStyle w:val="PBACHeading1"/>
              <w:numPr>
                <w:ilvl w:val="0"/>
                <w:numId w:val="0"/>
              </w:numPr>
              <w:ind w:left="34" w:hanging="34"/>
              <w:rPr>
                <w:rFonts w:ascii="Arial Narrow" w:eastAsiaTheme="minorHAnsi" w:hAnsi="Arial Narrow"/>
                <w:b w:val="0"/>
                <w:snapToGrid/>
                <w:sz w:val="20"/>
                <w:szCs w:val="20"/>
              </w:rPr>
            </w:pPr>
            <w:r w:rsidRPr="003738E7">
              <w:rPr>
                <w:rFonts w:ascii="Arial Narrow" w:eastAsiaTheme="minorHAnsi" w:hAnsi="Arial Narrow"/>
                <w:b w:val="0"/>
                <w:snapToGrid/>
                <w:sz w:val="20"/>
                <w:szCs w:val="20"/>
              </w:rPr>
              <w:t xml:space="preserve">PROGRESS 96 week open label extension trial – </w:t>
            </w:r>
            <w:r w:rsidR="002204A6" w:rsidRPr="003738E7">
              <w:rPr>
                <w:rFonts w:ascii="Arial Narrow" w:eastAsiaTheme="minorHAnsi" w:hAnsi="Arial Narrow"/>
                <w:b w:val="0"/>
                <w:snapToGrid/>
                <w:sz w:val="20"/>
                <w:szCs w:val="20"/>
              </w:rPr>
              <w:t>FINAL STUDY RESULTS</w:t>
            </w:r>
            <w:r w:rsidR="00746372" w:rsidRPr="003738E7">
              <w:rPr>
                <w:rFonts w:ascii="Arial Narrow" w:eastAsiaTheme="minorHAnsi" w:hAnsi="Arial Narrow"/>
                <w:b w:val="0"/>
                <w:snapToGrid/>
                <w:sz w:val="20"/>
                <w:szCs w:val="20"/>
              </w:rPr>
              <w:t xml:space="preserve"> </w:t>
            </w:r>
            <w:r w:rsidR="002204A6" w:rsidRPr="003738E7">
              <w:rPr>
                <w:rFonts w:ascii="Arial Narrow" w:eastAsiaTheme="minorHAnsi" w:hAnsi="Arial Narrow"/>
                <w:b w:val="0"/>
                <w:snapToGrid/>
                <w:sz w:val="20"/>
                <w:szCs w:val="20"/>
              </w:rPr>
              <w:t>provided 12 June 2018</w:t>
            </w:r>
            <w:r w:rsidR="00565D1B" w:rsidRPr="003738E7">
              <w:rPr>
                <w:rFonts w:ascii="Arial Narrow" w:eastAsiaTheme="minorHAnsi" w:hAnsi="Arial Narrow"/>
                <w:b w:val="0"/>
                <w:snapToGrid/>
                <w:sz w:val="20"/>
                <w:szCs w:val="20"/>
              </w:rPr>
              <w:t xml:space="preserve"> (</w:t>
            </w:r>
            <w:r w:rsidR="002204A6" w:rsidRPr="003738E7">
              <w:rPr>
                <w:rFonts w:ascii="Arial Narrow" w:eastAsiaTheme="minorHAnsi" w:hAnsi="Arial Narrow"/>
                <w:b w:val="0"/>
                <w:snapToGrid/>
                <w:sz w:val="20"/>
                <w:szCs w:val="20"/>
              </w:rPr>
              <w:t>report dated 25 October 2016)</w:t>
            </w:r>
          </w:p>
          <w:p w:rsidR="0073703D" w:rsidRPr="003738E7" w:rsidRDefault="0073703D" w:rsidP="0073703D">
            <w:pPr>
              <w:pStyle w:val="PBACHeading1"/>
              <w:numPr>
                <w:ilvl w:val="0"/>
                <w:numId w:val="0"/>
              </w:numPr>
              <w:rPr>
                <w:rFonts w:ascii="Arial Narrow" w:eastAsiaTheme="minorHAnsi" w:hAnsi="Arial Narrow"/>
                <w:snapToGrid/>
                <w:sz w:val="20"/>
                <w:szCs w:val="20"/>
              </w:rPr>
            </w:pPr>
          </w:p>
          <w:p w:rsidR="0073703D" w:rsidRPr="003738E7" w:rsidRDefault="0073703D" w:rsidP="0073703D">
            <w:pPr>
              <w:pStyle w:val="PBACHeading1"/>
              <w:numPr>
                <w:ilvl w:val="0"/>
                <w:numId w:val="0"/>
              </w:numPr>
              <w:rPr>
                <w:rFonts w:ascii="Arial Narrow" w:eastAsiaTheme="minorHAnsi" w:hAnsi="Arial Narrow"/>
                <w:snapToGrid/>
                <w:sz w:val="20"/>
                <w:szCs w:val="20"/>
              </w:rPr>
            </w:pPr>
            <w:r w:rsidRPr="003738E7">
              <w:rPr>
                <w:rFonts w:ascii="Arial Narrow" w:eastAsiaTheme="minorHAnsi" w:hAnsi="Arial Narrow"/>
                <w:snapToGrid/>
                <w:sz w:val="20"/>
                <w:szCs w:val="20"/>
              </w:rPr>
              <w:t>Claim:</w:t>
            </w:r>
          </w:p>
          <w:p w:rsidR="002204A6" w:rsidRPr="003738E7" w:rsidRDefault="00082FA1" w:rsidP="002204A6">
            <w:pPr>
              <w:pStyle w:val="PBACHeading1"/>
              <w:numPr>
                <w:ilvl w:val="0"/>
                <w:numId w:val="0"/>
              </w:numPr>
              <w:rPr>
                <w:rFonts w:ascii="Arial Narrow" w:eastAsiaTheme="minorHAnsi" w:hAnsi="Arial Narrow"/>
                <w:snapToGrid/>
                <w:sz w:val="20"/>
                <w:szCs w:val="20"/>
              </w:rPr>
            </w:pPr>
            <w:r w:rsidRPr="003738E7">
              <w:rPr>
                <w:rFonts w:ascii="Arial Narrow" w:eastAsiaTheme="minorHAnsi" w:hAnsi="Arial Narrow"/>
                <w:b w:val="0"/>
                <w:snapToGrid/>
                <w:sz w:val="20"/>
                <w:szCs w:val="20"/>
              </w:rPr>
              <w:t>Decrease in r</w:t>
            </w:r>
            <w:r w:rsidR="002204A6" w:rsidRPr="003738E7">
              <w:rPr>
                <w:rFonts w:ascii="Arial Narrow" w:eastAsiaTheme="minorHAnsi" w:hAnsi="Arial Narrow"/>
                <w:b w:val="0"/>
                <w:snapToGrid/>
                <w:sz w:val="20"/>
                <w:szCs w:val="20"/>
              </w:rPr>
              <w:t>ate of decline in FEV</w:t>
            </w:r>
            <w:r w:rsidR="002204A6" w:rsidRPr="003738E7">
              <w:rPr>
                <w:rFonts w:ascii="Arial Narrow" w:eastAsiaTheme="minorHAnsi" w:hAnsi="Arial Narrow"/>
                <w:b w:val="0"/>
                <w:snapToGrid/>
                <w:sz w:val="20"/>
                <w:szCs w:val="20"/>
                <w:vertAlign w:val="subscript"/>
              </w:rPr>
              <w:t xml:space="preserve">1 </w:t>
            </w:r>
            <w:r w:rsidR="002204A6" w:rsidRPr="003738E7">
              <w:rPr>
                <w:rFonts w:ascii="Arial Narrow" w:eastAsiaTheme="minorHAnsi" w:hAnsi="Arial Narrow"/>
                <w:b w:val="0"/>
                <w:snapToGrid/>
                <w:sz w:val="20"/>
                <w:szCs w:val="20"/>
              </w:rPr>
              <w:t xml:space="preserve">for </w:t>
            </w:r>
            <w:proofErr w:type="spellStart"/>
            <w:r w:rsidR="002204A6" w:rsidRPr="003738E7">
              <w:rPr>
                <w:rFonts w:ascii="Arial Narrow" w:eastAsiaTheme="minorHAnsi" w:hAnsi="Arial Narrow"/>
                <w:b w:val="0"/>
                <w:snapToGrid/>
                <w:sz w:val="20"/>
                <w:szCs w:val="20"/>
              </w:rPr>
              <w:t>Orkambi</w:t>
            </w:r>
            <w:proofErr w:type="spellEnd"/>
            <w:r w:rsidR="002204A6" w:rsidRPr="003738E7">
              <w:rPr>
                <w:rFonts w:ascii="Arial Narrow" w:eastAsiaTheme="minorHAnsi" w:hAnsi="Arial Narrow"/>
                <w:b w:val="0"/>
                <w:snapToGrid/>
                <w:sz w:val="20"/>
                <w:szCs w:val="20"/>
              </w:rPr>
              <w:t xml:space="preserve"> treated patients </w:t>
            </w:r>
            <w:r w:rsidR="005A4A91" w:rsidRPr="003738E7">
              <w:rPr>
                <w:rFonts w:ascii="Arial Narrow" w:eastAsiaTheme="minorHAnsi" w:hAnsi="Arial Narrow"/>
                <w:b w:val="0"/>
                <w:snapToGrid/>
                <w:sz w:val="20"/>
                <w:szCs w:val="20"/>
              </w:rPr>
              <w:t>42</w:t>
            </w:r>
            <w:r w:rsidR="002204A6" w:rsidRPr="003738E7">
              <w:rPr>
                <w:rFonts w:ascii="Arial Narrow" w:eastAsiaTheme="minorHAnsi" w:hAnsi="Arial Narrow"/>
                <w:b w:val="0"/>
                <w:snapToGrid/>
                <w:sz w:val="20"/>
                <w:szCs w:val="20"/>
              </w:rPr>
              <w:t>%</w:t>
            </w:r>
            <w:r w:rsidR="005A4A91" w:rsidRPr="003738E7">
              <w:rPr>
                <w:rFonts w:ascii="Arial Narrow" w:eastAsiaTheme="minorHAnsi" w:hAnsi="Arial Narrow"/>
                <w:b w:val="0"/>
                <w:snapToGrid/>
                <w:sz w:val="20"/>
                <w:szCs w:val="20"/>
                <w:vertAlign w:val="superscript"/>
              </w:rPr>
              <w:t>‡</w:t>
            </w:r>
            <w:r w:rsidR="002204A6" w:rsidRPr="003738E7">
              <w:rPr>
                <w:rFonts w:ascii="Arial Narrow" w:eastAsiaTheme="minorHAnsi" w:hAnsi="Arial Narrow"/>
                <w:b w:val="0"/>
                <w:snapToGrid/>
                <w:sz w:val="20"/>
                <w:szCs w:val="20"/>
              </w:rPr>
              <w:t xml:space="preserve"> of untreated patients.</w:t>
            </w:r>
          </w:p>
        </w:tc>
      </w:tr>
    </w:tbl>
    <w:p w:rsidR="00C83A0D" w:rsidRPr="002D6558" w:rsidRDefault="0043061D" w:rsidP="002D6558">
      <w:pPr>
        <w:rPr>
          <w:rFonts w:ascii="Arial Narrow" w:eastAsiaTheme="minorHAnsi" w:hAnsi="Arial Narrow"/>
          <w:sz w:val="16"/>
          <w:szCs w:val="16"/>
        </w:rPr>
      </w:pPr>
      <w:r w:rsidRPr="002D6558">
        <w:rPr>
          <w:rFonts w:ascii="Arial Narrow" w:eastAsiaTheme="minorHAnsi" w:hAnsi="Arial Narrow"/>
          <w:sz w:val="16"/>
          <w:szCs w:val="16"/>
        </w:rPr>
        <w:t xml:space="preserve">** Price achieved though proposed financial caps if proposed usage levels </w:t>
      </w:r>
      <w:r w:rsidR="009F446F" w:rsidRPr="002D6558">
        <w:rPr>
          <w:rFonts w:ascii="Arial Narrow" w:eastAsiaTheme="minorHAnsi" w:hAnsi="Arial Narrow"/>
          <w:sz w:val="16"/>
          <w:szCs w:val="16"/>
        </w:rPr>
        <w:t>met</w:t>
      </w:r>
      <w:r w:rsidRPr="002D6558">
        <w:rPr>
          <w:rFonts w:ascii="Arial Narrow" w:eastAsiaTheme="minorHAnsi" w:hAnsi="Arial Narrow"/>
          <w:sz w:val="16"/>
          <w:szCs w:val="16"/>
        </w:rPr>
        <w:t>.</w:t>
      </w:r>
    </w:p>
    <w:p w:rsidR="0043061D" w:rsidRPr="0073784D" w:rsidRDefault="00604A39" w:rsidP="00B2504F">
      <w:pPr>
        <w:rPr>
          <w:rFonts w:ascii="Arial Narrow" w:eastAsiaTheme="minorHAnsi" w:hAnsi="Arial Narrow"/>
          <w:sz w:val="16"/>
          <w:szCs w:val="16"/>
        </w:rPr>
      </w:pPr>
      <w:r w:rsidRPr="0073784D">
        <w:rPr>
          <w:rFonts w:ascii="Arial Narrow" w:eastAsiaTheme="minorHAnsi" w:hAnsi="Arial Narrow"/>
          <w:sz w:val="16"/>
          <w:szCs w:val="16"/>
        </w:rPr>
        <w:t>‡ Price offer reduced to $</w:t>
      </w:r>
      <w:r w:rsidR="004978B4" w:rsidRPr="0073784D">
        <w:rPr>
          <w:rFonts w:ascii="Arial Narrow" w:eastAsiaTheme="minorHAnsi" w:hAnsi="Arial Narrow"/>
          <w:noProof/>
          <w:color w:val="000000"/>
          <w:sz w:val="16"/>
          <w:szCs w:val="16"/>
          <w:highlight w:val="black"/>
        </w:rPr>
        <w:t>''''''''''''''''</w:t>
      </w:r>
      <w:r w:rsidRPr="0073784D">
        <w:rPr>
          <w:rFonts w:ascii="Arial Narrow" w:eastAsiaTheme="minorHAnsi" w:hAnsi="Arial Narrow"/>
          <w:sz w:val="16"/>
          <w:szCs w:val="16"/>
        </w:rPr>
        <w:t xml:space="preserve"> per patient per year from $</w:t>
      </w:r>
      <w:r w:rsidR="004978B4" w:rsidRPr="0073784D">
        <w:rPr>
          <w:rFonts w:ascii="Arial Narrow" w:eastAsiaTheme="minorHAnsi" w:hAnsi="Arial Narrow"/>
          <w:noProof/>
          <w:color w:val="000000"/>
          <w:sz w:val="16"/>
          <w:szCs w:val="16"/>
          <w:highlight w:val="black"/>
        </w:rPr>
        <w:t>''''''''''''''''''</w:t>
      </w:r>
      <w:r w:rsidRPr="0073784D">
        <w:rPr>
          <w:rFonts w:ascii="Arial Narrow" w:eastAsiaTheme="minorHAnsi" w:hAnsi="Arial Narrow"/>
          <w:sz w:val="16"/>
          <w:szCs w:val="16"/>
        </w:rPr>
        <w:t xml:space="preserve"> per patient per year in </w:t>
      </w:r>
      <w:proofErr w:type="spellStart"/>
      <w:r w:rsidRPr="0073784D">
        <w:rPr>
          <w:rFonts w:ascii="Arial Narrow" w:eastAsiaTheme="minorHAnsi" w:hAnsi="Arial Narrow"/>
          <w:sz w:val="16"/>
          <w:szCs w:val="16"/>
        </w:rPr>
        <w:t>prePBAC</w:t>
      </w:r>
      <w:proofErr w:type="spellEnd"/>
      <w:r w:rsidRPr="0073784D">
        <w:rPr>
          <w:rFonts w:ascii="Arial Narrow" w:eastAsiaTheme="minorHAnsi" w:hAnsi="Arial Narrow"/>
          <w:sz w:val="16"/>
          <w:szCs w:val="16"/>
        </w:rPr>
        <w:t xml:space="preserve"> response.</w:t>
      </w:r>
      <w:r w:rsidR="005A4A91" w:rsidRPr="0073784D">
        <w:rPr>
          <w:rFonts w:ascii="Arial Narrow" w:eastAsiaTheme="minorHAnsi" w:hAnsi="Arial Narrow"/>
          <w:sz w:val="16"/>
          <w:szCs w:val="16"/>
        </w:rPr>
        <w:t xml:space="preserve">  Claim regarding rate of decline in FEV1 revised in pre-PBAC response from </w:t>
      </w:r>
      <w:r w:rsidR="004978B4" w:rsidRPr="0073784D">
        <w:rPr>
          <w:rFonts w:ascii="Arial Narrow" w:eastAsiaTheme="minorHAnsi" w:hAnsi="Arial Narrow"/>
          <w:sz w:val="16"/>
          <w:szCs w:val="16"/>
        </w:rPr>
        <w:t>'</w:t>
      </w:r>
      <w:r w:rsidR="004978B4" w:rsidRPr="0073784D">
        <w:rPr>
          <w:rFonts w:ascii="Arial Narrow" w:eastAsiaTheme="minorHAnsi" w:hAnsi="Arial Narrow"/>
          <w:noProof/>
          <w:color w:val="000000"/>
          <w:sz w:val="16"/>
          <w:szCs w:val="16"/>
          <w:highlight w:val="black"/>
        </w:rPr>
        <w:t>''''</w:t>
      </w:r>
      <w:r w:rsidR="005A4A91" w:rsidRPr="0073784D">
        <w:rPr>
          <w:rFonts w:ascii="Arial Narrow" w:eastAsiaTheme="minorHAnsi" w:hAnsi="Arial Narrow"/>
          <w:sz w:val="16"/>
          <w:szCs w:val="16"/>
        </w:rPr>
        <w:t xml:space="preserve">% to </w:t>
      </w:r>
      <w:r w:rsidR="009F446F" w:rsidRPr="0073784D">
        <w:rPr>
          <w:rFonts w:ascii="Arial Narrow" w:eastAsiaTheme="minorHAnsi" w:hAnsi="Arial Narrow"/>
          <w:sz w:val="16"/>
          <w:szCs w:val="16"/>
        </w:rPr>
        <w:t>42%.</w:t>
      </w:r>
    </w:p>
    <w:p w:rsidR="0073784D" w:rsidRPr="0073784D" w:rsidRDefault="00D71C08" w:rsidP="0073784D">
      <w:pPr>
        <w:pStyle w:val="ListParagraph"/>
        <w:numPr>
          <w:ilvl w:val="1"/>
          <w:numId w:val="3"/>
        </w:numPr>
        <w:spacing w:before="240" w:after="120"/>
        <w:rPr>
          <w:rFonts w:asciiTheme="minorHAnsi" w:eastAsiaTheme="minorHAnsi" w:hAnsiTheme="minorHAnsi" w:cstheme="minorBidi"/>
          <w:snapToGrid/>
          <w:sz w:val="24"/>
          <w:szCs w:val="22"/>
        </w:rPr>
      </w:pPr>
      <w:r w:rsidRPr="00D71C08">
        <w:rPr>
          <w:rFonts w:asciiTheme="minorHAnsi" w:eastAsiaTheme="minorHAnsi" w:hAnsiTheme="minorHAnsi" w:cstheme="minorBidi"/>
          <w:snapToGrid/>
          <w:sz w:val="24"/>
          <w:szCs w:val="22"/>
        </w:rPr>
        <w:t xml:space="preserve">A major submission for </w:t>
      </w:r>
      <w:proofErr w:type="spellStart"/>
      <w:r w:rsidRPr="00D71C08">
        <w:rPr>
          <w:rFonts w:asciiTheme="minorHAnsi" w:eastAsiaTheme="minorHAnsi" w:hAnsiTheme="minorHAnsi" w:cstheme="minorBidi"/>
          <w:snapToGrid/>
          <w:sz w:val="24"/>
          <w:szCs w:val="22"/>
        </w:rPr>
        <w:t>lumacaftor</w:t>
      </w:r>
      <w:proofErr w:type="spellEnd"/>
      <w:r w:rsidRPr="00D71C08">
        <w:rPr>
          <w:rFonts w:asciiTheme="minorHAnsi" w:eastAsiaTheme="minorHAnsi" w:hAnsiTheme="minorHAnsi" w:cstheme="minorBidi"/>
          <w:snapToGrid/>
          <w:sz w:val="24"/>
          <w:szCs w:val="22"/>
        </w:rPr>
        <w:t>/</w:t>
      </w:r>
      <w:proofErr w:type="spellStart"/>
      <w:r w:rsidRPr="00D71C08">
        <w:rPr>
          <w:rFonts w:asciiTheme="minorHAnsi" w:eastAsiaTheme="minorHAnsi" w:hAnsiTheme="minorHAnsi" w:cstheme="minorBidi"/>
          <w:snapToGrid/>
          <w:sz w:val="24"/>
          <w:szCs w:val="22"/>
        </w:rPr>
        <w:t>ivacaftor</w:t>
      </w:r>
      <w:proofErr w:type="spellEnd"/>
      <w:r w:rsidRPr="00D71C08">
        <w:rPr>
          <w:rFonts w:asciiTheme="minorHAnsi" w:eastAsiaTheme="minorHAnsi" w:hAnsiTheme="minorHAnsi" w:cstheme="minorBidi"/>
          <w:snapToGrid/>
          <w:sz w:val="24"/>
          <w:szCs w:val="22"/>
        </w:rPr>
        <w:t xml:space="preserve"> was rejected at the March 2016 PBAC meeting on the basis of an unacceptably high and uncertain incremental cost effectiveness ratio at the requested price, and uncertainty around the impact of </w:t>
      </w:r>
      <w:proofErr w:type="spellStart"/>
      <w:r w:rsidRPr="00D71C08">
        <w:rPr>
          <w:rFonts w:asciiTheme="minorHAnsi" w:eastAsiaTheme="minorHAnsi" w:hAnsiTheme="minorHAnsi" w:cstheme="minorBidi"/>
          <w:snapToGrid/>
          <w:sz w:val="24"/>
          <w:szCs w:val="22"/>
        </w:rPr>
        <w:t>lumacaftor</w:t>
      </w:r>
      <w:proofErr w:type="spellEnd"/>
      <w:r w:rsidRPr="00D71C08">
        <w:rPr>
          <w:rFonts w:asciiTheme="minorHAnsi" w:eastAsiaTheme="minorHAnsi" w:hAnsiTheme="minorHAnsi" w:cstheme="minorBidi"/>
          <w:snapToGrid/>
          <w:sz w:val="24"/>
          <w:szCs w:val="22"/>
        </w:rPr>
        <w:t>/</w:t>
      </w:r>
      <w:proofErr w:type="spellStart"/>
      <w:r w:rsidRPr="00D71C08">
        <w:rPr>
          <w:rFonts w:asciiTheme="minorHAnsi" w:eastAsiaTheme="minorHAnsi" w:hAnsiTheme="minorHAnsi" w:cstheme="minorBidi"/>
          <w:snapToGrid/>
          <w:sz w:val="24"/>
          <w:szCs w:val="22"/>
        </w:rPr>
        <w:t>ivacaftor</w:t>
      </w:r>
      <w:proofErr w:type="spellEnd"/>
      <w:r w:rsidRPr="00D71C08">
        <w:rPr>
          <w:rFonts w:asciiTheme="minorHAnsi" w:eastAsiaTheme="minorHAnsi" w:hAnsiTheme="minorHAnsi" w:cstheme="minorBidi"/>
          <w:snapToGrid/>
          <w:sz w:val="24"/>
          <w:szCs w:val="22"/>
        </w:rPr>
        <w:t xml:space="preserve"> on long-term improvements in lung function and survival (paragraph 7.1, March 2016 P</w:t>
      </w:r>
      <w:r w:rsidR="004018E2">
        <w:rPr>
          <w:rFonts w:asciiTheme="minorHAnsi" w:eastAsiaTheme="minorHAnsi" w:hAnsiTheme="minorHAnsi" w:cstheme="minorBidi"/>
          <w:snapToGrid/>
          <w:sz w:val="24"/>
          <w:szCs w:val="22"/>
        </w:rPr>
        <w:t xml:space="preserve">ublic </w:t>
      </w:r>
      <w:r w:rsidRPr="00D71C08">
        <w:rPr>
          <w:rFonts w:asciiTheme="minorHAnsi" w:eastAsiaTheme="minorHAnsi" w:hAnsiTheme="minorHAnsi" w:cstheme="minorBidi"/>
          <w:snapToGrid/>
          <w:sz w:val="24"/>
          <w:szCs w:val="22"/>
        </w:rPr>
        <w:t>S</w:t>
      </w:r>
      <w:r w:rsidR="004018E2">
        <w:rPr>
          <w:rFonts w:asciiTheme="minorHAnsi" w:eastAsiaTheme="minorHAnsi" w:hAnsiTheme="minorHAnsi" w:cstheme="minorBidi"/>
          <w:snapToGrid/>
          <w:sz w:val="24"/>
          <w:szCs w:val="22"/>
        </w:rPr>
        <w:t xml:space="preserve">ummary </w:t>
      </w:r>
      <w:r w:rsidRPr="00D71C08">
        <w:rPr>
          <w:rFonts w:asciiTheme="minorHAnsi" w:eastAsiaTheme="minorHAnsi" w:hAnsiTheme="minorHAnsi" w:cstheme="minorBidi"/>
          <w:snapToGrid/>
          <w:sz w:val="24"/>
          <w:szCs w:val="22"/>
        </w:rPr>
        <w:t>D</w:t>
      </w:r>
      <w:r w:rsidR="004018E2">
        <w:rPr>
          <w:rFonts w:asciiTheme="minorHAnsi" w:eastAsiaTheme="minorHAnsi" w:hAnsiTheme="minorHAnsi" w:cstheme="minorBidi"/>
          <w:snapToGrid/>
          <w:sz w:val="24"/>
          <w:szCs w:val="22"/>
        </w:rPr>
        <w:t>ocument (PSD)</w:t>
      </w:r>
      <w:r w:rsidR="0073784D">
        <w:rPr>
          <w:rFonts w:asciiTheme="minorHAnsi" w:eastAsiaTheme="minorHAnsi" w:hAnsiTheme="minorHAnsi" w:cstheme="minorBidi"/>
          <w:snapToGrid/>
          <w:sz w:val="24"/>
          <w:szCs w:val="22"/>
        </w:rPr>
        <w:t>).</w:t>
      </w:r>
    </w:p>
    <w:p w:rsidR="00197B5D" w:rsidRPr="0073784D" w:rsidRDefault="00D71C08" w:rsidP="0073784D">
      <w:pPr>
        <w:pStyle w:val="ListParagraph"/>
        <w:numPr>
          <w:ilvl w:val="1"/>
          <w:numId w:val="3"/>
        </w:numPr>
        <w:spacing w:before="240" w:after="120"/>
        <w:contextualSpacing w:val="0"/>
        <w:rPr>
          <w:rFonts w:asciiTheme="minorHAnsi" w:eastAsiaTheme="minorHAnsi" w:hAnsiTheme="minorHAnsi" w:cstheme="minorBidi"/>
          <w:snapToGrid/>
          <w:sz w:val="24"/>
          <w:szCs w:val="22"/>
        </w:rPr>
      </w:pPr>
      <w:r w:rsidRPr="00D71C08">
        <w:rPr>
          <w:rFonts w:asciiTheme="minorHAnsi" w:eastAsiaTheme="minorHAnsi" w:hAnsiTheme="minorHAnsi" w:cstheme="minorBidi"/>
          <w:snapToGrid/>
          <w:sz w:val="24"/>
          <w:szCs w:val="22"/>
        </w:rPr>
        <w:t>A minor resubmission was also rejected by the PBAC at its November 2016 meeting noting that the issues it previously identified in its consideration of the March 2016 submission had not been addressed. The PBAC further noted the continued uncertainty regarding long-term benefits of treatment on lung function and overall survival (paragraph 7.1, November 2016 PSD).</w:t>
      </w:r>
    </w:p>
    <w:p w:rsidR="00587DD9" w:rsidRPr="0073784D" w:rsidRDefault="00197B5D" w:rsidP="0073784D">
      <w:pPr>
        <w:pStyle w:val="ListParagraph"/>
        <w:numPr>
          <w:ilvl w:val="1"/>
          <w:numId w:val="3"/>
        </w:numPr>
        <w:spacing w:before="240" w:after="120"/>
        <w:contextualSpacing w:val="0"/>
        <w:rPr>
          <w:rFonts w:asciiTheme="minorHAnsi" w:eastAsiaTheme="minorHAnsi" w:hAnsiTheme="minorHAnsi" w:cstheme="minorBidi"/>
          <w:snapToGrid/>
          <w:sz w:val="24"/>
          <w:szCs w:val="22"/>
        </w:rPr>
      </w:pPr>
      <w:r w:rsidRPr="00197B5D">
        <w:rPr>
          <w:rFonts w:asciiTheme="minorHAnsi" w:eastAsiaTheme="minorHAnsi" w:hAnsiTheme="minorHAnsi" w:cstheme="minorBidi"/>
          <w:snapToGrid/>
          <w:sz w:val="24"/>
          <w:szCs w:val="22"/>
        </w:rPr>
        <w:t xml:space="preserve">At the </w:t>
      </w:r>
      <w:r>
        <w:rPr>
          <w:rFonts w:asciiTheme="minorHAnsi" w:eastAsiaTheme="minorHAnsi" w:hAnsiTheme="minorHAnsi" w:cstheme="minorBidi"/>
          <w:snapToGrid/>
          <w:sz w:val="24"/>
          <w:szCs w:val="22"/>
        </w:rPr>
        <w:t xml:space="preserve">July 2017 meeting, </w:t>
      </w:r>
      <w:proofErr w:type="spellStart"/>
      <w:r>
        <w:rPr>
          <w:rFonts w:asciiTheme="minorHAnsi" w:eastAsiaTheme="minorHAnsi" w:hAnsiTheme="minorHAnsi" w:cstheme="minorBidi"/>
          <w:snapToGrid/>
          <w:sz w:val="24"/>
          <w:szCs w:val="22"/>
        </w:rPr>
        <w:t>l</w:t>
      </w:r>
      <w:r w:rsidRPr="00197B5D">
        <w:rPr>
          <w:rFonts w:asciiTheme="minorHAnsi" w:eastAsiaTheme="minorHAnsi" w:hAnsiTheme="minorHAnsi" w:cstheme="minorBidi"/>
          <w:snapToGrid/>
          <w:sz w:val="24"/>
          <w:szCs w:val="22"/>
        </w:rPr>
        <w:t>umacaftor</w:t>
      </w:r>
      <w:proofErr w:type="spellEnd"/>
      <w:r w:rsidRPr="00197B5D">
        <w:rPr>
          <w:rFonts w:asciiTheme="minorHAnsi" w:eastAsiaTheme="minorHAnsi" w:hAnsiTheme="minorHAnsi" w:cstheme="minorBidi"/>
          <w:snapToGrid/>
          <w:sz w:val="24"/>
          <w:szCs w:val="22"/>
        </w:rPr>
        <w:t xml:space="preserve"> with </w:t>
      </w:r>
      <w:proofErr w:type="spellStart"/>
      <w:r w:rsidRPr="00197B5D">
        <w:rPr>
          <w:rFonts w:asciiTheme="minorHAnsi" w:eastAsiaTheme="minorHAnsi" w:hAnsiTheme="minorHAnsi" w:cstheme="minorBidi"/>
          <w:snapToGrid/>
          <w:sz w:val="24"/>
          <w:szCs w:val="22"/>
        </w:rPr>
        <w:t>ivacaftor</w:t>
      </w:r>
      <w:proofErr w:type="spellEnd"/>
      <w:r w:rsidRPr="00197B5D">
        <w:rPr>
          <w:rFonts w:asciiTheme="minorHAnsi" w:eastAsiaTheme="minorHAnsi" w:hAnsiTheme="minorHAnsi" w:cstheme="minorBidi"/>
          <w:snapToGrid/>
          <w:sz w:val="24"/>
          <w:szCs w:val="22"/>
        </w:rPr>
        <w:t xml:space="preserve"> was not recommended by the PBAC on the basis of uncertainty around the longer term impact of </w:t>
      </w:r>
      <w:proofErr w:type="spellStart"/>
      <w:r w:rsidRPr="00197B5D">
        <w:rPr>
          <w:rFonts w:asciiTheme="minorHAnsi" w:eastAsiaTheme="minorHAnsi" w:hAnsiTheme="minorHAnsi" w:cstheme="minorBidi"/>
          <w:snapToGrid/>
          <w:sz w:val="24"/>
          <w:szCs w:val="22"/>
        </w:rPr>
        <w:t>lumacaftor</w:t>
      </w:r>
      <w:proofErr w:type="spellEnd"/>
      <w:r w:rsidRPr="00197B5D">
        <w:rPr>
          <w:rFonts w:asciiTheme="minorHAnsi" w:eastAsiaTheme="minorHAnsi" w:hAnsiTheme="minorHAnsi" w:cstheme="minorBidi"/>
          <w:snapToGrid/>
          <w:sz w:val="24"/>
          <w:szCs w:val="22"/>
        </w:rPr>
        <w:t>/</w:t>
      </w:r>
      <w:proofErr w:type="spellStart"/>
      <w:r w:rsidRPr="00197B5D">
        <w:rPr>
          <w:rFonts w:asciiTheme="minorHAnsi" w:eastAsiaTheme="minorHAnsi" w:hAnsiTheme="minorHAnsi" w:cstheme="minorBidi"/>
          <w:snapToGrid/>
          <w:sz w:val="24"/>
          <w:szCs w:val="22"/>
        </w:rPr>
        <w:t>ivacaftor</w:t>
      </w:r>
      <w:proofErr w:type="spellEnd"/>
      <w:r w:rsidRPr="00197B5D">
        <w:rPr>
          <w:rFonts w:asciiTheme="minorHAnsi" w:eastAsiaTheme="minorHAnsi" w:hAnsiTheme="minorHAnsi" w:cstheme="minorBidi"/>
          <w:snapToGrid/>
          <w:sz w:val="24"/>
          <w:szCs w:val="22"/>
        </w:rPr>
        <w:t xml:space="preserve"> on lung function and survival beyond 2 years of treatment and unacceptable cost effectiveness at the requested price.</w:t>
      </w:r>
    </w:p>
    <w:p w:rsidR="00C662A4" w:rsidRPr="001A7B1E" w:rsidRDefault="00C662A4" w:rsidP="001A7B1E">
      <w:pPr>
        <w:pStyle w:val="ListParagraph"/>
        <w:numPr>
          <w:ilvl w:val="1"/>
          <w:numId w:val="3"/>
        </w:numPr>
        <w:spacing w:before="240" w:after="120"/>
        <w:rPr>
          <w:rFonts w:asciiTheme="minorHAnsi" w:eastAsiaTheme="minorHAnsi" w:hAnsiTheme="minorHAnsi" w:cstheme="minorBidi"/>
          <w:snapToGrid/>
          <w:sz w:val="24"/>
          <w:szCs w:val="22"/>
        </w:rPr>
      </w:pPr>
      <w:r w:rsidRPr="0011219B">
        <w:rPr>
          <w:rFonts w:asciiTheme="minorHAnsi" w:eastAsiaTheme="minorHAnsi" w:hAnsiTheme="minorHAnsi" w:cstheme="minorBidi"/>
          <w:snapToGrid/>
          <w:szCs w:val="22"/>
        </w:rPr>
        <w:t xml:space="preserve">The PBAC </w:t>
      </w:r>
      <w:r w:rsidRPr="0011219B">
        <w:rPr>
          <w:rFonts w:asciiTheme="minorHAnsi" w:eastAsiaTheme="minorHAnsi" w:hAnsiTheme="minorHAnsi" w:cstheme="minorHAnsi"/>
          <w:snapToGrid/>
          <w:sz w:val="24"/>
          <w:szCs w:val="24"/>
        </w:rPr>
        <w:t xml:space="preserve">noted that updated evidence from the PROGRESS extension study </w:t>
      </w:r>
      <w:r w:rsidR="005A4A91" w:rsidRPr="0011219B">
        <w:rPr>
          <w:rFonts w:asciiTheme="minorHAnsi" w:eastAsiaTheme="minorHAnsi" w:hAnsiTheme="minorHAnsi" w:cstheme="minorHAnsi"/>
          <w:snapToGrid/>
          <w:sz w:val="24"/>
          <w:szCs w:val="24"/>
        </w:rPr>
        <w:t>as reported in the Lancet</w:t>
      </w:r>
      <w:r w:rsidR="0011219B" w:rsidRPr="0011219B">
        <w:rPr>
          <w:rFonts w:asciiTheme="minorHAnsi" w:eastAsiaTheme="minorHAnsi" w:hAnsiTheme="minorHAnsi" w:cstheme="minorHAnsi"/>
          <w:snapToGrid/>
          <w:sz w:val="24"/>
          <w:szCs w:val="24"/>
        </w:rPr>
        <w:t xml:space="preserve"> (</w:t>
      </w:r>
      <w:proofErr w:type="spellStart"/>
      <w:r w:rsidR="0011219B" w:rsidRPr="0011219B">
        <w:rPr>
          <w:rFonts w:asciiTheme="minorHAnsi" w:eastAsiaTheme="minorHAnsi" w:hAnsiTheme="minorHAnsi" w:cstheme="minorHAnsi"/>
          <w:snapToGrid/>
          <w:sz w:val="24"/>
          <w:szCs w:val="24"/>
        </w:rPr>
        <w:t>Konstan</w:t>
      </w:r>
      <w:proofErr w:type="spellEnd"/>
      <w:r w:rsidR="0011219B" w:rsidRPr="0011219B">
        <w:rPr>
          <w:rFonts w:asciiTheme="minorHAnsi" w:eastAsiaTheme="minorHAnsi" w:hAnsiTheme="minorHAnsi" w:cstheme="minorHAnsi"/>
          <w:snapToGrid/>
          <w:sz w:val="24"/>
          <w:szCs w:val="24"/>
        </w:rPr>
        <w:t>, et al. (2017)</w:t>
      </w:r>
      <w:r w:rsidR="0011219B" w:rsidRPr="0011219B">
        <w:rPr>
          <w:rStyle w:val="FootnoteReference"/>
          <w:rFonts w:asciiTheme="minorHAnsi" w:eastAsiaTheme="minorHAnsi" w:hAnsiTheme="minorHAnsi" w:cstheme="minorHAnsi"/>
          <w:snapToGrid/>
          <w:sz w:val="24"/>
          <w:szCs w:val="24"/>
        </w:rPr>
        <w:footnoteReference w:id="1"/>
      </w:r>
      <w:r w:rsidR="0011219B" w:rsidRPr="0011219B">
        <w:rPr>
          <w:rFonts w:asciiTheme="minorHAnsi" w:eastAsiaTheme="minorHAnsi" w:hAnsiTheme="minorHAnsi" w:cstheme="minorHAnsi"/>
          <w:snapToGrid/>
          <w:sz w:val="24"/>
          <w:szCs w:val="24"/>
        </w:rPr>
        <w:t>)</w:t>
      </w:r>
      <w:r w:rsidR="0011219B" w:rsidRPr="0011219B">
        <w:rPr>
          <w:rFonts w:asciiTheme="minorHAnsi" w:eastAsiaTheme="minorHAnsi" w:hAnsiTheme="minorHAnsi" w:cstheme="minorBidi"/>
          <w:snapToGrid/>
          <w:sz w:val="24"/>
          <w:szCs w:val="22"/>
        </w:rPr>
        <w:t>.</w:t>
      </w:r>
      <w:r w:rsidR="005A4A91" w:rsidRPr="0011219B">
        <w:rPr>
          <w:rFonts w:asciiTheme="minorHAnsi" w:eastAsiaTheme="minorHAnsi" w:hAnsiTheme="minorHAnsi" w:cstheme="minorBidi"/>
          <w:snapToGrid/>
          <w:sz w:val="24"/>
          <w:szCs w:val="22"/>
        </w:rPr>
        <w:t xml:space="preserve"> </w:t>
      </w:r>
      <w:r w:rsidRPr="0011219B">
        <w:rPr>
          <w:rFonts w:asciiTheme="minorHAnsi" w:eastAsiaTheme="minorHAnsi" w:hAnsiTheme="minorHAnsi" w:cstheme="minorBidi"/>
          <w:snapToGrid/>
          <w:sz w:val="24"/>
          <w:szCs w:val="22"/>
        </w:rPr>
        <w:t xml:space="preserve">demonstrated that the modest 2.81 percentage point improvement in ppFEV1 in </w:t>
      </w:r>
      <w:proofErr w:type="spellStart"/>
      <w:r w:rsidRPr="0011219B">
        <w:rPr>
          <w:rFonts w:asciiTheme="minorHAnsi" w:eastAsiaTheme="minorHAnsi" w:hAnsiTheme="minorHAnsi" w:cstheme="minorBidi"/>
          <w:snapToGrid/>
          <w:sz w:val="24"/>
          <w:szCs w:val="22"/>
        </w:rPr>
        <w:t>lumacaftor</w:t>
      </w:r>
      <w:proofErr w:type="spellEnd"/>
      <w:r w:rsidRPr="0011219B">
        <w:rPr>
          <w:rFonts w:asciiTheme="minorHAnsi" w:eastAsiaTheme="minorHAnsi" w:hAnsiTheme="minorHAnsi" w:cstheme="minorBidi"/>
          <w:snapToGrid/>
          <w:sz w:val="24"/>
          <w:szCs w:val="22"/>
        </w:rPr>
        <w:t>/</w:t>
      </w:r>
      <w:proofErr w:type="spellStart"/>
      <w:r w:rsidRPr="0011219B">
        <w:rPr>
          <w:rFonts w:asciiTheme="minorHAnsi" w:eastAsiaTheme="minorHAnsi" w:hAnsiTheme="minorHAnsi" w:cstheme="minorBidi"/>
          <w:snapToGrid/>
          <w:sz w:val="24"/>
          <w:szCs w:val="22"/>
        </w:rPr>
        <w:t>ivacaftor</w:t>
      </w:r>
      <w:proofErr w:type="spellEnd"/>
      <w:r w:rsidRPr="0011219B">
        <w:rPr>
          <w:rFonts w:asciiTheme="minorHAnsi" w:eastAsiaTheme="minorHAnsi" w:hAnsiTheme="minorHAnsi" w:cstheme="minorBidi"/>
          <w:snapToGrid/>
          <w:sz w:val="24"/>
          <w:szCs w:val="22"/>
        </w:rPr>
        <w:t xml:space="preserve"> treated patients versus placebo at 24 weeks observed in TRAFFIC/TRANSPORT was not maintained after an additional 96 weeks of treatment. The PBAC considered the claim that </w:t>
      </w:r>
      <w:proofErr w:type="spellStart"/>
      <w:r w:rsidRPr="0011219B">
        <w:rPr>
          <w:rFonts w:asciiTheme="minorHAnsi" w:eastAsiaTheme="minorHAnsi" w:hAnsiTheme="minorHAnsi" w:cstheme="minorBidi"/>
          <w:snapToGrid/>
          <w:sz w:val="24"/>
          <w:szCs w:val="22"/>
        </w:rPr>
        <w:t>lumacaftor</w:t>
      </w:r>
      <w:proofErr w:type="spellEnd"/>
      <w:r w:rsidRPr="0011219B">
        <w:rPr>
          <w:rFonts w:asciiTheme="minorHAnsi" w:eastAsiaTheme="minorHAnsi" w:hAnsiTheme="minorHAnsi" w:cstheme="minorBidi"/>
          <w:snapToGrid/>
          <w:sz w:val="24"/>
          <w:szCs w:val="22"/>
        </w:rPr>
        <w:t>/</w:t>
      </w:r>
      <w:proofErr w:type="spellStart"/>
      <w:r w:rsidRPr="0011219B">
        <w:rPr>
          <w:rFonts w:asciiTheme="minorHAnsi" w:eastAsiaTheme="minorHAnsi" w:hAnsiTheme="minorHAnsi" w:cstheme="minorBidi"/>
          <w:snapToGrid/>
          <w:sz w:val="24"/>
          <w:szCs w:val="22"/>
        </w:rPr>
        <w:t>ivacaftor</w:t>
      </w:r>
      <w:proofErr w:type="spellEnd"/>
      <w:r w:rsidRPr="0011219B">
        <w:rPr>
          <w:rFonts w:asciiTheme="minorHAnsi" w:eastAsiaTheme="minorHAnsi" w:hAnsiTheme="minorHAnsi" w:cstheme="minorBidi"/>
          <w:snapToGrid/>
          <w:sz w:val="24"/>
          <w:szCs w:val="22"/>
        </w:rPr>
        <w:t xml:space="preserve"> slows the rate of decline in ppFEV1 beyond 24 weeks, compared with patients treated with BSC, was not adequa</w:t>
      </w:r>
      <w:r w:rsidRPr="00AC257B">
        <w:rPr>
          <w:rFonts w:asciiTheme="minorHAnsi" w:eastAsiaTheme="minorHAnsi" w:hAnsiTheme="minorHAnsi" w:cstheme="minorBidi"/>
          <w:snapToGrid/>
          <w:sz w:val="24"/>
          <w:szCs w:val="22"/>
        </w:rPr>
        <w:t xml:space="preserve">tely supported by the evidence presented in the resubmission. </w:t>
      </w:r>
    </w:p>
    <w:p w:rsidR="00C662A4" w:rsidRPr="0073784D" w:rsidRDefault="00C662A4" w:rsidP="0073784D">
      <w:pPr>
        <w:pStyle w:val="ListParagraph"/>
        <w:numPr>
          <w:ilvl w:val="1"/>
          <w:numId w:val="3"/>
        </w:numPr>
        <w:spacing w:before="240" w:after="120"/>
        <w:contextualSpacing w:val="0"/>
        <w:rPr>
          <w:rFonts w:asciiTheme="minorHAnsi" w:eastAsiaTheme="minorHAnsi" w:hAnsiTheme="minorHAnsi" w:cstheme="minorBidi"/>
          <w:snapToGrid/>
          <w:sz w:val="24"/>
          <w:szCs w:val="22"/>
        </w:rPr>
      </w:pPr>
      <w:r w:rsidRPr="00C662A4">
        <w:rPr>
          <w:rFonts w:asciiTheme="minorHAnsi" w:eastAsiaTheme="minorHAnsi" w:hAnsiTheme="minorHAnsi" w:cstheme="minorBidi"/>
          <w:snapToGrid/>
          <w:sz w:val="24"/>
          <w:szCs w:val="22"/>
        </w:rPr>
        <w:lastRenderedPageBreak/>
        <w:t xml:space="preserve">However, the PBAC noted that on the basis of the direct randomised trials presented by the resubmission, a patient treated with </w:t>
      </w:r>
      <w:proofErr w:type="spellStart"/>
      <w:r w:rsidRPr="00C662A4">
        <w:rPr>
          <w:rFonts w:asciiTheme="minorHAnsi" w:eastAsiaTheme="minorHAnsi" w:hAnsiTheme="minorHAnsi" w:cstheme="minorBidi"/>
          <w:snapToGrid/>
          <w:sz w:val="24"/>
          <w:szCs w:val="22"/>
        </w:rPr>
        <w:t>lumacaftor</w:t>
      </w:r>
      <w:proofErr w:type="spellEnd"/>
      <w:r w:rsidRPr="00C662A4">
        <w:rPr>
          <w:rFonts w:asciiTheme="minorHAnsi" w:eastAsiaTheme="minorHAnsi" w:hAnsiTheme="minorHAnsi" w:cstheme="minorBidi"/>
          <w:snapToGrid/>
          <w:sz w:val="24"/>
          <w:szCs w:val="22"/>
        </w:rPr>
        <w:t>/</w:t>
      </w:r>
      <w:proofErr w:type="spellStart"/>
      <w:r w:rsidRPr="00C662A4">
        <w:rPr>
          <w:rFonts w:asciiTheme="minorHAnsi" w:eastAsiaTheme="minorHAnsi" w:hAnsiTheme="minorHAnsi" w:cstheme="minorBidi"/>
          <w:snapToGrid/>
          <w:sz w:val="24"/>
          <w:szCs w:val="22"/>
        </w:rPr>
        <w:t>ivacaftor</w:t>
      </w:r>
      <w:proofErr w:type="spellEnd"/>
      <w:r w:rsidRPr="00C662A4">
        <w:rPr>
          <w:rFonts w:asciiTheme="minorHAnsi" w:eastAsiaTheme="minorHAnsi" w:hAnsiTheme="minorHAnsi" w:cstheme="minorBidi"/>
          <w:snapToGrid/>
          <w:sz w:val="24"/>
          <w:szCs w:val="22"/>
        </w:rPr>
        <w:t xml:space="preserve"> could expect to have one fewer pulmonary exacerbation over 2.5 years, and one fewer hospitalisation due to a pulmonary exacerbation over 3 years. The PBAC therefore considered that the claim of superior comparative effectiveness was reasonable.</w:t>
      </w:r>
    </w:p>
    <w:p w:rsidR="005A4A91" w:rsidRPr="0073784D" w:rsidRDefault="00C662A4" w:rsidP="0073784D">
      <w:pPr>
        <w:pStyle w:val="ListParagraph"/>
        <w:numPr>
          <w:ilvl w:val="1"/>
          <w:numId w:val="3"/>
        </w:numPr>
        <w:spacing w:before="240" w:after="120"/>
        <w:contextualSpacing w:val="0"/>
        <w:rPr>
          <w:rFonts w:asciiTheme="minorHAnsi" w:eastAsiaTheme="minorHAnsi" w:hAnsiTheme="minorHAnsi" w:cstheme="minorBidi"/>
          <w:snapToGrid/>
          <w:sz w:val="24"/>
          <w:szCs w:val="22"/>
        </w:rPr>
      </w:pPr>
      <w:r w:rsidRPr="00C662A4">
        <w:rPr>
          <w:rFonts w:asciiTheme="minorHAnsi" w:eastAsiaTheme="minorHAnsi" w:hAnsiTheme="minorHAnsi" w:cstheme="minorBidi"/>
          <w:snapToGrid/>
          <w:sz w:val="24"/>
          <w:szCs w:val="22"/>
        </w:rPr>
        <w:t xml:space="preserve">The PBAC noted that the economic model included in the resubmission was based on the assumption that lung function was maintained for patients treated with </w:t>
      </w:r>
      <w:proofErr w:type="spellStart"/>
      <w:r w:rsidRPr="00C662A4">
        <w:rPr>
          <w:rFonts w:asciiTheme="minorHAnsi" w:eastAsiaTheme="minorHAnsi" w:hAnsiTheme="minorHAnsi" w:cstheme="minorBidi"/>
          <w:snapToGrid/>
          <w:sz w:val="24"/>
          <w:szCs w:val="22"/>
        </w:rPr>
        <w:t>lumacaftor</w:t>
      </w:r>
      <w:proofErr w:type="spellEnd"/>
      <w:r w:rsidRPr="00C662A4">
        <w:rPr>
          <w:rFonts w:asciiTheme="minorHAnsi" w:eastAsiaTheme="minorHAnsi" w:hAnsiTheme="minorHAnsi" w:cstheme="minorBidi"/>
          <w:snapToGrid/>
          <w:sz w:val="24"/>
          <w:szCs w:val="22"/>
        </w:rPr>
        <w:t>/</w:t>
      </w:r>
      <w:proofErr w:type="spellStart"/>
      <w:r w:rsidRPr="00C662A4">
        <w:rPr>
          <w:rFonts w:asciiTheme="minorHAnsi" w:eastAsiaTheme="minorHAnsi" w:hAnsiTheme="minorHAnsi" w:cstheme="minorBidi"/>
          <w:snapToGrid/>
          <w:sz w:val="24"/>
          <w:szCs w:val="22"/>
        </w:rPr>
        <w:t>ivacaftor</w:t>
      </w:r>
      <w:proofErr w:type="spellEnd"/>
      <w:r w:rsidRPr="00C662A4">
        <w:rPr>
          <w:rFonts w:asciiTheme="minorHAnsi" w:eastAsiaTheme="minorHAnsi" w:hAnsiTheme="minorHAnsi" w:cstheme="minorBidi"/>
          <w:snapToGrid/>
          <w:sz w:val="24"/>
          <w:szCs w:val="22"/>
        </w:rPr>
        <w:t xml:space="preserve"> for the reminder of their life, and this was inconsistent with the longer-term clinical evidence. Accordingly, the PBAC defined a scenario which it considered more informative for decision making, by changing inputs to the resubmission’s economic model to better reflect the available clinical data. This scenario resulted in an unacceptably high incremental cost effectiveness ratio (ICER) of significantly more than $</w:t>
      </w:r>
      <w:r w:rsidR="00EB15BB">
        <w:rPr>
          <w:rFonts w:asciiTheme="minorHAnsi" w:eastAsiaTheme="minorHAnsi" w:hAnsiTheme="minorHAnsi" w:cstheme="minorBidi"/>
          <w:snapToGrid/>
          <w:sz w:val="24"/>
          <w:szCs w:val="22"/>
        </w:rPr>
        <w:t>200,000</w:t>
      </w:r>
      <w:r w:rsidRPr="00C662A4">
        <w:rPr>
          <w:rFonts w:asciiTheme="minorHAnsi" w:eastAsiaTheme="minorHAnsi" w:hAnsiTheme="minorHAnsi" w:cstheme="minorBidi"/>
          <w:snapToGrid/>
          <w:sz w:val="24"/>
          <w:szCs w:val="22"/>
        </w:rPr>
        <w:t xml:space="preserve"> per quality adjusted life year (QALY) gained</w:t>
      </w:r>
      <w:r>
        <w:rPr>
          <w:rFonts w:asciiTheme="minorHAnsi" w:eastAsiaTheme="minorHAnsi" w:hAnsiTheme="minorHAnsi" w:cstheme="minorBidi"/>
          <w:snapToGrid/>
          <w:sz w:val="24"/>
          <w:szCs w:val="22"/>
        </w:rPr>
        <w:t>.</w:t>
      </w:r>
    </w:p>
    <w:p w:rsidR="00C47C3B" w:rsidRPr="0073784D" w:rsidRDefault="00982457" w:rsidP="00C47C3B">
      <w:pPr>
        <w:pStyle w:val="ListParagraph"/>
        <w:numPr>
          <w:ilvl w:val="1"/>
          <w:numId w:val="3"/>
        </w:numPr>
        <w:spacing w:before="240" w:after="120"/>
        <w:contextualSpacing w:val="0"/>
        <w:rPr>
          <w:rFonts w:asciiTheme="minorHAnsi" w:eastAsiaTheme="minorHAnsi" w:hAnsiTheme="minorHAnsi" w:cstheme="minorBidi"/>
          <w:snapToGrid/>
          <w:sz w:val="24"/>
          <w:szCs w:val="22"/>
        </w:rPr>
      </w:pPr>
      <w:r w:rsidRPr="00982457">
        <w:rPr>
          <w:rFonts w:asciiTheme="minorHAnsi" w:eastAsiaTheme="minorHAnsi" w:hAnsiTheme="minorHAnsi" w:cstheme="minorBidi"/>
          <w:snapToGrid/>
          <w:sz w:val="24"/>
          <w:szCs w:val="22"/>
        </w:rPr>
        <w:t xml:space="preserve">At the July 2017 meeting and on the request of the Minister (delegate) under section 101(3) of the Act, the PBAC considered the price or range of prices at which it considered treatment with </w:t>
      </w:r>
      <w:proofErr w:type="spellStart"/>
      <w:r w:rsidRPr="00982457">
        <w:rPr>
          <w:rFonts w:asciiTheme="minorHAnsi" w:eastAsiaTheme="minorHAnsi" w:hAnsiTheme="minorHAnsi" w:cstheme="minorBidi"/>
          <w:snapToGrid/>
          <w:sz w:val="24"/>
          <w:szCs w:val="22"/>
        </w:rPr>
        <w:t>lumacaftor</w:t>
      </w:r>
      <w:proofErr w:type="spellEnd"/>
      <w:r w:rsidRPr="00982457">
        <w:rPr>
          <w:rFonts w:asciiTheme="minorHAnsi" w:eastAsiaTheme="minorHAnsi" w:hAnsiTheme="minorHAnsi" w:cstheme="minorBidi"/>
          <w:snapToGrid/>
          <w:sz w:val="24"/>
          <w:szCs w:val="22"/>
        </w:rPr>
        <w:t>/</w:t>
      </w:r>
      <w:proofErr w:type="spellStart"/>
      <w:r w:rsidRPr="00982457">
        <w:rPr>
          <w:rFonts w:asciiTheme="minorHAnsi" w:eastAsiaTheme="minorHAnsi" w:hAnsiTheme="minorHAnsi" w:cstheme="minorBidi"/>
          <w:snapToGrid/>
          <w:sz w:val="24"/>
          <w:szCs w:val="22"/>
        </w:rPr>
        <w:t>ivacaftor</w:t>
      </w:r>
      <w:proofErr w:type="spellEnd"/>
      <w:r w:rsidRPr="00982457">
        <w:rPr>
          <w:rFonts w:asciiTheme="minorHAnsi" w:eastAsiaTheme="minorHAnsi" w:hAnsiTheme="minorHAnsi" w:cstheme="minorBidi"/>
          <w:snapToGrid/>
          <w:sz w:val="24"/>
          <w:szCs w:val="22"/>
        </w:rPr>
        <w:t xml:space="preserve"> would be acceptably cost-effective for the purposes of the Act.  The PBAC advised that the maximum ICER it would consider to be acceptably cost effective, noting the precedent of </w:t>
      </w:r>
      <w:proofErr w:type="spellStart"/>
      <w:r w:rsidRPr="00982457">
        <w:rPr>
          <w:rFonts w:asciiTheme="minorHAnsi" w:eastAsiaTheme="minorHAnsi" w:hAnsiTheme="minorHAnsi" w:cstheme="minorBidi"/>
          <w:snapToGrid/>
          <w:sz w:val="24"/>
          <w:szCs w:val="22"/>
        </w:rPr>
        <w:t>ivacaftor</w:t>
      </w:r>
      <w:proofErr w:type="spellEnd"/>
      <w:r w:rsidRPr="00982457">
        <w:rPr>
          <w:rFonts w:asciiTheme="minorHAnsi" w:eastAsiaTheme="minorHAnsi" w:hAnsiTheme="minorHAnsi" w:cstheme="minorBidi"/>
          <w:snapToGrid/>
          <w:sz w:val="24"/>
          <w:szCs w:val="22"/>
        </w:rPr>
        <w:t>, would be around $</w:t>
      </w:r>
      <w:r w:rsidR="00E66AD4">
        <w:rPr>
          <w:rFonts w:asciiTheme="minorHAnsi" w:eastAsiaTheme="minorHAnsi" w:hAnsiTheme="minorHAnsi" w:cstheme="minorBidi"/>
          <w:snapToGrid/>
          <w:sz w:val="24"/>
          <w:szCs w:val="22"/>
        </w:rPr>
        <w:t>105,000 -$200,000</w:t>
      </w:r>
      <w:r w:rsidRPr="00982457">
        <w:rPr>
          <w:rFonts w:asciiTheme="minorHAnsi" w:eastAsiaTheme="minorHAnsi" w:hAnsiTheme="minorHAnsi" w:cstheme="minorBidi"/>
          <w:snapToGrid/>
          <w:sz w:val="24"/>
          <w:szCs w:val="22"/>
        </w:rPr>
        <w:t xml:space="preserve"> per QALY gained. Based on its revised scenario, the PBAC advised that the maximum DPMQ that it would consider to be acceptably cost-effective would be around $</w:t>
      </w:r>
      <w:r w:rsidR="004978B4">
        <w:rPr>
          <w:rFonts w:asciiTheme="minorHAnsi" w:eastAsiaTheme="minorHAnsi" w:hAnsiTheme="minorHAnsi" w:cstheme="minorBidi"/>
          <w:noProof/>
          <w:snapToGrid/>
          <w:color w:val="000000"/>
          <w:sz w:val="24"/>
          <w:szCs w:val="22"/>
          <w:highlight w:val="black"/>
        </w:rPr>
        <w:t>'''''''''''</w:t>
      </w:r>
      <w:r w:rsidRPr="00982457">
        <w:rPr>
          <w:rFonts w:asciiTheme="minorHAnsi" w:eastAsiaTheme="minorHAnsi" w:hAnsiTheme="minorHAnsi" w:cstheme="minorBidi"/>
          <w:snapToGrid/>
          <w:sz w:val="24"/>
          <w:szCs w:val="22"/>
        </w:rPr>
        <w:t xml:space="preserve"> (or around $</w:t>
      </w:r>
      <w:r w:rsidR="004978B4">
        <w:rPr>
          <w:rFonts w:asciiTheme="minorHAnsi" w:eastAsiaTheme="minorHAnsi" w:hAnsiTheme="minorHAnsi" w:cstheme="minorBidi"/>
          <w:noProof/>
          <w:snapToGrid/>
          <w:color w:val="000000"/>
          <w:sz w:val="24"/>
          <w:szCs w:val="22"/>
          <w:highlight w:val="black"/>
        </w:rPr>
        <w:t>''''''''''''</w:t>
      </w:r>
      <w:r w:rsidRPr="00982457">
        <w:rPr>
          <w:rFonts w:asciiTheme="minorHAnsi" w:eastAsiaTheme="minorHAnsi" w:hAnsiTheme="minorHAnsi" w:cstheme="minorBidi"/>
          <w:snapToGrid/>
          <w:sz w:val="24"/>
          <w:szCs w:val="22"/>
        </w:rPr>
        <w:t xml:space="preserve"> per patient per year, assuming 11 packs per patient per year) which would result in an ICER of $</w:t>
      </w:r>
      <w:r w:rsidR="004D3203">
        <w:rPr>
          <w:rFonts w:asciiTheme="minorHAnsi" w:eastAsiaTheme="minorHAnsi" w:hAnsiTheme="minorHAnsi" w:cstheme="minorBidi"/>
          <w:snapToGrid/>
          <w:sz w:val="24"/>
          <w:szCs w:val="22"/>
        </w:rPr>
        <w:t>105,000/</w:t>
      </w:r>
      <w:proofErr w:type="gramStart"/>
      <w:r w:rsidR="004D3203">
        <w:rPr>
          <w:rFonts w:asciiTheme="minorHAnsi" w:eastAsiaTheme="minorHAnsi" w:hAnsiTheme="minorHAnsi" w:cstheme="minorBidi"/>
          <w:snapToGrid/>
          <w:sz w:val="24"/>
          <w:szCs w:val="22"/>
        </w:rPr>
        <w:t>QALY</w:t>
      </w:r>
      <w:r w:rsidRPr="00982457">
        <w:rPr>
          <w:rFonts w:asciiTheme="minorHAnsi" w:eastAsiaTheme="minorHAnsi" w:hAnsiTheme="minorHAnsi" w:cstheme="minorBidi"/>
          <w:snapToGrid/>
          <w:sz w:val="24"/>
          <w:szCs w:val="22"/>
        </w:rPr>
        <w:t xml:space="preserve"> </w:t>
      </w:r>
      <w:r w:rsidR="004D3203">
        <w:rPr>
          <w:rFonts w:asciiTheme="minorHAnsi" w:eastAsiaTheme="minorHAnsi" w:hAnsiTheme="minorHAnsi" w:cstheme="minorBidi"/>
          <w:snapToGrid/>
          <w:sz w:val="24"/>
          <w:szCs w:val="22"/>
        </w:rPr>
        <w:t xml:space="preserve"> -</w:t>
      </w:r>
      <w:proofErr w:type="gramEnd"/>
      <w:r w:rsidR="004D3203">
        <w:rPr>
          <w:rFonts w:asciiTheme="minorHAnsi" w:eastAsiaTheme="minorHAnsi" w:hAnsiTheme="minorHAnsi" w:cstheme="minorBidi"/>
          <w:snapToGrid/>
          <w:sz w:val="24"/>
          <w:szCs w:val="22"/>
        </w:rPr>
        <w:t xml:space="preserve"> $200,000/QALY</w:t>
      </w:r>
      <w:r w:rsidR="0073784D">
        <w:rPr>
          <w:rFonts w:asciiTheme="minorHAnsi" w:eastAsiaTheme="minorHAnsi" w:hAnsiTheme="minorHAnsi" w:cstheme="minorBidi"/>
          <w:snapToGrid/>
          <w:sz w:val="24"/>
          <w:szCs w:val="22"/>
        </w:rPr>
        <w:t>.</w:t>
      </w:r>
    </w:p>
    <w:p w:rsidR="009E3DF4" w:rsidRPr="0073784D" w:rsidRDefault="00C47C3B" w:rsidP="00497FB4">
      <w:pPr>
        <w:pStyle w:val="ListParagraph"/>
        <w:numPr>
          <w:ilvl w:val="1"/>
          <w:numId w:val="3"/>
        </w:numPr>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copy of the minutes from the July 2017 meeting is provided in Appendix 1. </w:t>
      </w:r>
    </w:p>
    <w:p w:rsidR="00CE10C4" w:rsidRPr="00FD6D8E" w:rsidRDefault="006436CD"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 xml:space="preserve">Population and disease </w:t>
      </w:r>
    </w:p>
    <w:p w:rsidR="00C662A4" w:rsidRPr="0073784D" w:rsidRDefault="00C662A4" w:rsidP="0073784D">
      <w:pPr>
        <w:pStyle w:val="ListParagraph"/>
        <w:numPr>
          <w:ilvl w:val="1"/>
          <w:numId w:val="3"/>
        </w:numPr>
        <w:spacing w:before="240" w:after="120"/>
        <w:contextualSpacing w:val="0"/>
        <w:rPr>
          <w:rFonts w:asciiTheme="minorHAnsi" w:eastAsiaTheme="minorHAnsi" w:hAnsiTheme="minorHAnsi" w:cstheme="minorBidi"/>
          <w:snapToGrid/>
          <w:sz w:val="24"/>
          <w:szCs w:val="22"/>
        </w:rPr>
      </w:pPr>
      <w:r w:rsidRPr="00C662A4">
        <w:rPr>
          <w:rFonts w:asciiTheme="minorHAnsi" w:eastAsiaTheme="minorHAnsi" w:hAnsiTheme="minorHAnsi" w:cstheme="minorBidi"/>
          <w:snapToGrid/>
          <w:sz w:val="24"/>
          <w:szCs w:val="22"/>
        </w:rPr>
        <w:t>Cystic fibrosis is an autosomal recessive disease caused by mutations in the CFTR gene. Cystic fibrosis is a progressive multi-organ disease that primarily affects the pulmonary and digestive systems.</w:t>
      </w:r>
    </w:p>
    <w:p w:rsidR="00C662A4" w:rsidRPr="0073784D" w:rsidRDefault="00C662A4" w:rsidP="0073784D">
      <w:pPr>
        <w:pStyle w:val="ListParagraph"/>
        <w:numPr>
          <w:ilvl w:val="1"/>
          <w:numId w:val="3"/>
        </w:numPr>
        <w:spacing w:before="240" w:after="120"/>
        <w:contextualSpacing w:val="0"/>
        <w:rPr>
          <w:rFonts w:asciiTheme="minorHAnsi" w:eastAsiaTheme="minorHAnsi" w:hAnsiTheme="minorHAnsi" w:cstheme="minorBidi"/>
          <w:snapToGrid/>
          <w:sz w:val="24"/>
          <w:szCs w:val="22"/>
        </w:rPr>
      </w:pPr>
      <w:r w:rsidRPr="00C662A4">
        <w:rPr>
          <w:rFonts w:asciiTheme="minorHAnsi" w:eastAsiaTheme="minorHAnsi" w:hAnsiTheme="minorHAnsi" w:cstheme="minorBidi"/>
          <w:snapToGrid/>
          <w:sz w:val="24"/>
          <w:szCs w:val="22"/>
        </w:rPr>
        <w:t xml:space="preserve">As per the </w:t>
      </w:r>
      <w:r>
        <w:rPr>
          <w:rFonts w:asciiTheme="minorHAnsi" w:eastAsiaTheme="minorHAnsi" w:hAnsiTheme="minorHAnsi" w:cstheme="minorBidi"/>
          <w:snapToGrid/>
          <w:sz w:val="24"/>
          <w:szCs w:val="22"/>
        </w:rPr>
        <w:t xml:space="preserve">three previous </w:t>
      </w:r>
      <w:r w:rsidRPr="00C662A4">
        <w:rPr>
          <w:rFonts w:asciiTheme="minorHAnsi" w:eastAsiaTheme="minorHAnsi" w:hAnsiTheme="minorHAnsi" w:cstheme="minorBidi"/>
          <w:snapToGrid/>
          <w:sz w:val="24"/>
          <w:szCs w:val="22"/>
        </w:rPr>
        <w:t>submission</w:t>
      </w:r>
      <w:r>
        <w:rPr>
          <w:rFonts w:asciiTheme="minorHAnsi" w:eastAsiaTheme="minorHAnsi" w:hAnsiTheme="minorHAnsi" w:cstheme="minorBidi"/>
          <w:snapToGrid/>
          <w:sz w:val="24"/>
          <w:szCs w:val="22"/>
        </w:rPr>
        <w:t>s</w:t>
      </w:r>
      <w:r w:rsidRPr="00C662A4">
        <w:rPr>
          <w:rFonts w:asciiTheme="minorHAnsi" w:eastAsiaTheme="minorHAnsi" w:hAnsiTheme="minorHAnsi" w:cstheme="minorBidi"/>
          <w:snapToGrid/>
          <w:sz w:val="24"/>
          <w:szCs w:val="22"/>
        </w:rPr>
        <w:t>, th</w:t>
      </w:r>
      <w:r>
        <w:rPr>
          <w:rFonts w:asciiTheme="minorHAnsi" w:eastAsiaTheme="minorHAnsi" w:hAnsiTheme="minorHAnsi" w:cstheme="minorBidi"/>
          <w:snapToGrid/>
          <w:sz w:val="24"/>
          <w:szCs w:val="22"/>
        </w:rPr>
        <w:t xml:space="preserve">is submission </w:t>
      </w:r>
      <w:r w:rsidRPr="00C662A4">
        <w:rPr>
          <w:rFonts w:asciiTheme="minorHAnsi" w:eastAsiaTheme="minorHAnsi" w:hAnsiTheme="minorHAnsi" w:cstheme="minorBidi"/>
          <w:snapToGrid/>
          <w:sz w:val="24"/>
          <w:szCs w:val="22"/>
        </w:rPr>
        <w:t xml:space="preserve">proposed that </w:t>
      </w:r>
      <w:proofErr w:type="spellStart"/>
      <w:r w:rsidRPr="00C662A4">
        <w:rPr>
          <w:rFonts w:asciiTheme="minorHAnsi" w:eastAsiaTheme="minorHAnsi" w:hAnsiTheme="minorHAnsi" w:cstheme="minorBidi"/>
          <w:snapToGrid/>
          <w:sz w:val="24"/>
          <w:szCs w:val="22"/>
        </w:rPr>
        <w:t>lumacaftor</w:t>
      </w:r>
      <w:proofErr w:type="spellEnd"/>
      <w:r w:rsidRPr="00C662A4">
        <w:rPr>
          <w:rFonts w:asciiTheme="minorHAnsi" w:eastAsiaTheme="minorHAnsi" w:hAnsiTheme="minorHAnsi" w:cstheme="minorBidi"/>
          <w:snapToGrid/>
          <w:sz w:val="24"/>
          <w:szCs w:val="22"/>
        </w:rPr>
        <w:t>/</w:t>
      </w:r>
      <w:proofErr w:type="spellStart"/>
      <w:r w:rsidRPr="00C662A4">
        <w:rPr>
          <w:rFonts w:asciiTheme="minorHAnsi" w:eastAsiaTheme="minorHAnsi" w:hAnsiTheme="minorHAnsi" w:cstheme="minorBidi"/>
          <w:snapToGrid/>
          <w:sz w:val="24"/>
          <w:szCs w:val="22"/>
        </w:rPr>
        <w:t>ivacaftor</w:t>
      </w:r>
      <w:proofErr w:type="spellEnd"/>
      <w:r w:rsidRPr="00C662A4">
        <w:rPr>
          <w:rFonts w:asciiTheme="minorHAnsi" w:eastAsiaTheme="minorHAnsi" w:hAnsiTheme="minorHAnsi" w:cstheme="minorBidi"/>
          <w:snapToGrid/>
          <w:sz w:val="24"/>
          <w:szCs w:val="22"/>
        </w:rPr>
        <w:t xml:space="preserve"> be administered in addition to current best supportive care in patients aged 12 years and older who are homozygous for the F508 deletion mutation CFTR gene.</w:t>
      </w:r>
    </w:p>
    <w:p w:rsidR="00D54DEF" w:rsidRPr="002A38E7" w:rsidRDefault="00C662A4" w:rsidP="0073784D">
      <w:pPr>
        <w:pStyle w:val="ListParagraph"/>
        <w:numPr>
          <w:ilvl w:val="1"/>
          <w:numId w:val="3"/>
        </w:numPr>
        <w:spacing w:before="24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separate submission to the July 2018 meeting of the PBAC has requested </w:t>
      </w:r>
      <w:proofErr w:type="spellStart"/>
      <w:r w:rsidRPr="00C662A4">
        <w:rPr>
          <w:rFonts w:asciiTheme="minorHAnsi" w:eastAsiaTheme="minorHAnsi" w:hAnsiTheme="minorHAnsi" w:cstheme="minorBidi"/>
          <w:snapToGrid/>
          <w:sz w:val="24"/>
          <w:szCs w:val="22"/>
        </w:rPr>
        <w:t>lumacaftor</w:t>
      </w:r>
      <w:proofErr w:type="spellEnd"/>
      <w:r w:rsidRPr="00C662A4">
        <w:rPr>
          <w:rFonts w:asciiTheme="minorHAnsi" w:eastAsiaTheme="minorHAnsi" w:hAnsiTheme="minorHAnsi" w:cstheme="minorBidi"/>
          <w:snapToGrid/>
          <w:sz w:val="24"/>
          <w:szCs w:val="22"/>
        </w:rPr>
        <w:t>/</w:t>
      </w:r>
      <w:proofErr w:type="spellStart"/>
      <w:r w:rsidRPr="00C662A4">
        <w:rPr>
          <w:rFonts w:asciiTheme="minorHAnsi" w:eastAsiaTheme="minorHAnsi" w:hAnsiTheme="minorHAnsi" w:cstheme="minorBidi"/>
          <w:snapToGrid/>
          <w:sz w:val="24"/>
          <w:szCs w:val="22"/>
        </w:rPr>
        <w:t>ivacaftor</w:t>
      </w:r>
      <w:proofErr w:type="spellEnd"/>
      <w:r w:rsidRPr="00C662A4">
        <w:rPr>
          <w:rFonts w:asciiTheme="minorHAnsi" w:eastAsiaTheme="minorHAnsi" w:hAnsiTheme="minorHAnsi" w:cstheme="minorBidi"/>
          <w:snapToGrid/>
          <w:sz w:val="24"/>
          <w:szCs w:val="22"/>
        </w:rPr>
        <w:t xml:space="preserve"> </w:t>
      </w:r>
      <w:proofErr w:type="gramStart"/>
      <w:r w:rsidRPr="00C662A4">
        <w:rPr>
          <w:rFonts w:asciiTheme="minorHAnsi" w:eastAsiaTheme="minorHAnsi" w:hAnsiTheme="minorHAnsi" w:cstheme="minorBidi"/>
          <w:snapToGrid/>
          <w:sz w:val="24"/>
          <w:szCs w:val="22"/>
        </w:rPr>
        <w:t>be</w:t>
      </w:r>
      <w:proofErr w:type="gramEnd"/>
      <w:r w:rsidR="00D54DEF">
        <w:rPr>
          <w:rFonts w:asciiTheme="minorHAnsi" w:eastAsiaTheme="minorHAnsi" w:hAnsiTheme="minorHAnsi" w:cstheme="minorBidi"/>
          <w:snapToGrid/>
          <w:sz w:val="24"/>
          <w:szCs w:val="22"/>
        </w:rPr>
        <w:t xml:space="preserve"> </w:t>
      </w:r>
      <w:r w:rsidR="00694E37">
        <w:rPr>
          <w:rFonts w:asciiTheme="minorHAnsi" w:eastAsiaTheme="minorHAnsi" w:hAnsiTheme="minorHAnsi" w:cstheme="minorBidi"/>
          <w:snapToGrid/>
          <w:sz w:val="24"/>
          <w:szCs w:val="22"/>
        </w:rPr>
        <w:t>PBS subsidised for use,</w:t>
      </w:r>
      <w:r w:rsidRPr="00C662A4">
        <w:rPr>
          <w:rFonts w:asciiTheme="minorHAnsi" w:eastAsiaTheme="minorHAnsi" w:hAnsiTheme="minorHAnsi" w:cstheme="minorBidi"/>
          <w:snapToGrid/>
          <w:sz w:val="24"/>
          <w:szCs w:val="22"/>
        </w:rPr>
        <w:t xml:space="preserve"> in addition to current best supportive care</w:t>
      </w:r>
      <w:r w:rsidR="00BD68DC">
        <w:rPr>
          <w:rFonts w:asciiTheme="minorHAnsi" w:eastAsiaTheme="minorHAnsi" w:hAnsiTheme="minorHAnsi" w:cstheme="minorBidi"/>
          <w:snapToGrid/>
          <w:sz w:val="24"/>
          <w:szCs w:val="22"/>
        </w:rPr>
        <w:t>,</w:t>
      </w:r>
      <w:r w:rsidRPr="00C662A4">
        <w:rPr>
          <w:rFonts w:asciiTheme="minorHAnsi" w:eastAsiaTheme="minorHAnsi" w:hAnsiTheme="minorHAnsi" w:cstheme="minorBidi"/>
          <w:snapToGrid/>
          <w:sz w:val="24"/>
          <w:szCs w:val="22"/>
        </w:rPr>
        <w:t xml:space="preserve"> in patients aged </w:t>
      </w:r>
      <w:r>
        <w:rPr>
          <w:rFonts w:asciiTheme="minorHAnsi" w:eastAsiaTheme="minorHAnsi" w:hAnsiTheme="minorHAnsi" w:cstheme="minorBidi"/>
          <w:snapToGrid/>
          <w:sz w:val="24"/>
          <w:szCs w:val="22"/>
        </w:rPr>
        <w:t>6 - 11</w:t>
      </w:r>
      <w:r w:rsidRPr="00C662A4">
        <w:rPr>
          <w:rFonts w:asciiTheme="minorHAnsi" w:eastAsiaTheme="minorHAnsi" w:hAnsiTheme="minorHAnsi" w:cstheme="minorBidi"/>
          <w:snapToGrid/>
          <w:sz w:val="24"/>
          <w:szCs w:val="22"/>
        </w:rPr>
        <w:t xml:space="preserve"> years </w:t>
      </w:r>
      <w:r>
        <w:rPr>
          <w:rFonts w:asciiTheme="minorHAnsi" w:eastAsiaTheme="minorHAnsi" w:hAnsiTheme="minorHAnsi" w:cstheme="minorBidi"/>
          <w:snapToGrid/>
          <w:sz w:val="24"/>
          <w:szCs w:val="22"/>
        </w:rPr>
        <w:t>inclusive</w:t>
      </w:r>
      <w:r w:rsidR="00BD68DC">
        <w:rPr>
          <w:rFonts w:asciiTheme="minorHAnsi" w:eastAsiaTheme="minorHAnsi" w:hAnsiTheme="minorHAnsi" w:cstheme="minorBidi"/>
          <w:snapToGrid/>
          <w:sz w:val="24"/>
          <w:szCs w:val="22"/>
        </w:rPr>
        <w:t>,</w:t>
      </w:r>
      <w:r w:rsidRPr="00C662A4">
        <w:rPr>
          <w:rFonts w:asciiTheme="minorHAnsi" w:eastAsiaTheme="minorHAnsi" w:hAnsiTheme="minorHAnsi" w:cstheme="minorBidi"/>
          <w:snapToGrid/>
          <w:sz w:val="24"/>
          <w:szCs w:val="22"/>
        </w:rPr>
        <w:t xml:space="preserve"> who are homozygous for the F508 deletion mutation CFTR gene.</w:t>
      </w:r>
    </w:p>
    <w:p w:rsidR="005A3173" w:rsidRPr="00E42BDB" w:rsidRDefault="005A3173" w:rsidP="00B2504F">
      <w:pPr>
        <w:pStyle w:val="PBACHeading1"/>
        <w:keepNext/>
        <w:keepLines/>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8155BB" w:rsidRPr="009F6C29" w:rsidRDefault="00C662A4" w:rsidP="00B2504F">
      <w:pPr>
        <w:pStyle w:val="ListParagraph"/>
        <w:keepNext/>
        <w:keepLines/>
        <w:numPr>
          <w:ilvl w:val="1"/>
          <w:numId w:val="3"/>
        </w:numPr>
        <w:spacing w:before="240" w:after="120"/>
        <w:rPr>
          <w:rFonts w:asciiTheme="minorHAnsi" w:eastAsiaTheme="minorHAnsi" w:hAnsiTheme="minorHAnsi" w:cstheme="minorBidi"/>
          <w:snapToGrid/>
          <w:sz w:val="24"/>
          <w:szCs w:val="22"/>
        </w:rPr>
      </w:pPr>
      <w:r w:rsidRPr="00C662A4">
        <w:rPr>
          <w:rFonts w:asciiTheme="minorHAnsi" w:eastAsiaTheme="minorHAnsi" w:hAnsiTheme="minorHAnsi" w:cstheme="minorBidi"/>
          <w:snapToGrid/>
          <w:sz w:val="24"/>
          <w:szCs w:val="22"/>
        </w:rPr>
        <w:lastRenderedPageBreak/>
        <w:t xml:space="preserve">As per the three previous submissions, </w:t>
      </w:r>
      <w:r>
        <w:rPr>
          <w:rFonts w:asciiTheme="minorHAnsi" w:eastAsiaTheme="minorHAnsi" w:hAnsiTheme="minorHAnsi" w:cstheme="minorBidi"/>
          <w:snapToGrid/>
          <w:sz w:val="24"/>
          <w:szCs w:val="22"/>
        </w:rPr>
        <w:t>b</w:t>
      </w:r>
      <w:r w:rsidRPr="00C662A4">
        <w:rPr>
          <w:rFonts w:asciiTheme="minorHAnsi" w:hAnsiTheme="minorHAnsi"/>
          <w:sz w:val="24"/>
          <w:szCs w:val="24"/>
        </w:rPr>
        <w:t>est supportive care (BSC) was nominated as the comparator. The PBAC previously accepted that this is the appropriate comparator</w:t>
      </w:r>
      <w:r w:rsidR="008A3B00">
        <w:rPr>
          <w:rFonts w:asciiTheme="minorHAnsi" w:hAnsiTheme="minorHAnsi"/>
          <w:sz w:val="24"/>
          <w:szCs w:val="24"/>
        </w:rPr>
        <w:t xml:space="preserve"> (</w:t>
      </w:r>
      <w:r w:rsidR="008A3B00" w:rsidRPr="00DA2530">
        <w:rPr>
          <w:rFonts w:asciiTheme="minorHAnsi" w:hAnsiTheme="minorHAnsi"/>
          <w:sz w:val="24"/>
        </w:rPr>
        <w:t>paragraph 7.4, March 2016 PSD)</w:t>
      </w:r>
      <w:r w:rsidR="008A3B00">
        <w:rPr>
          <w:rFonts w:asciiTheme="minorHAnsi" w:hAnsiTheme="minorHAnsi"/>
          <w:sz w:val="24"/>
          <w:szCs w:val="24"/>
        </w:rPr>
        <w:t>.</w:t>
      </w:r>
    </w:p>
    <w:p w:rsidR="000B558D" w:rsidRPr="003C2FB5" w:rsidRDefault="008D7A41" w:rsidP="0080519B">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3D3BE7" w:rsidRPr="0073784D" w:rsidRDefault="003D3BE7" w:rsidP="0073784D">
      <w:pPr>
        <w:pStyle w:val="Heading2"/>
        <w:keepLines/>
        <w:spacing w:before="240" w:after="120"/>
        <w:rPr>
          <w:rFonts w:asciiTheme="minorHAnsi" w:eastAsiaTheme="majorEastAsia" w:hAnsiTheme="minorHAnsi" w:cstheme="majorBidi"/>
          <w:sz w:val="28"/>
          <w:szCs w:val="28"/>
          <w:lang w:eastAsia="en-US"/>
        </w:rPr>
      </w:pPr>
      <w:r w:rsidRPr="0073784D">
        <w:rPr>
          <w:rFonts w:asciiTheme="minorHAnsi" w:eastAsiaTheme="majorEastAsia" w:hAnsiTheme="minorHAnsi" w:cstheme="majorBidi"/>
          <w:sz w:val="28"/>
          <w:szCs w:val="28"/>
          <w:lang w:eastAsia="en-US"/>
        </w:rPr>
        <w:t>Sponsor hearing</w:t>
      </w:r>
    </w:p>
    <w:p w:rsidR="00030722" w:rsidRPr="00C4077F" w:rsidRDefault="003D3BE7" w:rsidP="00C4077F">
      <w:pPr>
        <w:widowControl w:val="0"/>
        <w:numPr>
          <w:ilvl w:val="1"/>
          <w:numId w:val="1"/>
        </w:numPr>
        <w:jc w:val="both"/>
        <w:rPr>
          <w:rFonts w:asciiTheme="minorHAnsi" w:hAnsiTheme="minorHAnsi" w:cstheme="minorHAnsi"/>
        </w:rPr>
      </w:pPr>
      <w:r w:rsidRPr="005C5A18">
        <w:rPr>
          <w:rFonts w:asciiTheme="minorHAnsi" w:hAnsiTheme="minorHAnsi" w:cstheme="minorHAnsi"/>
          <w:bCs/>
          <w:snapToGrid w:val="0"/>
        </w:rPr>
        <w:t xml:space="preserve">The sponsor requested a </w:t>
      </w:r>
      <w:r w:rsidR="00B2527E" w:rsidRPr="005C5A18">
        <w:rPr>
          <w:rFonts w:asciiTheme="minorHAnsi" w:hAnsiTheme="minorHAnsi" w:cstheme="minorHAnsi"/>
          <w:bCs/>
          <w:snapToGrid w:val="0"/>
        </w:rPr>
        <w:t xml:space="preserve">combined </w:t>
      </w:r>
      <w:r w:rsidRPr="005C5A18">
        <w:rPr>
          <w:rFonts w:asciiTheme="minorHAnsi" w:hAnsiTheme="minorHAnsi" w:cstheme="minorHAnsi"/>
          <w:bCs/>
          <w:snapToGrid w:val="0"/>
        </w:rPr>
        <w:t xml:space="preserve">hearing for </w:t>
      </w:r>
      <w:r w:rsidR="00B2527E" w:rsidRPr="005C5A18">
        <w:rPr>
          <w:rFonts w:asciiTheme="minorHAnsi" w:hAnsiTheme="minorHAnsi" w:cstheme="minorHAnsi"/>
          <w:bCs/>
          <w:snapToGrid w:val="0"/>
        </w:rPr>
        <w:t xml:space="preserve">both </w:t>
      </w:r>
      <w:proofErr w:type="spellStart"/>
      <w:r w:rsidR="00FC0255" w:rsidRPr="005C5A18">
        <w:rPr>
          <w:rFonts w:asciiTheme="minorHAnsi" w:hAnsiTheme="minorHAnsi" w:cstheme="minorHAnsi"/>
          <w:bCs/>
          <w:snapToGrid w:val="0"/>
        </w:rPr>
        <w:t>lumacaftor</w:t>
      </w:r>
      <w:proofErr w:type="spellEnd"/>
      <w:r w:rsidR="00FC0255" w:rsidRPr="005C5A18">
        <w:rPr>
          <w:rFonts w:asciiTheme="minorHAnsi" w:hAnsiTheme="minorHAnsi" w:cstheme="minorHAnsi"/>
          <w:bCs/>
          <w:snapToGrid w:val="0"/>
        </w:rPr>
        <w:t xml:space="preserve"> with </w:t>
      </w:r>
      <w:proofErr w:type="spellStart"/>
      <w:r w:rsidR="00B2527E" w:rsidRPr="005C5A18">
        <w:rPr>
          <w:rFonts w:asciiTheme="minorHAnsi" w:hAnsiTheme="minorHAnsi" w:cstheme="minorHAnsi"/>
          <w:bCs/>
          <w:snapToGrid w:val="0"/>
        </w:rPr>
        <w:t>ivacaftor</w:t>
      </w:r>
      <w:proofErr w:type="spellEnd"/>
      <w:r w:rsidR="00B2527E" w:rsidRPr="005C5A18">
        <w:rPr>
          <w:rFonts w:asciiTheme="minorHAnsi" w:hAnsiTheme="minorHAnsi" w:cstheme="minorHAnsi"/>
          <w:bCs/>
          <w:snapToGrid w:val="0"/>
        </w:rPr>
        <w:t xml:space="preserve"> submissions (</w:t>
      </w:r>
      <w:r w:rsidR="007568A1" w:rsidRPr="005C5A18">
        <w:rPr>
          <w:rFonts w:asciiTheme="minorHAnsi" w:hAnsiTheme="minorHAnsi" w:cstheme="minorHAnsi"/>
          <w:bCs/>
          <w:snapToGrid w:val="0"/>
        </w:rPr>
        <w:t xml:space="preserve">patients aged 6 – 11 years </w:t>
      </w:r>
      <w:r w:rsidR="00CF248C" w:rsidRPr="005C5A18">
        <w:rPr>
          <w:rFonts w:asciiTheme="minorHAnsi" w:hAnsiTheme="minorHAnsi" w:cstheme="minorHAnsi"/>
          <w:bCs/>
          <w:snapToGrid w:val="0"/>
        </w:rPr>
        <w:t>[</w:t>
      </w:r>
      <w:r w:rsidR="007568A1" w:rsidRPr="005C5A18">
        <w:rPr>
          <w:rFonts w:asciiTheme="minorHAnsi" w:hAnsiTheme="minorHAnsi" w:cstheme="minorHAnsi"/>
          <w:bCs/>
          <w:snapToGrid w:val="0"/>
        </w:rPr>
        <w:t>item 5.08</w:t>
      </w:r>
      <w:r w:rsidR="00CF248C" w:rsidRPr="005C5A18">
        <w:rPr>
          <w:rFonts w:asciiTheme="minorHAnsi" w:hAnsiTheme="minorHAnsi" w:cstheme="minorHAnsi"/>
          <w:bCs/>
          <w:snapToGrid w:val="0"/>
        </w:rPr>
        <w:t>]</w:t>
      </w:r>
      <w:r w:rsidR="007568A1" w:rsidRPr="005C5A18">
        <w:rPr>
          <w:rFonts w:asciiTheme="minorHAnsi" w:hAnsiTheme="minorHAnsi" w:cstheme="minorHAnsi"/>
          <w:bCs/>
          <w:snapToGrid w:val="0"/>
        </w:rPr>
        <w:t xml:space="preserve"> and </w:t>
      </w:r>
      <w:r w:rsidR="00CF248C" w:rsidRPr="005C5A18">
        <w:rPr>
          <w:rFonts w:asciiTheme="minorHAnsi" w:hAnsiTheme="minorHAnsi" w:cstheme="minorHAnsi"/>
          <w:bCs/>
          <w:snapToGrid w:val="0"/>
        </w:rPr>
        <w:t>patients aged 12 years and o</w:t>
      </w:r>
      <w:r w:rsidR="00CF248C" w:rsidRPr="005C5A18">
        <w:rPr>
          <w:rFonts w:asciiTheme="minorHAnsi" w:hAnsiTheme="minorHAnsi" w:cstheme="minorHAnsi"/>
          <w:bCs/>
        </w:rPr>
        <w:t>lder</w:t>
      </w:r>
      <w:r w:rsidR="007568A1" w:rsidRPr="005C5A18">
        <w:rPr>
          <w:rFonts w:asciiTheme="minorHAnsi" w:hAnsiTheme="minorHAnsi" w:cstheme="minorHAnsi"/>
          <w:bCs/>
          <w:snapToGrid w:val="0"/>
        </w:rPr>
        <w:t xml:space="preserve"> </w:t>
      </w:r>
      <w:r w:rsidR="00CF248C" w:rsidRPr="005C5A18">
        <w:rPr>
          <w:rFonts w:asciiTheme="minorHAnsi" w:hAnsiTheme="minorHAnsi" w:cstheme="minorHAnsi"/>
          <w:bCs/>
          <w:snapToGrid w:val="0"/>
        </w:rPr>
        <w:t>–</w:t>
      </w:r>
      <w:r w:rsidR="007568A1" w:rsidRPr="005C5A18">
        <w:rPr>
          <w:rFonts w:asciiTheme="minorHAnsi" w:hAnsiTheme="minorHAnsi" w:cstheme="minorHAnsi"/>
          <w:bCs/>
          <w:snapToGrid w:val="0"/>
        </w:rPr>
        <w:t xml:space="preserve"> </w:t>
      </w:r>
      <w:r w:rsidR="00CF248C" w:rsidRPr="005C5A18">
        <w:rPr>
          <w:rFonts w:asciiTheme="minorHAnsi" w:hAnsiTheme="minorHAnsi" w:cstheme="minorHAnsi"/>
          <w:bCs/>
          <w:snapToGrid w:val="0"/>
        </w:rPr>
        <w:t>[</w:t>
      </w:r>
      <w:r w:rsidR="007568A1" w:rsidRPr="005C5A18">
        <w:rPr>
          <w:rFonts w:asciiTheme="minorHAnsi" w:hAnsiTheme="minorHAnsi" w:cstheme="minorHAnsi"/>
          <w:bCs/>
          <w:snapToGrid w:val="0"/>
        </w:rPr>
        <w:t>item 7.10</w:t>
      </w:r>
      <w:r w:rsidR="00CF248C" w:rsidRPr="005C5A18">
        <w:rPr>
          <w:rFonts w:asciiTheme="minorHAnsi" w:hAnsiTheme="minorHAnsi" w:cstheme="minorHAnsi"/>
          <w:bCs/>
          <w:snapToGrid w:val="0"/>
        </w:rPr>
        <w:t>]</w:t>
      </w:r>
      <w:r w:rsidR="00B2527E" w:rsidRPr="005C5A18">
        <w:rPr>
          <w:rFonts w:asciiTheme="minorHAnsi" w:hAnsiTheme="minorHAnsi" w:cstheme="minorHAnsi"/>
          <w:bCs/>
          <w:snapToGrid w:val="0"/>
        </w:rPr>
        <w:t xml:space="preserve">). </w:t>
      </w:r>
      <w:r w:rsidRPr="005C5A18">
        <w:rPr>
          <w:rFonts w:asciiTheme="minorHAnsi" w:hAnsiTheme="minorHAnsi" w:cstheme="minorHAnsi"/>
          <w:bCs/>
          <w:snapToGrid w:val="0"/>
        </w:rPr>
        <w:t>The present</w:t>
      </w:r>
      <w:r w:rsidR="00B2527E" w:rsidRPr="005C5A18">
        <w:rPr>
          <w:rFonts w:asciiTheme="minorHAnsi" w:hAnsiTheme="minorHAnsi" w:cstheme="minorHAnsi"/>
          <w:bCs/>
          <w:snapToGrid w:val="0"/>
        </w:rPr>
        <w:t>ation</w:t>
      </w:r>
      <w:r w:rsidR="008A3B00" w:rsidRPr="005C5A18">
        <w:rPr>
          <w:rFonts w:asciiTheme="minorHAnsi" w:hAnsiTheme="minorHAnsi" w:cstheme="minorHAnsi"/>
          <w:bCs/>
          <w:snapToGrid w:val="0"/>
        </w:rPr>
        <w:t xml:space="preserve"> </w:t>
      </w:r>
      <w:r w:rsidR="00B2527E" w:rsidRPr="005C5A18">
        <w:rPr>
          <w:rFonts w:asciiTheme="minorHAnsi" w:hAnsiTheme="minorHAnsi" w:cstheme="minorHAnsi"/>
          <w:bCs/>
          <w:snapToGrid w:val="0"/>
        </w:rPr>
        <w:t xml:space="preserve">focussed predominantly on </w:t>
      </w:r>
      <w:r w:rsidR="008A3B00" w:rsidRPr="005C5A18">
        <w:rPr>
          <w:rFonts w:asciiTheme="minorHAnsi" w:hAnsiTheme="minorHAnsi" w:cstheme="minorHAnsi"/>
          <w:bCs/>
          <w:snapToGrid w:val="0"/>
        </w:rPr>
        <w:t xml:space="preserve">treatment outcomes in </w:t>
      </w:r>
      <w:r w:rsidR="00B2527E" w:rsidRPr="005C5A18">
        <w:rPr>
          <w:rFonts w:asciiTheme="minorHAnsi" w:hAnsiTheme="minorHAnsi" w:cstheme="minorHAnsi"/>
          <w:bCs/>
          <w:snapToGrid w:val="0"/>
        </w:rPr>
        <w:t>younger patients (</w:t>
      </w:r>
      <w:r w:rsidR="00BF3396" w:rsidRPr="005C5A18">
        <w:rPr>
          <w:rFonts w:asciiTheme="minorHAnsi" w:hAnsiTheme="minorHAnsi" w:cstheme="minorHAnsi"/>
          <w:bCs/>
          <w:snapToGrid w:val="0"/>
        </w:rPr>
        <w:t xml:space="preserve">aged </w:t>
      </w:r>
      <w:r w:rsidR="0028570E" w:rsidRPr="005C5A18">
        <w:rPr>
          <w:rFonts w:asciiTheme="minorHAnsi" w:hAnsiTheme="minorHAnsi" w:cstheme="minorHAnsi"/>
          <w:bCs/>
          <w:snapToGrid w:val="0"/>
        </w:rPr>
        <w:t xml:space="preserve">6 - </w:t>
      </w:r>
      <w:r w:rsidR="00B2527E" w:rsidRPr="005C5A18">
        <w:rPr>
          <w:rFonts w:asciiTheme="minorHAnsi" w:hAnsiTheme="minorHAnsi" w:cstheme="minorHAnsi"/>
          <w:bCs/>
          <w:snapToGrid w:val="0"/>
        </w:rPr>
        <w:t>1</w:t>
      </w:r>
      <w:r w:rsidR="0028570E" w:rsidRPr="005C5A18">
        <w:rPr>
          <w:rFonts w:asciiTheme="minorHAnsi" w:hAnsiTheme="minorHAnsi" w:cstheme="minorHAnsi"/>
          <w:bCs/>
          <w:snapToGrid w:val="0"/>
        </w:rPr>
        <w:t>1</w:t>
      </w:r>
      <w:r w:rsidR="00B2527E" w:rsidRPr="005C5A18">
        <w:rPr>
          <w:rFonts w:asciiTheme="minorHAnsi" w:hAnsiTheme="minorHAnsi" w:cstheme="minorHAnsi"/>
          <w:bCs/>
          <w:snapToGrid w:val="0"/>
        </w:rPr>
        <w:t xml:space="preserve"> years);</w:t>
      </w:r>
      <w:r w:rsidR="008A3B00" w:rsidRPr="005C5A18">
        <w:rPr>
          <w:rFonts w:asciiTheme="minorHAnsi" w:hAnsiTheme="minorHAnsi" w:cstheme="minorHAnsi"/>
          <w:bCs/>
          <w:snapToGrid w:val="0"/>
        </w:rPr>
        <w:t xml:space="preserve"> however, the clinician</w:t>
      </w:r>
      <w:r w:rsidR="00B2527E" w:rsidRPr="005C5A18">
        <w:rPr>
          <w:rFonts w:asciiTheme="minorHAnsi" w:hAnsiTheme="minorHAnsi" w:cstheme="minorHAnsi"/>
          <w:bCs/>
          <w:snapToGrid w:val="0"/>
        </w:rPr>
        <w:t xml:space="preserve"> </w:t>
      </w:r>
      <w:r w:rsidR="007568A1" w:rsidRPr="005C5A18">
        <w:rPr>
          <w:rFonts w:asciiTheme="minorHAnsi" w:hAnsiTheme="minorHAnsi" w:cstheme="minorHAnsi"/>
          <w:bCs/>
          <w:snapToGrid w:val="0"/>
        </w:rPr>
        <w:t xml:space="preserve">noted </w:t>
      </w:r>
      <w:r w:rsidR="004A2D5D" w:rsidRPr="005C5A18">
        <w:rPr>
          <w:rFonts w:asciiTheme="minorHAnsi" w:hAnsiTheme="minorHAnsi" w:cstheme="minorHAnsi"/>
          <w:bCs/>
          <w:snapToGrid w:val="0"/>
        </w:rPr>
        <w:t xml:space="preserve">the benefits of </w:t>
      </w:r>
      <w:r w:rsidR="00FC0255" w:rsidRPr="005C5A18">
        <w:rPr>
          <w:rFonts w:asciiTheme="minorHAnsi" w:hAnsiTheme="minorHAnsi" w:cstheme="minorHAnsi"/>
          <w:bCs/>
          <w:snapToGrid w:val="0"/>
        </w:rPr>
        <w:t xml:space="preserve">treatment with </w:t>
      </w:r>
      <w:proofErr w:type="spellStart"/>
      <w:r w:rsidR="00FC0255" w:rsidRPr="005C5A18">
        <w:rPr>
          <w:rFonts w:asciiTheme="minorHAnsi" w:hAnsiTheme="minorHAnsi" w:cstheme="minorHAnsi"/>
          <w:bCs/>
          <w:snapToGrid w:val="0"/>
        </w:rPr>
        <w:t>lumacaftor</w:t>
      </w:r>
      <w:proofErr w:type="spellEnd"/>
      <w:r w:rsidR="00FC0255" w:rsidRPr="005C5A18">
        <w:rPr>
          <w:rFonts w:asciiTheme="minorHAnsi" w:hAnsiTheme="minorHAnsi" w:cstheme="minorHAnsi"/>
          <w:bCs/>
          <w:snapToGrid w:val="0"/>
        </w:rPr>
        <w:t>/</w:t>
      </w:r>
      <w:proofErr w:type="spellStart"/>
      <w:r w:rsidR="004A2D5D" w:rsidRPr="005C5A18">
        <w:rPr>
          <w:rFonts w:asciiTheme="minorHAnsi" w:hAnsiTheme="minorHAnsi" w:cstheme="minorHAnsi"/>
          <w:bCs/>
          <w:snapToGrid w:val="0"/>
        </w:rPr>
        <w:t>ivacaftor</w:t>
      </w:r>
      <w:proofErr w:type="spellEnd"/>
      <w:r w:rsidR="004A2D5D" w:rsidRPr="005C5A18">
        <w:rPr>
          <w:rFonts w:asciiTheme="minorHAnsi" w:hAnsiTheme="minorHAnsi" w:cstheme="minorHAnsi"/>
          <w:bCs/>
          <w:snapToGrid w:val="0"/>
        </w:rPr>
        <w:t xml:space="preserve"> in both age groups. </w:t>
      </w:r>
      <w:r w:rsidR="00CF248C" w:rsidRPr="005C5A18">
        <w:rPr>
          <w:rFonts w:asciiTheme="minorHAnsi" w:hAnsiTheme="minorHAnsi" w:cstheme="minorHAnsi"/>
          <w:bCs/>
          <w:snapToGrid w:val="0"/>
        </w:rPr>
        <w:t>The clinician</w:t>
      </w:r>
      <w:r w:rsidR="00FC0255" w:rsidRPr="005C5A18">
        <w:rPr>
          <w:rFonts w:asciiTheme="minorHAnsi" w:hAnsiTheme="minorHAnsi" w:cstheme="minorHAnsi"/>
          <w:bCs/>
          <w:snapToGrid w:val="0"/>
        </w:rPr>
        <w:t xml:space="preserve"> stressed the importance of early treatment in CF to prevent or delay lung damage and </w:t>
      </w:r>
      <w:r w:rsidR="00FC0255" w:rsidRPr="005C5A18">
        <w:rPr>
          <w:rFonts w:asciiTheme="minorHAnsi" w:hAnsiTheme="minorHAnsi" w:cstheme="minorHAnsi"/>
        </w:rPr>
        <w:t>reduce the rate of decline in lung function; and</w:t>
      </w:r>
      <w:r w:rsidR="00FC0255" w:rsidRPr="005C5A18">
        <w:rPr>
          <w:rFonts w:asciiTheme="minorHAnsi" w:hAnsiTheme="minorHAnsi" w:cstheme="minorHAnsi"/>
          <w:bCs/>
          <w:snapToGrid w:val="0"/>
        </w:rPr>
        <w:t xml:space="preserve"> highlighted a recent study by Graber </w:t>
      </w:r>
      <w:r w:rsidR="00FC0255" w:rsidRPr="005C5A18">
        <w:rPr>
          <w:rFonts w:asciiTheme="minorHAnsi" w:hAnsiTheme="minorHAnsi" w:cstheme="minorHAnsi"/>
          <w:bCs/>
          <w:i/>
          <w:snapToGrid w:val="0"/>
        </w:rPr>
        <w:t>et al</w:t>
      </w:r>
      <w:r w:rsidR="00FC0255" w:rsidRPr="005C5A18">
        <w:rPr>
          <w:rFonts w:asciiTheme="minorHAnsi" w:hAnsiTheme="minorHAnsi" w:cstheme="minorHAnsi"/>
          <w:bCs/>
          <w:snapToGrid w:val="0"/>
        </w:rPr>
        <w:t xml:space="preserve"> (2018)</w:t>
      </w:r>
      <w:r w:rsidR="00FC0255" w:rsidRPr="005C5A18">
        <w:rPr>
          <w:rStyle w:val="FootnoteReference"/>
          <w:rFonts w:asciiTheme="minorHAnsi" w:hAnsiTheme="minorHAnsi" w:cstheme="minorHAnsi"/>
          <w:bCs/>
          <w:snapToGrid w:val="0"/>
        </w:rPr>
        <w:footnoteReference w:id="2"/>
      </w:r>
      <w:r w:rsidR="00FC0255" w:rsidRPr="005C5A18">
        <w:rPr>
          <w:rFonts w:asciiTheme="minorHAnsi" w:hAnsiTheme="minorHAnsi" w:cstheme="minorHAnsi"/>
          <w:bCs/>
          <w:snapToGrid w:val="0"/>
        </w:rPr>
        <w:t xml:space="preserve"> </w:t>
      </w:r>
      <w:r w:rsidR="00CF248C" w:rsidRPr="005C5A18">
        <w:rPr>
          <w:rFonts w:asciiTheme="minorHAnsi" w:hAnsiTheme="minorHAnsi" w:cstheme="minorHAnsi"/>
          <w:bCs/>
        </w:rPr>
        <w:t xml:space="preserve">to demonstrate that treatment with </w:t>
      </w:r>
      <w:proofErr w:type="spellStart"/>
      <w:r w:rsidR="00030722" w:rsidRPr="005C5A18">
        <w:rPr>
          <w:rFonts w:asciiTheme="minorHAnsi" w:hAnsiTheme="minorHAnsi" w:cstheme="minorHAnsi"/>
          <w:bCs/>
        </w:rPr>
        <w:t>O</w:t>
      </w:r>
      <w:r w:rsidR="00CF248C" w:rsidRPr="005C5A18">
        <w:rPr>
          <w:rFonts w:asciiTheme="minorHAnsi" w:hAnsiTheme="minorHAnsi" w:cstheme="minorHAnsi"/>
          <w:bCs/>
        </w:rPr>
        <w:t>rkambi</w:t>
      </w:r>
      <w:proofErr w:type="spellEnd"/>
      <w:r w:rsidR="00CF248C" w:rsidRPr="005C5A18">
        <w:rPr>
          <w:rFonts w:asciiTheme="minorHAnsi" w:hAnsiTheme="minorHAnsi" w:cstheme="minorHAnsi"/>
          <w:bCs/>
        </w:rPr>
        <w:t xml:space="preserve"> in patients aged 12 years and older results in </w:t>
      </w:r>
      <w:r w:rsidR="00CF248C" w:rsidRPr="005C5A18">
        <w:rPr>
          <w:rFonts w:asciiTheme="minorHAnsi" w:hAnsiTheme="minorHAnsi" w:cstheme="minorHAnsi"/>
        </w:rPr>
        <w:t>improvement in CFTR function</w:t>
      </w:r>
      <w:r w:rsidR="00CF248C" w:rsidRPr="00C4077F">
        <w:rPr>
          <w:rFonts w:asciiTheme="minorHAnsi" w:hAnsiTheme="minorHAnsi" w:cstheme="minorHAnsi"/>
        </w:rPr>
        <w:t>.</w:t>
      </w:r>
      <w:r w:rsidR="00CF248C" w:rsidRPr="005C5A18">
        <w:rPr>
          <w:rFonts w:asciiTheme="minorHAnsi" w:hAnsiTheme="minorHAnsi" w:cstheme="minorHAnsi"/>
          <w:bCs/>
        </w:rPr>
        <w:t xml:space="preserve"> The </w:t>
      </w:r>
      <w:r w:rsidR="00CF248C" w:rsidRPr="005C5A18">
        <w:rPr>
          <w:rFonts w:asciiTheme="minorHAnsi" w:hAnsiTheme="minorHAnsi" w:cstheme="minorHAnsi"/>
          <w:bCs/>
          <w:snapToGrid w:val="0"/>
        </w:rPr>
        <w:t xml:space="preserve">Graber </w:t>
      </w:r>
      <w:r w:rsidR="00CF248C" w:rsidRPr="005C5A18">
        <w:rPr>
          <w:rFonts w:asciiTheme="minorHAnsi" w:hAnsiTheme="minorHAnsi" w:cstheme="minorHAnsi"/>
          <w:bCs/>
          <w:i/>
          <w:snapToGrid w:val="0"/>
        </w:rPr>
        <w:t>et al</w:t>
      </w:r>
      <w:r w:rsidR="00CF248C" w:rsidRPr="005C5A18">
        <w:rPr>
          <w:rFonts w:asciiTheme="minorHAnsi" w:hAnsiTheme="minorHAnsi" w:cstheme="minorHAnsi"/>
          <w:bCs/>
          <w:snapToGrid w:val="0"/>
        </w:rPr>
        <w:t xml:space="preserve"> (2018)</w:t>
      </w:r>
      <w:r w:rsidR="00CF248C" w:rsidRPr="005C5A18">
        <w:rPr>
          <w:rFonts w:asciiTheme="minorHAnsi" w:hAnsiTheme="minorHAnsi" w:cstheme="minorHAnsi"/>
          <w:bCs/>
        </w:rPr>
        <w:t xml:space="preserve"> study</w:t>
      </w:r>
      <w:r w:rsidR="00D47366" w:rsidRPr="005C5A18">
        <w:rPr>
          <w:rFonts w:asciiTheme="minorHAnsi" w:hAnsiTheme="minorHAnsi" w:cstheme="minorHAnsi"/>
          <w:bCs/>
        </w:rPr>
        <w:t>, which</w:t>
      </w:r>
      <w:r w:rsidR="00CF248C" w:rsidRPr="005C5A18">
        <w:rPr>
          <w:rFonts w:asciiTheme="minorHAnsi" w:hAnsiTheme="minorHAnsi" w:cstheme="minorHAnsi"/>
          <w:bCs/>
        </w:rPr>
        <w:t xml:space="preserve"> measured</w:t>
      </w:r>
      <w:r w:rsidR="007568A1" w:rsidRPr="005C5A18">
        <w:rPr>
          <w:rFonts w:asciiTheme="minorHAnsi" w:hAnsiTheme="minorHAnsi" w:cstheme="minorHAnsi"/>
          <w:bCs/>
          <w:snapToGrid w:val="0"/>
        </w:rPr>
        <w:t xml:space="preserve"> CFTR biomarkers</w:t>
      </w:r>
      <w:r w:rsidR="006F5EAB" w:rsidRPr="005C5A18">
        <w:rPr>
          <w:rFonts w:asciiTheme="minorHAnsi" w:hAnsiTheme="minorHAnsi" w:cstheme="minorHAnsi"/>
          <w:bCs/>
          <w:snapToGrid w:val="0"/>
        </w:rPr>
        <w:t xml:space="preserve"> </w:t>
      </w:r>
      <w:r w:rsidR="00CF248C" w:rsidRPr="005C5A18">
        <w:rPr>
          <w:rFonts w:asciiTheme="minorHAnsi" w:hAnsiTheme="minorHAnsi" w:cstheme="minorHAnsi"/>
          <w:bCs/>
        </w:rPr>
        <w:t xml:space="preserve">over a treatment period of </w:t>
      </w:r>
      <w:r w:rsidR="00D47366" w:rsidRPr="005C5A18">
        <w:rPr>
          <w:rFonts w:asciiTheme="minorHAnsi" w:hAnsiTheme="minorHAnsi" w:cstheme="minorHAnsi"/>
          <w:bCs/>
        </w:rPr>
        <w:t>24 weeks</w:t>
      </w:r>
      <w:r w:rsidR="007568A1" w:rsidRPr="005C5A18">
        <w:rPr>
          <w:rFonts w:asciiTheme="minorHAnsi" w:hAnsiTheme="minorHAnsi" w:cstheme="minorHAnsi"/>
          <w:bCs/>
          <w:snapToGrid w:val="0"/>
        </w:rPr>
        <w:t xml:space="preserve">, </w:t>
      </w:r>
      <w:r w:rsidR="00D47366" w:rsidRPr="005C5A18">
        <w:rPr>
          <w:rFonts w:asciiTheme="minorHAnsi" w:hAnsiTheme="minorHAnsi" w:cstheme="minorHAnsi"/>
          <w:bCs/>
        </w:rPr>
        <w:t xml:space="preserve">concluded that </w:t>
      </w:r>
      <w:r w:rsidR="007568A1" w:rsidRPr="005C5A18">
        <w:rPr>
          <w:rFonts w:asciiTheme="minorHAnsi" w:hAnsiTheme="minorHAnsi" w:cstheme="minorHAnsi"/>
          <w:bCs/>
          <w:snapToGrid w:val="0"/>
        </w:rPr>
        <w:t>the</w:t>
      </w:r>
      <w:r w:rsidR="00C574B7" w:rsidRPr="005C5A18">
        <w:rPr>
          <w:rFonts w:asciiTheme="minorHAnsi" w:hAnsiTheme="minorHAnsi" w:cstheme="minorHAnsi"/>
          <w:bCs/>
          <w:snapToGrid w:val="0"/>
        </w:rPr>
        <w:t xml:space="preserve"> results “</w:t>
      </w:r>
      <w:r w:rsidR="00C574B7" w:rsidRPr="00C4077F">
        <w:rPr>
          <w:rFonts w:asciiTheme="minorHAnsi" w:hAnsiTheme="minorHAnsi" w:cstheme="minorHAnsi"/>
          <w:i/>
        </w:rPr>
        <w:t xml:space="preserve">indicate that </w:t>
      </w:r>
      <w:proofErr w:type="spellStart"/>
      <w:r w:rsidR="00C574B7" w:rsidRPr="00C4077F">
        <w:rPr>
          <w:rFonts w:asciiTheme="minorHAnsi" w:hAnsiTheme="minorHAnsi" w:cstheme="minorHAnsi"/>
          <w:i/>
        </w:rPr>
        <w:t>lumacaftor</w:t>
      </w:r>
      <w:proofErr w:type="spellEnd"/>
      <w:r w:rsidR="00C574B7" w:rsidRPr="00C4077F">
        <w:rPr>
          <w:rFonts w:asciiTheme="minorHAnsi" w:hAnsiTheme="minorHAnsi" w:cstheme="minorHAnsi"/>
          <w:i/>
        </w:rPr>
        <w:t>–</w:t>
      </w:r>
      <w:proofErr w:type="spellStart"/>
      <w:r w:rsidR="00C574B7" w:rsidRPr="00C4077F">
        <w:rPr>
          <w:rFonts w:asciiTheme="minorHAnsi" w:hAnsiTheme="minorHAnsi" w:cstheme="minorHAnsi"/>
          <w:i/>
        </w:rPr>
        <w:t>ivacaftor</w:t>
      </w:r>
      <w:proofErr w:type="spellEnd"/>
      <w:r w:rsidR="00C574B7" w:rsidRPr="00C4077F">
        <w:rPr>
          <w:rFonts w:asciiTheme="minorHAnsi" w:hAnsiTheme="minorHAnsi" w:cstheme="minorHAnsi"/>
          <w:i/>
        </w:rPr>
        <w:t xml:space="preserve"> combination therapy improves CFTR activity in Phe508del homozygous patients with CF to levels comparable to the lower range of values seen in patients harbo</w:t>
      </w:r>
      <w:r w:rsidR="00030722" w:rsidRPr="00C4077F">
        <w:rPr>
          <w:rFonts w:asciiTheme="minorHAnsi" w:hAnsiTheme="minorHAnsi" w:cstheme="minorHAnsi"/>
          <w:i/>
        </w:rPr>
        <w:t>u</w:t>
      </w:r>
      <w:r w:rsidR="00C574B7" w:rsidRPr="00C4077F">
        <w:rPr>
          <w:rFonts w:asciiTheme="minorHAnsi" w:hAnsiTheme="minorHAnsi" w:cstheme="minorHAnsi"/>
          <w:i/>
        </w:rPr>
        <w:t>ring </w:t>
      </w:r>
      <w:r w:rsidR="00C574B7" w:rsidRPr="00C4077F">
        <w:rPr>
          <w:rFonts w:asciiTheme="minorHAnsi" w:hAnsiTheme="minorHAnsi" w:cstheme="minorHAnsi"/>
          <w:i/>
          <w:iCs/>
        </w:rPr>
        <w:t>CFTR</w:t>
      </w:r>
      <w:r w:rsidR="00C574B7" w:rsidRPr="00C4077F">
        <w:rPr>
          <w:rFonts w:asciiTheme="minorHAnsi" w:hAnsiTheme="minorHAnsi" w:cstheme="minorHAnsi"/>
          <w:i/>
        </w:rPr>
        <w:t> residual function mutations</w:t>
      </w:r>
      <w:r w:rsidR="00913FD7" w:rsidRPr="00C4077F">
        <w:rPr>
          <w:rFonts w:asciiTheme="minorHAnsi" w:hAnsiTheme="minorHAnsi" w:cstheme="minorHAnsi"/>
          <w:i/>
        </w:rPr>
        <w:t xml:space="preserve"> (p.1439)</w:t>
      </w:r>
      <w:r w:rsidR="00C574B7" w:rsidRPr="00C4077F">
        <w:rPr>
          <w:rFonts w:asciiTheme="minorHAnsi" w:hAnsiTheme="minorHAnsi" w:cstheme="minorHAnsi"/>
        </w:rPr>
        <w:t>”.</w:t>
      </w:r>
    </w:p>
    <w:p w:rsidR="00336112" w:rsidRPr="00C4077F" w:rsidRDefault="00913FD7" w:rsidP="00C4077F">
      <w:pPr>
        <w:widowControl w:val="0"/>
        <w:numPr>
          <w:ilvl w:val="1"/>
          <w:numId w:val="1"/>
        </w:numPr>
        <w:spacing w:before="240"/>
        <w:jc w:val="both"/>
        <w:rPr>
          <w:rFonts w:asciiTheme="minorHAnsi" w:hAnsiTheme="minorHAnsi" w:cstheme="minorHAnsi"/>
        </w:rPr>
      </w:pPr>
      <w:r w:rsidRPr="00C4077F">
        <w:rPr>
          <w:rFonts w:asciiTheme="minorHAnsi" w:hAnsiTheme="minorHAnsi" w:cstheme="minorHAnsi"/>
        </w:rPr>
        <w:t xml:space="preserve">In response to a question from the PBAC regarding </w:t>
      </w:r>
      <w:r w:rsidR="00CF248C" w:rsidRPr="00C4077F">
        <w:rPr>
          <w:rFonts w:asciiTheme="minorHAnsi" w:hAnsiTheme="minorHAnsi" w:cstheme="minorHAnsi"/>
        </w:rPr>
        <w:t>differences observed in patient response in the PROGRESS trial (</w:t>
      </w:r>
      <w:r w:rsidR="00CF248C" w:rsidRPr="005C5A18">
        <w:rPr>
          <w:rFonts w:asciiTheme="minorHAnsi" w:hAnsiTheme="minorHAnsi" w:cstheme="minorHAnsi"/>
        </w:rPr>
        <w:t>response analysis of absolute change from baseline in ppFEV</w:t>
      </w:r>
      <w:r w:rsidR="00CF248C" w:rsidRPr="005C5A18">
        <w:rPr>
          <w:rFonts w:asciiTheme="minorHAnsi" w:hAnsiTheme="minorHAnsi" w:cstheme="minorHAnsi"/>
          <w:vertAlign w:val="subscript"/>
        </w:rPr>
        <w:t>1</w:t>
      </w:r>
      <w:r w:rsidR="00D47366" w:rsidRPr="005C5A18">
        <w:rPr>
          <w:rFonts w:asciiTheme="minorHAnsi" w:hAnsiTheme="minorHAnsi" w:cstheme="minorHAnsi"/>
        </w:rPr>
        <w:t xml:space="preserve"> – see paragraphs 6.11 and 6.12</w:t>
      </w:r>
      <w:r w:rsidR="00CF248C" w:rsidRPr="00C4077F">
        <w:rPr>
          <w:rFonts w:asciiTheme="minorHAnsi" w:hAnsiTheme="minorHAnsi" w:cstheme="minorHAnsi"/>
        </w:rPr>
        <w:t xml:space="preserve">), the clinician </w:t>
      </w:r>
      <w:r w:rsidR="00030722" w:rsidRPr="00C4077F">
        <w:rPr>
          <w:rFonts w:asciiTheme="minorHAnsi" w:hAnsiTheme="minorHAnsi" w:cstheme="minorHAnsi"/>
        </w:rPr>
        <w:t>expressed the view</w:t>
      </w:r>
      <w:r w:rsidR="00CF248C" w:rsidRPr="00C4077F">
        <w:rPr>
          <w:rFonts w:asciiTheme="minorHAnsi" w:hAnsiTheme="minorHAnsi" w:cstheme="minorHAnsi"/>
        </w:rPr>
        <w:t xml:space="preserve"> that looking at responders, particularly in relation to</w:t>
      </w:r>
      <w:r w:rsidR="00D47366" w:rsidRPr="00C4077F">
        <w:rPr>
          <w:rFonts w:asciiTheme="minorHAnsi" w:hAnsiTheme="minorHAnsi" w:cstheme="minorHAnsi"/>
        </w:rPr>
        <w:t xml:space="preserve"> absolute changes in</w:t>
      </w:r>
      <w:r w:rsidR="00CF248C" w:rsidRPr="00C4077F">
        <w:rPr>
          <w:rFonts w:asciiTheme="minorHAnsi" w:hAnsiTheme="minorHAnsi" w:cstheme="minorHAnsi"/>
        </w:rPr>
        <w:t xml:space="preserve"> </w:t>
      </w:r>
      <w:r w:rsidR="00CF248C" w:rsidRPr="005C5A18">
        <w:rPr>
          <w:rFonts w:asciiTheme="minorHAnsi" w:hAnsiTheme="minorHAnsi" w:cstheme="minorHAnsi"/>
        </w:rPr>
        <w:t>FEV</w:t>
      </w:r>
      <w:r w:rsidR="00CF248C" w:rsidRPr="005C5A18">
        <w:rPr>
          <w:rFonts w:asciiTheme="minorHAnsi" w:hAnsiTheme="minorHAnsi" w:cstheme="minorHAnsi"/>
          <w:vertAlign w:val="subscript"/>
        </w:rPr>
        <w:t xml:space="preserve">1 </w:t>
      </w:r>
      <w:r w:rsidR="00CF248C" w:rsidRPr="005C5A18">
        <w:rPr>
          <w:rFonts w:asciiTheme="minorHAnsi" w:hAnsiTheme="minorHAnsi" w:cstheme="minorHAnsi"/>
        </w:rPr>
        <w:t xml:space="preserve">is not meaningful for comparison and does not show the effect of </w:t>
      </w:r>
      <w:proofErr w:type="spellStart"/>
      <w:r w:rsidR="00CF248C" w:rsidRPr="005C5A18">
        <w:rPr>
          <w:rFonts w:asciiTheme="minorHAnsi" w:hAnsiTheme="minorHAnsi" w:cstheme="minorHAnsi"/>
        </w:rPr>
        <w:t>lumacaftor</w:t>
      </w:r>
      <w:proofErr w:type="spellEnd"/>
      <w:r w:rsidR="00CF248C" w:rsidRPr="005C5A18">
        <w:rPr>
          <w:rFonts w:asciiTheme="minorHAnsi" w:hAnsiTheme="minorHAnsi" w:cstheme="minorHAnsi"/>
        </w:rPr>
        <w:t>/</w:t>
      </w:r>
      <w:proofErr w:type="spellStart"/>
      <w:r w:rsidR="00CF248C" w:rsidRPr="005C5A18">
        <w:rPr>
          <w:rFonts w:asciiTheme="minorHAnsi" w:hAnsiTheme="minorHAnsi" w:cstheme="minorHAnsi"/>
        </w:rPr>
        <w:t>ivacaftor</w:t>
      </w:r>
      <w:proofErr w:type="spellEnd"/>
      <w:r w:rsidR="00CF248C" w:rsidRPr="005C5A18">
        <w:rPr>
          <w:rFonts w:asciiTheme="minorHAnsi" w:hAnsiTheme="minorHAnsi" w:cstheme="minorHAnsi"/>
        </w:rPr>
        <w:t xml:space="preserve"> on CFTR function.</w:t>
      </w:r>
    </w:p>
    <w:p w:rsidR="003D3BE7" w:rsidRPr="0073784D" w:rsidRDefault="003D3BE7" w:rsidP="0073784D">
      <w:pPr>
        <w:pStyle w:val="Heading2"/>
        <w:keepLines/>
        <w:spacing w:before="240" w:after="120"/>
        <w:rPr>
          <w:rFonts w:asciiTheme="minorHAnsi" w:eastAsiaTheme="majorEastAsia" w:hAnsiTheme="minorHAnsi" w:cstheme="majorBidi"/>
          <w:sz w:val="28"/>
          <w:szCs w:val="28"/>
          <w:lang w:eastAsia="en-US"/>
        </w:rPr>
      </w:pPr>
      <w:r w:rsidRPr="0073784D">
        <w:rPr>
          <w:rFonts w:asciiTheme="minorHAnsi" w:eastAsiaTheme="majorEastAsia" w:hAnsiTheme="minorHAnsi" w:cstheme="majorBidi"/>
          <w:sz w:val="28"/>
          <w:szCs w:val="28"/>
          <w:lang w:eastAsia="en-US"/>
        </w:rPr>
        <w:t>Consumer comments</w:t>
      </w:r>
    </w:p>
    <w:p w:rsidR="003D3BE7" w:rsidRPr="00EB6390" w:rsidRDefault="003D3BE7" w:rsidP="003D3BE7">
      <w:pPr>
        <w:widowControl w:val="0"/>
        <w:numPr>
          <w:ilvl w:val="1"/>
          <w:numId w:val="1"/>
        </w:numPr>
        <w:spacing w:after="120"/>
        <w:jc w:val="both"/>
        <w:rPr>
          <w:rFonts w:asciiTheme="minorHAnsi" w:hAnsiTheme="minorHAnsi" w:cs="Arial"/>
          <w:bCs/>
          <w:snapToGrid w:val="0"/>
        </w:rPr>
      </w:pPr>
      <w:r w:rsidRPr="00EB6390">
        <w:rPr>
          <w:rFonts w:asciiTheme="minorHAnsi" w:hAnsiTheme="minorHAnsi" w:cs="Arial"/>
          <w:bCs/>
          <w:snapToGrid w:val="0"/>
        </w:rPr>
        <w:t>The PBAC noted and welcom</w:t>
      </w:r>
      <w:r w:rsidR="00EB6390">
        <w:rPr>
          <w:rFonts w:asciiTheme="minorHAnsi" w:hAnsiTheme="minorHAnsi" w:cs="Arial"/>
          <w:bCs/>
          <w:snapToGrid w:val="0"/>
        </w:rPr>
        <w:t xml:space="preserve">ed </w:t>
      </w:r>
      <w:r w:rsidR="00833F8F">
        <w:rPr>
          <w:rFonts w:asciiTheme="minorHAnsi" w:hAnsiTheme="minorHAnsi" w:cs="Arial"/>
          <w:bCs/>
          <w:snapToGrid w:val="0"/>
        </w:rPr>
        <w:t>the input from individuals (3980), health care professionals (45) and organisations (5</w:t>
      </w:r>
      <w:r w:rsidRPr="00EB6390">
        <w:rPr>
          <w:rFonts w:asciiTheme="minorHAnsi" w:hAnsiTheme="minorHAnsi" w:cs="Arial"/>
          <w:bCs/>
          <w:snapToGrid w:val="0"/>
        </w:rPr>
        <w:t>) via the Consumer Comments facility on the PBS website</w:t>
      </w:r>
      <w:r w:rsidR="00833F8F">
        <w:rPr>
          <w:rFonts w:asciiTheme="minorHAnsi" w:hAnsiTheme="minorHAnsi" w:cs="Arial"/>
          <w:bCs/>
          <w:snapToGrid w:val="0"/>
        </w:rPr>
        <w:t xml:space="preserve"> for both </w:t>
      </w:r>
      <w:proofErr w:type="spellStart"/>
      <w:r w:rsidR="00833F8F" w:rsidRPr="005C5A18">
        <w:rPr>
          <w:rFonts w:asciiTheme="minorHAnsi" w:hAnsiTheme="minorHAnsi" w:cstheme="minorHAnsi"/>
          <w:bCs/>
          <w:snapToGrid w:val="0"/>
        </w:rPr>
        <w:t>lumacaftor</w:t>
      </w:r>
      <w:proofErr w:type="spellEnd"/>
      <w:r w:rsidR="00833F8F" w:rsidRPr="005C5A18">
        <w:rPr>
          <w:rFonts w:asciiTheme="minorHAnsi" w:hAnsiTheme="minorHAnsi" w:cstheme="minorHAnsi"/>
          <w:bCs/>
          <w:snapToGrid w:val="0"/>
        </w:rPr>
        <w:t xml:space="preserve"> with </w:t>
      </w:r>
      <w:proofErr w:type="spellStart"/>
      <w:r w:rsidR="00833F8F" w:rsidRPr="005C5A18">
        <w:rPr>
          <w:rFonts w:asciiTheme="minorHAnsi" w:hAnsiTheme="minorHAnsi" w:cstheme="minorHAnsi"/>
          <w:bCs/>
          <w:snapToGrid w:val="0"/>
        </w:rPr>
        <w:t>ivacaftor</w:t>
      </w:r>
      <w:proofErr w:type="spellEnd"/>
      <w:r w:rsidR="00833F8F" w:rsidRPr="005C5A18">
        <w:rPr>
          <w:rFonts w:asciiTheme="minorHAnsi" w:hAnsiTheme="minorHAnsi" w:cstheme="minorHAnsi"/>
          <w:bCs/>
          <w:snapToGrid w:val="0"/>
        </w:rPr>
        <w:t xml:space="preserve"> submissions</w:t>
      </w:r>
      <w:r w:rsidR="00833F8F">
        <w:rPr>
          <w:rFonts w:asciiTheme="minorHAnsi" w:hAnsiTheme="minorHAnsi" w:cstheme="minorHAnsi"/>
          <w:bCs/>
          <w:snapToGrid w:val="0"/>
        </w:rPr>
        <w:t xml:space="preserve"> combined</w:t>
      </w:r>
      <w:r w:rsidR="00833F8F" w:rsidRPr="005C5A18">
        <w:rPr>
          <w:rFonts w:asciiTheme="minorHAnsi" w:hAnsiTheme="minorHAnsi" w:cstheme="minorHAnsi"/>
          <w:bCs/>
          <w:snapToGrid w:val="0"/>
        </w:rPr>
        <w:t xml:space="preserve"> (patients aged 6 – 11 years [item 5.08] and patients aged 12 years and o</w:t>
      </w:r>
      <w:r w:rsidR="00833F8F" w:rsidRPr="005C5A18">
        <w:rPr>
          <w:rFonts w:asciiTheme="minorHAnsi" w:hAnsiTheme="minorHAnsi" w:cstheme="minorHAnsi"/>
          <w:bCs/>
        </w:rPr>
        <w:t>lder</w:t>
      </w:r>
      <w:r w:rsidR="00833F8F" w:rsidRPr="005C5A18">
        <w:rPr>
          <w:rFonts w:asciiTheme="minorHAnsi" w:hAnsiTheme="minorHAnsi" w:cstheme="minorHAnsi"/>
          <w:bCs/>
          <w:snapToGrid w:val="0"/>
        </w:rPr>
        <w:t xml:space="preserve"> – [item 7.10]).</w:t>
      </w:r>
      <w:r w:rsidRPr="00EB6390">
        <w:rPr>
          <w:rFonts w:asciiTheme="minorHAnsi" w:hAnsiTheme="minorHAnsi" w:cs="Arial"/>
          <w:bCs/>
          <w:snapToGrid w:val="0"/>
        </w:rPr>
        <w:t xml:space="preserve">  </w:t>
      </w:r>
      <w:r w:rsidR="00EB6390" w:rsidRPr="006C2EA0">
        <w:rPr>
          <w:rFonts w:asciiTheme="minorHAnsi" w:hAnsiTheme="minorHAnsi"/>
        </w:rPr>
        <w:t xml:space="preserve">The comments described a range of benefits of treatment with </w:t>
      </w:r>
      <w:proofErr w:type="spellStart"/>
      <w:r w:rsidR="00EB6390" w:rsidRPr="006C2EA0">
        <w:rPr>
          <w:rFonts w:asciiTheme="minorHAnsi" w:hAnsiTheme="minorHAnsi"/>
        </w:rPr>
        <w:t>lumacaftor</w:t>
      </w:r>
      <w:proofErr w:type="spellEnd"/>
      <w:r w:rsidR="00EB6390" w:rsidRPr="006C2EA0">
        <w:rPr>
          <w:rFonts w:asciiTheme="minorHAnsi" w:hAnsiTheme="minorHAnsi"/>
        </w:rPr>
        <w:t>/</w:t>
      </w:r>
      <w:proofErr w:type="spellStart"/>
      <w:r w:rsidR="00EB6390" w:rsidRPr="006C2EA0">
        <w:rPr>
          <w:rFonts w:asciiTheme="minorHAnsi" w:hAnsiTheme="minorHAnsi"/>
        </w:rPr>
        <w:t>ivacaftor</w:t>
      </w:r>
      <w:proofErr w:type="spellEnd"/>
      <w:r w:rsidR="00EB6390" w:rsidRPr="006C2EA0">
        <w:rPr>
          <w:rFonts w:asciiTheme="minorHAnsi" w:hAnsiTheme="minorHAnsi"/>
        </w:rPr>
        <w:t>, including improvement in lung function, reduction in chest infections and exacerbations, weight gain, fewer hospital visits, fewer medications to be consumed on a daily basis, slowing disease progression</w:t>
      </w:r>
      <w:r w:rsidR="00EB6390">
        <w:rPr>
          <w:rFonts w:asciiTheme="minorHAnsi" w:hAnsiTheme="minorHAnsi"/>
        </w:rPr>
        <w:t>, and improvement in</w:t>
      </w:r>
      <w:r w:rsidR="00EB6390" w:rsidRPr="006C2EA0">
        <w:rPr>
          <w:rFonts w:asciiTheme="minorHAnsi" w:hAnsiTheme="minorHAnsi"/>
        </w:rPr>
        <w:t xml:space="preserve"> quality of life</w:t>
      </w:r>
      <w:r w:rsidR="00EB6390">
        <w:rPr>
          <w:rFonts w:asciiTheme="minorHAnsi" w:hAnsiTheme="minorHAnsi"/>
        </w:rPr>
        <w:t xml:space="preserve">. </w:t>
      </w:r>
      <w:r w:rsidR="00EB6390" w:rsidRPr="006C2EA0">
        <w:rPr>
          <w:rFonts w:asciiTheme="minorHAnsi" w:hAnsiTheme="minorHAnsi"/>
        </w:rPr>
        <w:t>The comments</w:t>
      </w:r>
      <w:r w:rsidR="00EB6390">
        <w:rPr>
          <w:rFonts w:asciiTheme="minorHAnsi" w:hAnsiTheme="minorHAnsi"/>
        </w:rPr>
        <w:t xml:space="preserve"> </w:t>
      </w:r>
      <w:r w:rsidR="00EB6390" w:rsidRPr="006C2EA0">
        <w:rPr>
          <w:rFonts w:asciiTheme="minorHAnsi" w:hAnsiTheme="minorHAnsi"/>
        </w:rPr>
        <w:t xml:space="preserve">noted </w:t>
      </w:r>
      <w:r w:rsidR="00EB6390">
        <w:rPr>
          <w:rFonts w:asciiTheme="minorHAnsi" w:hAnsiTheme="minorHAnsi"/>
        </w:rPr>
        <w:t xml:space="preserve">that </w:t>
      </w:r>
      <w:r w:rsidR="00EB6390" w:rsidRPr="006C2EA0">
        <w:rPr>
          <w:rFonts w:asciiTheme="minorHAnsi" w:hAnsiTheme="minorHAnsi"/>
        </w:rPr>
        <w:t>the very high cost of the drug on the private market puts it out of the financial reach of Australian patients</w:t>
      </w:r>
      <w:r w:rsidR="00EB6390">
        <w:rPr>
          <w:rFonts w:asciiTheme="minorHAnsi" w:hAnsiTheme="minorHAnsi"/>
        </w:rPr>
        <w:t xml:space="preserve"> and a number of comments expressed </w:t>
      </w:r>
      <w:r w:rsidR="00EB6390">
        <w:rPr>
          <w:rFonts w:asciiTheme="minorHAnsi" w:hAnsiTheme="minorHAnsi"/>
        </w:rPr>
        <w:lastRenderedPageBreak/>
        <w:t xml:space="preserve">frustration that </w:t>
      </w:r>
      <w:proofErr w:type="spellStart"/>
      <w:r w:rsidR="00EB6390">
        <w:rPr>
          <w:rFonts w:asciiTheme="minorHAnsi" w:hAnsiTheme="minorHAnsi"/>
        </w:rPr>
        <w:t>lumacaftor</w:t>
      </w:r>
      <w:proofErr w:type="spellEnd"/>
      <w:r w:rsidR="00EB6390">
        <w:rPr>
          <w:rFonts w:asciiTheme="minorHAnsi" w:hAnsiTheme="minorHAnsi"/>
        </w:rPr>
        <w:t>/</w:t>
      </w:r>
      <w:proofErr w:type="spellStart"/>
      <w:r w:rsidR="00EB6390">
        <w:rPr>
          <w:rFonts w:asciiTheme="minorHAnsi" w:hAnsiTheme="minorHAnsi"/>
        </w:rPr>
        <w:t>ivacaftor</w:t>
      </w:r>
      <w:proofErr w:type="spellEnd"/>
      <w:r w:rsidR="00EB6390">
        <w:rPr>
          <w:rFonts w:asciiTheme="minorHAnsi" w:hAnsiTheme="minorHAnsi"/>
        </w:rPr>
        <w:t xml:space="preserve"> has not yet been recommended for listing, despite a number of submissions</w:t>
      </w:r>
      <w:r w:rsidR="00835A62">
        <w:rPr>
          <w:rFonts w:asciiTheme="minorHAnsi" w:hAnsiTheme="minorHAnsi"/>
        </w:rPr>
        <w:t xml:space="preserve"> being made to the PBAC</w:t>
      </w:r>
      <w:r w:rsidR="0073784D">
        <w:rPr>
          <w:rFonts w:asciiTheme="minorHAnsi" w:hAnsiTheme="minorHAnsi"/>
        </w:rPr>
        <w:t>.</w:t>
      </w:r>
    </w:p>
    <w:p w:rsidR="003D3BE7" w:rsidRPr="00835A62" w:rsidRDefault="003D3BE7" w:rsidP="003D3BE7">
      <w:pPr>
        <w:widowControl w:val="0"/>
        <w:numPr>
          <w:ilvl w:val="1"/>
          <w:numId w:val="1"/>
        </w:numPr>
        <w:spacing w:after="120"/>
        <w:jc w:val="both"/>
        <w:rPr>
          <w:rFonts w:asciiTheme="minorHAnsi" w:hAnsiTheme="minorHAnsi" w:cs="Arial"/>
          <w:bCs/>
          <w:snapToGrid w:val="0"/>
        </w:rPr>
      </w:pPr>
      <w:r w:rsidRPr="00835A62">
        <w:rPr>
          <w:rFonts w:asciiTheme="minorHAnsi" w:hAnsiTheme="minorHAnsi" w:cs="Arial"/>
          <w:bCs/>
          <w:snapToGrid w:val="0"/>
        </w:rPr>
        <w:t xml:space="preserve">The PBAC noted the advice received from </w:t>
      </w:r>
      <w:r w:rsidR="00835A62">
        <w:rPr>
          <w:rFonts w:asciiTheme="minorHAnsi" w:hAnsiTheme="minorHAnsi" w:cs="Arial"/>
          <w:bCs/>
          <w:snapToGrid w:val="0"/>
        </w:rPr>
        <w:t>the Cystic Fibrosis Centre Directors (representing interests from the Cystic Fibrosis</w:t>
      </w:r>
      <w:r w:rsidR="00835A62" w:rsidRPr="00835A62">
        <w:rPr>
          <w:rFonts w:ascii="Arial" w:hAnsi="Arial" w:cs="Arial"/>
          <w:color w:val="000000"/>
          <w:sz w:val="23"/>
          <w:szCs w:val="23"/>
        </w:rPr>
        <w:t xml:space="preserve"> </w:t>
      </w:r>
      <w:r w:rsidR="00835A62" w:rsidRPr="00835A62">
        <w:rPr>
          <w:rFonts w:asciiTheme="minorHAnsi" w:hAnsiTheme="minorHAnsi" w:cstheme="minorHAnsi"/>
          <w:color w:val="000000"/>
        </w:rPr>
        <w:t>Specialist Interest Group of the Thoracic Society of Australia and New Zealand, and Cystic Fibrosis Australia</w:t>
      </w:r>
      <w:r w:rsidR="00835A62">
        <w:rPr>
          <w:rFonts w:asciiTheme="minorHAnsi" w:hAnsiTheme="minorHAnsi" w:cstheme="minorHAnsi"/>
          <w:color w:val="000000"/>
        </w:rPr>
        <w:t>) and Cystic Fibrosis SA</w:t>
      </w:r>
      <w:r w:rsidR="00835A62" w:rsidRPr="00835A62">
        <w:rPr>
          <w:rFonts w:asciiTheme="minorHAnsi" w:hAnsiTheme="minorHAnsi" w:cstheme="minorHAnsi"/>
          <w:color w:val="000000"/>
        </w:rPr>
        <w:t>.</w:t>
      </w:r>
      <w:r w:rsidR="00835A62" w:rsidRPr="00835A62">
        <w:rPr>
          <w:rFonts w:asciiTheme="minorHAnsi" w:hAnsiTheme="minorHAnsi" w:cstheme="minorHAnsi"/>
          <w:bCs/>
          <w:snapToGrid w:val="0"/>
        </w:rPr>
        <w:t xml:space="preserve"> </w:t>
      </w:r>
      <w:r w:rsidRPr="00835A62">
        <w:rPr>
          <w:rFonts w:asciiTheme="minorHAnsi" w:hAnsiTheme="minorHAnsi" w:cstheme="minorHAnsi"/>
          <w:bCs/>
          <w:snapToGrid w:val="0"/>
        </w:rPr>
        <w:t xml:space="preserve"> </w:t>
      </w:r>
      <w:r w:rsidRPr="00835A62">
        <w:rPr>
          <w:rFonts w:asciiTheme="minorHAnsi" w:hAnsiTheme="minorHAnsi" w:cs="Arial"/>
          <w:bCs/>
          <w:snapToGrid w:val="0"/>
        </w:rPr>
        <w:t>The PBAC specifically n</w:t>
      </w:r>
      <w:r w:rsidR="00044B1C">
        <w:rPr>
          <w:rFonts w:asciiTheme="minorHAnsi" w:hAnsiTheme="minorHAnsi" w:cs="Arial"/>
          <w:bCs/>
          <w:snapToGrid w:val="0"/>
        </w:rPr>
        <w:t>oted the advice that the use of</w:t>
      </w:r>
      <w:r w:rsidR="00835A62">
        <w:rPr>
          <w:rFonts w:asciiTheme="minorHAnsi" w:hAnsiTheme="minorHAnsi" w:cs="Arial"/>
          <w:bCs/>
          <w:snapToGrid w:val="0"/>
        </w:rPr>
        <w:t xml:space="preserve"> </w:t>
      </w:r>
      <w:proofErr w:type="spellStart"/>
      <w:r w:rsidR="00835A62">
        <w:rPr>
          <w:rFonts w:asciiTheme="minorHAnsi" w:hAnsiTheme="minorHAnsi" w:cs="Arial"/>
          <w:bCs/>
          <w:snapToGrid w:val="0"/>
        </w:rPr>
        <w:t>lumacaftor</w:t>
      </w:r>
      <w:proofErr w:type="spellEnd"/>
      <w:r w:rsidR="00835A62">
        <w:rPr>
          <w:rFonts w:asciiTheme="minorHAnsi" w:hAnsiTheme="minorHAnsi" w:cs="Arial"/>
          <w:bCs/>
          <w:snapToGrid w:val="0"/>
        </w:rPr>
        <w:t>/</w:t>
      </w:r>
      <w:proofErr w:type="spellStart"/>
      <w:r w:rsidR="00835A62">
        <w:rPr>
          <w:rFonts w:asciiTheme="minorHAnsi" w:hAnsiTheme="minorHAnsi" w:cs="Arial"/>
          <w:bCs/>
          <w:snapToGrid w:val="0"/>
        </w:rPr>
        <w:t>ivacaftor</w:t>
      </w:r>
      <w:proofErr w:type="spellEnd"/>
      <w:r w:rsidR="00835A62">
        <w:rPr>
          <w:rFonts w:asciiTheme="minorHAnsi" w:hAnsiTheme="minorHAnsi" w:cs="Arial"/>
          <w:bCs/>
          <w:snapToGrid w:val="0"/>
        </w:rPr>
        <w:t xml:space="preserve"> </w:t>
      </w:r>
      <w:r w:rsidRPr="00835A62">
        <w:rPr>
          <w:rFonts w:asciiTheme="minorHAnsi" w:hAnsiTheme="minorHAnsi" w:cs="Arial"/>
          <w:bCs/>
          <w:snapToGrid w:val="0"/>
        </w:rPr>
        <w:t xml:space="preserve">may </w:t>
      </w:r>
      <w:r w:rsidR="00835A62">
        <w:rPr>
          <w:rFonts w:asciiTheme="minorHAnsi" w:hAnsiTheme="minorHAnsi" w:cs="Arial"/>
          <w:bCs/>
          <w:snapToGrid w:val="0"/>
        </w:rPr>
        <w:t xml:space="preserve">halt or slow decline in lung function; reduce hospital stays, IV treatments and hospitalisation costs; and improve nutritional status and quality of life. </w:t>
      </w:r>
      <w:r w:rsidR="00F12CB9">
        <w:rPr>
          <w:rFonts w:asciiTheme="minorHAnsi" w:hAnsiTheme="minorHAnsi" w:cs="Arial"/>
          <w:bCs/>
          <w:snapToGrid w:val="0"/>
        </w:rPr>
        <w:t>T</w:t>
      </w:r>
      <w:r w:rsidR="00835A62">
        <w:rPr>
          <w:rFonts w:asciiTheme="minorHAnsi" w:hAnsiTheme="minorHAnsi" w:cs="Arial"/>
          <w:bCs/>
          <w:snapToGrid w:val="0"/>
        </w:rPr>
        <w:t xml:space="preserve">he advice received from the </w:t>
      </w:r>
      <w:r w:rsidR="00835A62" w:rsidRPr="008C66E9">
        <w:rPr>
          <w:rFonts w:asciiTheme="minorHAnsi" w:hAnsiTheme="minorHAnsi" w:cstheme="minorHAnsi"/>
          <w:bCs/>
          <w:snapToGrid w:val="0"/>
        </w:rPr>
        <w:t>Cystic Fibrosis Centre Directors</w:t>
      </w:r>
      <w:r w:rsidR="00F12CB9">
        <w:rPr>
          <w:rFonts w:asciiTheme="minorHAnsi" w:hAnsiTheme="minorHAnsi" w:cstheme="minorHAnsi"/>
          <w:bCs/>
          <w:snapToGrid w:val="0"/>
        </w:rPr>
        <w:t xml:space="preserve"> also</w:t>
      </w:r>
      <w:r w:rsidR="00835A62" w:rsidRPr="008C66E9">
        <w:rPr>
          <w:rFonts w:asciiTheme="minorHAnsi" w:hAnsiTheme="minorHAnsi" w:cstheme="minorHAnsi"/>
          <w:bCs/>
          <w:snapToGrid w:val="0"/>
        </w:rPr>
        <w:t xml:space="preserve"> noted that in the experience of </w:t>
      </w:r>
      <w:r w:rsidR="00835A62" w:rsidRPr="008C66E9">
        <w:rPr>
          <w:rFonts w:asciiTheme="minorHAnsi" w:hAnsiTheme="minorHAnsi" w:cstheme="minorHAnsi"/>
          <w:color w:val="000000"/>
        </w:rPr>
        <w:t>Australian CF physicians who have used this drug in trials and on the compassionate Special Access Scheme</w:t>
      </w:r>
      <w:r w:rsidR="008C66E9" w:rsidRPr="008C66E9">
        <w:rPr>
          <w:rFonts w:asciiTheme="minorHAnsi" w:hAnsiTheme="minorHAnsi" w:cstheme="minorHAnsi"/>
          <w:color w:val="000000"/>
        </w:rPr>
        <w:t>, patients have experienced a reduction in acute respiratory exacerbations</w:t>
      </w:r>
      <w:r w:rsidR="00F12CB9">
        <w:rPr>
          <w:rFonts w:asciiTheme="minorHAnsi" w:hAnsiTheme="minorHAnsi" w:cstheme="minorHAnsi"/>
          <w:color w:val="000000"/>
        </w:rPr>
        <w:t>. The advice states that “</w:t>
      </w:r>
      <w:r w:rsidR="00F12CB9" w:rsidRPr="008C66E9">
        <w:rPr>
          <w:rFonts w:asciiTheme="minorHAnsi" w:hAnsiTheme="minorHAnsi" w:cstheme="minorHAnsi"/>
          <w:color w:val="000000"/>
        </w:rPr>
        <w:t>acute respiratory exacerbations</w:t>
      </w:r>
      <w:r w:rsidR="00F12CB9">
        <w:rPr>
          <w:rFonts w:asciiTheme="minorHAnsi" w:hAnsiTheme="minorHAnsi" w:cstheme="minorHAnsi"/>
          <w:color w:val="000000"/>
        </w:rPr>
        <w:t xml:space="preserve"> in CF </w:t>
      </w:r>
      <w:r w:rsidR="00F12CB9" w:rsidRPr="00F12CB9">
        <w:rPr>
          <w:rFonts w:asciiTheme="minorHAnsi" w:hAnsiTheme="minorHAnsi" w:cstheme="minorHAnsi"/>
          <w:color w:val="000000"/>
        </w:rPr>
        <w:t>result in worsening of lung function, permanent loss of lung function and decreased survival</w:t>
      </w:r>
      <w:r w:rsidR="00E8428B">
        <w:rPr>
          <w:rFonts w:asciiTheme="minorHAnsi" w:hAnsiTheme="minorHAnsi" w:cstheme="minorHAnsi"/>
          <w:color w:val="000000"/>
        </w:rPr>
        <w:t>”</w:t>
      </w:r>
      <w:r w:rsidR="00F12CB9">
        <w:rPr>
          <w:rFonts w:asciiTheme="minorHAnsi" w:hAnsiTheme="minorHAnsi" w:cstheme="minorHAnsi"/>
          <w:color w:val="000000"/>
        </w:rPr>
        <w:t xml:space="preserve"> </w:t>
      </w:r>
      <w:r w:rsidR="008C66E9" w:rsidRPr="008C66E9">
        <w:rPr>
          <w:rFonts w:asciiTheme="minorHAnsi" w:hAnsiTheme="minorHAnsi" w:cstheme="minorHAnsi"/>
          <w:color w:val="000000"/>
        </w:rPr>
        <w:t>and that “any therapy that reduces the rate of acute exacerbations is likely therefore to have a very beneficial effect on the clinical course of patients with CF.”</w:t>
      </w:r>
      <w:r w:rsidR="00835A62">
        <w:rPr>
          <w:rFonts w:asciiTheme="minorHAnsi" w:hAnsiTheme="minorHAnsi" w:cs="Arial"/>
          <w:bCs/>
          <w:snapToGrid w:val="0"/>
        </w:rPr>
        <w:t xml:space="preserve"> </w:t>
      </w:r>
      <w:r w:rsidRPr="00835A62">
        <w:rPr>
          <w:rFonts w:asciiTheme="minorHAnsi" w:hAnsiTheme="minorHAnsi" w:cs="Arial"/>
          <w:bCs/>
          <w:snapToGrid w:val="0"/>
        </w:rPr>
        <w:t xml:space="preserve">The PBAC noted that </w:t>
      </w:r>
      <w:r w:rsidR="00030722">
        <w:rPr>
          <w:rFonts w:asciiTheme="minorHAnsi" w:hAnsiTheme="minorHAnsi" w:cs="Arial"/>
          <w:bCs/>
          <w:snapToGrid w:val="0"/>
        </w:rPr>
        <w:t xml:space="preserve">although </w:t>
      </w:r>
      <w:r w:rsidRPr="00835A62">
        <w:rPr>
          <w:rFonts w:asciiTheme="minorHAnsi" w:hAnsiTheme="minorHAnsi" w:cs="Arial"/>
          <w:bCs/>
          <w:snapToGrid w:val="0"/>
        </w:rPr>
        <w:t>this advice was supportive of the evidence provided in the submission</w:t>
      </w:r>
      <w:r w:rsidR="00030722">
        <w:rPr>
          <w:rFonts w:asciiTheme="minorHAnsi" w:hAnsiTheme="minorHAnsi" w:cs="Arial"/>
          <w:bCs/>
          <w:snapToGrid w:val="0"/>
        </w:rPr>
        <w:t>, the authors were not able to provide data from Australian patients to substantiate these observations</w:t>
      </w:r>
      <w:r w:rsidR="0011219B">
        <w:rPr>
          <w:rFonts w:asciiTheme="minorHAnsi" w:hAnsiTheme="minorHAnsi" w:cs="Arial"/>
          <w:bCs/>
          <w:snapToGrid w:val="0"/>
        </w:rPr>
        <w:t xml:space="preserve"> ahead of PBAC consideration</w:t>
      </w:r>
      <w:r w:rsidR="00C8267D">
        <w:rPr>
          <w:rFonts w:asciiTheme="minorHAnsi" w:hAnsiTheme="minorHAnsi" w:cs="Arial"/>
          <w:bCs/>
          <w:snapToGrid w:val="0"/>
        </w:rPr>
        <w:t>.</w:t>
      </w:r>
    </w:p>
    <w:p w:rsidR="00D84934" w:rsidRPr="00937958" w:rsidRDefault="00D84934" w:rsidP="0073784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240BB4" w:rsidRDefault="00C662A4" w:rsidP="0080519B">
      <w:pPr>
        <w:pStyle w:val="ListParagraph"/>
        <w:widowControl/>
        <w:numPr>
          <w:ilvl w:val="1"/>
          <w:numId w:val="3"/>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N</w:t>
      </w:r>
      <w:r w:rsidR="0076420C" w:rsidRPr="001B2BBC">
        <w:rPr>
          <w:rFonts w:asciiTheme="minorHAnsi" w:eastAsiaTheme="minorHAnsi" w:hAnsiTheme="minorHAnsi" w:cstheme="minorBidi"/>
          <w:snapToGrid/>
          <w:sz w:val="24"/>
          <w:szCs w:val="22"/>
        </w:rPr>
        <w:t xml:space="preserve">o new clinical trials </w:t>
      </w:r>
      <w:r w:rsidR="00FF2801" w:rsidRPr="001B2BBC">
        <w:rPr>
          <w:rFonts w:asciiTheme="minorHAnsi" w:eastAsiaTheme="minorHAnsi" w:hAnsiTheme="minorHAnsi" w:cstheme="minorBidi"/>
          <w:snapToGrid/>
          <w:sz w:val="24"/>
          <w:szCs w:val="22"/>
        </w:rPr>
        <w:t>were</w:t>
      </w:r>
      <w:r w:rsidR="0076420C" w:rsidRPr="001B2BBC">
        <w:rPr>
          <w:rFonts w:asciiTheme="minorHAnsi" w:eastAsiaTheme="minorHAnsi" w:hAnsiTheme="minorHAnsi" w:cstheme="minorBidi"/>
          <w:snapToGrid/>
          <w:sz w:val="24"/>
          <w:szCs w:val="22"/>
        </w:rPr>
        <w:t xml:space="preserve"> presented in the resubmission.</w:t>
      </w:r>
    </w:p>
    <w:p w:rsidR="0011219B" w:rsidRPr="0011219B" w:rsidRDefault="00C662A4" w:rsidP="0011219B">
      <w:pPr>
        <w:pStyle w:val="ListParagraph"/>
        <w:widowControl/>
        <w:numPr>
          <w:ilvl w:val="1"/>
          <w:numId w:val="3"/>
        </w:numPr>
        <w:spacing w:before="120" w:after="160"/>
        <w:contextualSpacing w:val="0"/>
        <w:rPr>
          <w:rFonts w:asciiTheme="minorHAnsi" w:eastAsiaTheme="minorHAnsi" w:hAnsiTheme="minorHAnsi" w:cstheme="minorBidi"/>
          <w:snapToGrid/>
          <w:sz w:val="24"/>
          <w:szCs w:val="22"/>
        </w:rPr>
      </w:pPr>
      <w:r w:rsidRPr="0011219B">
        <w:rPr>
          <w:rFonts w:asciiTheme="minorHAnsi" w:eastAsiaTheme="minorHAnsi" w:hAnsiTheme="minorHAnsi" w:cstheme="minorBidi"/>
          <w:snapToGrid/>
          <w:sz w:val="24"/>
          <w:szCs w:val="22"/>
        </w:rPr>
        <w:t>However</w:t>
      </w:r>
      <w:r w:rsidR="00605394" w:rsidRPr="0011219B">
        <w:rPr>
          <w:rFonts w:asciiTheme="minorHAnsi" w:eastAsiaTheme="minorHAnsi" w:hAnsiTheme="minorHAnsi" w:cstheme="minorBidi"/>
          <w:snapToGrid/>
          <w:sz w:val="24"/>
          <w:szCs w:val="22"/>
        </w:rPr>
        <w:t>, at the request of the Department,</w:t>
      </w:r>
      <w:r w:rsidRPr="0011219B">
        <w:rPr>
          <w:rFonts w:asciiTheme="minorHAnsi" w:eastAsiaTheme="minorHAnsi" w:hAnsiTheme="minorHAnsi" w:cstheme="minorBidi"/>
          <w:snapToGrid/>
          <w:sz w:val="24"/>
          <w:szCs w:val="22"/>
        </w:rPr>
        <w:t xml:space="preserve"> further results from the PROGRESS study</w:t>
      </w:r>
      <w:r w:rsidR="00240BB4" w:rsidRPr="0011219B">
        <w:rPr>
          <w:rFonts w:asciiTheme="minorHAnsi" w:eastAsiaTheme="minorHAnsi" w:hAnsiTheme="minorHAnsi" w:cstheme="minorBidi"/>
          <w:snapToGrid/>
          <w:sz w:val="24"/>
          <w:szCs w:val="22"/>
        </w:rPr>
        <w:t xml:space="preserve"> </w:t>
      </w:r>
      <w:r w:rsidRPr="0011219B">
        <w:rPr>
          <w:rFonts w:asciiTheme="minorHAnsi" w:eastAsiaTheme="minorHAnsi" w:hAnsiTheme="minorHAnsi" w:cstheme="minorBidi"/>
          <w:snapToGrid/>
          <w:sz w:val="24"/>
          <w:szCs w:val="22"/>
        </w:rPr>
        <w:t>(</w:t>
      </w:r>
      <w:r w:rsidR="00240BB4" w:rsidRPr="0011219B">
        <w:rPr>
          <w:rFonts w:asciiTheme="minorHAnsi" w:eastAsiaTheme="minorHAnsi" w:hAnsiTheme="minorHAnsi" w:cstheme="minorBidi"/>
          <w:snapToGrid/>
          <w:sz w:val="24"/>
          <w:szCs w:val="22"/>
        </w:rPr>
        <w:t xml:space="preserve">VX12-809-105) were provided by the sponsor on 12 June 2018 in the form of the PROGRESS study final study report, Version 1.0, </w:t>
      </w:r>
      <w:r w:rsidR="007C02F3" w:rsidRPr="00AC257B">
        <w:rPr>
          <w:rFonts w:asciiTheme="minorHAnsi" w:eastAsiaTheme="minorHAnsi" w:hAnsiTheme="minorHAnsi" w:cstheme="minorBidi"/>
          <w:snapToGrid/>
          <w:sz w:val="24"/>
          <w:szCs w:val="22"/>
        </w:rPr>
        <w:t xml:space="preserve">dated </w:t>
      </w:r>
      <w:r w:rsidR="00240BB4" w:rsidRPr="000D2F1E">
        <w:rPr>
          <w:rFonts w:asciiTheme="minorHAnsi" w:eastAsiaTheme="minorHAnsi" w:hAnsiTheme="minorHAnsi" w:cstheme="minorBidi"/>
          <w:snapToGrid/>
          <w:sz w:val="24"/>
          <w:szCs w:val="22"/>
        </w:rPr>
        <w:t>25 October 2016.</w:t>
      </w:r>
      <w:r w:rsidR="0011219B" w:rsidRPr="000D2F1E">
        <w:rPr>
          <w:rFonts w:asciiTheme="minorHAnsi" w:eastAsiaTheme="minorHAnsi" w:hAnsiTheme="minorHAnsi" w:cstheme="minorBidi"/>
          <w:snapToGrid/>
          <w:sz w:val="24"/>
          <w:szCs w:val="22"/>
        </w:rPr>
        <w:t xml:space="preserve"> </w:t>
      </w:r>
      <w:r w:rsidR="0011219B" w:rsidRPr="002A1DB5">
        <w:rPr>
          <w:rFonts w:asciiTheme="minorHAnsi" w:eastAsiaTheme="minorHAnsi" w:hAnsiTheme="minorHAnsi" w:cstheme="minorBidi"/>
          <w:snapToGrid/>
          <w:sz w:val="24"/>
          <w:szCs w:val="22"/>
        </w:rPr>
        <w:t xml:space="preserve">Previously the PBAC had only been provided with </w:t>
      </w:r>
      <w:proofErr w:type="spellStart"/>
      <w:r w:rsidR="0011219B" w:rsidRPr="00AA37D5">
        <w:rPr>
          <w:rFonts w:asciiTheme="minorHAnsi" w:eastAsiaTheme="minorHAnsi" w:hAnsiTheme="minorHAnsi" w:cstheme="minorBidi"/>
          <w:snapToGrid/>
          <w:sz w:val="24"/>
          <w:szCs w:val="22"/>
        </w:rPr>
        <w:t>Konstan</w:t>
      </w:r>
      <w:proofErr w:type="spellEnd"/>
      <w:r w:rsidR="0011219B" w:rsidRPr="006A3504">
        <w:rPr>
          <w:rFonts w:asciiTheme="minorHAnsi" w:eastAsiaTheme="minorHAnsi" w:hAnsiTheme="minorHAnsi" w:cstheme="minorBidi"/>
          <w:snapToGrid/>
          <w:sz w:val="24"/>
          <w:szCs w:val="22"/>
        </w:rPr>
        <w:t>, et al. (2017)</w:t>
      </w:r>
      <w:r w:rsidR="0011219B">
        <w:rPr>
          <w:rFonts w:asciiTheme="minorHAnsi" w:eastAsiaTheme="minorHAnsi" w:hAnsiTheme="minorHAnsi" w:cstheme="minorBidi"/>
          <w:snapToGrid/>
          <w:sz w:val="24"/>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48"/>
        <w:gridCol w:w="5825"/>
        <w:gridCol w:w="2109"/>
      </w:tblGrid>
      <w:tr w:rsidR="00240BB4" w:rsidRPr="00240BB4" w:rsidTr="00565D1B">
        <w:trPr>
          <w:cantSplit/>
        </w:trPr>
        <w:tc>
          <w:tcPr>
            <w:tcW w:w="632" w:type="pct"/>
          </w:tcPr>
          <w:p w:rsidR="00240BB4" w:rsidRPr="00605394" w:rsidRDefault="00240BB4" w:rsidP="00240BB4">
            <w:pPr>
              <w:keepNext/>
              <w:jc w:val="both"/>
              <w:rPr>
                <w:rFonts w:ascii="Arial Narrow" w:hAnsi="Arial Narrow" w:cs="Arial"/>
                <w:b/>
                <w:snapToGrid w:val="0"/>
                <w:sz w:val="20"/>
                <w:szCs w:val="20"/>
                <w:lang w:eastAsia="en-US"/>
              </w:rPr>
            </w:pPr>
            <w:r w:rsidRPr="00605394">
              <w:rPr>
                <w:rFonts w:ascii="Arial Narrow" w:hAnsi="Arial Narrow" w:cs="Arial"/>
                <w:b/>
                <w:snapToGrid w:val="0"/>
                <w:sz w:val="20"/>
                <w:szCs w:val="20"/>
                <w:lang w:eastAsia="en-US"/>
              </w:rPr>
              <w:lastRenderedPageBreak/>
              <w:t>Trial ID</w:t>
            </w:r>
          </w:p>
        </w:tc>
        <w:tc>
          <w:tcPr>
            <w:tcW w:w="3207" w:type="pct"/>
          </w:tcPr>
          <w:p w:rsidR="00240BB4" w:rsidRPr="00605394" w:rsidRDefault="00240BB4" w:rsidP="00240BB4">
            <w:pPr>
              <w:keepNext/>
              <w:rPr>
                <w:rFonts w:ascii="Arial Narrow" w:hAnsi="Arial Narrow" w:cs="Arial"/>
                <w:b/>
                <w:snapToGrid w:val="0"/>
                <w:sz w:val="20"/>
                <w:szCs w:val="20"/>
                <w:lang w:eastAsia="en-US"/>
              </w:rPr>
            </w:pPr>
            <w:r w:rsidRPr="00605394">
              <w:rPr>
                <w:rFonts w:ascii="Arial Narrow" w:hAnsi="Arial Narrow" w:cs="Arial"/>
                <w:b/>
                <w:snapToGrid w:val="0"/>
                <w:sz w:val="20"/>
                <w:szCs w:val="20"/>
                <w:lang w:eastAsia="en-US"/>
              </w:rPr>
              <w:t>Protocol title/ Publication title</w:t>
            </w:r>
            <w:r w:rsidR="000949E0" w:rsidRPr="00605394">
              <w:rPr>
                <w:rFonts w:ascii="Arial Narrow" w:eastAsiaTheme="minorHAnsi" w:hAnsi="Arial Narrow" w:cstheme="minorBidi"/>
                <w:sz w:val="20"/>
                <w:szCs w:val="20"/>
              </w:rPr>
              <w:t xml:space="preserve"> PROGRESS study final study report, Version 1.0, dated 25 October 2016.</w:t>
            </w:r>
          </w:p>
        </w:tc>
        <w:tc>
          <w:tcPr>
            <w:tcW w:w="1161" w:type="pct"/>
          </w:tcPr>
          <w:p w:rsidR="00240BB4" w:rsidRPr="0091201A" w:rsidRDefault="00240BB4" w:rsidP="00240BB4">
            <w:pPr>
              <w:keepNext/>
              <w:jc w:val="center"/>
              <w:rPr>
                <w:rFonts w:ascii="Arial Narrow" w:hAnsi="Arial Narrow" w:cs="Arial"/>
                <w:b/>
                <w:snapToGrid w:val="0"/>
                <w:sz w:val="20"/>
                <w:szCs w:val="20"/>
                <w:lang w:eastAsia="en-US"/>
              </w:rPr>
            </w:pPr>
            <w:r w:rsidRPr="0091201A">
              <w:rPr>
                <w:rFonts w:ascii="Arial Narrow" w:hAnsi="Arial Narrow" w:cs="Arial"/>
                <w:b/>
                <w:snapToGrid w:val="0"/>
                <w:sz w:val="20"/>
                <w:szCs w:val="20"/>
                <w:lang w:eastAsia="en-US"/>
              </w:rPr>
              <w:t>Publication citation</w:t>
            </w:r>
          </w:p>
        </w:tc>
      </w:tr>
      <w:tr w:rsidR="00240BB4" w:rsidRPr="00240BB4" w:rsidTr="00565D1B">
        <w:trPr>
          <w:cantSplit/>
        </w:trPr>
        <w:tc>
          <w:tcPr>
            <w:tcW w:w="5000" w:type="pct"/>
            <w:gridSpan w:val="3"/>
          </w:tcPr>
          <w:p w:rsidR="00240BB4" w:rsidRPr="00240BB4" w:rsidRDefault="00240BB4" w:rsidP="00240BB4">
            <w:pPr>
              <w:keepNext/>
              <w:rPr>
                <w:rFonts w:ascii="Arial Narrow" w:hAnsi="Arial Narrow" w:cs="Arial"/>
                <w:b/>
                <w:snapToGrid w:val="0"/>
                <w:sz w:val="20"/>
                <w:szCs w:val="20"/>
                <w:lang w:eastAsia="en-US"/>
              </w:rPr>
            </w:pPr>
            <w:r w:rsidRPr="00240BB4">
              <w:rPr>
                <w:rFonts w:ascii="Arial Narrow" w:hAnsi="Arial Narrow" w:cs="Arial"/>
                <w:b/>
                <w:snapToGrid w:val="0"/>
                <w:sz w:val="20"/>
                <w:szCs w:val="20"/>
                <w:lang w:eastAsia="en-US"/>
              </w:rPr>
              <w:t>Direct randomised trials</w:t>
            </w:r>
          </w:p>
        </w:tc>
      </w:tr>
      <w:tr w:rsidR="00240BB4" w:rsidRPr="00240BB4" w:rsidTr="00565D1B">
        <w:trPr>
          <w:cantSplit/>
        </w:trPr>
        <w:tc>
          <w:tcPr>
            <w:tcW w:w="632" w:type="pct"/>
            <w:tcBorders>
              <w:bottom w:val="single" w:sz="4" w:space="0" w:color="auto"/>
            </w:tcBorders>
          </w:tcPr>
          <w:p w:rsidR="00240BB4" w:rsidRPr="00240BB4" w:rsidRDefault="00240BB4" w:rsidP="00240BB4">
            <w:pPr>
              <w:keepNext/>
              <w:jc w:val="both"/>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Traffic</w:t>
            </w:r>
          </w:p>
        </w:tc>
        <w:tc>
          <w:tcPr>
            <w:tcW w:w="3207" w:type="pct"/>
            <w:tcBorders>
              <w:bottom w:val="single" w:sz="4" w:space="0" w:color="auto"/>
            </w:tcBorders>
          </w:tcPr>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 xml:space="preserve">Clinical study report VX12-809-103 </w:t>
            </w:r>
          </w:p>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 xml:space="preserve">A Phase 3, Randomized, Double-Blind, Placebo-Controlled, Parallel-Group Study to Evaluate the Efficacy and Safety of </w:t>
            </w:r>
            <w:proofErr w:type="spellStart"/>
            <w:r w:rsidRPr="00240BB4">
              <w:rPr>
                <w:rFonts w:ascii="Arial Narrow" w:hAnsi="Arial Narrow" w:cs="Arial"/>
                <w:snapToGrid w:val="0"/>
                <w:sz w:val="20"/>
                <w:szCs w:val="20"/>
                <w:lang w:eastAsia="en-US"/>
              </w:rPr>
              <w:t>Lumacaftor</w:t>
            </w:r>
            <w:proofErr w:type="spellEnd"/>
            <w:r w:rsidRPr="00240BB4">
              <w:rPr>
                <w:rFonts w:ascii="Arial Narrow" w:hAnsi="Arial Narrow" w:cs="Arial"/>
                <w:snapToGrid w:val="0"/>
                <w:sz w:val="20"/>
                <w:szCs w:val="20"/>
                <w:lang w:eastAsia="en-US"/>
              </w:rPr>
              <w:t xml:space="preserve"> in Combination With </w:t>
            </w:r>
            <w:proofErr w:type="spellStart"/>
            <w:r w:rsidRPr="00240BB4">
              <w:rPr>
                <w:rFonts w:ascii="Arial Narrow" w:hAnsi="Arial Narrow" w:cs="Arial"/>
                <w:snapToGrid w:val="0"/>
                <w:sz w:val="20"/>
                <w:szCs w:val="20"/>
                <w:lang w:eastAsia="en-US"/>
              </w:rPr>
              <w:t>Ivacaftor</w:t>
            </w:r>
            <w:proofErr w:type="spellEnd"/>
            <w:r w:rsidRPr="00240BB4">
              <w:rPr>
                <w:rFonts w:ascii="Arial Narrow" w:hAnsi="Arial Narrow" w:cs="Arial"/>
                <w:snapToGrid w:val="0"/>
                <w:sz w:val="20"/>
                <w:szCs w:val="20"/>
                <w:lang w:eastAsia="en-US"/>
              </w:rPr>
              <w:t xml:space="preserve"> in Subjects Aged 12 Years and Older With Cystic Fibrosis, Homozygous for the F508del-CFTR Mutation</w:t>
            </w:r>
          </w:p>
          <w:p w:rsidR="00240BB4" w:rsidRPr="00240BB4" w:rsidRDefault="00240BB4" w:rsidP="00240BB4">
            <w:pPr>
              <w:keepNext/>
              <w:rPr>
                <w:rFonts w:ascii="Arial Narrow" w:hAnsi="Arial Narrow" w:cs="Arial"/>
                <w:snapToGrid w:val="0"/>
                <w:sz w:val="20"/>
                <w:szCs w:val="20"/>
                <w:lang w:eastAsia="en-US"/>
              </w:rPr>
            </w:pPr>
          </w:p>
        </w:tc>
        <w:tc>
          <w:tcPr>
            <w:tcW w:w="1161" w:type="pct"/>
            <w:tcBorders>
              <w:bottom w:val="single" w:sz="4" w:space="0" w:color="auto"/>
            </w:tcBorders>
          </w:tcPr>
          <w:p w:rsidR="00240BB4" w:rsidRPr="00240BB4" w:rsidRDefault="00240BB4" w:rsidP="00240BB4">
            <w:pPr>
              <w:keepNext/>
              <w:jc w:val="both"/>
              <w:rPr>
                <w:rFonts w:ascii="Arial Narrow" w:hAnsi="Arial Narrow" w:cs="Arial"/>
                <w:b/>
                <w:snapToGrid w:val="0"/>
                <w:sz w:val="20"/>
                <w:szCs w:val="20"/>
                <w:lang w:eastAsia="en-US"/>
              </w:rPr>
            </w:pPr>
            <w:r w:rsidRPr="00240BB4">
              <w:rPr>
                <w:rFonts w:ascii="Arial Narrow" w:hAnsi="Arial Narrow" w:cs="Arial"/>
                <w:snapToGrid w:val="0"/>
                <w:sz w:val="20"/>
                <w:szCs w:val="20"/>
                <w:lang w:eastAsia="en-US"/>
              </w:rPr>
              <w:t>8 September 2014</w:t>
            </w:r>
          </w:p>
        </w:tc>
      </w:tr>
      <w:tr w:rsidR="00240BB4" w:rsidRPr="00240BB4" w:rsidTr="00565D1B">
        <w:trPr>
          <w:cantSplit/>
        </w:trPr>
        <w:tc>
          <w:tcPr>
            <w:tcW w:w="632" w:type="pct"/>
            <w:tcBorders>
              <w:bottom w:val="nil"/>
            </w:tcBorders>
          </w:tcPr>
          <w:p w:rsidR="00240BB4" w:rsidRPr="00240BB4" w:rsidRDefault="00240BB4" w:rsidP="00240BB4">
            <w:pPr>
              <w:keepNext/>
              <w:jc w:val="both"/>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Transport</w:t>
            </w:r>
          </w:p>
        </w:tc>
        <w:tc>
          <w:tcPr>
            <w:tcW w:w="3207" w:type="pct"/>
            <w:tcBorders>
              <w:bottom w:val="single" w:sz="4" w:space="0" w:color="auto"/>
            </w:tcBorders>
          </w:tcPr>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 xml:space="preserve">Clinical study report VX12-809-104  </w:t>
            </w:r>
          </w:p>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 xml:space="preserve">A Phase 3, Randomized, Double-Blind, Placebo-Controlled, Parallel-Group Study to Evaluate the Efficacy and Safety of </w:t>
            </w:r>
            <w:proofErr w:type="spellStart"/>
            <w:r w:rsidRPr="00240BB4">
              <w:rPr>
                <w:rFonts w:ascii="Arial Narrow" w:hAnsi="Arial Narrow" w:cs="Arial"/>
                <w:snapToGrid w:val="0"/>
                <w:sz w:val="20"/>
                <w:szCs w:val="20"/>
                <w:lang w:eastAsia="en-US"/>
              </w:rPr>
              <w:t>Lumacaftor</w:t>
            </w:r>
            <w:proofErr w:type="spellEnd"/>
            <w:r w:rsidRPr="00240BB4">
              <w:rPr>
                <w:rFonts w:ascii="Arial Narrow" w:hAnsi="Arial Narrow" w:cs="Arial"/>
                <w:snapToGrid w:val="0"/>
                <w:sz w:val="20"/>
                <w:szCs w:val="20"/>
                <w:lang w:eastAsia="en-US"/>
              </w:rPr>
              <w:t xml:space="preserve"> in Combination With </w:t>
            </w:r>
            <w:proofErr w:type="spellStart"/>
            <w:r w:rsidRPr="00240BB4">
              <w:rPr>
                <w:rFonts w:ascii="Arial Narrow" w:hAnsi="Arial Narrow" w:cs="Arial"/>
                <w:snapToGrid w:val="0"/>
                <w:sz w:val="20"/>
                <w:szCs w:val="20"/>
                <w:lang w:eastAsia="en-US"/>
              </w:rPr>
              <w:t>Ivacaftor</w:t>
            </w:r>
            <w:proofErr w:type="spellEnd"/>
            <w:r w:rsidRPr="00240BB4">
              <w:rPr>
                <w:rFonts w:ascii="Arial Narrow" w:hAnsi="Arial Narrow" w:cs="Arial"/>
                <w:snapToGrid w:val="0"/>
                <w:sz w:val="20"/>
                <w:szCs w:val="20"/>
                <w:lang w:eastAsia="en-US"/>
              </w:rPr>
              <w:t xml:space="preserve"> in Subjects Aged 12 Years and Older With Cystic Fibrosis, Homozygous for the F508del-CFTR Mutation.</w:t>
            </w:r>
          </w:p>
          <w:p w:rsidR="00240BB4" w:rsidRPr="00240BB4" w:rsidRDefault="00240BB4" w:rsidP="00240BB4">
            <w:pPr>
              <w:keepNext/>
              <w:rPr>
                <w:rFonts w:ascii="Arial Narrow" w:hAnsi="Arial Narrow" w:cs="Arial"/>
                <w:snapToGrid w:val="0"/>
                <w:sz w:val="20"/>
                <w:szCs w:val="20"/>
                <w:lang w:eastAsia="en-US"/>
              </w:rPr>
            </w:pPr>
          </w:p>
        </w:tc>
        <w:tc>
          <w:tcPr>
            <w:tcW w:w="1161" w:type="pct"/>
            <w:tcBorders>
              <w:bottom w:val="single" w:sz="4" w:space="0" w:color="auto"/>
            </w:tcBorders>
          </w:tcPr>
          <w:p w:rsidR="00240BB4" w:rsidRPr="00240BB4" w:rsidRDefault="00240BB4" w:rsidP="00240BB4">
            <w:pPr>
              <w:keepNext/>
              <w:jc w:val="both"/>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2 September 2014</w:t>
            </w:r>
          </w:p>
        </w:tc>
      </w:tr>
      <w:tr w:rsidR="00240BB4" w:rsidRPr="00240BB4" w:rsidTr="00565D1B">
        <w:trPr>
          <w:cantSplit/>
        </w:trPr>
        <w:tc>
          <w:tcPr>
            <w:tcW w:w="632" w:type="pct"/>
            <w:tcBorders>
              <w:top w:val="nil"/>
            </w:tcBorders>
          </w:tcPr>
          <w:p w:rsidR="00240BB4" w:rsidRPr="00240BB4" w:rsidRDefault="00240BB4" w:rsidP="00240BB4">
            <w:pPr>
              <w:keepNext/>
              <w:jc w:val="both"/>
              <w:rPr>
                <w:rFonts w:ascii="Arial Narrow" w:hAnsi="Arial Narrow" w:cs="Arial"/>
                <w:snapToGrid w:val="0"/>
                <w:sz w:val="20"/>
                <w:szCs w:val="20"/>
                <w:lang w:eastAsia="en-US"/>
              </w:rPr>
            </w:pPr>
          </w:p>
        </w:tc>
        <w:tc>
          <w:tcPr>
            <w:tcW w:w="3207" w:type="pct"/>
            <w:tcBorders>
              <w:top w:val="single" w:sz="4" w:space="0" w:color="auto"/>
            </w:tcBorders>
          </w:tcPr>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 xml:space="preserve">Wainwright CE, </w:t>
            </w:r>
            <w:proofErr w:type="spellStart"/>
            <w:r w:rsidRPr="00240BB4">
              <w:rPr>
                <w:rFonts w:ascii="Arial Narrow" w:hAnsi="Arial Narrow" w:cs="Arial"/>
                <w:snapToGrid w:val="0"/>
                <w:sz w:val="20"/>
                <w:szCs w:val="20"/>
                <w:lang w:eastAsia="en-US"/>
              </w:rPr>
              <w:t>Elborn</w:t>
            </w:r>
            <w:proofErr w:type="spellEnd"/>
            <w:r w:rsidRPr="00240BB4">
              <w:rPr>
                <w:rFonts w:ascii="Arial Narrow" w:hAnsi="Arial Narrow" w:cs="Arial"/>
                <w:snapToGrid w:val="0"/>
                <w:sz w:val="20"/>
                <w:szCs w:val="20"/>
                <w:lang w:eastAsia="en-US"/>
              </w:rPr>
              <w:t xml:space="preserve"> JS, Ramsey B, </w:t>
            </w:r>
            <w:proofErr w:type="spellStart"/>
            <w:r w:rsidRPr="00240BB4">
              <w:rPr>
                <w:rFonts w:ascii="Arial Narrow" w:hAnsi="Arial Narrow" w:cs="Arial"/>
                <w:snapToGrid w:val="0"/>
                <w:sz w:val="20"/>
                <w:szCs w:val="20"/>
                <w:lang w:eastAsia="en-US"/>
              </w:rPr>
              <w:t>Marigowda</w:t>
            </w:r>
            <w:proofErr w:type="spellEnd"/>
            <w:r w:rsidRPr="00240BB4">
              <w:rPr>
                <w:rFonts w:ascii="Arial Narrow" w:hAnsi="Arial Narrow" w:cs="Arial"/>
                <w:snapToGrid w:val="0"/>
                <w:sz w:val="20"/>
                <w:szCs w:val="20"/>
                <w:lang w:eastAsia="en-US"/>
              </w:rPr>
              <w:t xml:space="preserve"> G et al. </w:t>
            </w:r>
            <w:proofErr w:type="spellStart"/>
            <w:r w:rsidRPr="00240BB4">
              <w:rPr>
                <w:rFonts w:ascii="Arial Narrow" w:hAnsi="Arial Narrow" w:cs="Arial"/>
                <w:snapToGrid w:val="0"/>
                <w:sz w:val="20"/>
                <w:szCs w:val="20"/>
                <w:lang w:eastAsia="en-US"/>
              </w:rPr>
              <w:t>Lumacaftor-Ivacaftor</w:t>
            </w:r>
            <w:proofErr w:type="spellEnd"/>
            <w:r w:rsidRPr="00240BB4">
              <w:rPr>
                <w:rFonts w:ascii="Arial Narrow" w:hAnsi="Arial Narrow" w:cs="Arial"/>
                <w:snapToGrid w:val="0"/>
                <w:sz w:val="20"/>
                <w:szCs w:val="20"/>
                <w:lang w:eastAsia="en-US"/>
              </w:rPr>
              <w:t xml:space="preserve"> in Patients with Cystic Fibrosis Homozygous for Phe508del CFTR.</w:t>
            </w:r>
          </w:p>
        </w:tc>
        <w:tc>
          <w:tcPr>
            <w:tcW w:w="1161" w:type="pct"/>
            <w:tcBorders>
              <w:top w:val="single" w:sz="4" w:space="0" w:color="auto"/>
            </w:tcBorders>
          </w:tcPr>
          <w:p w:rsidR="00240BB4" w:rsidRPr="00240BB4" w:rsidRDefault="00240BB4" w:rsidP="00240BB4">
            <w:pPr>
              <w:keepNext/>
              <w:jc w:val="both"/>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New England Journal of Medicine 2015; 373:220-23</w:t>
            </w:r>
          </w:p>
        </w:tc>
      </w:tr>
      <w:tr w:rsidR="00240BB4" w:rsidRPr="00240BB4" w:rsidTr="00565D1B">
        <w:trPr>
          <w:cantSplit/>
        </w:trPr>
        <w:tc>
          <w:tcPr>
            <w:tcW w:w="5000" w:type="pct"/>
            <w:gridSpan w:val="3"/>
          </w:tcPr>
          <w:p w:rsidR="00240BB4" w:rsidRPr="00240BB4" w:rsidRDefault="00240BB4" w:rsidP="00240BB4">
            <w:pPr>
              <w:keepNext/>
              <w:rPr>
                <w:rFonts w:ascii="Arial Narrow" w:hAnsi="Arial Narrow" w:cs="Arial"/>
                <w:b/>
                <w:snapToGrid w:val="0"/>
                <w:sz w:val="20"/>
                <w:szCs w:val="20"/>
                <w:lang w:eastAsia="en-US"/>
              </w:rPr>
            </w:pPr>
            <w:r w:rsidRPr="00240BB4">
              <w:rPr>
                <w:rFonts w:ascii="Arial Narrow" w:hAnsi="Arial Narrow" w:cs="Arial"/>
                <w:b/>
                <w:snapToGrid w:val="0"/>
                <w:sz w:val="20"/>
                <w:szCs w:val="20"/>
                <w:lang w:eastAsia="en-US"/>
              </w:rPr>
              <w:t>Rollover extension study</w:t>
            </w:r>
          </w:p>
        </w:tc>
      </w:tr>
      <w:tr w:rsidR="00240BB4" w:rsidRPr="00240BB4" w:rsidTr="00565D1B">
        <w:trPr>
          <w:cantSplit/>
        </w:trPr>
        <w:tc>
          <w:tcPr>
            <w:tcW w:w="632" w:type="pct"/>
            <w:tcBorders>
              <w:bottom w:val="nil"/>
            </w:tcBorders>
          </w:tcPr>
          <w:p w:rsidR="00240BB4" w:rsidRPr="00240BB4" w:rsidRDefault="00240BB4" w:rsidP="00240BB4">
            <w:pPr>
              <w:keepNext/>
              <w:jc w:val="both"/>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Progress</w:t>
            </w:r>
          </w:p>
        </w:tc>
        <w:tc>
          <w:tcPr>
            <w:tcW w:w="3207" w:type="pct"/>
          </w:tcPr>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 xml:space="preserve">Clinical study report VX12-809-105 </w:t>
            </w:r>
          </w:p>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A Phase 3, Rollover Study to Evaluate the Safety and Efficacy of Long-term</w:t>
            </w:r>
          </w:p>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 xml:space="preserve">Treatment With </w:t>
            </w:r>
            <w:proofErr w:type="spellStart"/>
            <w:r w:rsidRPr="00240BB4">
              <w:rPr>
                <w:rFonts w:ascii="Arial Narrow" w:hAnsi="Arial Narrow" w:cs="Arial"/>
                <w:snapToGrid w:val="0"/>
                <w:sz w:val="20"/>
                <w:szCs w:val="20"/>
                <w:lang w:eastAsia="en-US"/>
              </w:rPr>
              <w:t>Lumacaftor</w:t>
            </w:r>
            <w:proofErr w:type="spellEnd"/>
            <w:r w:rsidRPr="00240BB4">
              <w:rPr>
                <w:rFonts w:ascii="Arial Narrow" w:hAnsi="Arial Narrow" w:cs="Arial"/>
                <w:snapToGrid w:val="0"/>
                <w:sz w:val="20"/>
                <w:szCs w:val="20"/>
                <w:lang w:eastAsia="en-US"/>
              </w:rPr>
              <w:t xml:space="preserve"> in Combination With </w:t>
            </w:r>
            <w:proofErr w:type="spellStart"/>
            <w:r w:rsidRPr="00240BB4">
              <w:rPr>
                <w:rFonts w:ascii="Arial Narrow" w:hAnsi="Arial Narrow" w:cs="Arial"/>
                <w:snapToGrid w:val="0"/>
                <w:sz w:val="20"/>
                <w:szCs w:val="20"/>
                <w:lang w:eastAsia="en-US"/>
              </w:rPr>
              <w:t>Ivacaftor</w:t>
            </w:r>
            <w:proofErr w:type="spellEnd"/>
            <w:r w:rsidRPr="00240BB4">
              <w:rPr>
                <w:rFonts w:ascii="Arial Narrow" w:hAnsi="Arial Narrow" w:cs="Arial"/>
                <w:snapToGrid w:val="0"/>
                <w:sz w:val="20"/>
                <w:szCs w:val="20"/>
                <w:lang w:eastAsia="en-US"/>
              </w:rPr>
              <w:t xml:space="preserve"> in Subjects Aged</w:t>
            </w:r>
          </w:p>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12 Years and Older With Cystic Fibrosis, Homozygous or Heterozygous for the</w:t>
            </w:r>
          </w:p>
          <w:p w:rsid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F508del-CFTR Mutation</w:t>
            </w:r>
          </w:p>
          <w:p w:rsidR="00240BB4" w:rsidRPr="00240BB4" w:rsidRDefault="00240BB4" w:rsidP="00240BB4">
            <w:pPr>
              <w:keepNext/>
              <w:rPr>
                <w:rFonts w:ascii="Arial Narrow" w:hAnsi="Arial Narrow" w:cs="Arial"/>
                <w:snapToGrid w:val="0"/>
                <w:sz w:val="20"/>
                <w:szCs w:val="20"/>
                <w:lang w:eastAsia="en-US"/>
              </w:rPr>
            </w:pPr>
          </w:p>
        </w:tc>
        <w:tc>
          <w:tcPr>
            <w:tcW w:w="1161" w:type="pct"/>
          </w:tcPr>
          <w:p w:rsidR="00240BB4" w:rsidRPr="00240BB4" w:rsidRDefault="00240BB4" w:rsidP="00240BB4">
            <w:pPr>
              <w:keepNext/>
              <w:jc w:val="both"/>
              <w:rPr>
                <w:rFonts w:ascii="Arial Narrow" w:hAnsi="Arial Narrow" w:cs="Arial"/>
                <w:snapToGrid w:val="0"/>
                <w:sz w:val="20"/>
                <w:szCs w:val="20"/>
                <w:lang w:eastAsia="en-US"/>
              </w:rPr>
            </w:pPr>
            <w:r>
              <w:rPr>
                <w:rFonts w:ascii="Arial Narrow" w:hAnsi="Arial Narrow" w:cs="Arial"/>
                <w:snapToGrid w:val="0"/>
                <w:sz w:val="20"/>
                <w:szCs w:val="20"/>
                <w:lang w:eastAsia="en-US"/>
              </w:rPr>
              <w:t>25 October 2016</w:t>
            </w:r>
          </w:p>
        </w:tc>
      </w:tr>
      <w:tr w:rsidR="00240BB4" w:rsidRPr="00240BB4" w:rsidTr="00565D1B">
        <w:trPr>
          <w:cantSplit/>
        </w:trPr>
        <w:tc>
          <w:tcPr>
            <w:tcW w:w="632" w:type="pct"/>
            <w:tcBorders>
              <w:top w:val="nil"/>
              <w:bottom w:val="nil"/>
            </w:tcBorders>
          </w:tcPr>
          <w:p w:rsidR="00240BB4" w:rsidRPr="00240BB4" w:rsidRDefault="00240BB4" w:rsidP="00240BB4">
            <w:pPr>
              <w:keepNext/>
              <w:jc w:val="both"/>
              <w:rPr>
                <w:rFonts w:ascii="Arial Narrow" w:hAnsi="Arial Narrow" w:cs="Arial"/>
                <w:snapToGrid w:val="0"/>
                <w:sz w:val="20"/>
                <w:szCs w:val="20"/>
                <w:lang w:eastAsia="en-US"/>
              </w:rPr>
            </w:pPr>
          </w:p>
        </w:tc>
        <w:tc>
          <w:tcPr>
            <w:tcW w:w="3207" w:type="pct"/>
          </w:tcPr>
          <w:p w:rsidR="00240BB4" w:rsidRPr="00240BB4" w:rsidRDefault="00240BB4" w:rsidP="00240BB4">
            <w:pPr>
              <w:keepNext/>
              <w:rPr>
                <w:rFonts w:ascii="Arial Narrow" w:hAnsi="Arial Narrow" w:cs="Arial"/>
                <w:snapToGrid w:val="0"/>
                <w:sz w:val="20"/>
                <w:szCs w:val="20"/>
                <w:lang w:eastAsia="en-US"/>
              </w:rPr>
            </w:pPr>
            <w:proofErr w:type="spellStart"/>
            <w:r w:rsidRPr="00240BB4">
              <w:rPr>
                <w:rFonts w:ascii="Arial Narrow" w:hAnsi="Arial Narrow" w:cs="Arial"/>
                <w:snapToGrid w:val="0"/>
                <w:sz w:val="20"/>
                <w:szCs w:val="20"/>
                <w:lang w:eastAsia="en-US"/>
              </w:rPr>
              <w:t>Elborn</w:t>
            </w:r>
            <w:proofErr w:type="spellEnd"/>
            <w:r w:rsidRPr="00240BB4">
              <w:rPr>
                <w:rFonts w:ascii="Arial Narrow" w:hAnsi="Arial Narrow" w:cs="Arial"/>
                <w:snapToGrid w:val="0"/>
                <w:sz w:val="20"/>
                <w:szCs w:val="20"/>
                <w:lang w:eastAsia="en-US"/>
              </w:rPr>
              <w:t xml:space="preserve">, J., Ramsey, B. and Boyle, M. B.  </w:t>
            </w:r>
            <w:proofErr w:type="spellStart"/>
            <w:r w:rsidRPr="00240BB4">
              <w:rPr>
                <w:rFonts w:ascii="Arial Narrow" w:hAnsi="Arial Narrow" w:cs="Arial"/>
                <w:snapToGrid w:val="0"/>
                <w:sz w:val="20"/>
                <w:szCs w:val="20"/>
                <w:lang w:eastAsia="en-US"/>
              </w:rPr>
              <w:t>Lumacaftor</w:t>
            </w:r>
            <w:proofErr w:type="spellEnd"/>
            <w:r w:rsidRPr="00240BB4">
              <w:rPr>
                <w:rFonts w:ascii="Arial Narrow" w:hAnsi="Arial Narrow" w:cs="Arial"/>
                <w:snapToGrid w:val="0"/>
                <w:sz w:val="20"/>
                <w:szCs w:val="20"/>
                <w:lang w:eastAsia="en-US"/>
              </w:rPr>
              <w:t xml:space="preserve"> in combination with </w:t>
            </w:r>
            <w:proofErr w:type="spellStart"/>
            <w:r w:rsidRPr="00240BB4">
              <w:rPr>
                <w:rFonts w:ascii="Arial Narrow" w:hAnsi="Arial Narrow" w:cs="Arial"/>
                <w:snapToGrid w:val="0"/>
                <w:sz w:val="20"/>
                <w:szCs w:val="20"/>
                <w:lang w:eastAsia="en-US"/>
              </w:rPr>
              <w:t>ivacaftor</w:t>
            </w:r>
            <w:proofErr w:type="spellEnd"/>
            <w:r w:rsidRPr="00240BB4">
              <w:rPr>
                <w:rFonts w:ascii="Arial Narrow" w:hAnsi="Arial Narrow" w:cs="Arial"/>
                <w:snapToGrid w:val="0"/>
                <w:sz w:val="20"/>
                <w:szCs w:val="20"/>
                <w:lang w:eastAsia="en-US"/>
              </w:rPr>
              <w:t xml:space="preserve"> in patients with cystic fibrosis who were homozygous for the F508del-CFTR mutation. </w:t>
            </w:r>
          </w:p>
        </w:tc>
        <w:tc>
          <w:tcPr>
            <w:tcW w:w="1161" w:type="pct"/>
          </w:tcPr>
          <w:p w:rsidR="00240BB4" w:rsidRPr="00240BB4" w:rsidRDefault="00240BB4" w:rsidP="00240BB4">
            <w:pPr>
              <w:keepNext/>
              <w:jc w:val="both"/>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The 38th annual European Cystic Fibrosis Conference, Brussels, Belgium, 10-12 June 2015</w:t>
            </w:r>
          </w:p>
        </w:tc>
      </w:tr>
      <w:tr w:rsidR="00240BB4" w:rsidRPr="00240BB4" w:rsidTr="00565D1B">
        <w:trPr>
          <w:cantSplit/>
        </w:trPr>
        <w:tc>
          <w:tcPr>
            <w:tcW w:w="632" w:type="pct"/>
            <w:tcBorders>
              <w:top w:val="nil"/>
              <w:bottom w:val="nil"/>
            </w:tcBorders>
          </w:tcPr>
          <w:p w:rsidR="00240BB4" w:rsidRPr="00240BB4" w:rsidRDefault="00240BB4" w:rsidP="00240BB4">
            <w:pPr>
              <w:keepNext/>
              <w:jc w:val="both"/>
              <w:rPr>
                <w:rFonts w:ascii="Arial Narrow" w:hAnsi="Arial Narrow" w:cs="Arial"/>
                <w:snapToGrid w:val="0"/>
                <w:sz w:val="20"/>
                <w:szCs w:val="20"/>
                <w:lang w:eastAsia="en-US"/>
              </w:rPr>
            </w:pPr>
          </w:p>
        </w:tc>
        <w:tc>
          <w:tcPr>
            <w:tcW w:w="3207" w:type="pct"/>
          </w:tcPr>
          <w:p w:rsidR="00240BB4" w:rsidRPr="00240BB4" w:rsidRDefault="00240BB4" w:rsidP="00240BB4">
            <w:pPr>
              <w:keepNext/>
              <w:rPr>
                <w:rFonts w:ascii="Arial Narrow" w:hAnsi="Arial Narrow" w:cs="Arial"/>
                <w:snapToGrid w:val="0"/>
                <w:sz w:val="20"/>
                <w:szCs w:val="20"/>
                <w:lang w:eastAsia="en-US"/>
              </w:rPr>
            </w:pPr>
            <w:proofErr w:type="spellStart"/>
            <w:r w:rsidRPr="00240BB4">
              <w:rPr>
                <w:rFonts w:ascii="Arial Narrow" w:hAnsi="Arial Narrow" w:cs="Arial"/>
                <w:snapToGrid w:val="0"/>
                <w:sz w:val="20"/>
                <w:szCs w:val="20"/>
                <w:lang w:eastAsia="en-US"/>
              </w:rPr>
              <w:t>Konstan</w:t>
            </w:r>
            <w:proofErr w:type="spellEnd"/>
            <w:r w:rsidRPr="00240BB4">
              <w:rPr>
                <w:rFonts w:ascii="Arial Narrow" w:hAnsi="Arial Narrow" w:cs="Arial"/>
                <w:snapToGrid w:val="0"/>
                <w:sz w:val="20"/>
                <w:szCs w:val="20"/>
                <w:lang w:eastAsia="en-US"/>
              </w:rPr>
              <w:t xml:space="preserve">, M. W., </w:t>
            </w:r>
            <w:proofErr w:type="spellStart"/>
            <w:r w:rsidRPr="00240BB4">
              <w:rPr>
                <w:rFonts w:ascii="Arial Narrow" w:hAnsi="Arial Narrow" w:cs="Arial"/>
                <w:snapToGrid w:val="0"/>
                <w:sz w:val="20"/>
                <w:szCs w:val="20"/>
                <w:lang w:eastAsia="en-US"/>
              </w:rPr>
              <w:t>McKone</w:t>
            </w:r>
            <w:proofErr w:type="spellEnd"/>
            <w:r w:rsidRPr="00240BB4">
              <w:rPr>
                <w:rFonts w:ascii="Arial Narrow" w:hAnsi="Arial Narrow" w:cs="Arial"/>
                <w:snapToGrid w:val="0"/>
                <w:sz w:val="20"/>
                <w:szCs w:val="20"/>
                <w:lang w:eastAsia="en-US"/>
              </w:rPr>
              <w:t xml:space="preserve">, E. F., Moss, R. B., et al. (2017). </w:t>
            </w:r>
          </w:p>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 xml:space="preserve">Assessment of safety and efficacy of long-term treatment with combination </w:t>
            </w:r>
            <w:proofErr w:type="spellStart"/>
            <w:r w:rsidRPr="00240BB4">
              <w:rPr>
                <w:rFonts w:ascii="Arial Narrow" w:hAnsi="Arial Narrow" w:cs="Arial"/>
                <w:snapToGrid w:val="0"/>
                <w:sz w:val="20"/>
                <w:szCs w:val="20"/>
                <w:lang w:eastAsia="en-US"/>
              </w:rPr>
              <w:t>lumacaftor</w:t>
            </w:r>
            <w:proofErr w:type="spellEnd"/>
            <w:r w:rsidRPr="00240BB4">
              <w:rPr>
                <w:rFonts w:ascii="Arial Narrow" w:hAnsi="Arial Narrow" w:cs="Arial"/>
                <w:snapToGrid w:val="0"/>
                <w:sz w:val="20"/>
                <w:szCs w:val="20"/>
                <w:lang w:eastAsia="en-US"/>
              </w:rPr>
              <w:t xml:space="preserve"> and </w:t>
            </w:r>
            <w:proofErr w:type="spellStart"/>
            <w:r w:rsidRPr="00240BB4">
              <w:rPr>
                <w:rFonts w:ascii="Arial Narrow" w:hAnsi="Arial Narrow" w:cs="Arial"/>
                <w:snapToGrid w:val="0"/>
                <w:sz w:val="20"/>
                <w:szCs w:val="20"/>
                <w:lang w:eastAsia="en-US"/>
              </w:rPr>
              <w:t>ivacaftor</w:t>
            </w:r>
            <w:proofErr w:type="spellEnd"/>
            <w:r w:rsidRPr="00240BB4">
              <w:rPr>
                <w:rFonts w:ascii="Arial Narrow" w:hAnsi="Arial Narrow" w:cs="Arial"/>
                <w:snapToGrid w:val="0"/>
                <w:sz w:val="20"/>
                <w:szCs w:val="20"/>
                <w:lang w:eastAsia="en-US"/>
              </w:rPr>
              <w:t xml:space="preserve"> therapy in patients with cystic fibrosis homozygous for the F508del-CFTR mutation (PROGRESS): A phase 3, extension study.</w:t>
            </w:r>
          </w:p>
        </w:tc>
        <w:tc>
          <w:tcPr>
            <w:tcW w:w="1161" w:type="pct"/>
          </w:tcPr>
          <w:p w:rsidR="00240BB4" w:rsidRPr="00240BB4" w:rsidRDefault="00240BB4" w:rsidP="00240BB4">
            <w:pPr>
              <w:keepNext/>
              <w:jc w:val="both"/>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The Lancet Respiratory Medicine 2017. 5 (2): 107-18.</w:t>
            </w:r>
          </w:p>
          <w:p w:rsidR="00240BB4" w:rsidRPr="00240BB4" w:rsidRDefault="00240BB4" w:rsidP="00240BB4">
            <w:pPr>
              <w:keepNext/>
              <w:jc w:val="both"/>
              <w:rPr>
                <w:rFonts w:ascii="Arial Narrow" w:hAnsi="Arial Narrow" w:cs="Arial"/>
                <w:snapToGrid w:val="0"/>
                <w:sz w:val="20"/>
                <w:szCs w:val="20"/>
                <w:lang w:eastAsia="en-US"/>
              </w:rPr>
            </w:pPr>
          </w:p>
        </w:tc>
      </w:tr>
      <w:tr w:rsidR="00240BB4" w:rsidRPr="00240BB4" w:rsidTr="00565D1B">
        <w:trPr>
          <w:cantSplit/>
        </w:trPr>
        <w:tc>
          <w:tcPr>
            <w:tcW w:w="632" w:type="pct"/>
            <w:tcBorders>
              <w:top w:val="nil"/>
            </w:tcBorders>
          </w:tcPr>
          <w:p w:rsidR="00240BB4" w:rsidRPr="00240BB4" w:rsidRDefault="00240BB4" w:rsidP="00240BB4">
            <w:pPr>
              <w:keepNext/>
              <w:jc w:val="both"/>
              <w:rPr>
                <w:rFonts w:ascii="Arial Narrow" w:hAnsi="Arial Narrow" w:cs="Arial"/>
                <w:snapToGrid w:val="0"/>
                <w:sz w:val="20"/>
                <w:szCs w:val="20"/>
                <w:lang w:eastAsia="en-US"/>
              </w:rPr>
            </w:pPr>
          </w:p>
        </w:tc>
        <w:tc>
          <w:tcPr>
            <w:tcW w:w="3207" w:type="pct"/>
          </w:tcPr>
          <w:p w:rsidR="00240BB4" w:rsidRPr="00240BB4" w:rsidRDefault="00240BB4" w:rsidP="00240BB4">
            <w:pPr>
              <w:keepNext/>
              <w:rPr>
                <w:rFonts w:ascii="Arial Narrow" w:hAnsi="Arial Narrow" w:cs="Arial"/>
                <w:snapToGrid w:val="0"/>
                <w:sz w:val="20"/>
                <w:szCs w:val="20"/>
                <w:lang w:eastAsia="en-US"/>
              </w:rPr>
            </w:pPr>
            <w:proofErr w:type="spellStart"/>
            <w:r w:rsidRPr="00240BB4">
              <w:rPr>
                <w:rFonts w:ascii="Arial Narrow" w:hAnsi="Arial Narrow" w:cs="Arial"/>
                <w:snapToGrid w:val="0"/>
                <w:sz w:val="20"/>
                <w:szCs w:val="20"/>
                <w:lang w:eastAsia="en-US"/>
              </w:rPr>
              <w:t>Konstan</w:t>
            </w:r>
            <w:proofErr w:type="spellEnd"/>
            <w:r w:rsidRPr="00240BB4">
              <w:rPr>
                <w:rFonts w:ascii="Arial Narrow" w:hAnsi="Arial Narrow" w:cs="Arial"/>
                <w:snapToGrid w:val="0"/>
                <w:sz w:val="20"/>
                <w:szCs w:val="20"/>
                <w:lang w:eastAsia="en-US"/>
              </w:rPr>
              <w:t xml:space="preserve">, M., </w:t>
            </w:r>
            <w:proofErr w:type="spellStart"/>
            <w:r w:rsidRPr="00240BB4">
              <w:rPr>
                <w:rFonts w:ascii="Arial Narrow" w:hAnsi="Arial Narrow" w:cs="Arial"/>
                <w:snapToGrid w:val="0"/>
                <w:sz w:val="20"/>
                <w:szCs w:val="20"/>
                <w:lang w:eastAsia="en-US"/>
              </w:rPr>
              <w:t>McKone</w:t>
            </w:r>
            <w:proofErr w:type="spellEnd"/>
            <w:r w:rsidRPr="00240BB4">
              <w:rPr>
                <w:rFonts w:ascii="Arial Narrow" w:hAnsi="Arial Narrow" w:cs="Arial"/>
                <w:snapToGrid w:val="0"/>
                <w:sz w:val="20"/>
                <w:szCs w:val="20"/>
                <w:lang w:eastAsia="en-US"/>
              </w:rPr>
              <w:t>, E., Moss, R., et al.</w:t>
            </w:r>
          </w:p>
          <w:p w:rsidR="00240BB4" w:rsidRPr="00240BB4" w:rsidRDefault="00240BB4" w:rsidP="00240BB4">
            <w:pPr>
              <w:keepNext/>
              <w:rPr>
                <w:rFonts w:ascii="Arial Narrow" w:hAnsi="Arial Narrow" w:cs="Arial"/>
                <w:snapToGrid w:val="0"/>
                <w:sz w:val="20"/>
                <w:szCs w:val="20"/>
                <w:lang w:eastAsia="en-US"/>
              </w:rPr>
            </w:pPr>
            <w:r w:rsidRPr="00240BB4">
              <w:rPr>
                <w:rFonts w:ascii="Arial Narrow" w:hAnsi="Arial Narrow" w:cs="Arial"/>
                <w:snapToGrid w:val="0"/>
                <w:sz w:val="20"/>
                <w:szCs w:val="20"/>
                <w:lang w:eastAsia="en-US"/>
              </w:rPr>
              <w:t>Evidence of reduction in annual rate of FEV</w:t>
            </w:r>
            <w:r w:rsidRPr="00240BB4">
              <w:rPr>
                <w:rFonts w:ascii="Arial Narrow" w:hAnsi="Arial Narrow" w:cs="Arial"/>
                <w:snapToGrid w:val="0"/>
                <w:sz w:val="20"/>
                <w:szCs w:val="20"/>
                <w:vertAlign w:val="subscript"/>
                <w:lang w:eastAsia="en-US"/>
              </w:rPr>
              <w:t>1</w:t>
            </w:r>
            <w:r w:rsidRPr="00240BB4">
              <w:rPr>
                <w:rFonts w:ascii="Arial Narrow" w:hAnsi="Arial Narrow" w:cs="Arial"/>
                <w:snapToGrid w:val="0"/>
                <w:sz w:val="20"/>
                <w:szCs w:val="20"/>
                <w:lang w:eastAsia="en-US"/>
              </w:rPr>
              <w:t xml:space="preserve"> decline and sustained benefits with </w:t>
            </w:r>
            <w:proofErr w:type="spellStart"/>
            <w:r w:rsidRPr="00240BB4">
              <w:rPr>
                <w:rFonts w:ascii="Arial Narrow" w:hAnsi="Arial Narrow" w:cs="Arial"/>
                <w:snapToGrid w:val="0"/>
                <w:sz w:val="20"/>
                <w:szCs w:val="20"/>
                <w:lang w:eastAsia="en-US"/>
              </w:rPr>
              <w:t>lumacaftor</w:t>
            </w:r>
            <w:proofErr w:type="spellEnd"/>
            <w:r w:rsidRPr="00240BB4">
              <w:rPr>
                <w:rFonts w:ascii="Arial Narrow" w:hAnsi="Arial Narrow" w:cs="Arial"/>
                <w:snapToGrid w:val="0"/>
                <w:sz w:val="20"/>
                <w:szCs w:val="20"/>
                <w:lang w:eastAsia="en-US"/>
              </w:rPr>
              <w:t xml:space="preserve"> and </w:t>
            </w:r>
            <w:proofErr w:type="spellStart"/>
            <w:r w:rsidRPr="00240BB4">
              <w:rPr>
                <w:rFonts w:ascii="Arial Narrow" w:hAnsi="Arial Narrow" w:cs="Arial"/>
                <w:snapToGrid w:val="0"/>
                <w:sz w:val="20"/>
                <w:szCs w:val="20"/>
                <w:lang w:eastAsia="en-US"/>
              </w:rPr>
              <w:t>ivacaftor</w:t>
            </w:r>
            <w:proofErr w:type="spellEnd"/>
            <w:r w:rsidRPr="00240BB4">
              <w:rPr>
                <w:rFonts w:ascii="Arial Narrow" w:hAnsi="Arial Narrow" w:cs="Arial"/>
                <w:snapToGrid w:val="0"/>
                <w:sz w:val="20"/>
                <w:szCs w:val="20"/>
                <w:lang w:eastAsia="en-US"/>
              </w:rPr>
              <w:t xml:space="preserve"> (LUM/IVA) in patients (PTS) with CF homozygous for f508del-cftr.</w:t>
            </w:r>
          </w:p>
        </w:tc>
        <w:tc>
          <w:tcPr>
            <w:tcW w:w="1161" w:type="pct"/>
          </w:tcPr>
          <w:p w:rsidR="00240BB4" w:rsidRPr="00240BB4" w:rsidRDefault="00240BB4" w:rsidP="00240BB4">
            <w:pPr>
              <w:keepNext/>
              <w:jc w:val="both"/>
              <w:rPr>
                <w:rFonts w:ascii="Arial Narrow" w:hAnsi="Arial Narrow" w:cs="Arial"/>
                <w:b/>
                <w:snapToGrid w:val="0"/>
                <w:sz w:val="20"/>
                <w:szCs w:val="20"/>
                <w:lang w:eastAsia="en-US"/>
              </w:rPr>
            </w:pPr>
            <w:proofErr w:type="spellStart"/>
            <w:r w:rsidRPr="00240BB4">
              <w:rPr>
                <w:rFonts w:ascii="Arial Narrow" w:hAnsi="Arial Narrow" w:cs="Arial"/>
                <w:snapToGrid w:val="0"/>
                <w:sz w:val="20"/>
                <w:szCs w:val="20"/>
                <w:lang w:eastAsia="en-US"/>
              </w:rPr>
              <w:t>Pediatric</w:t>
            </w:r>
            <w:proofErr w:type="spellEnd"/>
            <w:r w:rsidRPr="00240BB4">
              <w:rPr>
                <w:rFonts w:ascii="Arial Narrow" w:hAnsi="Arial Narrow" w:cs="Arial"/>
                <w:snapToGrid w:val="0"/>
                <w:sz w:val="20"/>
                <w:szCs w:val="20"/>
                <w:lang w:eastAsia="en-US"/>
              </w:rPr>
              <w:t xml:space="preserve"> Pulmonology 2016. 51: 260.</w:t>
            </w:r>
          </w:p>
          <w:p w:rsidR="00240BB4" w:rsidRPr="00240BB4" w:rsidRDefault="00240BB4" w:rsidP="00240BB4">
            <w:pPr>
              <w:keepNext/>
              <w:jc w:val="both"/>
              <w:rPr>
                <w:rFonts w:ascii="Arial Narrow" w:hAnsi="Arial Narrow" w:cs="Arial"/>
                <w:snapToGrid w:val="0"/>
                <w:sz w:val="20"/>
                <w:szCs w:val="20"/>
                <w:lang w:eastAsia="en-US"/>
              </w:rPr>
            </w:pPr>
          </w:p>
        </w:tc>
      </w:tr>
    </w:tbl>
    <w:p w:rsidR="0076420C" w:rsidRDefault="0076420C" w:rsidP="0073784D">
      <w:pPr>
        <w:jc w:val="both"/>
        <w:rPr>
          <w:rFonts w:asciiTheme="minorHAnsi" w:hAnsiTheme="minorHAnsi"/>
        </w:rPr>
      </w:pPr>
    </w:p>
    <w:p w:rsidR="005A3173" w:rsidRPr="00937958" w:rsidRDefault="005A3173"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Comparative effectiveness</w:t>
      </w:r>
    </w:p>
    <w:p w:rsidR="00C0177A" w:rsidRPr="004D1901" w:rsidRDefault="00C0177A" w:rsidP="004D1901">
      <w:pPr>
        <w:pStyle w:val="ListParagraph"/>
        <w:widowControl/>
        <w:numPr>
          <w:ilvl w:val="1"/>
          <w:numId w:val="3"/>
        </w:numPr>
        <w:spacing w:before="120" w:after="160"/>
        <w:contextualSpacing w:val="0"/>
        <w:rPr>
          <w:rFonts w:asciiTheme="minorHAnsi" w:eastAsiaTheme="minorHAnsi" w:hAnsiTheme="minorHAnsi" w:cstheme="minorBidi"/>
          <w:snapToGrid/>
          <w:sz w:val="24"/>
          <w:szCs w:val="22"/>
        </w:rPr>
      </w:pPr>
      <w:r w:rsidRPr="004D1901">
        <w:rPr>
          <w:rFonts w:asciiTheme="minorHAnsi" w:eastAsiaTheme="minorHAnsi" w:hAnsiTheme="minorHAnsi" w:cstheme="minorBidi"/>
          <w:snapToGrid/>
          <w:sz w:val="24"/>
          <w:szCs w:val="22"/>
        </w:rPr>
        <w:t xml:space="preserve">The primary outcome at 24 weeks in the TRAFFIC and TRANSPORT trials was an absolute increase in ppFEV1 of 2.8 percentage points (95% CI: 1.80, 3.82). The PBAC previously considered that it was uncertain whether the observed improvement in ppFEV1 represented a clinically significant difference noting that it was considerably smaller than the improvement of 10.58 percentage points (95% CI: 8.57, 12.59) demonstrated for </w:t>
      </w:r>
      <w:proofErr w:type="spellStart"/>
      <w:r w:rsidRPr="004D1901">
        <w:rPr>
          <w:rFonts w:asciiTheme="minorHAnsi" w:eastAsiaTheme="minorHAnsi" w:hAnsiTheme="minorHAnsi" w:cstheme="minorBidi"/>
          <w:snapToGrid/>
          <w:sz w:val="24"/>
          <w:szCs w:val="22"/>
        </w:rPr>
        <w:t>ivacaftor</w:t>
      </w:r>
      <w:proofErr w:type="spellEnd"/>
      <w:r w:rsidRPr="004D1901">
        <w:rPr>
          <w:rFonts w:asciiTheme="minorHAnsi" w:eastAsiaTheme="minorHAnsi" w:hAnsiTheme="minorHAnsi" w:cstheme="minorBidi"/>
          <w:snapToGrid/>
          <w:sz w:val="24"/>
          <w:szCs w:val="22"/>
        </w:rPr>
        <w:t xml:space="preserve"> monotherapy for patients with cystic fibrosis with a G551D or other class III gating mutation in the CFTR gene on at least one allele (paragraph 7.6, March 2016 PSD). In addition, the incremental improvements (compared with placebo) demonstrated in patients’ weight and quality of life as measured using the revised Cystic Fibrosis Questionnaire (CFQ-R) for </w:t>
      </w:r>
      <w:proofErr w:type="spellStart"/>
      <w:r w:rsidRPr="004D1901">
        <w:rPr>
          <w:rFonts w:asciiTheme="minorHAnsi" w:eastAsiaTheme="minorHAnsi" w:hAnsiTheme="minorHAnsi" w:cstheme="minorBidi"/>
          <w:snapToGrid/>
          <w:sz w:val="24"/>
          <w:szCs w:val="22"/>
        </w:rPr>
        <w:t>ivacaftor</w:t>
      </w:r>
      <w:proofErr w:type="spellEnd"/>
      <w:r w:rsidRPr="004D1901">
        <w:rPr>
          <w:rFonts w:asciiTheme="minorHAnsi" w:eastAsiaTheme="minorHAnsi" w:hAnsiTheme="minorHAnsi" w:cstheme="minorBidi"/>
          <w:snapToGrid/>
          <w:sz w:val="24"/>
          <w:szCs w:val="22"/>
        </w:rPr>
        <w:t xml:space="preserve"> monotherapy in this different patient population were considered more compelling than for </w:t>
      </w:r>
      <w:proofErr w:type="spellStart"/>
      <w:r w:rsidRPr="004D1901">
        <w:rPr>
          <w:rFonts w:asciiTheme="minorHAnsi" w:eastAsiaTheme="minorHAnsi" w:hAnsiTheme="minorHAnsi" w:cstheme="minorBidi"/>
          <w:snapToGrid/>
          <w:sz w:val="24"/>
          <w:szCs w:val="22"/>
        </w:rPr>
        <w:t>lumacaftor</w:t>
      </w:r>
      <w:proofErr w:type="spellEnd"/>
      <w:r w:rsidRPr="004D1901">
        <w:rPr>
          <w:rFonts w:asciiTheme="minorHAnsi" w:eastAsiaTheme="minorHAnsi" w:hAnsiTheme="minorHAnsi" w:cstheme="minorBidi"/>
          <w:snapToGrid/>
          <w:sz w:val="24"/>
          <w:szCs w:val="22"/>
        </w:rPr>
        <w:t>/</w:t>
      </w:r>
      <w:proofErr w:type="spellStart"/>
      <w:r w:rsidRPr="004D1901">
        <w:rPr>
          <w:rFonts w:asciiTheme="minorHAnsi" w:eastAsiaTheme="minorHAnsi" w:hAnsiTheme="minorHAnsi" w:cstheme="minorBidi"/>
          <w:snapToGrid/>
          <w:sz w:val="24"/>
          <w:szCs w:val="22"/>
        </w:rPr>
        <w:t>ivacaftor</w:t>
      </w:r>
      <w:proofErr w:type="spellEnd"/>
      <w:r w:rsidRPr="004D1901">
        <w:rPr>
          <w:rFonts w:asciiTheme="minorHAnsi" w:eastAsiaTheme="minorHAnsi" w:hAnsiTheme="minorHAnsi" w:cstheme="minorBidi"/>
          <w:snapToGrid/>
          <w:sz w:val="24"/>
          <w:szCs w:val="22"/>
        </w:rPr>
        <w:t>.</w:t>
      </w:r>
    </w:p>
    <w:p w:rsidR="00C0177A" w:rsidRPr="00226B30" w:rsidRDefault="00694E37" w:rsidP="004D1901">
      <w:pPr>
        <w:pStyle w:val="ListParagraph"/>
        <w:widowControl/>
        <w:numPr>
          <w:ilvl w:val="1"/>
          <w:numId w:val="3"/>
        </w:numPr>
        <w:spacing w:before="120" w:after="160"/>
        <w:contextualSpacing w:val="0"/>
        <w:rPr>
          <w:rFonts w:asciiTheme="minorHAnsi" w:hAnsiTheme="minorHAnsi"/>
          <w:sz w:val="24"/>
        </w:rPr>
      </w:pPr>
      <w:r>
        <w:rPr>
          <w:rFonts w:asciiTheme="minorHAnsi" w:hAnsiTheme="minorHAnsi"/>
          <w:sz w:val="24"/>
        </w:rPr>
        <w:lastRenderedPageBreak/>
        <w:t>The P</w:t>
      </w:r>
      <w:r w:rsidR="0091201A">
        <w:rPr>
          <w:rFonts w:asciiTheme="minorHAnsi" w:hAnsiTheme="minorHAnsi"/>
          <w:sz w:val="24"/>
        </w:rPr>
        <w:t>re-</w:t>
      </w:r>
      <w:r>
        <w:rPr>
          <w:rFonts w:asciiTheme="minorHAnsi" w:hAnsiTheme="minorHAnsi"/>
          <w:sz w:val="24"/>
        </w:rPr>
        <w:t>S</w:t>
      </w:r>
      <w:r w:rsidR="0091201A">
        <w:rPr>
          <w:rFonts w:asciiTheme="minorHAnsi" w:hAnsiTheme="minorHAnsi"/>
          <w:sz w:val="24"/>
        </w:rPr>
        <w:t>ub-</w:t>
      </w:r>
      <w:r>
        <w:rPr>
          <w:rFonts w:asciiTheme="minorHAnsi" w:hAnsiTheme="minorHAnsi"/>
          <w:sz w:val="24"/>
        </w:rPr>
        <w:t>C</w:t>
      </w:r>
      <w:r w:rsidR="0091201A">
        <w:rPr>
          <w:rFonts w:asciiTheme="minorHAnsi" w:hAnsiTheme="minorHAnsi"/>
          <w:sz w:val="24"/>
        </w:rPr>
        <w:t xml:space="preserve">ommittee </w:t>
      </w:r>
      <w:r>
        <w:rPr>
          <w:rFonts w:asciiTheme="minorHAnsi" w:hAnsiTheme="minorHAnsi"/>
          <w:sz w:val="24"/>
        </w:rPr>
        <w:t>R</w:t>
      </w:r>
      <w:r w:rsidR="0091201A">
        <w:rPr>
          <w:rFonts w:asciiTheme="minorHAnsi" w:hAnsiTheme="minorHAnsi"/>
          <w:sz w:val="24"/>
        </w:rPr>
        <w:t>esponse (PSCR)</w:t>
      </w:r>
      <w:r>
        <w:rPr>
          <w:rFonts w:asciiTheme="minorHAnsi" w:hAnsiTheme="minorHAnsi"/>
          <w:sz w:val="24"/>
        </w:rPr>
        <w:t xml:space="preserve"> for the July 2017 submission</w:t>
      </w:r>
      <w:r w:rsidR="00C0177A" w:rsidRPr="00226B30">
        <w:rPr>
          <w:rFonts w:asciiTheme="minorHAnsi" w:hAnsiTheme="minorHAnsi"/>
          <w:sz w:val="24"/>
        </w:rPr>
        <w:t xml:space="preserve"> argued it was not appropriate to directly compare the magnitude of ppFEV</w:t>
      </w:r>
      <w:r w:rsidR="00C0177A" w:rsidRPr="00226B30">
        <w:rPr>
          <w:rFonts w:asciiTheme="minorHAnsi" w:hAnsiTheme="minorHAnsi"/>
          <w:sz w:val="24"/>
          <w:vertAlign w:val="subscript"/>
        </w:rPr>
        <w:t>1</w:t>
      </w:r>
      <w:r w:rsidR="00C0177A" w:rsidRPr="00226B30">
        <w:rPr>
          <w:rFonts w:asciiTheme="minorHAnsi" w:hAnsiTheme="minorHAnsi"/>
          <w:sz w:val="24"/>
        </w:rPr>
        <w:t xml:space="preserve"> improvement observed with </w:t>
      </w:r>
      <w:proofErr w:type="spellStart"/>
      <w:r w:rsidR="00C0177A" w:rsidRPr="00226B30">
        <w:rPr>
          <w:rFonts w:asciiTheme="minorHAnsi" w:hAnsiTheme="minorHAnsi"/>
          <w:sz w:val="24"/>
        </w:rPr>
        <w:t>lumacaftor</w:t>
      </w:r>
      <w:proofErr w:type="spellEnd"/>
      <w:r w:rsidR="00C0177A" w:rsidRPr="00226B30">
        <w:rPr>
          <w:rFonts w:asciiTheme="minorHAnsi" w:hAnsiTheme="minorHAnsi"/>
          <w:sz w:val="24"/>
        </w:rPr>
        <w:t>/</w:t>
      </w:r>
      <w:proofErr w:type="spellStart"/>
      <w:r w:rsidR="00C0177A" w:rsidRPr="00226B30">
        <w:rPr>
          <w:rFonts w:asciiTheme="minorHAnsi" w:hAnsiTheme="minorHAnsi"/>
          <w:sz w:val="24"/>
        </w:rPr>
        <w:t>ivacaftor</w:t>
      </w:r>
      <w:proofErr w:type="spellEnd"/>
      <w:r w:rsidR="00C0177A" w:rsidRPr="00226B30">
        <w:rPr>
          <w:rFonts w:asciiTheme="minorHAnsi" w:hAnsiTheme="minorHAnsi"/>
          <w:sz w:val="24"/>
        </w:rPr>
        <w:t xml:space="preserve"> with that observed with </w:t>
      </w:r>
      <w:proofErr w:type="spellStart"/>
      <w:r w:rsidR="00C0177A" w:rsidRPr="00226B30">
        <w:rPr>
          <w:rFonts w:asciiTheme="minorHAnsi" w:hAnsiTheme="minorHAnsi"/>
          <w:sz w:val="24"/>
        </w:rPr>
        <w:t>ivacaftor</w:t>
      </w:r>
      <w:proofErr w:type="spellEnd"/>
      <w:r w:rsidR="00C0177A" w:rsidRPr="00226B30">
        <w:rPr>
          <w:rFonts w:asciiTheme="minorHAnsi" w:hAnsiTheme="minorHAnsi"/>
          <w:sz w:val="24"/>
        </w:rPr>
        <w:t xml:space="preserve"> monotherapy because of differences in disease aetiology between the two treatment populations. Whilst acknowledging these differences in the genetic basis of the disease, the</w:t>
      </w:r>
      <w:r>
        <w:rPr>
          <w:rFonts w:asciiTheme="minorHAnsi" w:hAnsiTheme="minorHAnsi"/>
          <w:sz w:val="24"/>
        </w:rPr>
        <w:t xml:space="preserve"> June 2017</w:t>
      </w:r>
      <w:r w:rsidR="00C0177A" w:rsidRPr="00226B30">
        <w:rPr>
          <w:rFonts w:asciiTheme="minorHAnsi" w:hAnsiTheme="minorHAnsi"/>
          <w:sz w:val="24"/>
        </w:rPr>
        <w:t xml:space="preserve"> ESC nevertheless noted that the </w:t>
      </w:r>
      <w:r w:rsidR="00C0177A">
        <w:rPr>
          <w:rFonts w:asciiTheme="minorHAnsi" w:hAnsiTheme="minorHAnsi"/>
          <w:sz w:val="24"/>
        </w:rPr>
        <w:t xml:space="preserve">magnitude of the </w:t>
      </w:r>
      <w:r w:rsidR="00C0177A" w:rsidRPr="00226B30">
        <w:rPr>
          <w:rFonts w:asciiTheme="minorHAnsi" w:hAnsiTheme="minorHAnsi"/>
          <w:sz w:val="24"/>
        </w:rPr>
        <w:t>change in ppFEV</w:t>
      </w:r>
      <w:r w:rsidR="00C0177A" w:rsidRPr="00226B30">
        <w:rPr>
          <w:rFonts w:asciiTheme="minorHAnsi" w:hAnsiTheme="minorHAnsi"/>
          <w:sz w:val="24"/>
          <w:vertAlign w:val="subscript"/>
        </w:rPr>
        <w:t>1</w:t>
      </w:r>
      <w:r w:rsidR="00C0177A" w:rsidRPr="00226B30">
        <w:rPr>
          <w:rFonts w:asciiTheme="minorHAnsi" w:hAnsiTheme="minorHAnsi"/>
          <w:sz w:val="24"/>
        </w:rPr>
        <w:t xml:space="preserve"> was less than that for </w:t>
      </w:r>
      <w:proofErr w:type="spellStart"/>
      <w:r w:rsidR="00C0177A" w:rsidRPr="00226B30">
        <w:rPr>
          <w:rFonts w:asciiTheme="minorHAnsi" w:hAnsiTheme="minorHAnsi"/>
          <w:sz w:val="24"/>
        </w:rPr>
        <w:t>ivacaftor</w:t>
      </w:r>
      <w:proofErr w:type="spellEnd"/>
      <w:r w:rsidR="00C0177A" w:rsidRPr="00226B30">
        <w:rPr>
          <w:rFonts w:asciiTheme="minorHAnsi" w:hAnsiTheme="minorHAnsi"/>
          <w:sz w:val="24"/>
        </w:rPr>
        <w:t xml:space="preserve"> monotherapy in Class III gating mutations and that the clinical significance of the 2.81</w:t>
      </w:r>
      <w:r w:rsidR="00C0177A">
        <w:rPr>
          <w:rFonts w:asciiTheme="minorHAnsi" w:hAnsiTheme="minorHAnsi"/>
          <w:sz w:val="24"/>
        </w:rPr>
        <w:t xml:space="preserve"> percentage point</w:t>
      </w:r>
      <w:r w:rsidR="00C0177A" w:rsidRPr="00226B30">
        <w:rPr>
          <w:rFonts w:asciiTheme="minorHAnsi" w:hAnsiTheme="minorHAnsi"/>
          <w:sz w:val="24"/>
        </w:rPr>
        <w:t xml:space="preserve"> </w:t>
      </w:r>
      <w:r w:rsidR="0073784D">
        <w:rPr>
          <w:rFonts w:asciiTheme="minorHAnsi" w:hAnsiTheme="minorHAnsi"/>
          <w:sz w:val="24"/>
        </w:rPr>
        <w:t>improvement remained uncertain.</w:t>
      </w:r>
    </w:p>
    <w:p w:rsidR="00C0177A" w:rsidRDefault="00C0177A" w:rsidP="004D1901">
      <w:pPr>
        <w:pStyle w:val="ListParagraph"/>
        <w:widowControl/>
        <w:numPr>
          <w:ilvl w:val="1"/>
          <w:numId w:val="3"/>
        </w:numPr>
        <w:spacing w:before="120" w:after="160"/>
        <w:contextualSpacing w:val="0"/>
        <w:rPr>
          <w:rFonts w:asciiTheme="minorHAnsi" w:hAnsiTheme="minorHAnsi"/>
          <w:sz w:val="24"/>
        </w:rPr>
      </w:pPr>
      <w:r w:rsidRPr="00226B30">
        <w:rPr>
          <w:rFonts w:asciiTheme="minorHAnsi" w:hAnsiTheme="minorHAnsi"/>
          <w:sz w:val="24"/>
        </w:rPr>
        <w:t>The clinical evidence</w:t>
      </w:r>
      <w:r w:rsidR="00694E37">
        <w:rPr>
          <w:rFonts w:asciiTheme="minorHAnsi" w:hAnsiTheme="minorHAnsi"/>
          <w:sz w:val="24"/>
        </w:rPr>
        <w:t xml:space="preserve"> provided to the July 2017 PBAC</w:t>
      </w:r>
      <w:r w:rsidRPr="00226B30">
        <w:rPr>
          <w:rFonts w:asciiTheme="minorHAnsi" w:hAnsiTheme="minorHAnsi"/>
          <w:sz w:val="24"/>
        </w:rPr>
        <w:t xml:space="preserve"> from the PROGRESS extension study indicated that there was a decline in pp</w:t>
      </w:r>
      <w:r w:rsidRPr="00226B30">
        <w:rPr>
          <w:rFonts w:asciiTheme="minorHAnsi" w:hAnsiTheme="minorHAnsi"/>
          <w:sz w:val="24"/>
          <w:szCs w:val="24"/>
        </w:rPr>
        <w:t>FEV</w:t>
      </w:r>
      <w:r w:rsidRPr="00226B30">
        <w:rPr>
          <w:rFonts w:asciiTheme="minorHAnsi" w:hAnsiTheme="minorHAnsi"/>
          <w:sz w:val="24"/>
          <w:szCs w:val="24"/>
          <w:vertAlign w:val="subscript"/>
        </w:rPr>
        <w:t>1</w:t>
      </w:r>
      <w:r w:rsidRPr="00226B30">
        <w:rPr>
          <w:rFonts w:asciiTheme="minorHAnsi" w:hAnsiTheme="minorHAnsi"/>
          <w:sz w:val="24"/>
        </w:rPr>
        <w:t xml:space="preserve"> for </w:t>
      </w:r>
      <w:proofErr w:type="spellStart"/>
      <w:r w:rsidRPr="00226B30">
        <w:rPr>
          <w:rFonts w:asciiTheme="minorHAnsi" w:hAnsiTheme="minorHAnsi"/>
          <w:sz w:val="24"/>
        </w:rPr>
        <w:t>lumacaftor</w:t>
      </w:r>
      <w:proofErr w:type="spellEnd"/>
      <w:r w:rsidRPr="00226B30">
        <w:rPr>
          <w:rFonts w:asciiTheme="minorHAnsi" w:hAnsiTheme="minorHAnsi"/>
          <w:sz w:val="24"/>
        </w:rPr>
        <w:t>/</w:t>
      </w:r>
      <w:proofErr w:type="spellStart"/>
      <w:r w:rsidRPr="00226B30">
        <w:rPr>
          <w:rFonts w:asciiTheme="minorHAnsi" w:hAnsiTheme="minorHAnsi"/>
          <w:sz w:val="24"/>
        </w:rPr>
        <w:t>ivacaftor</w:t>
      </w:r>
      <w:proofErr w:type="spellEnd"/>
      <w:r w:rsidRPr="00226B30">
        <w:rPr>
          <w:rFonts w:asciiTheme="minorHAnsi" w:hAnsiTheme="minorHAnsi"/>
          <w:sz w:val="24"/>
        </w:rPr>
        <w:t xml:space="preserve"> treated patients over time with the modest 2.81</w:t>
      </w:r>
      <w:r>
        <w:rPr>
          <w:rFonts w:asciiTheme="minorHAnsi" w:hAnsiTheme="minorHAnsi"/>
          <w:sz w:val="24"/>
        </w:rPr>
        <w:t xml:space="preserve"> percentage point</w:t>
      </w:r>
      <w:r w:rsidRPr="00226B30">
        <w:rPr>
          <w:rFonts w:asciiTheme="minorHAnsi" w:hAnsiTheme="minorHAnsi"/>
          <w:sz w:val="24"/>
        </w:rPr>
        <w:t xml:space="preserve"> improvement observed in TRAFFIC and TRANSPORT not being maintained at weeks 72 or 96 of the extension study. Using the pre</w:t>
      </w:r>
      <w:r w:rsidR="00D54DEF">
        <w:rPr>
          <w:rFonts w:asciiTheme="minorHAnsi" w:hAnsiTheme="minorHAnsi"/>
          <w:sz w:val="24"/>
        </w:rPr>
        <w:t>-</w:t>
      </w:r>
      <w:r w:rsidRPr="00226B30">
        <w:rPr>
          <w:rFonts w:asciiTheme="minorHAnsi" w:hAnsiTheme="minorHAnsi"/>
          <w:sz w:val="24"/>
        </w:rPr>
        <w:t>specified analysis methods, the ESC noted that the change in pp</w:t>
      </w:r>
      <w:r w:rsidRPr="00226B30">
        <w:rPr>
          <w:rFonts w:asciiTheme="minorHAnsi" w:hAnsiTheme="minorHAnsi"/>
          <w:sz w:val="24"/>
          <w:szCs w:val="24"/>
        </w:rPr>
        <w:t>FEV</w:t>
      </w:r>
      <w:r w:rsidRPr="00226B30">
        <w:rPr>
          <w:rFonts w:asciiTheme="minorHAnsi" w:hAnsiTheme="minorHAnsi"/>
          <w:sz w:val="24"/>
          <w:szCs w:val="24"/>
          <w:vertAlign w:val="subscript"/>
        </w:rPr>
        <w:t>1</w:t>
      </w:r>
      <w:r w:rsidRPr="00226B30">
        <w:rPr>
          <w:rFonts w:asciiTheme="minorHAnsi" w:hAnsiTheme="minorHAnsi"/>
          <w:sz w:val="24"/>
        </w:rPr>
        <w:t xml:space="preserve"> from baseline in </w:t>
      </w:r>
      <w:proofErr w:type="spellStart"/>
      <w:r w:rsidRPr="00226B30">
        <w:rPr>
          <w:rFonts w:asciiTheme="minorHAnsi" w:hAnsiTheme="minorHAnsi"/>
          <w:sz w:val="24"/>
        </w:rPr>
        <w:t>lumacaftor</w:t>
      </w:r>
      <w:proofErr w:type="spellEnd"/>
      <w:r w:rsidRPr="00226B30">
        <w:rPr>
          <w:rFonts w:asciiTheme="minorHAnsi" w:hAnsiTheme="minorHAnsi"/>
          <w:sz w:val="24"/>
        </w:rPr>
        <w:t>/</w:t>
      </w:r>
      <w:proofErr w:type="spellStart"/>
      <w:r w:rsidRPr="00226B30">
        <w:rPr>
          <w:rFonts w:asciiTheme="minorHAnsi" w:hAnsiTheme="minorHAnsi"/>
          <w:sz w:val="24"/>
        </w:rPr>
        <w:t>ivacaftor</w:t>
      </w:r>
      <w:proofErr w:type="spellEnd"/>
      <w:r w:rsidRPr="00226B30">
        <w:rPr>
          <w:rFonts w:asciiTheme="minorHAnsi" w:hAnsiTheme="minorHAnsi"/>
          <w:sz w:val="24"/>
        </w:rPr>
        <w:t xml:space="preserve"> treated patients was no longer statistically significant at </w:t>
      </w:r>
      <w:r>
        <w:rPr>
          <w:rFonts w:asciiTheme="minorHAnsi" w:hAnsiTheme="minorHAnsi"/>
          <w:sz w:val="24"/>
        </w:rPr>
        <w:t xml:space="preserve">extension </w:t>
      </w:r>
      <w:r w:rsidRPr="00226B30">
        <w:rPr>
          <w:rFonts w:asciiTheme="minorHAnsi" w:hAnsiTheme="minorHAnsi"/>
          <w:sz w:val="24"/>
        </w:rPr>
        <w:t xml:space="preserve">weeks 72 or 96 (i.e. up to 120 </w:t>
      </w:r>
      <w:r>
        <w:rPr>
          <w:rFonts w:asciiTheme="minorHAnsi" w:hAnsiTheme="minorHAnsi"/>
          <w:sz w:val="24"/>
        </w:rPr>
        <w:t xml:space="preserve">continuous </w:t>
      </w:r>
      <w:r w:rsidRPr="00226B30">
        <w:rPr>
          <w:rFonts w:asciiTheme="minorHAnsi" w:hAnsiTheme="minorHAnsi"/>
          <w:sz w:val="24"/>
        </w:rPr>
        <w:t xml:space="preserve">weeks of treatment). Patients who had been treated with placebo and transitioned to </w:t>
      </w:r>
      <w:proofErr w:type="spellStart"/>
      <w:r w:rsidRPr="00226B30">
        <w:rPr>
          <w:rFonts w:asciiTheme="minorHAnsi" w:hAnsiTheme="minorHAnsi"/>
          <w:sz w:val="24"/>
        </w:rPr>
        <w:t>lumacaftor</w:t>
      </w:r>
      <w:proofErr w:type="spellEnd"/>
      <w:r w:rsidRPr="00226B30">
        <w:rPr>
          <w:rFonts w:asciiTheme="minorHAnsi" w:hAnsiTheme="minorHAnsi"/>
          <w:sz w:val="24"/>
        </w:rPr>
        <w:t>/</w:t>
      </w:r>
      <w:proofErr w:type="spellStart"/>
      <w:r w:rsidRPr="00226B30">
        <w:rPr>
          <w:rFonts w:asciiTheme="minorHAnsi" w:hAnsiTheme="minorHAnsi"/>
          <w:sz w:val="24"/>
        </w:rPr>
        <w:t>ivacaftor</w:t>
      </w:r>
      <w:proofErr w:type="spellEnd"/>
      <w:r w:rsidRPr="00226B30">
        <w:rPr>
          <w:rFonts w:asciiTheme="minorHAnsi" w:hAnsiTheme="minorHAnsi"/>
          <w:sz w:val="24"/>
        </w:rPr>
        <w:t xml:space="preserve"> treatment demonstrated a change of 1.5</w:t>
      </w:r>
      <w:r>
        <w:rPr>
          <w:rFonts w:asciiTheme="minorHAnsi" w:hAnsiTheme="minorHAnsi"/>
          <w:sz w:val="24"/>
        </w:rPr>
        <w:t xml:space="preserve"> percentage points</w:t>
      </w:r>
      <w:r w:rsidRPr="00226B30">
        <w:rPr>
          <w:rFonts w:asciiTheme="minorHAnsi" w:hAnsiTheme="minorHAnsi"/>
          <w:sz w:val="24"/>
        </w:rPr>
        <w:t xml:space="preserve"> in pp</w:t>
      </w:r>
      <w:r w:rsidRPr="00226B30">
        <w:rPr>
          <w:rFonts w:asciiTheme="minorHAnsi" w:hAnsiTheme="minorHAnsi"/>
          <w:sz w:val="24"/>
          <w:szCs w:val="24"/>
        </w:rPr>
        <w:t>FEV</w:t>
      </w:r>
      <w:r w:rsidRPr="00226B30">
        <w:rPr>
          <w:rFonts w:asciiTheme="minorHAnsi" w:hAnsiTheme="minorHAnsi"/>
          <w:sz w:val="24"/>
          <w:szCs w:val="24"/>
          <w:vertAlign w:val="subscript"/>
        </w:rPr>
        <w:t>1</w:t>
      </w:r>
      <w:r w:rsidRPr="00226B30">
        <w:rPr>
          <w:rFonts w:asciiTheme="minorHAnsi" w:hAnsiTheme="minorHAnsi"/>
          <w:sz w:val="24"/>
        </w:rPr>
        <w:t xml:space="preserve"> after </w:t>
      </w:r>
      <w:r>
        <w:rPr>
          <w:rFonts w:asciiTheme="minorHAnsi" w:hAnsiTheme="minorHAnsi"/>
          <w:sz w:val="24"/>
        </w:rPr>
        <w:t>72</w:t>
      </w:r>
      <w:r w:rsidRPr="00226B30">
        <w:rPr>
          <w:rFonts w:asciiTheme="minorHAnsi" w:hAnsiTheme="minorHAnsi"/>
          <w:sz w:val="24"/>
        </w:rPr>
        <w:t xml:space="preserve"> weeks</w:t>
      </w:r>
      <w:r>
        <w:rPr>
          <w:rFonts w:asciiTheme="minorHAnsi" w:hAnsiTheme="minorHAnsi"/>
          <w:sz w:val="24"/>
        </w:rPr>
        <w:t xml:space="preserve"> of treatment, although the difference with baseline was no longer statistically significant at 96</w:t>
      </w:r>
      <w:r w:rsidRPr="00226B30">
        <w:rPr>
          <w:rFonts w:asciiTheme="minorHAnsi" w:hAnsiTheme="minorHAnsi"/>
          <w:sz w:val="24"/>
        </w:rPr>
        <w:t xml:space="preserve"> weeks. These</w:t>
      </w:r>
      <w:r w:rsidR="00694E37">
        <w:rPr>
          <w:rFonts w:asciiTheme="minorHAnsi" w:hAnsiTheme="minorHAnsi"/>
          <w:sz w:val="24"/>
        </w:rPr>
        <w:t xml:space="preserve"> data are illustrated in Table </w:t>
      </w:r>
      <w:r w:rsidR="0014569D">
        <w:rPr>
          <w:rFonts w:asciiTheme="minorHAnsi" w:hAnsiTheme="minorHAnsi"/>
          <w:sz w:val="24"/>
        </w:rPr>
        <w:t xml:space="preserve">2 </w:t>
      </w:r>
      <w:r w:rsidRPr="00226B30">
        <w:rPr>
          <w:rFonts w:asciiTheme="minorHAnsi" w:hAnsiTheme="minorHAnsi"/>
          <w:sz w:val="24"/>
        </w:rPr>
        <w:t xml:space="preserve">and Figure </w:t>
      </w:r>
      <w:r w:rsidR="00694E37">
        <w:rPr>
          <w:rFonts w:asciiTheme="minorHAnsi" w:hAnsiTheme="minorHAnsi"/>
          <w:sz w:val="24"/>
        </w:rPr>
        <w:t>1</w:t>
      </w:r>
      <w:r w:rsidR="0073784D">
        <w:rPr>
          <w:rFonts w:asciiTheme="minorHAnsi" w:hAnsiTheme="minorHAnsi"/>
          <w:sz w:val="24"/>
        </w:rPr>
        <w:t>.</w:t>
      </w:r>
    </w:p>
    <w:p w:rsidR="00C0177A" w:rsidRPr="00226B30" w:rsidRDefault="008155BB" w:rsidP="00C0177A">
      <w:pPr>
        <w:pStyle w:val="TableHeading0"/>
      </w:pPr>
      <w:r>
        <w:lastRenderedPageBreak/>
        <w:t>T</w:t>
      </w:r>
      <w:r w:rsidR="00C0177A" w:rsidRPr="00226B30">
        <w:t xml:space="preserve">able </w:t>
      </w:r>
      <w:r w:rsidR="0014569D">
        <w:t>2</w:t>
      </w:r>
      <w:r w:rsidR="00C0177A" w:rsidRPr="00226B30">
        <w:t>: Absolute changes from baseline in pp</w:t>
      </w:r>
      <w:r w:rsidR="00C0177A" w:rsidRPr="00226B30">
        <w:rPr>
          <w:szCs w:val="24"/>
        </w:rPr>
        <w:t>FEV</w:t>
      </w:r>
      <w:r w:rsidR="00C0177A" w:rsidRPr="00226B30">
        <w:rPr>
          <w:szCs w:val="24"/>
          <w:vertAlign w:val="subscript"/>
        </w:rPr>
        <w:t>1</w:t>
      </w:r>
      <w:r w:rsidR="00C0177A" w:rsidRPr="00226B30">
        <w:t xml:space="preserve"> in TRAFFIC or TRANSPORT and PROGRESS</w:t>
      </w:r>
    </w:p>
    <w:tbl>
      <w:tblPr>
        <w:tblStyle w:val="newstyle32"/>
        <w:tblW w:w="5000" w:type="pct"/>
        <w:tblLayout w:type="fixed"/>
        <w:tblLook w:val="04A0" w:firstRow="1" w:lastRow="0" w:firstColumn="1" w:lastColumn="0" w:noHBand="0" w:noVBand="1"/>
        <w:tblCaption w:val="Table 2: Absolute changes from baseline in ppFEV1 in TRAFFIC or TRANSPORT and PROGRESS"/>
      </w:tblPr>
      <w:tblGrid>
        <w:gridCol w:w="1574"/>
        <w:gridCol w:w="1780"/>
        <w:gridCol w:w="1834"/>
        <w:gridCol w:w="1923"/>
        <w:gridCol w:w="1925"/>
      </w:tblGrid>
      <w:tr w:rsidR="00C0177A" w:rsidRPr="00226B30" w:rsidTr="00190149">
        <w:trPr>
          <w:cnfStyle w:val="100000000000" w:firstRow="1" w:lastRow="0" w:firstColumn="0" w:lastColumn="0" w:oddVBand="0" w:evenVBand="0" w:oddHBand="0" w:evenHBand="0" w:firstRowFirstColumn="0" w:firstRowLastColumn="0" w:lastRowFirstColumn="0" w:lastRowLastColumn="0"/>
          <w:trHeight w:val="300"/>
        </w:trPr>
        <w:tc>
          <w:tcPr>
            <w:tcW w:w="871" w:type="pct"/>
            <w:vMerge w:val="restart"/>
            <w:shd w:val="clear" w:color="auto" w:fill="auto"/>
            <w:noWrap/>
            <w:hideMark/>
          </w:tcPr>
          <w:p w:rsidR="00C0177A" w:rsidRPr="00226B30" w:rsidRDefault="00C0177A" w:rsidP="00EA4224">
            <w:pPr>
              <w:keepNext/>
              <w:rPr>
                <w:rFonts w:ascii="Arial Narrow" w:hAnsi="Arial Narrow" w:cs="Calibri"/>
                <w:sz w:val="16"/>
              </w:rPr>
            </w:pPr>
            <w:r w:rsidRPr="00226B30">
              <w:rPr>
                <w:rFonts w:ascii="Arial Narrow" w:hAnsi="Arial Narrow" w:cs="Calibri"/>
                <w:sz w:val="16"/>
              </w:rPr>
              <w:t> </w:t>
            </w:r>
          </w:p>
        </w:tc>
        <w:tc>
          <w:tcPr>
            <w:tcW w:w="2000" w:type="pct"/>
            <w:gridSpan w:val="2"/>
            <w:shd w:val="clear" w:color="auto" w:fill="auto"/>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TRAFFIC or TRANSPORT</w:t>
            </w:r>
          </w:p>
          <w:p w:rsidR="00C0177A" w:rsidRPr="00226B30" w:rsidRDefault="00C0177A" w:rsidP="00EA4224">
            <w:pPr>
              <w:keepNext/>
              <w:ind w:left="0" w:right="0"/>
              <w:jc w:val="center"/>
              <w:rPr>
                <w:rFonts w:ascii="Arial Narrow" w:eastAsia="Times New Roman" w:hAnsi="Arial Narrow"/>
                <w:b w:val="0"/>
                <w:sz w:val="20"/>
              </w:rPr>
            </w:pPr>
            <w:r w:rsidRPr="00226B30">
              <w:rPr>
                <w:rFonts w:ascii="Arial Narrow" w:eastAsia="Times New Roman" w:hAnsi="Arial Narrow"/>
                <w:b w:val="0"/>
                <w:sz w:val="20"/>
              </w:rPr>
              <w:t>least squares mean, (95% CI), p value</w:t>
            </w:r>
            <w:r w:rsidRPr="00226B30">
              <w:rPr>
                <w:rFonts w:ascii="Arial Narrow" w:eastAsia="Times New Roman" w:hAnsi="Arial Narrow"/>
                <w:b w:val="0"/>
                <w:sz w:val="20"/>
                <w:vertAlign w:val="superscript"/>
              </w:rPr>
              <w:t>†</w:t>
            </w:r>
          </w:p>
        </w:tc>
        <w:tc>
          <w:tcPr>
            <w:tcW w:w="2129" w:type="pct"/>
            <w:gridSpan w:val="2"/>
            <w:shd w:val="clear" w:color="auto" w:fill="auto"/>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PROGRESS</w:t>
            </w:r>
          </w:p>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b w:val="0"/>
                <w:sz w:val="20"/>
              </w:rPr>
              <w:t>least squares mean, (95% CI), p value</w:t>
            </w:r>
            <w:r w:rsidRPr="00226B30">
              <w:rPr>
                <w:rFonts w:ascii="Arial Narrow" w:eastAsia="Times New Roman" w:hAnsi="Arial Narrow"/>
                <w:b w:val="0"/>
                <w:sz w:val="20"/>
                <w:vertAlign w:val="superscript"/>
              </w:rPr>
              <w:t>†</w:t>
            </w:r>
          </w:p>
        </w:tc>
      </w:tr>
      <w:tr w:rsidR="00C0177A" w:rsidRPr="00226B30" w:rsidTr="00190149">
        <w:trPr>
          <w:cantSplit w:val="0"/>
          <w:trHeight w:val="428"/>
        </w:trPr>
        <w:tc>
          <w:tcPr>
            <w:tcW w:w="871" w:type="pct"/>
            <w:vMerge/>
            <w:shd w:val="clear" w:color="auto" w:fill="auto"/>
            <w:hideMark/>
          </w:tcPr>
          <w:p w:rsidR="00C0177A" w:rsidRPr="00226B30" w:rsidRDefault="00C0177A" w:rsidP="00EA4224">
            <w:pPr>
              <w:keepNext/>
              <w:rPr>
                <w:rFonts w:ascii="Arial Narrow" w:hAnsi="Arial Narrow" w:cs="Calibri"/>
                <w:sz w:val="16"/>
              </w:rPr>
            </w:pPr>
          </w:p>
        </w:tc>
        <w:tc>
          <w:tcPr>
            <w:tcW w:w="985" w:type="pct"/>
            <w:shd w:val="clear" w:color="auto" w:fill="auto"/>
            <w:noWrap/>
            <w:hideMark/>
          </w:tcPr>
          <w:p w:rsidR="00C0177A" w:rsidRPr="00226B30" w:rsidRDefault="00C0177A" w:rsidP="00EA4224">
            <w:pPr>
              <w:keepNext/>
              <w:ind w:left="0" w:right="0"/>
              <w:jc w:val="center"/>
              <w:rPr>
                <w:rFonts w:ascii="Arial Narrow" w:eastAsia="Times New Roman" w:hAnsi="Arial Narrow"/>
                <w:b/>
                <w:sz w:val="20"/>
              </w:rPr>
            </w:pPr>
            <w:r w:rsidRPr="00226B30">
              <w:rPr>
                <w:rFonts w:ascii="Arial Narrow" w:eastAsia="Times New Roman" w:hAnsi="Arial Narrow"/>
                <w:b/>
                <w:sz w:val="20"/>
              </w:rPr>
              <w:t>Placebo (n=371)</w:t>
            </w:r>
          </w:p>
        </w:tc>
        <w:tc>
          <w:tcPr>
            <w:tcW w:w="1015" w:type="pct"/>
            <w:shd w:val="clear" w:color="auto" w:fill="auto"/>
            <w:hideMark/>
          </w:tcPr>
          <w:p w:rsidR="00C0177A" w:rsidRPr="00226B30" w:rsidRDefault="00C0177A" w:rsidP="00EA4224">
            <w:pPr>
              <w:keepNext/>
              <w:ind w:left="0" w:right="0"/>
              <w:jc w:val="center"/>
              <w:rPr>
                <w:rFonts w:ascii="Arial Narrow" w:eastAsia="Times New Roman" w:hAnsi="Arial Narrow"/>
                <w:b/>
                <w:sz w:val="20"/>
              </w:rPr>
            </w:pPr>
            <w:proofErr w:type="spellStart"/>
            <w:r w:rsidRPr="00226B30">
              <w:rPr>
                <w:rFonts w:ascii="Arial Narrow" w:eastAsia="Times New Roman" w:hAnsi="Arial Narrow"/>
                <w:b/>
                <w:sz w:val="20"/>
              </w:rPr>
              <w:t>Lumacaftor</w:t>
            </w:r>
            <w:proofErr w:type="spellEnd"/>
            <w:r w:rsidRPr="00226B30">
              <w:rPr>
                <w:rFonts w:ascii="Arial Narrow" w:eastAsia="Times New Roman" w:hAnsi="Arial Narrow"/>
                <w:b/>
                <w:sz w:val="20"/>
              </w:rPr>
              <w:t>/</w:t>
            </w:r>
            <w:proofErr w:type="spellStart"/>
            <w:r w:rsidRPr="00226B30">
              <w:rPr>
                <w:rFonts w:ascii="Arial Narrow" w:eastAsia="Times New Roman" w:hAnsi="Arial Narrow"/>
                <w:b/>
                <w:sz w:val="20"/>
              </w:rPr>
              <w:t>ivacaftor</w:t>
            </w:r>
            <w:proofErr w:type="spellEnd"/>
            <w:r w:rsidRPr="00226B30">
              <w:rPr>
                <w:rFonts w:ascii="Arial Narrow" w:eastAsia="Times New Roman" w:hAnsi="Arial Narrow"/>
                <w:b/>
                <w:sz w:val="20"/>
              </w:rPr>
              <w:t xml:space="preserve">  (n=369)</w:t>
            </w:r>
          </w:p>
        </w:tc>
        <w:tc>
          <w:tcPr>
            <w:tcW w:w="1064" w:type="pct"/>
            <w:shd w:val="clear" w:color="auto" w:fill="auto"/>
            <w:hideMark/>
          </w:tcPr>
          <w:p w:rsidR="00C0177A" w:rsidRPr="00226B30" w:rsidRDefault="00C0177A" w:rsidP="00EA4224">
            <w:pPr>
              <w:keepNext/>
              <w:ind w:left="0" w:right="0"/>
              <w:jc w:val="center"/>
              <w:rPr>
                <w:rFonts w:ascii="Arial Narrow" w:eastAsia="Times New Roman" w:hAnsi="Arial Narrow"/>
                <w:b/>
                <w:sz w:val="20"/>
              </w:rPr>
            </w:pPr>
            <w:r w:rsidRPr="00226B30">
              <w:rPr>
                <w:rFonts w:ascii="Arial Narrow" w:eastAsia="Times New Roman" w:hAnsi="Arial Narrow"/>
                <w:b/>
                <w:sz w:val="20"/>
              </w:rPr>
              <w:t xml:space="preserve">Placebo transitioned to </w:t>
            </w:r>
            <w:proofErr w:type="spellStart"/>
            <w:r w:rsidRPr="00226B30">
              <w:rPr>
                <w:rFonts w:ascii="Arial Narrow" w:eastAsia="Times New Roman" w:hAnsi="Arial Narrow"/>
                <w:b/>
                <w:sz w:val="20"/>
              </w:rPr>
              <w:t>lumacaftor</w:t>
            </w:r>
            <w:proofErr w:type="spellEnd"/>
            <w:r w:rsidRPr="00226B30">
              <w:rPr>
                <w:rFonts w:ascii="Arial Narrow" w:eastAsia="Times New Roman" w:hAnsi="Arial Narrow"/>
                <w:b/>
                <w:sz w:val="20"/>
              </w:rPr>
              <w:t>/</w:t>
            </w:r>
            <w:proofErr w:type="spellStart"/>
            <w:r w:rsidRPr="00226B30">
              <w:rPr>
                <w:rFonts w:ascii="Arial Narrow" w:eastAsia="Times New Roman" w:hAnsi="Arial Narrow"/>
                <w:b/>
                <w:sz w:val="20"/>
              </w:rPr>
              <w:t>ivacaftor</w:t>
            </w:r>
            <w:proofErr w:type="spellEnd"/>
            <w:r w:rsidRPr="00226B30">
              <w:rPr>
                <w:rFonts w:ascii="Arial Narrow" w:eastAsia="Times New Roman" w:hAnsi="Arial Narrow"/>
                <w:b/>
                <w:sz w:val="20"/>
              </w:rPr>
              <w:t xml:space="preserve"> (n=176)</w:t>
            </w:r>
          </w:p>
        </w:tc>
        <w:tc>
          <w:tcPr>
            <w:tcW w:w="1065" w:type="pct"/>
            <w:shd w:val="clear" w:color="auto" w:fill="auto"/>
            <w:hideMark/>
          </w:tcPr>
          <w:p w:rsidR="00C0177A" w:rsidRPr="00226B30" w:rsidRDefault="00C0177A" w:rsidP="00EA4224">
            <w:pPr>
              <w:keepNext/>
              <w:ind w:left="0" w:right="0"/>
              <w:jc w:val="center"/>
              <w:rPr>
                <w:rFonts w:ascii="Arial Narrow" w:eastAsia="Times New Roman" w:hAnsi="Arial Narrow"/>
                <w:b/>
                <w:sz w:val="20"/>
              </w:rPr>
            </w:pPr>
            <w:r w:rsidRPr="00226B30">
              <w:rPr>
                <w:rFonts w:ascii="Arial Narrow" w:eastAsia="Times New Roman" w:hAnsi="Arial Narrow"/>
                <w:b/>
                <w:sz w:val="20"/>
              </w:rPr>
              <w:t xml:space="preserve">Continued </w:t>
            </w:r>
            <w:proofErr w:type="spellStart"/>
            <w:r w:rsidRPr="00226B30">
              <w:rPr>
                <w:rFonts w:ascii="Arial Narrow" w:eastAsia="Times New Roman" w:hAnsi="Arial Narrow"/>
                <w:b/>
                <w:sz w:val="20"/>
              </w:rPr>
              <w:t>lumacaftor</w:t>
            </w:r>
            <w:proofErr w:type="spellEnd"/>
            <w:r w:rsidRPr="00226B30">
              <w:rPr>
                <w:rFonts w:ascii="Arial Narrow" w:eastAsia="Times New Roman" w:hAnsi="Arial Narrow"/>
                <w:b/>
                <w:sz w:val="20"/>
              </w:rPr>
              <w:t>/</w:t>
            </w:r>
            <w:proofErr w:type="spellStart"/>
            <w:r w:rsidRPr="00226B30">
              <w:rPr>
                <w:rFonts w:ascii="Arial Narrow" w:eastAsia="Times New Roman" w:hAnsi="Arial Narrow"/>
                <w:b/>
                <w:sz w:val="20"/>
              </w:rPr>
              <w:t>ivacaftor</w:t>
            </w:r>
            <w:proofErr w:type="spellEnd"/>
            <w:r w:rsidRPr="00226B30">
              <w:rPr>
                <w:rFonts w:ascii="Arial Narrow" w:eastAsia="Times New Roman" w:hAnsi="Arial Narrow"/>
                <w:b/>
                <w:sz w:val="20"/>
              </w:rPr>
              <w:t xml:space="preserve"> (n=369*)</w:t>
            </w:r>
          </w:p>
        </w:tc>
      </w:tr>
      <w:tr w:rsidR="00C0177A" w:rsidRPr="00226B30" w:rsidTr="00190149">
        <w:trPr>
          <w:cantSplit w:val="0"/>
          <w:trHeight w:val="20"/>
        </w:trPr>
        <w:tc>
          <w:tcPr>
            <w:tcW w:w="871" w:type="pct"/>
            <w:noWrap/>
            <w:hideMark/>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Week 24</w:t>
            </w:r>
          </w:p>
        </w:tc>
        <w:tc>
          <w:tcPr>
            <w:tcW w:w="98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–0·4 (–1·2 to 0·4), p=0·3494</w:t>
            </w:r>
          </w:p>
        </w:tc>
        <w:tc>
          <w:tcPr>
            <w:tcW w:w="101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2·2 (1·3 to 3·0), p&lt;0·0001</w:t>
            </w:r>
          </w:p>
        </w:tc>
        <w:tc>
          <w:tcPr>
            <w:tcW w:w="1064"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6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r>
      <w:tr w:rsidR="00C0177A" w:rsidRPr="00226B30" w:rsidTr="00190149">
        <w:trPr>
          <w:cantSplit w:val="0"/>
          <w:trHeight w:val="20"/>
        </w:trPr>
        <w:tc>
          <w:tcPr>
            <w:tcW w:w="871" w:type="pct"/>
            <w:noWrap/>
            <w:hideMark/>
          </w:tcPr>
          <w:p w:rsidR="00C0177A" w:rsidRPr="00226B30" w:rsidRDefault="00C0177A" w:rsidP="00EA4224">
            <w:pPr>
              <w:keepNext/>
              <w:ind w:left="0" w:right="0"/>
              <w:rPr>
                <w:rFonts w:ascii="Arial Narrow" w:eastAsia="Times New Roman" w:hAnsi="Arial Narrow"/>
                <w:sz w:val="20"/>
              </w:rPr>
            </w:pPr>
            <w:bookmarkStart w:id="1" w:name="_Hlk479758369"/>
            <w:r w:rsidRPr="00226B30">
              <w:rPr>
                <w:rFonts w:ascii="Arial Narrow" w:eastAsia="Times New Roman" w:hAnsi="Arial Narrow"/>
                <w:sz w:val="20"/>
              </w:rPr>
              <w:t>Extension week 72</w:t>
            </w:r>
          </w:p>
        </w:tc>
        <w:tc>
          <w:tcPr>
            <w:tcW w:w="98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1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64"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 xml:space="preserve">1·5 (0.2, 2·9), </w:t>
            </w:r>
            <w:r w:rsidRPr="00226B30">
              <w:rPr>
                <w:rFonts w:ascii="Arial Narrow" w:eastAsia="Times New Roman" w:hAnsi="Arial Narrow"/>
                <w:sz w:val="20"/>
              </w:rPr>
              <w:br/>
              <w:t>p=0·0254</w:t>
            </w:r>
          </w:p>
        </w:tc>
        <w:tc>
          <w:tcPr>
            <w:tcW w:w="106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0·5 (–0·4 to 1·5), p=0·2806</w:t>
            </w:r>
          </w:p>
        </w:tc>
      </w:tr>
      <w:tr w:rsidR="00C0177A" w:rsidRPr="00226B30" w:rsidTr="00190149">
        <w:trPr>
          <w:cantSplit w:val="0"/>
          <w:trHeight w:val="20"/>
        </w:trPr>
        <w:tc>
          <w:tcPr>
            <w:tcW w:w="871" w:type="pct"/>
            <w:noWrap/>
            <w:hideMark/>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Extension week 96</w:t>
            </w:r>
          </w:p>
        </w:tc>
        <w:tc>
          <w:tcPr>
            <w:tcW w:w="98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1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64"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 xml:space="preserve">0·8 (–0·8, 2·3), </w:t>
            </w:r>
            <w:r w:rsidRPr="00226B30">
              <w:rPr>
                <w:rFonts w:ascii="Arial Narrow" w:eastAsia="Times New Roman" w:hAnsi="Arial Narrow"/>
                <w:sz w:val="20"/>
              </w:rPr>
              <w:br/>
              <w:t>p=0·3495</w:t>
            </w:r>
          </w:p>
        </w:tc>
        <w:tc>
          <w:tcPr>
            <w:tcW w:w="106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0·5 (–0·7 to 1·6), p=0·4231</w:t>
            </w:r>
          </w:p>
        </w:tc>
      </w:tr>
    </w:tbl>
    <w:bookmarkEnd w:id="1"/>
    <w:p w:rsidR="00C0177A" w:rsidRPr="00226B30" w:rsidRDefault="00C0177A" w:rsidP="00C0177A">
      <w:pPr>
        <w:pStyle w:val="Tablefooter8pt"/>
        <w:rPr>
          <w:rFonts w:eastAsia="Calibri"/>
          <w:lang w:val="en-US" w:eastAsia="zh-CN"/>
        </w:rPr>
      </w:pPr>
      <w:r w:rsidRPr="00226B30">
        <w:rPr>
          <w:rFonts w:eastAsia="Calibri"/>
          <w:lang w:val="en-US" w:eastAsia="zh-CN"/>
        </w:rPr>
        <w:t xml:space="preserve">Source: Table B.7-2, </w:t>
      </w:r>
      <w:proofErr w:type="gramStart"/>
      <w:r w:rsidRPr="00226B30">
        <w:rPr>
          <w:rFonts w:eastAsia="Calibri"/>
          <w:lang w:val="en-US" w:eastAsia="zh-CN"/>
        </w:rPr>
        <w:t>page 128 July 2017 resubmission</w:t>
      </w:r>
      <w:proofErr w:type="gramEnd"/>
      <w:r w:rsidRPr="00226B30">
        <w:rPr>
          <w:rFonts w:eastAsia="Calibri"/>
          <w:lang w:val="en-US" w:eastAsia="zh-CN"/>
        </w:rPr>
        <w:t>.</w:t>
      </w:r>
    </w:p>
    <w:p w:rsidR="00C0177A" w:rsidRPr="00226B30" w:rsidRDefault="00C0177A" w:rsidP="00C0177A">
      <w:pPr>
        <w:pStyle w:val="Tablefooter8pt"/>
        <w:rPr>
          <w:rFonts w:eastAsia="Calibri"/>
          <w:lang w:val="en-US" w:eastAsia="zh-CN"/>
        </w:rPr>
      </w:pPr>
      <w:r w:rsidRPr="00226B30">
        <w:rPr>
          <w:rFonts w:eastAsia="Calibri"/>
          <w:lang w:val="en-US" w:eastAsia="zh-CN"/>
        </w:rPr>
        <w:t>Abbreviations: pp</w:t>
      </w:r>
      <w:r w:rsidRPr="00226B30">
        <w:rPr>
          <w:szCs w:val="24"/>
        </w:rPr>
        <w:t>FEV</w:t>
      </w:r>
      <w:r w:rsidRPr="00226B30">
        <w:rPr>
          <w:szCs w:val="24"/>
          <w:vertAlign w:val="subscript"/>
        </w:rPr>
        <w:t>1</w:t>
      </w:r>
      <w:r w:rsidRPr="00226B30">
        <w:rPr>
          <w:vertAlign w:val="subscript"/>
          <w:lang w:val="en-US"/>
        </w:rPr>
        <w:t xml:space="preserve"> </w:t>
      </w:r>
      <w:r w:rsidRPr="00226B30">
        <w:rPr>
          <w:rFonts w:eastAsia="Calibri"/>
          <w:lang w:val="en-US" w:eastAsia="zh-CN"/>
        </w:rPr>
        <w:t xml:space="preserve">= percent predicted </w:t>
      </w:r>
      <w:r w:rsidRPr="00226B30">
        <w:rPr>
          <w:szCs w:val="24"/>
        </w:rPr>
        <w:t>FEV</w:t>
      </w:r>
      <w:r w:rsidRPr="00226B30">
        <w:rPr>
          <w:szCs w:val="24"/>
          <w:vertAlign w:val="subscript"/>
        </w:rPr>
        <w:t>1</w:t>
      </w:r>
      <w:r w:rsidRPr="00226B30">
        <w:rPr>
          <w:rFonts w:eastAsia="Calibri"/>
          <w:lang w:val="en-US" w:eastAsia="zh-CN"/>
        </w:rPr>
        <w:t xml:space="preserve">, </w:t>
      </w:r>
      <w:r w:rsidRPr="00226B30">
        <w:rPr>
          <w:rFonts w:eastAsia="Calibri"/>
          <w:lang w:eastAsia="zh-CN"/>
        </w:rPr>
        <w:t>CI = confidence interval.</w:t>
      </w:r>
    </w:p>
    <w:p w:rsidR="00C0177A" w:rsidRPr="00226B30" w:rsidRDefault="00C0177A" w:rsidP="00C0177A">
      <w:pPr>
        <w:pStyle w:val="Tablefooter8pt"/>
        <w:rPr>
          <w:rFonts w:eastAsia="Calibri"/>
          <w:lang w:val="en-US" w:eastAsia="zh-CN"/>
        </w:rPr>
      </w:pPr>
      <w:r w:rsidRPr="00226B30">
        <w:rPr>
          <w:rFonts w:eastAsia="Calibri"/>
          <w:lang w:val="en-US" w:eastAsia="zh-CN"/>
        </w:rPr>
        <w:t xml:space="preserve">†For the placebo and </w:t>
      </w:r>
      <w:proofErr w:type="spellStart"/>
      <w:r w:rsidRPr="00226B30">
        <w:rPr>
          <w:rFonts w:eastAsia="Calibri"/>
          <w:lang w:val="en-US" w:eastAsia="zh-CN"/>
        </w:rPr>
        <w:t>lumacaftor</w:t>
      </w:r>
      <w:proofErr w:type="spellEnd"/>
      <w:r w:rsidRPr="00226B30">
        <w:rPr>
          <w:rFonts w:eastAsia="Calibri"/>
          <w:lang w:val="en-US" w:eastAsia="zh-CN"/>
        </w:rPr>
        <w:t>/</w:t>
      </w:r>
      <w:proofErr w:type="spellStart"/>
      <w:r w:rsidRPr="00226B30">
        <w:rPr>
          <w:rFonts w:eastAsia="Calibri"/>
          <w:lang w:val="en-US" w:eastAsia="zh-CN"/>
        </w:rPr>
        <w:t>ivacaftor</w:t>
      </w:r>
      <w:proofErr w:type="spellEnd"/>
      <w:r w:rsidRPr="00226B30">
        <w:rPr>
          <w:rFonts w:eastAsia="Calibri"/>
          <w:lang w:val="en-US" w:eastAsia="zh-CN"/>
        </w:rPr>
        <w:t xml:space="preserve"> groups, baseline from TRAFFIC or TRANSPORT was used; for the placebo transitioned to </w:t>
      </w:r>
      <w:proofErr w:type="spellStart"/>
      <w:r w:rsidRPr="00226B30">
        <w:rPr>
          <w:rFonts w:eastAsia="Calibri"/>
          <w:lang w:val="en-US" w:eastAsia="zh-CN"/>
        </w:rPr>
        <w:t>lumacaftor</w:t>
      </w:r>
      <w:proofErr w:type="spellEnd"/>
      <w:r w:rsidRPr="00226B30">
        <w:rPr>
          <w:rFonts w:eastAsia="Calibri"/>
          <w:lang w:val="en-US" w:eastAsia="zh-CN"/>
        </w:rPr>
        <w:t>/</w:t>
      </w:r>
      <w:proofErr w:type="spellStart"/>
      <w:r w:rsidRPr="00226B30">
        <w:rPr>
          <w:rFonts w:eastAsia="Calibri"/>
          <w:lang w:val="en-US" w:eastAsia="zh-CN"/>
        </w:rPr>
        <w:t>ivacaftor</w:t>
      </w:r>
      <w:proofErr w:type="spellEnd"/>
      <w:r w:rsidRPr="00226B30">
        <w:rPr>
          <w:rFonts w:eastAsia="Calibri"/>
          <w:lang w:val="en-US" w:eastAsia="zh-CN"/>
        </w:rPr>
        <w:t xml:space="preserve"> group, baseline from PROGRESS was used. All p values (including for TRAFFIC or TRANSPORT data) are within treatment. </w:t>
      </w:r>
    </w:p>
    <w:p w:rsidR="00C0177A" w:rsidRDefault="00C0177A" w:rsidP="00C0177A">
      <w:pPr>
        <w:pStyle w:val="Tablefooter8pt"/>
        <w:spacing w:after="120"/>
        <w:rPr>
          <w:rFonts w:eastAsia="Calibri"/>
          <w:lang w:val="en-US" w:eastAsia="zh-CN"/>
        </w:rPr>
      </w:pPr>
      <w:r w:rsidRPr="00226B30">
        <w:rPr>
          <w:rFonts w:eastAsia="Calibri"/>
          <w:lang w:val="en-US" w:eastAsia="zh-CN"/>
        </w:rPr>
        <w:t xml:space="preserve">* </w:t>
      </w:r>
      <w:bookmarkStart w:id="2" w:name="_Hlk482005090"/>
      <w:r w:rsidRPr="00226B30">
        <w:rPr>
          <w:rFonts w:eastAsia="Calibri"/>
          <w:lang w:val="en-US" w:eastAsia="zh-CN"/>
        </w:rPr>
        <w:t xml:space="preserve">This number is as presented in the submission. 369 patients in TRAFFIC and TRANSPORT had received at least one dose of </w:t>
      </w:r>
      <w:proofErr w:type="spellStart"/>
      <w:r w:rsidRPr="00226B30">
        <w:rPr>
          <w:rFonts w:eastAsia="Calibri"/>
          <w:lang w:val="en-US" w:eastAsia="zh-CN"/>
        </w:rPr>
        <w:t>lumacaftor</w:t>
      </w:r>
      <w:proofErr w:type="spellEnd"/>
      <w:r w:rsidRPr="00226B30">
        <w:rPr>
          <w:rFonts w:eastAsia="Calibri"/>
          <w:lang w:val="en-US" w:eastAsia="zh-CN"/>
        </w:rPr>
        <w:t>/</w:t>
      </w:r>
      <w:proofErr w:type="spellStart"/>
      <w:r w:rsidRPr="00226B30">
        <w:rPr>
          <w:rFonts w:eastAsia="Calibri"/>
          <w:lang w:val="en-US" w:eastAsia="zh-CN"/>
        </w:rPr>
        <w:t>ivacaftor</w:t>
      </w:r>
      <w:proofErr w:type="spellEnd"/>
      <w:r w:rsidRPr="00226B30">
        <w:rPr>
          <w:rFonts w:eastAsia="Calibri"/>
          <w:lang w:val="en-US" w:eastAsia="zh-CN"/>
        </w:rPr>
        <w:t xml:space="preserve"> 400mg/250mg twice daily and therefore are included in safety analyses. 341 of these patients enrolled in PROGRESS study, and 340 received at least one dose.</w:t>
      </w:r>
      <w:bookmarkEnd w:id="2"/>
    </w:p>
    <w:p w:rsidR="00D06D64" w:rsidRPr="00226B30" w:rsidRDefault="00D06D64" w:rsidP="00C0177A">
      <w:pPr>
        <w:pStyle w:val="Tablefooter8pt"/>
        <w:spacing w:after="120"/>
        <w:rPr>
          <w:rFonts w:eastAsia="Calibri"/>
          <w:lang w:val="en-US" w:eastAsia="zh-CN"/>
        </w:rPr>
      </w:pPr>
    </w:p>
    <w:p w:rsidR="00C0177A" w:rsidRPr="00226B30" w:rsidRDefault="00C0177A" w:rsidP="00C0177A">
      <w:pPr>
        <w:pStyle w:val="TableHeading0"/>
      </w:pPr>
      <w:r w:rsidRPr="00226B30">
        <w:t>Figure 1: Absolute change in pp</w:t>
      </w:r>
      <w:r w:rsidRPr="00226B30">
        <w:rPr>
          <w:szCs w:val="24"/>
        </w:rPr>
        <w:t>FEV</w:t>
      </w:r>
      <w:r w:rsidRPr="00226B30">
        <w:rPr>
          <w:szCs w:val="24"/>
          <w:vertAlign w:val="subscript"/>
        </w:rPr>
        <w:t>1</w:t>
      </w:r>
      <w:r w:rsidRPr="00226B30">
        <w:t xml:space="preserve"> in TRAFFIC, TRANSPORT and PROGRESS, least square mean </w:t>
      </w:r>
    </w:p>
    <w:p w:rsidR="00C0177A" w:rsidRPr="00226B30" w:rsidRDefault="00C0177A" w:rsidP="00C0177A">
      <w:pPr>
        <w:rPr>
          <w:rFonts w:ascii="Arial Narrow" w:eastAsia="Calibri" w:hAnsi="Arial Narrow" w:cs="Calibri"/>
          <w:sz w:val="20"/>
          <w:lang w:val="en-US" w:eastAsia="zh-CN"/>
        </w:rPr>
      </w:pPr>
      <w:r w:rsidRPr="00226B30">
        <w:rPr>
          <w:rFonts w:ascii="Arial Narrow" w:eastAsia="Calibri" w:hAnsi="Arial Narrow" w:cs="Calibri"/>
          <w:noProof/>
          <w:sz w:val="20"/>
        </w:rPr>
        <w:drawing>
          <wp:inline distT="0" distB="0" distL="0" distR="0" wp14:anchorId="6B065822" wp14:editId="6D6FF2A8">
            <wp:extent cx="5731510" cy="1994127"/>
            <wp:effectExtent l="0" t="0" r="2540" b="6350"/>
            <wp:docPr id="9" name="Picture 9" title="Figure 1: Absolute change in ppFEV1 in TRAFFIC, TRANSPORT and PROGRESS, least square me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994127"/>
                    </a:xfrm>
                    <a:prstGeom prst="rect">
                      <a:avLst/>
                    </a:prstGeom>
                    <a:noFill/>
                    <a:ln>
                      <a:noFill/>
                    </a:ln>
                  </pic:spPr>
                </pic:pic>
              </a:graphicData>
            </a:graphic>
          </wp:inline>
        </w:drawing>
      </w:r>
    </w:p>
    <w:p w:rsidR="00C0177A" w:rsidRPr="00226B30" w:rsidRDefault="00C0177A" w:rsidP="00C0177A">
      <w:pPr>
        <w:pStyle w:val="Tablefooter8pt"/>
        <w:spacing w:after="120"/>
        <w:rPr>
          <w:rFonts w:eastAsia="Calibri" w:cs="Calibri"/>
          <w:sz w:val="20"/>
          <w:lang w:val="en-US" w:eastAsia="zh-CN"/>
        </w:rPr>
      </w:pPr>
      <w:r w:rsidRPr="00226B30">
        <w:rPr>
          <w:rFonts w:eastAsia="Calibri"/>
          <w:lang w:val="en-US" w:eastAsia="zh-CN"/>
        </w:rPr>
        <w:t xml:space="preserve">Source: </w:t>
      </w:r>
      <w:proofErr w:type="spellStart"/>
      <w:r w:rsidRPr="00226B30">
        <w:rPr>
          <w:rFonts w:eastAsia="Calibri"/>
          <w:lang w:val="en-US" w:eastAsia="zh-CN"/>
        </w:rPr>
        <w:t>Konstan</w:t>
      </w:r>
      <w:proofErr w:type="spellEnd"/>
      <w:r w:rsidRPr="00226B30">
        <w:rPr>
          <w:rFonts w:eastAsia="Calibri"/>
          <w:lang w:val="en-US" w:eastAsia="zh-CN"/>
        </w:rPr>
        <w:t xml:space="preserve"> et al, 2017</w:t>
      </w:r>
    </w:p>
    <w:p w:rsidR="00C0177A" w:rsidRPr="004D1901" w:rsidRDefault="00C0177A" w:rsidP="004D1901">
      <w:pPr>
        <w:pStyle w:val="ListParagraph"/>
        <w:widowControl/>
        <w:numPr>
          <w:ilvl w:val="1"/>
          <w:numId w:val="3"/>
        </w:numPr>
        <w:spacing w:before="120" w:after="160"/>
        <w:contextualSpacing w:val="0"/>
        <w:rPr>
          <w:rFonts w:asciiTheme="minorHAnsi" w:eastAsiaTheme="minorHAnsi" w:hAnsiTheme="minorHAnsi" w:cstheme="minorBidi"/>
          <w:snapToGrid/>
          <w:sz w:val="24"/>
          <w:szCs w:val="22"/>
        </w:rPr>
      </w:pPr>
      <w:r w:rsidRPr="004D1901">
        <w:rPr>
          <w:rFonts w:asciiTheme="minorHAnsi" w:eastAsiaTheme="minorHAnsi" w:hAnsiTheme="minorHAnsi" w:cstheme="minorBidi"/>
          <w:snapToGrid/>
          <w:sz w:val="24"/>
          <w:szCs w:val="22"/>
        </w:rPr>
        <w:t xml:space="preserve">The PSCR </w:t>
      </w:r>
      <w:r w:rsidR="00694E37" w:rsidRPr="004D1901">
        <w:rPr>
          <w:rFonts w:asciiTheme="minorHAnsi" w:eastAsiaTheme="minorHAnsi" w:hAnsiTheme="minorHAnsi" w:cstheme="minorBidi"/>
          <w:snapToGrid/>
          <w:sz w:val="24"/>
          <w:szCs w:val="22"/>
        </w:rPr>
        <w:t>to the July 2017 PBAC meeting</w:t>
      </w:r>
      <w:r w:rsidRPr="004D1901">
        <w:rPr>
          <w:rFonts w:asciiTheme="minorHAnsi" w:eastAsiaTheme="minorHAnsi" w:hAnsiTheme="minorHAnsi" w:cstheme="minorBidi"/>
          <w:snapToGrid/>
          <w:sz w:val="24"/>
          <w:szCs w:val="22"/>
        </w:rPr>
        <w:t xml:space="preserve"> argued that the main objective of CF treatment is to minimise the rate of deterioration over time and that it is not meaningful to simply compare the ppFEV1 at week 96 of PROGRESS for </w:t>
      </w:r>
      <w:proofErr w:type="spellStart"/>
      <w:r w:rsidRPr="004D1901">
        <w:rPr>
          <w:rFonts w:asciiTheme="minorHAnsi" w:eastAsiaTheme="minorHAnsi" w:hAnsiTheme="minorHAnsi" w:cstheme="minorBidi"/>
          <w:snapToGrid/>
          <w:sz w:val="24"/>
          <w:szCs w:val="22"/>
        </w:rPr>
        <w:t>lumacaftor</w:t>
      </w:r>
      <w:proofErr w:type="spellEnd"/>
      <w:r w:rsidRPr="004D1901">
        <w:rPr>
          <w:rFonts w:asciiTheme="minorHAnsi" w:eastAsiaTheme="minorHAnsi" w:hAnsiTheme="minorHAnsi" w:cstheme="minorBidi"/>
          <w:snapToGrid/>
          <w:sz w:val="24"/>
          <w:szCs w:val="22"/>
        </w:rPr>
        <w:t>/</w:t>
      </w:r>
      <w:proofErr w:type="spellStart"/>
      <w:r w:rsidRPr="004D1901">
        <w:rPr>
          <w:rFonts w:asciiTheme="minorHAnsi" w:eastAsiaTheme="minorHAnsi" w:hAnsiTheme="minorHAnsi" w:cstheme="minorBidi"/>
          <w:snapToGrid/>
          <w:sz w:val="24"/>
          <w:szCs w:val="22"/>
        </w:rPr>
        <w:t>ivacaftor</w:t>
      </w:r>
      <w:proofErr w:type="spellEnd"/>
      <w:r w:rsidRPr="004D1901">
        <w:rPr>
          <w:rFonts w:asciiTheme="minorHAnsi" w:eastAsiaTheme="minorHAnsi" w:hAnsiTheme="minorHAnsi" w:cstheme="minorBidi"/>
          <w:snapToGrid/>
          <w:sz w:val="24"/>
          <w:szCs w:val="22"/>
        </w:rPr>
        <w:t xml:space="preserve"> treated patients with their own baseline ppFEV1 given that, had those patients received BSC, they would have deteriorated to a greater extent over this time period. However, the ESC noted that the updated data from PROGRESS and the argument in the PSCR contradicted the assumption in the </w:t>
      </w:r>
      <w:r w:rsidR="00694E37" w:rsidRPr="004D1901">
        <w:rPr>
          <w:rFonts w:asciiTheme="minorHAnsi" w:eastAsiaTheme="minorHAnsi" w:hAnsiTheme="minorHAnsi" w:cstheme="minorBidi"/>
          <w:snapToGrid/>
          <w:sz w:val="24"/>
          <w:szCs w:val="22"/>
        </w:rPr>
        <w:t xml:space="preserve">July 2017 </w:t>
      </w:r>
      <w:r w:rsidRPr="004D1901">
        <w:rPr>
          <w:rFonts w:asciiTheme="minorHAnsi" w:eastAsiaTheme="minorHAnsi" w:hAnsiTheme="minorHAnsi" w:cstheme="minorBidi"/>
          <w:snapToGrid/>
          <w:sz w:val="24"/>
          <w:szCs w:val="22"/>
        </w:rPr>
        <w:t xml:space="preserve">economic model that patients treated with </w:t>
      </w:r>
      <w:proofErr w:type="spellStart"/>
      <w:r w:rsidRPr="004D1901">
        <w:rPr>
          <w:rFonts w:asciiTheme="minorHAnsi" w:eastAsiaTheme="minorHAnsi" w:hAnsiTheme="minorHAnsi" w:cstheme="minorBidi"/>
          <w:snapToGrid/>
          <w:sz w:val="24"/>
          <w:szCs w:val="22"/>
        </w:rPr>
        <w:t>lumacaftor</w:t>
      </w:r>
      <w:proofErr w:type="spellEnd"/>
      <w:r w:rsidRPr="004D1901">
        <w:rPr>
          <w:rFonts w:asciiTheme="minorHAnsi" w:eastAsiaTheme="minorHAnsi" w:hAnsiTheme="minorHAnsi" w:cstheme="minorBidi"/>
          <w:snapToGrid/>
          <w:sz w:val="24"/>
          <w:szCs w:val="22"/>
        </w:rPr>
        <w:t>/</w:t>
      </w:r>
      <w:proofErr w:type="spellStart"/>
      <w:r w:rsidRPr="004D1901">
        <w:rPr>
          <w:rFonts w:asciiTheme="minorHAnsi" w:eastAsiaTheme="minorHAnsi" w:hAnsiTheme="minorHAnsi" w:cstheme="minorBidi"/>
          <w:snapToGrid/>
          <w:sz w:val="24"/>
          <w:szCs w:val="22"/>
        </w:rPr>
        <w:t>ivacaftor</w:t>
      </w:r>
      <w:proofErr w:type="spellEnd"/>
      <w:r w:rsidRPr="004D1901">
        <w:rPr>
          <w:rFonts w:asciiTheme="minorHAnsi" w:eastAsiaTheme="minorHAnsi" w:hAnsiTheme="minorHAnsi" w:cstheme="minorBidi"/>
          <w:snapToGrid/>
          <w:sz w:val="24"/>
          <w:szCs w:val="22"/>
        </w:rPr>
        <w:t xml:space="preserve"> do not experience a decline in ppFEV1 over time.</w:t>
      </w:r>
    </w:p>
    <w:p w:rsidR="00094D52" w:rsidRPr="00094D52" w:rsidRDefault="00C0177A" w:rsidP="00094D52">
      <w:pPr>
        <w:pStyle w:val="ListParagraph"/>
        <w:keepNext/>
        <w:widowControl/>
        <w:numPr>
          <w:ilvl w:val="1"/>
          <w:numId w:val="3"/>
        </w:numPr>
        <w:spacing w:before="120" w:after="160"/>
        <w:contextualSpacing w:val="0"/>
        <w:rPr>
          <w:rFonts w:asciiTheme="minorHAnsi" w:hAnsiTheme="minorHAnsi"/>
          <w:sz w:val="24"/>
        </w:rPr>
      </w:pPr>
      <w:r w:rsidRPr="00094D52">
        <w:rPr>
          <w:rFonts w:asciiTheme="minorHAnsi" w:eastAsiaTheme="minorHAnsi" w:hAnsiTheme="minorHAnsi" w:cstheme="minorBidi"/>
          <w:snapToGrid/>
          <w:sz w:val="24"/>
          <w:szCs w:val="22"/>
        </w:rPr>
        <w:t xml:space="preserve">The </w:t>
      </w:r>
      <w:r w:rsidR="00694E37" w:rsidRPr="00094D52">
        <w:rPr>
          <w:rFonts w:asciiTheme="minorHAnsi" w:eastAsiaTheme="minorHAnsi" w:hAnsiTheme="minorHAnsi" w:cstheme="minorBidi"/>
          <w:snapToGrid/>
          <w:sz w:val="24"/>
          <w:szCs w:val="22"/>
        </w:rPr>
        <w:t xml:space="preserve">June 2017 </w:t>
      </w:r>
      <w:r w:rsidRPr="00094D52">
        <w:rPr>
          <w:rFonts w:asciiTheme="minorHAnsi" w:eastAsiaTheme="minorHAnsi" w:hAnsiTheme="minorHAnsi" w:cstheme="minorBidi"/>
          <w:snapToGrid/>
          <w:sz w:val="24"/>
          <w:szCs w:val="22"/>
        </w:rPr>
        <w:t xml:space="preserve">ESC also noted that the treatment gain of 10.58 percentage points in the clinical trial for </w:t>
      </w:r>
      <w:proofErr w:type="spellStart"/>
      <w:r w:rsidRPr="00094D52">
        <w:rPr>
          <w:rFonts w:asciiTheme="minorHAnsi" w:eastAsiaTheme="minorHAnsi" w:hAnsiTheme="minorHAnsi" w:cstheme="minorBidi"/>
          <w:snapToGrid/>
          <w:sz w:val="24"/>
          <w:szCs w:val="22"/>
        </w:rPr>
        <w:t>ivacaftor</w:t>
      </w:r>
      <w:proofErr w:type="spellEnd"/>
      <w:r w:rsidRPr="00094D52">
        <w:rPr>
          <w:rFonts w:asciiTheme="minorHAnsi" w:eastAsiaTheme="minorHAnsi" w:hAnsiTheme="minorHAnsi" w:cstheme="minorBidi"/>
          <w:snapToGrid/>
          <w:sz w:val="24"/>
          <w:szCs w:val="22"/>
        </w:rPr>
        <w:t xml:space="preserve"> for patients with cystic fibrosis with a G551D or other class III gating mutation in the CFTR gene on at least one allele was maintained at up to 144 weeks of treatment (PSD, </w:t>
      </w:r>
      <w:proofErr w:type="spellStart"/>
      <w:r w:rsidRPr="00094D52">
        <w:rPr>
          <w:rFonts w:asciiTheme="minorHAnsi" w:eastAsiaTheme="minorHAnsi" w:hAnsiTheme="minorHAnsi" w:cstheme="minorBidi"/>
          <w:snapToGrid/>
          <w:sz w:val="24"/>
          <w:szCs w:val="22"/>
        </w:rPr>
        <w:t>ivacaftor</w:t>
      </w:r>
      <w:proofErr w:type="spellEnd"/>
      <w:r w:rsidRPr="00094D52">
        <w:rPr>
          <w:rFonts w:asciiTheme="minorHAnsi" w:eastAsiaTheme="minorHAnsi" w:hAnsiTheme="minorHAnsi" w:cstheme="minorBidi"/>
          <w:snapToGrid/>
          <w:sz w:val="24"/>
          <w:szCs w:val="22"/>
        </w:rPr>
        <w:t>, March 2014).</w:t>
      </w:r>
      <w:r w:rsidR="00EA4224" w:rsidRPr="00094D52">
        <w:rPr>
          <w:rFonts w:asciiTheme="minorHAnsi" w:hAnsiTheme="minorHAnsi"/>
          <w:sz w:val="24"/>
          <w:szCs w:val="24"/>
        </w:rPr>
        <w:t xml:space="preserve">The final study report for </w:t>
      </w:r>
      <w:r w:rsidR="00EA4224" w:rsidRPr="00094D52">
        <w:rPr>
          <w:rFonts w:asciiTheme="minorHAnsi" w:hAnsiTheme="minorHAnsi"/>
          <w:sz w:val="24"/>
          <w:szCs w:val="24"/>
        </w:rPr>
        <w:lastRenderedPageBreak/>
        <w:t>PROGRESS included results of a response analysis of absolute change from baseline in ppFEV1</w:t>
      </w:r>
      <w:r w:rsidR="007C355C" w:rsidRPr="00094D52">
        <w:rPr>
          <w:rFonts w:asciiTheme="minorHAnsi" w:hAnsiTheme="minorHAnsi"/>
          <w:sz w:val="24"/>
          <w:szCs w:val="24"/>
        </w:rPr>
        <w:t>.</w:t>
      </w:r>
      <w:r w:rsidR="00EA4224" w:rsidRPr="00094D52">
        <w:rPr>
          <w:rFonts w:asciiTheme="minorHAnsi" w:hAnsiTheme="minorHAnsi"/>
          <w:sz w:val="24"/>
          <w:szCs w:val="24"/>
        </w:rPr>
        <w:t xml:space="preserve"> Responders were defined as patients with a ≥ 3%, 5% or 10% in ppFEV</w:t>
      </w:r>
      <w:r w:rsidR="00EA4224" w:rsidRPr="00094D52">
        <w:rPr>
          <w:rFonts w:asciiTheme="minorHAnsi" w:hAnsiTheme="minorHAnsi"/>
          <w:sz w:val="24"/>
          <w:szCs w:val="24"/>
          <w:vertAlign w:val="subscript"/>
        </w:rPr>
        <w:t>1</w:t>
      </w:r>
      <w:r w:rsidR="00EA4224" w:rsidRPr="00094D52">
        <w:rPr>
          <w:rFonts w:asciiTheme="minorHAnsi" w:hAnsiTheme="minorHAnsi"/>
          <w:sz w:val="24"/>
          <w:szCs w:val="24"/>
        </w:rPr>
        <w:t xml:space="preserve"> compared to baseline.  At Week 72 of Study 105, approximately 30%, 20%, and 10% of subjects were responders, respectively, at the 3, 5, and 10% cut</w:t>
      </w:r>
      <w:r w:rsidR="00990855" w:rsidRPr="00094D52">
        <w:rPr>
          <w:rFonts w:asciiTheme="minorHAnsi" w:hAnsiTheme="minorHAnsi"/>
          <w:sz w:val="24"/>
          <w:szCs w:val="24"/>
        </w:rPr>
        <w:t>-</w:t>
      </w:r>
      <w:r w:rsidR="00EA4224" w:rsidRPr="00094D52">
        <w:rPr>
          <w:rFonts w:asciiTheme="minorHAnsi" w:hAnsiTheme="minorHAnsi"/>
          <w:sz w:val="24"/>
          <w:szCs w:val="24"/>
        </w:rPr>
        <w:t>offs (final study report PROGRESS, version 1.0, 25 October 2016, pp 108)</w:t>
      </w:r>
      <w:r w:rsidR="0073784D">
        <w:rPr>
          <w:rFonts w:asciiTheme="minorHAnsi" w:hAnsiTheme="minorHAnsi"/>
          <w:sz w:val="24"/>
          <w:szCs w:val="24"/>
        </w:rPr>
        <w:t>.</w:t>
      </w:r>
    </w:p>
    <w:p w:rsidR="00094D52" w:rsidRDefault="0091201A" w:rsidP="00094D52">
      <w:pPr>
        <w:pStyle w:val="ListParagraph"/>
        <w:keepNext/>
        <w:widowControl/>
        <w:numPr>
          <w:ilvl w:val="1"/>
          <w:numId w:val="3"/>
        </w:numPr>
        <w:spacing w:before="120" w:after="160"/>
        <w:contextualSpacing w:val="0"/>
        <w:rPr>
          <w:rFonts w:asciiTheme="minorHAnsi" w:hAnsiTheme="minorHAnsi"/>
          <w:sz w:val="24"/>
        </w:rPr>
      </w:pPr>
      <w:r w:rsidRPr="00094D52">
        <w:rPr>
          <w:rFonts w:asciiTheme="minorHAnsi" w:hAnsiTheme="minorHAnsi"/>
          <w:sz w:val="24"/>
        </w:rPr>
        <w:t>T</w:t>
      </w:r>
      <w:r w:rsidR="00EA4224" w:rsidRPr="00094D52">
        <w:rPr>
          <w:rFonts w:asciiTheme="minorHAnsi" w:hAnsiTheme="minorHAnsi"/>
          <w:sz w:val="24"/>
        </w:rPr>
        <w:t xml:space="preserve">he proportion of </w:t>
      </w:r>
      <w:proofErr w:type="spellStart"/>
      <w:r w:rsidR="00EA4224" w:rsidRPr="00094D52">
        <w:rPr>
          <w:rFonts w:asciiTheme="minorHAnsi" w:hAnsiTheme="minorHAnsi"/>
          <w:sz w:val="24"/>
        </w:rPr>
        <w:t>lumacaftor</w:t>
      </w:r>
      <w:proofErr w:type="spellEnd"/>
      <w:r w:rsidR="00EA4224" w:rsidRPr="00094D52">
        <w:rPr>
          <w:rFonts w:asciiTheme="minorHAnsi" w:hAnsiTheme="minorHAnsi"/>
          <w:sz w:val="24"/>
        </w:rPr>
        <w:t>/</w:t>
      </w:r>
      <w:proofErr w:type="spellStart"/>
      <w:r w:rsidR="00EA4224" w:rsidRPr="00094D52">
        <w:rPr>
          <w:rFonts w:asciiTheme="minorHAnsi" w:hAnsiTheme="minorHAnsi"/>
          <w:sz w:val="24"/>
        </w:rPr>
        <w:t>ivacaftor</w:t>
      </w:r>
      <w:proofErr w:type="spellEnd"/>
      <w:r w:rsidR="00EA4224" w:rsidRPr="00094D52">
        <w:rPr>
          <w:rFonts w:asciiTheme="minorHAnsi" w:hAnsiTheme="minorHAnsi"/>
          <w:sz w:val="24"/>
        </w:rPr>
        <w:t xml:space="preserve"> patients who achieved an increase in ppFEV</w:t>
      </w:r>
      <w:r w:rsidR="00EA4224" w:rsidRPr="00094D52">
        <w:rPr>
          <w:rFonts w:asciiTheme="minorHAnsi" w:hAnsiTheme="minorHAnsi"/>
          <w:sz w:val="24"/>
          <w:vertAlign w:val="subscript"/>
        </w:rPr>
        <w:t>1</w:t>
      </w:r>
      <w:r w:rsidR="00EA4224" w:rsidRPr="00094D52">
        <w:rPr>
          <w:rFonts w:asciiTheme="minorHAnsi" w:hAnsiTheme="minorHAnsi"/>
          <w:sz w:val="24"/>
        </w:rPr>
        <w:t xml:space="preserve"> of at least 3%, 5% or 10% (respectively across the figures over time)</w:t>
      </w:r>
      <w:r w:rsidRPr="00094D52">
        <w:rPr>
          <w:rFonts w:asciiTheme="minorHAnsi" w:hAnsiTheme="minorHAnsi"/>
          <w:sz w:val="24"/>
        </w:rPr>
        <w:t xml:space="preserve"> is presented in figures 2 - 4</w:t>
      </w:r>
      <w:r w:rsidR="00EA4224" w:rsidRPr="00094D52">
        <w:rPr>
          <w:rFonts w:asciiTheme="minorHAnsi" w:hAnsiTheme="minorHAnsi"/>
          <w:sz w:val="24"/>
        </w:rPr>
        <w:t xml:space="preserve">. These data indicate that the proportion of patients meeting each of the response criteria declined over time; by 96 weeks, the proportion of patients with a 3% or 5% response was significantly lower (the confidence intervals did not overlap) than at day 15. The proportion of patients with a 10% response was relatively stable over the period, but was also significantly lower at 96 weeks among those continuing </w:t>
      </w:r>
      <w:proofErr w:type="spellStart"/>
      <w:r w:rsidR="00EA4224" w:rsidRPr="00094D52">
        <w:rPr>
          <w:rFonts w:asciiTheme="minorHAnsi" w:hAnsiTheme="minorHAnsi"/>
          <w:sz w:val="24"/>
        </w:rPr>
        <w:t>lumacaftor</w:t>
      </w:r>
      <w:proofErr w:type="spellEnd"/>
      <w:r w:rsidR="00EA4224" w:rsidRPr="00094D52">
        <w:rPr>
          <w:rFonts w:asciiTheme="minorHAnsi" w:hAnsiTheme="minorHAnsi"/>
          <w:sz w:val="24"/>
        </w:rPr>
        <w:t>/</w:t>
      </w:r>
      <w:proofErr w:type="spellStart"/>
      <w:r w:rsidR="00EA4224" w:rsidRPr="00094D52">
        <w:rPr>
          <w:rFonts w:asciiTheme="minorHAnsi" w:hAnsiTheme="minorHAnsi"/>
          <w:sz w:val="24"/>
        </w:rPr>
        <w:t>ivacaftor</w:t>
      </w:r>
      <w:proofErr w:type="spellEnd"/>
      <w:r w:rsidR="00EA4224" w:rsidRPr="00094D52">
        <w:rPr>
          <w:rFonts w:asciiTheme="minorHAnsi" w:hAnsiTheme="minorHAnsi"/>
          <w:sz w:val="24"/>
        </w:rPr>
        <w:t xml:space="preserve"> from previous studies</w:t>
      </w:r>
      <w:r w:rsidR="003A0CE1" w:rsidRPr="00094D52">
        <w:rPr>
          <w:rFonts w:asciiTheme="minorHAnsi" w:hAnsiTheme="minorHAnsi"/>
          <w:sz w:val="24"/>
        </w:rPr>
        <w:t>. However, it</w:t>
      </w:r>
      <w:r w:rsidR="00EA4224" w:rsidRPr="00094D52">
        <w:rPr>
          <w:rFonts w:asciiTheme="minorHAnsi" w:hAnsiTheme="minorHAnsi"/>
          <w:sz w:val="24"/>
        </w:rPr>
        <w:t xml:space="preserve"> was not lower for those who had switched from p</w:t>
      </w:r>
      <w:r w:rsidR="0073784D">
        <w:rPr>
          <w:rFonts w:asciiTheme="minorHAnsi" w:hAnsiTheme="minorHAnsi"/>
          <w:sz w:val="24"/>
        </w:rPr>
        <w:t xml:space="preserve">lacebo to </w:t>
      </w:r>
      <w:proofErr w:type="spellStart"/>
      <w:r w:rsidR="0073784D">
        <w:rPr>
          <w:rFonts w:asciiTheme="minorHAnsi" w:hAnsiTheme="minorHAnsi"/>
          <w:sz w:val="24"/>
        </w:rPr>
        <w:t>lumacaftor</w:t>
      </w:r>
      <w:proofErr w:type="spellEnd"/>
      <w:r w:rsidR="0073784D">
        <w:rPr>
          <w:rFonts w:asciiTheme="minorHAnsi" w:hAnsiTheme="minorHAnsi"/>
          <w:sz w:val="24"/>
        </w:rPr>
        <w:t>/</w:t>
      </w:r>
      <w:proofErr w:type="spellStart"/>
      <w:r w:rsidR="0073784D">
        <w:rPr>
          <w:rFonts w:asciiTheme="minorHAnsi" w:hAnsiTheme="minorHAnsi"/>
          <w:sz w:val="24"/>
        </w:rPr>
        <w:t>ivacaftor</w:t>
      </w:r>
      <w:proofErr w:type="spellEnd"/>
      <w:r w:rsidR="0073784D">
        <w:rPr>
          <w:rFonts w:asciiTheme="minorHAnsi" w:hAnsiTheme="minorHAnsi"/>
          <w:sz w:val="24"/>
        </w:rPr>
        <w:t>.</w:t>
      </w:r>
    </w:p>
    <w:p w:rsidR="00094D52" w:rsidRPr="0073784D" w:rsidRDefault="00E8637A" w:rsidP="00094D52">
      <w:pPr>
        <w:pStyle w:val="ListParagraph"/>
        <w:keepNext/>
        <w:widowControl/>
        <w:numPr>
          <w:ilvl w:val="1"/>
          <w:numId w:val="3"/>
        </w:numPr>
        <w:spacing w:before="120" w:after="160"/>
        <w:contextualSpacing w:val="0"/>
        <w:rPr>
          <w:rFonts w:asciiTheme="minorHAnsi" w:hAnsiTheme="minorHAnsi"/>
          <w:sz w:val="24"/>
        </w:rPr>
      </w:pPr>
      <w:r w:rsidRPr="00094D52">
        <w:rPr>
          <w:rFonts w:asciiTheme="minorHAnsi" w:hAnsiTheme="minorHAnsi"/>
          <w:sz w:val="24"/>
          <w:szCs w:val="24"/>
        </w:rPr>
        <w:t xml:space="preserve">In the Pre-PBAC </w:t>
      </w:r>
      <w:proofErr w:type="gramStart"/>
      <w:r w:rsidRPr="00094D52">
        <w:rPr>
          <w:rFonts w:asciiTheme="minorHAnsi" w:hAnsiTheme="minorHAnsi"/>
          <w:sz w:val="24"/>
          <w:szCs w:val="24"/>
        </w:rPr>
        <w:t>Response ,</w:t>
      </w:r>
      <w:proofErr w:type="gramEnd"/>
      <w:r w:rsidRPr="00094D52">
        <w:rPr>
          <w:rFonts w:asciiTheme="minorHAnsi" w:hAnsiTheme="minorHAnsi"/>
          <w:sz w:val="24"/>
          <w:szCs w:val="24"/>
        </w:rPr>
        <w:t xml:space="preserve"> the sponsor expressed concern that undue emphasis may be placed on responder analyses. The sponsor noted that patients with CF experience a constant downward trajectory in ppFEV</w:t>
      </w:r>
      <w:r w:rsidRPr="00094D52">
        <w:rPr>
          <w:rFonts w:asciiTheme="minorHAnsi" w:hAnsiTheme="minorHAnsi"/>
          <w:sz w:val="24"/>
          <w:szCs w:val="24"/>
          <w:vertAlign w:val="subscript"/>
        </w:rPr>
        <w:t xml:space="preserve">1 </w:t>
      </w:r>
      <w:r w:rsidRPr="00094D52">
        <w:rPr>
          <w:rFonts w:asciiTheme="minorHAnsi" w:hAnsiTheme="minorHAnsi"/>
          <w:sz w:val="24"/>
          <w:szCs w:val="24"/>
        </w:rPr>
        <w:t>over the course of their lifetime and therefore it is unreasonable to ben</w:t>
      </w:r>
      <w:r w:rsidR="002B32F0" w:rsidRPr="00094D52">
        <w:rPr>
          <w:rFonts w:asciiTheme="minorHAnsi" w:hAnsiTheme="minorHAnsi"/>
          <w:sz w:val="24"/>
          <w:szCs w:val="24"/>
        </w:rPr>
        <w:t>chmark treatment success using percentage</w:t>
      </w:r>
      <w:r w:rsidRPr="00094D52">
        <w:rPr>
          <w:rFonts w:asciiTheme="minorHAnsi" w:hAnsiTheme="minorHAnsi"/>
          <w:sz w:val="24"/>
          <w:szCs w:val="24"/>
        </w:rPr>
        <w:t xml:space="preserve"> improvement in ppFEV</w:t>
      </w:r>
      <w:r w:rsidRPr="00094D52">
        <w:rPr>
          <w:rFonts w:asciiTheme="minorHAnsi" w:hAnsiTheme="minorHAnsi"/>
          <w:sz w:val="24"/>
          <w:szCs w:val="24"/>
          <w:vertAlign w:val="subscript"/>
        </w:rPr>
        <w:t>1</w:t>
      </w:r>
      <w:r w:rsidRPr="00094D52">
        <w:rPr>
          <w:rFonts w:asciiTheme="minorHAnsi" w:hAnsiTheme="minorHAnsi"/>
          <w:sz w:val="24"/>
          <w:szCs w:val="24"/>
        </w:rPr>
        <w:t xml:space="preserve"> as a responder me</w:t>
      </w:r>
      <w:r w:rsidR="00EC423E" w:rsidRPr="00094D52">
        <w:rPr>
          <w:rFonts w:asciiTheme="minorHAnsi" w:hAnsiTheme="minorHAnsi"/>
          <w:sz w:val="24"/>
          <w:szCs w:val="24"/>
        </w:rPr>
        <w:t>tric. The sponsor further stated</w:t>
      </w:r>
      <w:r w:rsidRPr="00094D52">
        <w:rPr>
          <w:rFonts w:asciiTheme="minorHAnsi" w:hAnsiTheme="minorHAnsi"/>
          <w:sz w:val="24"/>
          <w:szCs w:val="24"/>
        </w:rPr>
        <w:t xml:space="preserve"> that the objective of CF treatment is to maintain lung function. The PBAC acknowledged that maintaining or slowing decline in lung function wa</w:t>
      </w:r>
      <w:r w:rsidR="002B32F0" w:rsidRPr="00094D52">
        <w:rPr>
          <w:rFonts w:asciiTheme="minorHAnsi" w:hAnsiTheme="minorHAnsi"/>
          <w:sz w:val="24"/>
          <w:szCs w:val="24"/>
        </w:rPr>
        <w:t>s the main aim of CF treatment</w:t>
      </w:r>
      <w:r w:rsidR="00C8267D">
        <w:rPr>
          <w:rFonts w:asciiTheme="minorHAnsi" w:hAnsiTheme="minorHAnsi"/>
          <w:sz w:val="24"/>
          <w:szCs w:val="24"/>
        </w:rPr>
        <w:t>.</w:t>
      </w:r>
      <w:r w:rsidR="002B32F0" w:rsidRPr="00094D52">
        <w:rPr>
          <w:rFonts w:asciiTheme="minorHAnsi" w:hAnsiTheme="minorHAnsi"/>
          <w:sz w:val="24"/>
          <w:szCs w:val="24"/>
        </w:rPr>
        <w:t xml:space="preserve"> However, the committee </w:t>
      </w:r>
      <w:r w:rsidR="00AC257B" w:rsidRPr="00094D52">
        <w:rPr>
          <w:rFonts w:asciiTheme="minorHAnsi" w:hAnsiTheme="minorHAnsi"/>
          <w:sz w:val="24"/>
          <w:szCs w:val="24"/>
        </w:rPr>
        <w:t>noted</w:t>
      </w:r>
      <w:r w:rsidR="002B32F0" w:rsidRPr="00094D52">
        <w:rPr>
          <w:rFonts w:asciiTheme="minorHAnsi" w:hAnsiTheme="minorHAnsi"/>
          <w:sz w:val="24"/>
          <w:szCs w:val="24"/>
        </w:rPr>
        <w:t xml:space="preserve"> that the available data suggest considerable heterogeneity in the clinical</w:t>
      </w:r>
      <w:r w:rsidR="00BA24C3" w:rsidRPr="00094D52">
        <w:rPr>
          <w:rFonts w:asciiTheme="minorHAnsi" w:hAnsiTheme="minorHAnsi"/>
          <w:sz w:val="24"/>
          <w:szCs w:val="24"/>
        </w:rPr>
        <w:t xml:space="preserve"> benefit received by patients and that </w:t>
      </w:r>
      <w:r w:rsidR="00D06D64" w:rsidRPr="00094D52">
        <w:rPr>
          <w:rFonts w:asciiTheme="minorHAnsi" w:hAnsiTheme="minorHAnsi"/>
          <w:sz w:val="24"/>
          <w:szCs w:val="24"/>
        </w:rPr>
        <w:t xml:space="preserve">the uncertainty around the impact of </w:t>
      </w:r>
      <w:proofErr w:type="spellStart"/>
      <w:r w:rsidR="00D06D64" w:rsidRPr="00094D52">
        <w:rPr>
          <w:rFonts w:asciiTheme="minorHAnsi" w:hAnsiTheme="minorHAnsi"/>
          <w:sz w:val="24"/>
          <w:szCs w:val="24"/>
        </w:rPr>
        <w:t>lumacaftor</w:t>
      </w:r>
      <w:proofErr w:type="spellEnd"/>
      <w:r w:rsidR="00D06D64" w:rsidRPr="00094D52">
        <w:rPr>
          <w:rFonts w:asciiTheme="minorHAnsi" w:hAnsiTheme="minorHAnsi"/>
          <w:sz w:val="24"/>
          <w:szCs w:val="24"/>
        </w:rPr>
        <w:t>/</w:t>
      </w:r>
      <w:proofErr w:type="spellStart"/>
      <w:r w:rsidR="00D06D64" w:rsidRPr="00094D52">
        <w:rPr>
          <w:rFonts w:asciiTheme="minorHAnsi" w:hAnsiTheme="minorHAnsi"/>
          <w:sz w:val="24"/>
          <w:szCs w:val="24"/>
        </w:rPr>
        <w:t>ivacaftor</w:t>
      </w:r>
      <w:proofErr w:type="spellEnd"/>
      <w:r w:rsidR="00D06D64" w:rsidRPr="00094D52">
        <w:rPr>
          <w:rFonts w:asciiTheme="minorHAnsi" w:hAnsiTheme="minorHAnsi"/>
          <w:sz w:val="24"/>
          <w:szCs w:val="24"/>
        </w:rPr>
        <w:t xml:space="preserve"> on long-term improvements in lung function and survival remains.</w:t>
      </w:r>
    </w:p>
    <w:p w:rsidR="00094D52" w:rsidRDefault="00094D52">
      <w:pPr>
        <w:rPr>
          <w:rFonts w:ascii="Arial Narrow" w:hAnsi="Arial Narrow" w:cs="Arial"/>
          <w:b/>
          <w:snapToGrid w:val="0"/>
          <w:sz w:val="20"/>
          <w:szCs w:val="20"/>
          <w:lang w:eastAsia="en-US"/>
        </w:rPr>
      </w:pPr>
      <w:r>
        <w:rPr>
          <w:rFonts w:ascii="Arial Narrow" w:hAnsi="Arial Narrow"/>
          <w:b/>
          <w:sz w:val="20"/>
        </w:rPr>
        <w:br w:type="page"/>
      </w:r>
    </w:p>
    <w:p w:rsidR="00EA4224" w:rsidRPr="00190149" w:rsidRDefault="00EA4224" w:rsidP="00190149">
      <w:pPr>
        <w:keepNext/>
        <w:spacing w:before="120"/>
        <w:rPr>
          <w:rFonts w:ascii="Arial Narrow" w:hAnsi="Arial Narrow"/>
          <w:b/>
          <w:sz w:val="20"/>
        </w:rPr>
      </w:pPr>
      <w:r w:rsidRPr="00190149">
        <w:rPr>
          <w:rFonts w:ascii="Arial Narrow" w:hAnsi="Arial Narrow"/>
          <w:b/>
          <w:sz w:val="20"/>
        </w:rPr>
        <w:lastRenderedPageBreak/>
        <w:t xml:space="preserve">Figure </w:t>
      </w:r>
      <w:r w:rsidR="003A0CE1" w:rsidRPr="00190149">
        <w:rPr>
          <w:rFonts w:ascii="Arial Narrow" w:hAnsi="Arial Narrow"/>
          <w:b/>
          <w:sz w:val="20"/>
        </w:rPr>
        <w:t>2:</w:t>
      </w:r>
      <w:r w:rsidRPr="00190149">
        <w:rPr>
          <w:rFonts w:ascii="Arial Narrow" w:hAnsi="Arial Narrow"/>
          <w:b/>
          <w:sz w:val="20"/>
        </w:rPr>
        <w:t xml:space="preserve"> Response analysis of absolute change in ppFEV</w:t>
      </w:r>
      <w:r w:rsidRPr="00190149">
        <w:rPr>
          <w:rFonts w:ascii="Arial Narrow" w:hAnsi="Arial Narrow"/>
          <w:b/>
          <w:sz w:val="20"/>
          <w:vertAlign w:val="subscript"/>
        </w:rPr>
        <w:t xml:space="preserve">1 </w:t>
      </w:r>
      <w:r w:rsidRPr="00190149">
        <w:rPr>
          <w:rFonts w:ascii="Arial Narrow" w:hAnsi="Arial Narrow"/>
          <w:b/>
          <w:sz w:val="20"/>
        </w:rPr>
        <w:t xml:space="preserve">&gt;= 3 percentage points </w:t>
      </w:r>
    </w:p>
    <w:p w:rsidR="00EA4224" w:rsidRDefault="00EA4224" w:rsidP="00EA4224">
      <w:pPr>
        <w:keepNext/>
        <w:rPr>
          <w:rFonts w:ascii="Arial Narrow" w:hAnsi="Arial Narrow"/>
          <w:sz w:val="20"/>
        </w:rPr>
      </w:pPr>
      <w:r>
        <w:rPr>
          <w:rFonts w:ascii="Arial Narrow" w:hAnsi="Arial Narrow"/>
          <w:noProof/>
          <w:sz w:val="20"/>
        </w:rPr>
        <w:drawing>
          <wp:inline distT="0" distB="0" distL="0" distR="0" wp14:anchorId="7ABCFCDB" wp14:editId="3F3D5811">
            <wp:extent cx="6073140" cy="3609208"/>
            <wp:effectExtent l="0" t="0" r="3810" b="0"/>
            <wp:docPr id="12" name="Picture 12" title="Figure 2: Response analysis of absolute change in ppFEV1 &gt;= 3 percentage poi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9750" cy="3619079"/>
                    </a:xfrm>
                    <a:prstGeom prst="rect">
                      <a:avLst/>
                    </a:prstGeom>
                    <a:noFill/>
                  </pic:spPr>
                </pic:pic>
              </a:graphicData>
            </a:graphic>
          </wp:inline>
        </w:drawing>
      </w:r>
    </w:p>
    <w:p w:rsidR="00EA4224" w:rsidRPr="004D1901" w:rsidRDefault="00EA4224" w:rsidP="00EA4224">
      <w:pPr>
        <w:rPr>
          <w:rFonts w:ascii="Arial Narrow" w:hAnsi="Arial Narrow"/>
          <w:sz w:val="18"/>
          <w:szCs w:val="18"/>
        </w:rPr>
      </w:pPr>
      <w:r w:rsidRPr="004D1901">
        <w:rPr>
          <w:rFonts w:ascii="Arial Narrow" w:hAnsi="Arial Narrow"/>
          <w:sz w:val="18"/>
          <w:szCs w:val="18"/>
        </w:rPr>
        <w:t>Source: Prepared during the evaluation from data as specified in the Table Annexe (Table 6).</w:t>
      </w:r>
    </w:p>
    <w:p w:rsidR="00EA4224" w:rsidRDefault="00EA4224" w:rsidP="00EA4224">
      <w:pPr>
        <w:rPr>
          <w:rFonts w:ascii="Arial Narrow" w:hAnsi="Arial Narrow"/>
          <w:sz w:val="18"/>
          <w:szCs w:val="18"/>
        </w:rPr>
      </w:pPr>
      <w:r w:rsidRPr="004D1901">
        <w:rPr>
          <w:rFonts w:ascii="Arial Narrow" w:hAnsi="Arial Narrow"/>
          <w:sz w:val="18"/>
          <w:szCs w:val="18"/>
        </w:rPr>
        <w:t xml:space="preserve">Abbreviations: CI=confidence intervals; Ext=extension; </w:t>
      </w:r>
      <w:proofErr w:type="spellStart"/>
      <w:r w:rsidRPr="004D1901">
        <w:rPr>
          <w:rFonts w:ascii="Arial Narrow" w:hAnsi="Arial Narrow"/>
          <w:sz w:val="18"/>
          <w:szCs w:val="18"/>
        </w:rPr>
        <w:t>ppFEV</w:t>
      </w:r>
      <w:proofErr w:type="spellEnd"/>
      <w:r w:rsidRPr="004D1901">
        <w:rPr>
          <w:rFonts w:ascii="Arial Narrow" w:hAnsi="Arial Narrow"/>
          <w:sz w:val="18"/>
          <w:szCs w:val="18"/>
        </w:rPr>
        <w:t>=percent predicted forced expiratory volume.</w:t>
      </w:r>
    </w:p>
    <w:p w:rsidR="00190149" w:rsidRPr="004D1901" w:rsidRDefault="00190149" w:rsidP="00EA4224">
      <w:pPr>
        <w:rPr>
          <w:rFonts w:ascii="Arial Narrow" w:hAnsi="Arial Narrow"/>
          <w:sz w:val="18"/>
          <w:szCs w:val="18"/>
        </w:rPr>
      </w:pPr>
    </w:p>
    <w:p w:rsidR="00EA4224" w:rsidRDefault="00EA4224" w:rsidP="00EA4224">
      <w:pPr>
        <w:keepNext/>
        <w:rPr>
          <w:rFonts w:ascii="Arial Narrow" w:hAnsi="Arial Narrow"/>
          <w:b/>
          <w:sz w:val="20"/>
        </w:rPr>
      </w:pPr>
      <w:r>
        <w:rPr>
          <w:rFonts w:ascii="Arial Narrow" w:hAnsi="Arial Narrow"/>
          <w:b/>
          <w:sz w:val="20"/>
        </w:rPr>
        <w:t xml:space="preserve">Figure </w:t>
      </w:r>
      <w:r w:rsidR="003A0CE1">
        <w:rPr>
          <w:rFonts w:ascii="Arial Narrow" w:hAnsi="Arial Narrow"/>
          <w:b/>
          <w:sz w:val="20"/>
        </w:rPr>
        <w:t>3:</w:t>
      </w:r>
      <w:r w:rsidRPr="00566EBF">
        <w:rPr>
          <w:rFonts w:ascii="Arial Narrow" w:hAnsi="Arial Narrow"/>
          <w:b/>
          <w:sz w:val="20"/>
        </w:rPr>
        <w:t xml:space="preserve"> Response analysis of absolute change in ppFEV</w:t>
      </w:r>
      <w:r w:rsidRPr="00566EBF">
        <w:rPr>
          <w:rFonts w:ascii="Arial Narrow" w:hAnsi="Arial Narrow"/>
          <w:b/>
          <w:sz w:val="20"/>
          <w:vertAlign w:val="subscript"/>
        </w:rPr>
        <w:t xml:space="preserve">1 </w:t>
      </w:r>
      <w:r>
        <w:rPr>
          <w:rFonts w:ascii="Arial Narrow" w:hAnsi="Arial Narrow"/>
          <w:b/>
          <w:sz w:val="20"/>
        </w:rPr>
        <w:t xml:space="preserve">&gt;= 5 percentage points </w:t>
      </w:r>
    </w:p>
    <w:p w:rsidR="00EA4224" w:rsidRDefault="00EA4224" w:rsidP="00EA4224">
      <w:pPr>
        <w:keepNext/>
        <w:rPr>
          <w:rFonts w:ascii="Arial Narrow" w:hAnsi="Arial Narrow"/>
          <w:sz w:val="20"/>
        </w:rPr>
      </w:pPr>
      <w:r>
        <w:rPr>
          <w:rFonts w:ascii="Arial Narrow" w:hAnsi="Arial Narrow"/>
          <w:noProof/>
          <w:sz w:val="20"/>
        </w:rPr>
        <w:drawing>
          <wp:inline distT="0" distB="0" distL="0" distR="0" wp14:anchorId="2F685D6B" wp14:editId="51D49229">
            <wp:extent cx="6080760" cy="3634275"/>
            <wp:effectExtent l="0" t="0" r="0" b="4445"/>
            <wp:docPr id="13" name="Picture 13" title="Figure 3: Response analysis of absolute change in ppFEV1 &gt;= 5 percentage poi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7061" cy="3644017"/>
                    </a:xfrm>
                    <a:prstGeom prst="rect">
                      <a:avLst/>
                    </a:prstGeom>
                    <a:noFill/>
                  </pic:spPr>
                </pic:pic>
              </a:graphicData>
            </a:graphic>
          </wp:inline>
        </w:drawing>
      </w:r>
    </w:p>
    <w:p w:rsidR="00EA4224" w:rsidRPr="004D1901" w:rsidRDefault="00EA4224" w:rsidP="00EA4224">
      <w:pPr>
        <w:rPr>
          <w:rFonts w:ascii="Arial Narrow" w:hAnsi="Arial Narrow"/>
          <w:sz w:val="18"/>
          <w:szCs w:val="18"/>
        </w:rPr>
      </w:pPr>
      <w:r w:rsidRPr="004D1901">
        <w:rPr>
          <w:rFonts w:ascii="Arial Narrow" w:hAnsi="Arial Narrow"/>
          <w:sz w:val="18"/>
          <w:szCs w:val="18"/>
        </w:rPr>
        <w:t>Source: Prepared during the evaluation from data as specified in the Table Annexe (Table 6).</w:t>
      </w:r>
    </w:p>
    <w:p w:rsidR="00D06D64" w:rsidRPr="0073784D" w:rsidRDefault="00EA4224" w:rsidP="0073784D">
      <w:pPr>
        <w:rPr>
          <w:rFonts w:ascii="Arial Narrow" w:hAnsi="Arial Narrow"/>
          <w:sz w:val="18"/>
          <w:szCs w:val="18"/>
        </w:rPr>
      </w:pPr>
      <w:r w:rsidRPr="004D1901">
        <w:rPr>
          <w:rFonts w:ascii="Arial Narrow" w:hAnsi="Arial Narrow"/>
          <w:sz w:val="18"/>
          <w:szCs w:val="18"/>
        </w:rPr>
        <w:t xml:space="preserve">Abbreviations: CI=confidence intervals; Ext=extension; </w:t>
      </w:r>
      <w:proofErr w:type="spellStart"/>
      <w:r w:rsidRPr="004D1901">
        <w:rPr>
          <w:rFonts w:ascii="Arial Narrow" w:hAnsi="Arial Narrow"/>
          <w:sz w:val="18"/>
          <w:szCs w:val="18"/>
        </w:rPr>
        <w:t>ppFEV</w:t>
      </w:r>
      <w:proofErr w:type="spellEnd"/>
      <w:r w:rsidRPr="004D1901">
        <w:rPr>
          <w:rFonts w:ascii="Arial Narrow" w:hAnsi="Arial Narrow"/>
          <w:sz w:val="18"/>
          <w:szCs w:val="18"/>
        </w:rPr>
        <w:t>=percent predicted forced expiratory volume.</w:t>
      </w:r>
    </w:p>
    <w:p w:rsidR="00EA4224" w:rsidRDefault="00D7716A" w:rsidP="00EA4224">
      <w:pPr>
        <w:keepNext/>
        <w:rPr>
          <w:rFonts w:ascii="Arial Narrow" w:hAnsi="Arial Narrow"/>
          <w:b/>
          <w:sz w:val="20"/>
        </w:rPr>
      </w:pPr>
      <w:r>
        <w:rPr>
          <w:rFonts w:ascii="Arial Narrow" w:hAnsi="Arial Narrow"/>
          <w:b/>
          <w:sz w:val="20"/>
        </w:rPr>
        <w:lastRenderedPageBreak/>
        <w:t>Figure</w:t>
      </w:r>
      <w:r w:rsidR="004D1901">
        <w:rPr>
          <w:rFonts w:ascii="Arial Narrow" w:hAnsi="Arial Narrow"/>
          <w:b/>
          <w:sz w:val="20"/>
        </w:rPr>
        <w:t xml:space="preserve"> </w:t>
      </w:r>
      <w:r w:rsidR="003A0CE1">
        <w:rPr>
          <w:rFonts w:ascii="Arial Narrow" w:hAnsi="Arial Narrow"/>
          <w:b/>
          <w:sz w:val="20"/>
        </w:rPr>
        <w:t>4:</w:t>
      </w:r>
      <w:r>
        <w:rPr>
          <w:rFonts w:ascii="Arial Narrow" w:hAnsi="Arial Narrow"/>
          <w:b/>
          <w:sz w:val="20"/>
        </w:rPr>
        <w:t xml:space="preserve"> </w:t>
      </w:r>
      <w:r w:rsidR="00EA4224" w:rsidRPr="00566EBF">
        <w:rPr>
          <w:rFonts w:ascii="Arial Narrow" w:hAnsi="Arial Narrow"/>
          <w:b/>
          <w:sz w:val="20"/>
        </w:rPr>
        <w:t xml:space="preserve"> Response analysis of absolute change in ppFEV</w:t>
      </w:r>
      <w:r w:rsidR="00EA4224" w:rsidRPr="00566EBF">
        <w:rPr>
          <w:rFonts w:ascii="Arial Narrow" w:hAnsi="Arial Narrow"/>
          <w:b/>
          <w:sz w:val="20"/>
          <w:vertAlign w:val="subscript"/>
        </w:rPr>
        <w:t xml:space="preserve">1 </w:t>
      </w:r>
      <w:r w:rsidR="00EA4224">
        <w:rPr>
          <w:rFonts w:ascii="Arial Narrow" w:hAnsi="Arial Narrow"/>
          <w:b/>
          <w:sz w:val="20"/>
        </w:rPr>
        <w:t xml:space="preserve">&gt;= 10 percentage points </w:t>
      </w:r>
    </w:p>
    <w:p w:rsidR="00EA4224" w:rsidRDefault="00EA4224" w:rsidP="00EA4224">
      <w:pPr>
        <w:keepNext/>
        <w:rPr>
          <w:rFonts w:ascii="Arial Narrow" w:hAnsi="Arial Narrow"/>
          <w:sz w:val="20"/>
        </w:rPr>
      </w:pPr>
      <w:r>
        <w:rPr>
          <w:rFonts w:ascii="Arial Narrow" w:hAnsi="Arial Narrow"/>
          <w:noProof/>
          <w:sz w:val="20"/>
        </w:rPr>
        <w:drawing>
          <wp:inline distT="0" distB="0" distL="0" distR="0" wp14:anchorId="62F802E3" wp14:editId="5F93B00E">
            <wp:extent cx="5804535" cy="3469184"/>
            <wp:effectExtent l="0" t="0" r="5715" b="0"/>
            <wp:docPr id="14" name="Picture 14" title="Figure 4:  Response analysis of absolute change in ppFEV1 &gt;= 10 percentage poi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8470" cy="3477512"/>
                    </a:xfrm>
                    <a:prstGeom prst="rect">
                      <a:avLst/>
                    </a:prstGeom>
                    <a:noFill/>
                  </pic:spPr>
                </pic:pic>
              </a:graphicData>
            </a:graphic>
          </wp:inline>
        </w:drawing>
      </w:r>
    </w:p>
    <w:p w:rsidR="00EA4224" w:rsidRPr="004D1901" w:rsidRDefault="00EA4224" w:rsidP="00EA4224">
      <w:pPr>
        <w:rPr>
          <w:rFonts w:ascii="Arial Narrow" w:hAnsi="Arial Narrow"/>
          <w:sz w:val="18"/>
          <w:szCs w:val="18"/>
        </w:rPr>
      </w:pPr>
      <w:r w:rsidRPr="004D1901">
        <w:rPr>
          <w:rFonts w:ascii="Arial Narrow" w:hAnsi="Arial Narrow"/>
          <w:sz w:val="18"/>
          <w:szCs w:val="18"/>
        </w:rPr>
        <w:t>Source: Prepared during the evaluation from data as specified in the Table Annexe (Table 6).</w:t>
      </w:r>
    </w:p>
    <w:p w:rsidR="00EA4224" w:rsidRPr="004D1901" w:rsidRDefault="00EA4224" w:rsidP="00EA4224">
      <w:pPr>
        <w:rPr>
          <w:rFonts w:ascii="Arial Narrow" w:hAnsi="Arial Narrow"/>
          <w:sz w:val="18"/>
          <w:szCs w:val="18"/>
        </w:rPr>
      </w:pPr>
      <w:r w:rsidRPr="004D1901">
        <w:rPr>
          <w:rFonts w:ascii="Arial Narrow" w:hAnsi="Arial Narrow"/>
          <w:sz w:val="18"/>
          <w:szCs w:val="18"/>
        </w:rPr>
        <w:t xml:space="preserve">Abbreviations: CI=confidence intervals; Ext=extension; </w:t>
      </w:r>
      <w:proofErr w:type="spellStart"/>
      <w:r w:rsidRPr="004D1901">
        <w:rPr>
          <w:rFonts w:ascii="Arial Narrow" w:hAnsi="Arial Narrow"/>
          <w:sz w:val="18"/>
          <w:szCs w:val="18"/>
        </w:rPr>
        <w:t>ppFEV</w:t>
      </w:r>
      <w:proofErr w:type="spellEnd"/>
      <w:r w:rsidRPr="004D1901">
        <w:rPr>
          <w:rFonts w:ascii="Arial Narrow" w:hAnsi="Arial Narrow"/>
          <w:sz w:val="18"/>
          <w:szCs w:val="18"/>
        </w:rPr>
        <w:t>=percent predicted forced expiratory volume.</w:t>
      </w:r>
    </w:p>
    <w:p w:rsidR="00C0177A" w:rsidRPr="00226B30" w:rsidRDefault="00C0177A" w:rsidP="004D1901">
      <w:pPr>
        <w:pStyle w:val="ListParagraph"/>
        <w:widowControl/>
        <w:numPr>
          <w:ilvl w:val="1"/>
          <w:numId w:val="3"/>
        </w:numPr>
        <w:spacing w:before="120" w:after="160"/>
        <w:contextualSpacing w:val="0"/>
        <w:rPr>
          <w:rFonts w:asciiTheme="minorHAnsi" w:hAnsiTheme="minorHAnsi"/>
          <w:sz w:val="24"/>
        </w:rPr>
      </w:pPr>
      <w:r w:rsidRPr="00226B30">
        <w:rPr>
          <w:rFonts w:asciiTheme="minorHAnsi" w:hAnsiTheme="minorHAnsi"/>
          <w:sz w:val="24"/>
        </w:rPr>
        <w:t xml:space="preserve">The changes from baseline in pulmonary exacerbation (PE) events in TRAFFIC, TRANSPORT and PROGRESS are shown in Table </w:t>
      </w:r>
      <w:r w:rsidR="0014569D">
        <w:rPr>
          <w:rFonts w:asciiTheme="minorHAnsi" w:hAnsiTheme="minorHAnsi"/>
          <w:sz w:val="24"/>
        </w:rPr>
        <w:t>3</w:t>
      </w:r>
      <w:r w:rsidRPr="00226B30">
        <w:rPr>
          <w:rFonts w:asciiTheme="minorHAnsi" w:hAnsiTheme="minorHAnsi"/>
          <w:sz w:val="24"/>
        </w:rPr>
        <w:t xml:space="preserve">. The annualised rates for </w:t>
      </w:r>
      <w:proofErr w:type="spellStart"/>
      <w:r w:rsidRPr="00226B30">
        <w:rPr>
          <w:rFonts w:asciiTheme="minorHAnsi" w:hAnsiTheme="minorHAnsi"/>
          <w:sz w:val="24"/>
        </w:rPr>
        <w:t>lumacaftor</w:t>
      </w:r>
      <w:proofErr w:type="spellEnd"/>
      <w:r w:rsidRPr="00226B30">
        <w:rPr>
          <w:rFonts w:asciiTheme="minorHAnsi" w:hAnsiTheme="minorHAnsi"/>
          <w:sz w:val="24"/>
        </w:rPr>
        <w:t>/</w:t>
      </w:r>
      <w:proofErr w:type="spellStart"/>
      <w:r w:rsidRPr="00226B30">
        <w:rPr>
          <w:rFonts w:asciiTheme="minorHAnsi" w:hAnsiTheme="minorHAnsi"/>
          <w:sz w:val="24"/>
        </w:rPr>
        <w:t>ivacaftor</w:t>
      </w:r>
      <w:proofErr w:type="spellEnd"/>
      <w:r w:rsidRPr="00226B30">
        <w:rPr>
          <w:rFonts w:asciiTheme="minorHAnsi" w:hAnsiTheme="minorHAnsi"/>
          <w:sz w:val="24"/>
        </w:rPr>
        <w:t xml:space="preserve"> </w:t>
      </w:r>
      <w:r>
        <w:rPr>
          <w:rFonts w:asciiTheme="minorHAnsi" w:hAnsiTheme="minorHAnsi"/>
          <w:sz w:val="24"/>
        </w:rPr>
        <w:t>were</w:t>
      </w:r>
      <w:r w:rsidRPr="00226B30">
        <w:rPr>
          <w:rFonts w:asciiTheme="minorHAnsi" w:hAnsiTheme="minorHAnsi"/>
          <w:sz w:val="24"/>
        </w:rPr>
        <w:t xml:space="preserve"> lower than the rates in the placebo group up to week 24.</w:t>
      </w:r>
    </w:p>
    <w:p w:rsidR="00C0177A" w:rsidRPr="00226B30" w:rsidRDefault="00C0177A" w:rsidP="00C0177A">
      <w:pPr>
        <w:pStyle w:val="TableHeading0"/>
      </w:pPr>
      <w:r w:rsidRPr="00226B30">
        <w:t xml:space="preserve">Table </w:t>
      </w:r>
      <w:r w:rsidR="0014569D">
        <w:t>3</w:t>
      </w:r>
      <w:r w:rsidRPr="00226B30">
        <w:t>: Changes from baseline in pulmonary exacerbation events in TRAFFIC or TRANSPORT and PROGRESS</w:t>
      </w:r>
    </w:p>
    <w:tbl>
      <w:tblPr>
        <w:tblStyle w:val="newstyle31"/>
        <w:tblW w:w="5000" w:type="pct"/>
        <w:tblLayout w:type="fixed"/>
        <w:tblLook w:val="04A0" w:firstRow="1" w:lastRow="0" w:firstColumn="1" w:lastColumn="0" w:noHBand="0" w:noVBand="1"/>
        <w:tblCaption w:val="Table 3: Changes from baseline in pulmonary exacerbation events in TRAFFIC or TRANSPORT and PROGRESS"/>
      </w:tblPr>
      <w:tblGrid>
        <w:gridCol w:w="2722"/>
        <w:gridCol w:w="1578"/>
        <w:gridCol w:w="1579"/>
        <w:gridCol w:w="1578"/>
        <w:gridCol w:w="1579"/>
      </w:tblGrid>
      <w:tr w:rsidR="00C0177A" w:rsidRPr="00226B30" w:rsidTr="00190149">
        <w:trPr>
          <w:cnfStyle w:val="100000000000" w:firstRow="1" w:lastRow="0" w:firstColumn="0" w:lastColumn="0" w:oddVBand="0" w:evenVBand="0" w:oddHBand="0" w:evenHBand="0" w:firstRowFirstColumn="0" w:firstRowLastColumn="0" w:lastRowFirstColumn="0" w:lastRowLastColumn="0"/>
          <w:trHeight w:val="207"/>
        </w:trPr>
        <w:tc>
          <w:tcPr>
            <w:tcW w:w="1506" w:type="pct"/>
            <w:vMerge w:val="restart"/>
            <w:shd w:val="clear" w:color="auto" w:fill="auto"/>
            <w:noWrap/>
            <w:vAlign w:val="bottom"/>
            <w:hideMark/>
          </w:tcPr>
          <w:p w:rsidR="00C0177A" w:rsidRPr="00226B30" w:rsidRDefault="00C0177A" w:rsidP="00EA4224">
            <w:pPr>
              <w:keepNext/>
              <w:ind w:left="0" w:right="0"/>
            </w:pPr>
            <w:r w:rsidRPr="00226B30">
              <w:rPr>
                <w:rFonts w:ascii="Arial Narrow" w:eastAsia="Times New Roman" w:hAnsi="Arial Narrow"/>
                <w:sz w:val="20"/>
              </w:rPr>
              <w:t>Pulmonary exacerbation events per patient-year</w:t>
            </w:r>
          </w:p>
        </w:tc>
        <w:tc>
          <w:tcPr>
            <w:tcW w:w="1747" w:type="pct"/>
            <w:gridSpan w:val="2"/>
            <w:shd w:val="clear" w:color="auto" w:fill="auto"/>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TRAFFIC or TRANSPORT*</w:t>
            </w:r>
          </w:p>
          <w:p w:rsidR="00C0177A" w:rsidRPr="00226B30" w:rsidRDefault="00C0177A" w:rsidP="00EA4224">
            <w:pPr>
              <w:keepNext/>
              <w:ind w:left="0" w:right="0"/>
              <w:jc w:val="center"/>
              <w:rPr>
                <w:rFonts w:ascii="Arial Narrow" w:eastAsia="Times New Roman" w:hAnsi="Arial Narrow"/>
                <w:b w:val="0"/>
                <w:sz w:val="20"/>
              </w:rPr>
            </w:pPr>
            <w:r w:rsidRPr="00226B30">
              <w:rPr>
                <w:rFonts w:ascii="Arial Narrow" w:eastAsia="Times New Roman" w:hAnsi="Arial Narrow"/>
                <w:b w:val="0"/>
                <w:sz w:val="20"/>
              </w:rPr>
              <w:t>n (95% CI)</w:t>
            </w:r>
          </w:p>
        </w:tc>
        <w:tc>
          <w:tcPr>
            <w:tcW w:w="1747" w:type="pct"/>
            <w:gridSpan w:val="2"/>
            <w:shd w:val="clear" w:color="auto" w:fill="auto"/>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PROGRESS*</w:t>
            </w:r>
          </w:p>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b w:val="0"/>
                <w:sz w:val="20"/>
              </w:rPr>
              <w:t>n (95% CI)</w:t>
            </w:r>
          </w:p>
        </w:tc>
      </w:tr>
      <w:tr w:rsidR="00C0177A" w:rsidRPr="00226B30" w:rsidTr="00190149">
        <w:trPr>
          <w:cantSplit w:val="0"/>
          <w:trHeight w:val="428"/>
        </w:trPr>
        <w:tc>
          <w:tcPr>
            <w:tcW w:w="1506" w:type="pct"/>
            <w:vMerge/>
            <w:shd w:val="clear" w:color="auto" w:fill="auto"/>
            <w:hideMark/>
          </w:tcPr>
          <w:p w:rsidR="00C0177A" w:rsidRPr="00226B30" w:rsidRDefault="00C0177A" w:rsidP="00EA4224">
            <w:pPr>
              <w:keepNext/>
              <w:rPr>
                <w:rFonts w:ascii="Arial Narrow" w:hAnsi="Arial Narrow" w:cs="Calibri"/>
                <w:sz w:val="16"/>
                <w:szCs w:val="16"/>
              </w:rPr>
            </w:pPr>
          </w:p>
        </w:tc>
        <w:tc>
          <w:tcPr>
            <w:tcW w:w="873" w:type="pct"/>
            <w:shd w:val="clear" w:color="auto" w:fill="auto"/>
            <w:noWrap/>
            <w:hideMark/>
          </w:tcPr>
          <w:p w:rsidR="00C0177A" w:rsidRPr="00226B30" w:rsidRDefault="00C0177A" w:rsidP="00EA4224">
            <w:pPr>
              <w:keepNext/>
              <w:ind w:left="0" w:right="0"/>
              <w:jc w:val="center"/>
              <w:rPr>
                <w:rFonts w:ascii="Arial Narrow" w:eastAsia="Times New Roman" w:hAnsi="Arial Narrow"/>
                <w:b/>
                <w:sz w:val="20"/>
              </w:rPr>
            </w:pPr>
            <w:r w:rsidRPr="00226B30">
              <w:rPr>
                <w:rFonts w:ascii="Arial Narrow" w:eastAsia="Times New Roman" w:hAnsi="Arial Narrow"/>
                <w:b/>
                <w:sz w:val="20"/>
              </w:rPr>
              <w:t>Placebo (n=371)</w:t>
            </w:r>
          </w:p>
        </w:tc>
        <w:tc>
          <w:tcPr>
            <w:tcW w:w="874" w:type="pct"/>
            <w:shd w:val="clear" w:color="auto" w:fill="auto"/>
            <w:hideMark/>
          </w:tcPr>
          <w:p w:rsidR="00C0177A" w:rsidRPr="00226B30" w:rsidRDefault="00C0177A" w:rsidP="00EA4224">
            <w:pPr>
              <w:keepNext/>
              <w:ind w:left="0" w:right="0"/>
              <w:jc w:val="center"/>
              <w:rPr>
                <w:rFonts w:ascii="Arial Narrow" w:eastAsia="Times New Roman" w:hAnsi="Arial Narrow"/>
                <w:b/>
                <w:sz w:val="20"/>
              </w:rPr>
            </w:pPr>
            <w:proofErr w:type="spellStart"/>
            <w:r w:rsidRPr="00226B30">
              <w:rPr>
                <w:rFonts w:ascii="Arial Narrow" w:eastAsia="Times New Roman" w:hAnsi="Arial Narrow"/>
                <w:b/>
                <w:sz w:val="20"/>
              </w:rPr>
              <w:t>Lumacaftor</w:t>
            </w:r>
            <w:proofErr w:type="spellEnd"/>
            <w:r w:rsidRPr="00226B30">
              <w:rPr>
                <w:rFonts w:ascii="Arial Narrow" w:eastAsia="Times New Roman" w:hAnsi="Arial Narrow"/>
                <w:b/>
                <w:sz w:val="20"/>
              </w:rPr>
              <w:t xml:space="preserve">/ </w:t>
            </w:r>
            <w:proofErr w:type="spellStart"/>
            <w:r w:rsidRPr="00226B30">
              <w:rPr>
                <w:rFonts w:ascii="Arial Narrow" w:eastAsia="Times New Roman" w:hAnsi="Arial Narrow"/>
                <w:b/>
                <w:sz w:val="20"/>
              </w:rPr>
              <w:t>ivacaftor</w:t>
            </w:r>
            <w:proofErr w:type="spellEnd"/>
            <w:r w:rsidRPr="00226B30">
              <w:rPr>
                <w:rFonts w:ascii="Arial Narrow" w:eastAsia="Times New Roman" w:hAnsi="Arial Narrow"/>
                <w:b/>
                <w:sz w:val="20"/>
              </w:rPr>
              <w:t xml:space="preserve"> (n=369)</w:t>
            </w:r>
          </w:p>
        </w:tc>
        <w:tc>
          <w:tcPr>
            <w:tcW w:w="873" w:type="pct"/>
            <w:shd w:val="clear" w:color="auto" w:fill="auto"/>
            <w:hideMark/>
          </w:tcPr>
          <w:p w:rsidR="00C0177A" w:rsidRPr="00226B30" w:rsidRDefault="00C0177A" w:rsidP="00EA4224">
            <w:pPr>
              <w:keepNext/>
              <w:ind w:left="0" w:right="0"/>
              <w:jc w:val="center"/>
              <w:rPr>
                <w:rFonts w:ascii="Arial Narrow" w:eastAsia="Times New Roman" w:hAnsi="Arial Narrow"/>
                <w:b/>
                <w:sz w:val="20"/>
              </w:rPr>
            </w:pPr>
            <w:r w:rsidRPr="00226B30">
              <w:rPr>
                <w:rFonts w:ascii="Arial Narrow" w:eastAsia="Times New Roman" w:hAnsi="Arial Narrow"/>
                <w:b/>
                <w:sz w:val="20"/>
              </w:rPr>
              <w:t xml:space="preserve">Placebo transitioned to </w:t>
            </w:r>
            <w:proofErr w:type="spellStart"/>
            <w:r w:rsidRPr="00226B30">
              <w:rPr>
                <w:rFonts w:ascii="Arial Narrow" w:eastAsia="Times New Roman" w:hAnsi="Arial Narrow"/>
                <w:b/>
                <w:sz w:val="20"/>
              </w:rPr>
              <w:t>lumacaftor</w:t>
            </w:r>
            <w:proofErr w:type="spellEnd"/>
            <w:r w:rsidRPr="00226B30">
              <w:rPr>
                <w:rFonts w:ascii="Arial Narrow" w:eastAsia="Times New Roman" w:hAnsi="Arial Narrow"/>
                <w:b/>
                <w:sz w:val="20"/>
              </w:rPr>
              <w:t xml:space="preserve">/ </w:t>
            </w:r>
            <w:proofErr w:type="spellStart"/>
            <w:r w:rsidRPr="00226B30">
              <w:rPr>
                <w:rFonts w:ascii="Arial Narrow" w:eastAsia="Times New Roman" w:hAnsi="Arial Narrow"/>
                <w:b/>
                <w:sz w:val="20"/>
              </w:rPr>
              <w:t>ivacaftor</w:t>
            </w:r>
            <w:proofErr w:type="spellEnd"/>
            <w:r w:rsidRPr="00226B30" w:rsidDel="000815C7">
              <w:rPr>
                <w:rFonts w:ascii="Arial Narrow" w:eastAsia="Times New Roman" w:hAnsi="Arial Narrow"/>
                <w:b/>
                <w:sz w:val="20"/>
              </w:rPr>
              <w:t xml:space="preserve"> </w:t>
            </w:r>
            <w:r w:rsidRPr="00226B30">
              <w:rPr>
                <w:rFonts w:ascii="Arial Narrow" w:eastAsia="Times New Roman" w:hAnsi="Arial Narrow"/>
                <w:b/>
                <w:sz w:val="20"/>
              </w:rPr>
              <w:t>(n=176)</w:t>
            </w:r>
          </w:p>
        </w:tc>
        <w:tc>
          <w:tcPr>
            <w:tcW w:w="874" w:type="pct"/>
            <w:shd w:val="clear" w:color="auto" w:fill="auto"/>
            <w:hideMark/>
          </w:tcPr>
          <w:p w:rsidR="00C0177A" w:rsidRPr="00226B30" w:rsidRDefault="00C0177A" w:rsidP="002931FF">
            <w:pPr>
              <w:keepNext/>
              <w:ind w:left="0" w:right="0"/>
              <w:jc w:val="center"/>
              <w:rPr>
                <w:rFonts w:ascii="Arial Narrow" w:eastAsia="Times New Roman" w:hAnsi="Arial Narrow"/>
                <w:b/>
                <w:sz w:val="20"/>
              </w:rPr>
            </w:pPr>
            <w:r w:rsidRPr="00226B30">
              <w:rPr>
                <w:rFonts w:ascii="Arial Narrow" w:eastAsia="Times New Roman" w:hAnsi="Arial Narrow"/>
                <w:b/>
                <w:sz w:val="20"/>
              </w:rPr>
              <w:t xml:space="preserve">Continued </w:t>
            </w:r>
            <w:proofErr w:type="spellStart"/>
            <w:r w:rsidRPr="00226B30">
              <w:rPr>
                <w:rFonts w:ascii="Arial Narrow" w:eastAsia="Times New Roman" w:hAnsi="Arial Narrow"/>
                <w:b/>
                <w:sz w:val="20"/>
              </w:rPr>
              <w:t>lumacaftor</w:t>
            </w:r>
            <w:proofErr w:type="spellEnd"/>
            <w:r w:rsidRPr="00226B30">
              <w:rPr>
                <w:rFonts w:ascii="Arial Narrow" w:eastAsia="Times New Roman" w:hAnsi="Arial Narrow"/>
                <w:b/>
                <w:sz w:val="20"/>
              </w:rPr>
              <w:t xml:space="preserve">/ </w:t>
            </w:r>
            <w:proofErr w:type="spellStart"/>
            <w:r w:rsidRPr="00226B30">
              <w:rPr>
                <w:rFonts w:ascii="Arial Narrow" w:eastAsia="Times New Roman" w:hAnsi="Arial Narrow"/>
                <w:b/>
                <w:sz w:val="20"/>
              </w:rPr>
              <w:t>ivacaftor</w:t>
            </w:r>
            <w:proofErr w:type="spellEnd"/>
            <w:r w:rsidRPr="00226B30">
              <w:rPr>
                <w:rFonts w:ascii="Arial Narrow" w:eastAsia="Times New Roman" w:hAnsi="Arial Narrow"/>
                <w:b/>
                <w:sz w:val="20"/>
              </w:rPr>
              <w:t xml:space="preserve"> (n=369)</w:t>
            </w:r>
          </w:p>
        </w:tc>
      </w:tr>
      <w:tr w:rsidR="00C0177A" w:rsidRPr="00226B30" w:rsidTr="00190149">
        <w:trPr>
          <w:cantSplit w:val="0"/>
          <w:trHeight w:val="20"/>
        </w:trPr>
        <w:tc>
          <w:tcPr>
            <w:tcW w:w="1506" w:type="pct"/>
            <w:noWrap/>
            <w:hideMark/>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All events</w:t>
            </w:r>
          </w:p>
        </w:tc>
        <w:tc>
          <w:tcPr>
            <w:tcW w:w="873"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1.14 (0.97 to 1.34)</w:t>
            </w:r>
          </w:p>
        </w:tc>
        <w:tc>
          <w:tcPr>
            <w:tcW w:w="874"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0.70 (0.57 to 0.84)</w:t>
            </w:r>
          </w:p>
        </w:tc>
        <w:tc>
          <w:tcPr>
            <w:tcW w:w="873"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0.69 (0.56 to 0.85)</w:t>
            </w:r>
          </w:p>
        </w:tc>
        <w:tc>
          <w:tcPr>
            <w:tcW w:w="874"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0.65 (0.56 to 0.75)</w:t>
            </w:r>
          </w:p>
        </w:tc>
      </w:tr>
      <w:tr w:rsidR="00C0177A" w:rsidRPr="00226B30" w:rsidTr="00190149">
        <w:trPr>
          <w:cantSplit w:val="0"/>
          <w:trHeight w:val="20"/>
        </w:trPr>
        <w:tc>
          <w:tcPr>
            <w:tcW w:w="1506" w:type="pct"/>
            <w:noWrap/>
            <w:hideMark/>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Requiring hospital admission</w:t>
            </w:r>
          </w:p>
        </w:tc>
        <w:tc>
          <w:tcPr>
            <w:tcW w:w="873"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0.45 (0.36 to 0.57)</w:t>
            </w:r>
          </w:p>
        </w:tc>
        <w:tc>
          <w:tcPr>
            <w:tcW w:w="874"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0.17 (0.12 to 0.25)</w:t>
            </w:r>
          </w:p>
        </w:tc>
        <w:tc>
          <w:tcPr>
            <w:tcW w:w="873"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0.30 (0.22 to 0.40)</w:t>
            </w:r>
          </w:p>
        </w:tc>
        <w:tc>
          <w:tcPr>
            <w:tcW w:w="874"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0.24 (0.19 to 0.29)</w:t>
            </w:r>
          </w:p>
        </w:tc>
      </w:tr>
      <w:tr w:rsidR="00C0177A" w:rsidRPr="00226B30" w:rsidTr="00190149">
        <w:trPr>
          <w:cantSplit w:val="0"/>
          <w:trHeight w:val="20"/>
        </w:trPr>
        <w:tc>
          <w:tcPr>
            <w:tcW w:w="1506" w:type="pct"/>
            <w:hideMark/>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Requiring intravenous antibiotics</w:t>
            </w:r>
          </w:p>
        </w:tc>
        <w:tc>
          <w:tcPr>
            <w:tcW w:w="873"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0.58 (0.47 to 0.72)</w:t>
            </w:r>
          </w:p>
        </w:tc>
        <w:tc>
          <w:tcPr>
            <w:tcW w:w="874"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0.25 (0.19 to 0.33)</w:t>
            </w:r>
          </w:p>
        </w:tc>
        <w:tc>
          <w:tcPr>
            <w:tcW w:w="873"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0.37 (0.29 to 0.49)</w:t>
            </w:r>
          </w:p>
        </w:tc>
        <w:tc>
          <w:tcPr>
            <w:tcW w:w="874" w:type="pct"/>
            <w:noWrap/>
            <w:vAlign w:val="center"/>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0.32 (0.26 to 0.38)</w:t>
            </w:r>
          </w:p>
        </w:tc>
      </w:tr>
    </w:tbl>
    <w:p w:rsidR="00C0177A" w:rsidRPr="00226B30" w:rsidRDefault="00C0177A" w:rsidP="00C0177A">
      <w:pPr>
        <w:pStyle w:val="Tablefooter8pt"/>
        <w:rPr>
          <w:rFonts w:eastAsia="Calibri"/>
          <w:lang w:val="en-US" w:eastAsia="zh-CN"/>
        </w:rPr>
      </w:pPr>
      <w:r w:rsidRPr="00226B30">
        <w:rPr>
          <w:rFonts w:eastAsia="Calibri"/>
          <w:lang w:val="en-US" w:eastAsia="zh-CN"/>
        </w:rPr>
        <w:t xml:space="preserve">Source: Table B.7-14, </w:t>
      </w:r>
      <w:proofErr w:type="gramStart"/>
      <w:r w:rsidRPr="00226B30">
        <w:rPr>
          <w:rFonts w:eastAsia="Calibri"/>
          <w:lang w:val="en-US" w:eastAsia="zh-CN"/>
        </w:rPr>
        <w:t>page 133 July 2017 resubmission</w:t>
      </w:r>
      <w:proofErr w:type="gramEnd"/>
      <w:r w:rsidRPr="00226B30">
        <w:rPr>
          <w:rFonts w:eastAsia="Calibri"/>
          <w:lang w:val="en-US" w:eastAsia="zh-CN"/>
        </w:rPr>
        <w:t>.</w:t>
      </w:r>
    </w:p>
    <w:p w:rsidR="00C0177A" w:rsidRPr="00226B30" w:rsidRDefault="00C0177A" w:rsidP="00C0177A">
      <w:pPr>
        <w:pStyle w:val="Tablefooter8pt"/>
        <w:rPr>
          <w:rFonts w:eastAsia="Calibri"/>
          <w:lang w:eastAsia="zh-CN"/>
        </w:rPr>
      </w:pPr>
      <w:r w:rsidRPr="00226B30">
        <w:rPr>
          <w:rFonts w:eastAsia="Calibri"/>
          <w:lang w:eastAsia="zh-CN"/>
        </w:rPr>
        <w:t>Abbreviations: CI = confidence interval.</w:t>
      </w:r>
    </w:p>
    <w:p w:rsidR="00C0177A" w:rsidRPr="00226B30" w:rsidRDefault="00C0177A" w:rsidP="00C0177A">
      <w:pPr>
        <w:pStyle w:val="BodyText"/>
        <w:rPr>
          <w:rFonts w:ascii="Arial Narrow" w:eastAsia="Calibri" w:hAnsi="Arial Narrow" w:cs="Calibri"/>
          <w:sz w:val="16"/>
          <w:szCs w:val="16"/>
          <w:lang w:eastAsia="zh-CN"/>
        </w:rPr>
      </w:pPr>
      <w:r w:rsidRPr="00226B30">
        <w:rPr>
          <w:rFonts w:ascii="Arial Narrow" w:eastAsia="Calibri" w:hAnsi="Arial Narrow" w:cs="Calibri"/>
          <w:sz w:val="16"/>
          <w:szCs w:val="16"/>
          <w:lang w:eastAsia="zh-CN"/>
        </w:rPr>
        <w:t xml:space="preserve">* The analyses for TRAFFIC or TRANSPORT included events through to week 24. The pulmonary exacerbations analyses for PROGRESS included events throughout the cumulative study period (TRAFFIC or TRANSPORT and PROGRESS), such that the placebo transitioned to </w:t>
      </w:r>
      <w:proofErr w:type="spellStart"/>
      <w:r w:rsidRPr="00226B30">
        <w:rPr>
          <w:rFonts w:ascii="Arial Narrow" w:eastAsia="Calibri" w:hAnsi="Arial Narrow" w:cs="Calibri"/>
          <w:sz w:val="16"/>
          <w:szCs w:val="16"/>
          <w:lang w:eastAsia="zh-CN"/>
        </w:rPr>
        <w:t>lumacaftor</w:t>
      </w:r>
      <w:proofErr w:type="spellEnd"/>
      <w:r w:rsidRPr="00226B30">
        <w:rPr>
          <w:rFonts w:ascii="Arial Narrow" w:eastAsia="Calibri" w:hAnsi="Arial Narrow" w:cs="Calibri"/>
          <w:sz w:val="16"/>
          <w:szCs w:val="16"/>
          <w:lang w:eastAsia="zh-CN"/>
        </w:rPr>
        <w:t>/</w:t>
      </w:r>
      <w:proofErr w:type="spellStart"/>
      <w:r w:rsidRPr="00226B30">
        <w:rPr>
          <w:rFonts w:ascii="Arial Narrow" w:eastAsia="Calibri" w:hAnsi="Arial Narrow" w:cs="Calibri"/>
          <w:sz w:val="16"/>
          <w:szCs w:val="16"/>
          <w:lang w:eastAsia="zh-CN"/>
        </w:rPr>
        <w:t>ivacaftor</w:t>
      </w:r>
      <w:proofErr w:type="spellEnd"/>
      <w:r w:rsidRPr="00226B30">
        <w:rPr>
          <w:rFonts w:ascii="Arial Narrow" w:eastAsia="Calibri" w:hAnsi="Arial Narrow" w:cs="Calibri"/>
          <w:sz w:val="16"/>
          <w:szCs w:val="16"/>
          <w:lang w:eastAsia="zh-CN"/>
        </w:rPr>
        <w:t xml:space="preserve"> group received up to 96 weeks of active treatment and the </w:t>
      </w:r>
      <w:proofErr w:type="spellStart"/>
      <w:r w:rsidRPr="00226B30">
        <w:rPr>
          <w:rFonts w:ascii="Arial Narrow" w:eastAsia="Calibri" w:hAnsi="Arial Narrow" w:cs="Calibri"/>
          <w:sz w:val="16"/>
          <w:szCs w:val="16"/>
          <w:lang w:eastAsia="zh-CN"/>
        </w:rPr>
        <w:t>lumacaftor</w:t>
      </w:r>
      <w:proofErr w:type="spellEnd"/>
      <w:r w:rsidRPr="00226B30">
        <w:rPr>
          <w:rFonts w:ascii="Arial Narrow" w:eastAsia="Calibri" w:hAnsi="Arial Narrow" w:cs="Calibri"/>
          <w:sz w:val="16"/>
          <w:szCs w:val="16"/>
          <w:lang w:eastAsia="zh-CN"/>
        </w:rPr>
        <w:t>/</w:t>
      </w:r>
      <w:proofErr w:type="spellStart"/>
      <w:r w:rsidRPr="00226B30">
        <w:rPr>
          <w:rFonts w:ascii="Arial Narrow" w:eastAsia="Calibri" w:hAnsi="Arial Narrow" w:cs="Calibri"/>
          <w:sz w:val="16"/>
          <w:szCs w:val="16"/>
          <w:lang w:eastAsia="zh-CN"/>
        </w:rPr>
        <w:t>ivacaftor</w:t>
      </w:r>
      <w:proofErr w:type="spellEnd"/>
      <w:r w:rsidRPr="00226B30">
        <w:rPr>
          <w:rFonts w:ascii="Arial Narrow" w:eastAsia="Calibri" w:hAnsi="Arial Narrow" w:cs="Calibri"/>
          <w:sz w:val="16"/>
          <w:szCs w:val="16"/>
          <w:lang w:eastAsia="zh-CN"/>
        </w:rPr>
        <w:t xml:space="preserve"> group received up to 120 weeks of active treatment.</w:t>
      </w:r>
    </w:p>
    <w:p w:rsidR="00D97227" w:rsidRDefault="00C0177A" w:rsidP="004D1901">
      <w:pPr>
        <w:pStyle w:val="ListParagraph"/>
        <w:widowControl/>
        <w:numPr>
          <w:ilvl w:val="1"/>
          <w:numId w:val="3"/>
        </w:numPr>
        <w:spacing w:before="120" w:after="160"/>
        <w:contextualSpacing w:val="0"/>
        <w:rPr>
          <w:rFonts w:asciiTheme="minorHAnsi" w:hAnsiTheme="minorHAnsi"/>
          <w:sz w:val="24"/>
        </w:rPr>
      </w:pPr>
      <w:bookmarkStart w:id="3" w:name="_Hlk479763225"/>
      <w:r w:rsidRPr="00D97227">
        <w:rPr>
          <w:rFonts w:asciiTheme="minorHAnsi" w:hAnsiTheme="minorHAnsi"/>
          <w:sz w:val="24"/>
        </w:rPr>
        <w:t xml:space="preserve">The </w:t>
      </w:r>
      <w:r w:rsidR="00A87A77" w:rsidRPr="00D97227">
        <w:rPr>
          <w:rFonts w:asciiTheme="minorHAnsi" w:hAnsiTheme="minorHAnsi"/>
          <w:sz w:val="24"/>
        </w:rPr>
        <w:t xml:space="preserve">final study report for the PROGRESS study shows </w:t>
      </w:r>
      <w:r w:rsidR="00D97227" w:rsidRPr="00D97227">
        <w:rPr>
          <w:rFonts w:asciiTheme="minorHAnsi" w:hAnsiTheme="minorHAnsi"/>
          <w:sz w:val="24"/>
        </w:rPr>
        <w:t>t</w:t>
      </w:r>
      <w:r w:rsidR="00D97227">
        <w:rPr>
          <w:rFonts w:asciiTheme="minorHAnsi" w:hAnsiTheme="minorHAnsi"/>
          <w:sz w:val="24"/>
        </w:rPr>
        <w:t>he</w:t>
      </w:r>
      <w:r w:rsidR="00D97227" w:rsidRPr="00D97227">
        <w:rPr>
          <w:rFonts w:asciiTheme="minorHAnsi" w:hAnsiTheme="minorHAnsi"/>
          <w:sz w:val="24"/>
        </w:rPr>
        <w:t xml:space="preserve">re </w:t>
      </w:r>
      <w:r w:rsidR="00D97227">
        <w:rPr>
          <w:rFonts w:asciiTheme="minorHAnsi" w:hAnsiTheme="minorHAnsi"/>
          <w:sz w:val="24"/>
        </w:rPr>
        <w:t>w</w:t>
      </w:r>
      <w:r w:rsidR="00D97227" w:rsidRPr="00D97227">
        <w:rPr>
          <w:rFonts w:asciiTheme="minorHAnsi" w:hAnsiTheme="minorHAnsi"/>
          <w:sz w:val="24"/>
        </w:rPr>
        <w:t>as an increase in the proportion of patients experiencing a pulmonary exacerbation</w:t>
      </w:r>
      <w:r w:rsidR="00D7716A">
        <w:rPr>
          <w:rFonts w:asciiTheme="minorHAnsi" w:hAnsiTheme="minorHAnsi"/>
          <w:sz w:val="24"/>
        </w:rPr>
        <w:t xml:space="preserve"> (Figures </w:t>
      </w:r>
      <w:r w:rsidR="00BD3F35">
        <w:rPr>
          <w:rFonts w:asciiTheme="minorHAnsi" w:hAnsiTheme="minorHAnsi"/>
          <w:sz w:val="24"/>
        </w:rPr>
        <w:t>5</w:t>
      </w:r>
      <w:r w:rsidR="00D7716A">
        <w:rPr>
          <w:rFonts w:asciiTheme="minorHAnsi" w:hAnsiTheme="minorHAnsi"/>
          <w:sz w:val="24"/>
        </w:rPr>
        <w:t xml:space="preserve"> and </w:t>
      </w:r>
      <w:r w:rsidR="00BD3F35">
        <w:rPr>
          <w:rFonts w:asciiTheme="minorHAnsi" w:hAnsiTheme="minorHAnsi"/>
          <w:sz w:val="24"/>
        </w:rPr>
        <w:t>6</w:t>
      </w:r>
      <w:r w:rsidR="00D97227">
        <w:rPr>
          <w:rFonts w:asciiTheme="minorHAnsi" w:hAnsiTheme="minorHAnsi"/>
          <w:sz w:val="24"/>
        </w:rPr>
        <w:t>)</w:t>
      </w:r>
      <w:r w:rsidR="00D97227" w:rsidRPr="00D97227">
        <w:rPr>
          <w:rFonts w:asciiTheme="minorHAnsi" w:hAnsiTheme="minorHAnsi"/>
          <w:sz w:val="24"/>
        </w:rPr>
        <w:t>.</w:t>
      </w:r>
      <w:r w:rsidR="00681177">
        <w:rPr>
          <w:rFonts w:asciiTheme="minorHAnsi" w:hAnsiTheme="minorHAnsi"/>
          <w:sz w:val="24"/>
        </w:rPr>
        <w:t xml:space="preserve"> The pre-PBAC Response  a</w:t>
      </w:r>
      <w:r w:rsidR="00AC257B">
        <w:rPr>
          <w:rFonts w:asciiTheme="minorHAnsi" w:hAnsiTheme="minorHAnsi"/>
          <w:sz w:val="24"/>
        </w:rPr>
        <w:t>sserted</w:t>
      </w:r>
      <w:r w:rsidR="00681177">
        <w:rPr>
          <w:rFonts w:asciiTheme="minorHAnsi" w:hAnsiTheme="minorHAnsi"/>
          <w:sz w:val="24"/>
        </w:rPr>
        <w:t xml:space="preserve"> that Figures 5 and 6 </w:t>
      </w:r>
      <w:r w:rsidR="00AC257B">
        <w:rPr>
          <w:rFonts w:asciiTheme="minorHAnsi" w:hAnsiTheme="minorHAnsi"/>
          <w:sz w:val="24"/>
        </w:rPr>
        <w:t>are</w:t>
      </w:r>
      <w:r w:rsidR="00681177">
        <w:rPr>
          <w:rFonts w:asciiTheme="minorHAnsi" w:hAnsiTheme="minorHAnsi"/>
          <w:sz w:val="24"/>
        </w:rPr>
        <w:t xml:space="preserve"> a “gross misrepresentation of the pulmonary exacerbation (</w:t>
      </w:r>
      <w:proofErr w:type="spellStart"/>
      <w:r w:rsidR="00681177">
        <w:rPr>
          <w:rFonts w:asciiTheme="minorHAnsi" w:hAnsiTheme="minorHAnsi"/>
          <w:sz w:val="24"/>
        </w:rPr>
        <w:t>PEx</w:t>
      </w:r>
      <w:proofErr w:type="spellEnd"/>
      <w:r w:rsidR="00681177">
        <w:rPr>
          <w:rFonts w:asciiTheme="minorHAnsi" w:hAnsiTheme="minorHAnsi"/>
          <w:sz w:val="24"/>
        </w:rPr>
        <w:t>) data over time”</w:t>
      </w:r>
      <w:r w:rsidR="00F37823">
        <w:rPr>
          <w:rFonts w:asciiTheme="minorHAnsi" w:hAnsiTheme="minorHAnsi"/>
          <w:sz w:val="24"/>
        </w:rPr>
        <w:t>, stating that the figures, which</w:t>
      </w:r>
      <w:r w:rsidR="00681177">
        <w:rPr>
          <w:rFonts w:asciiTheme="minorHAnsi" w:hAnsiTheme="minorHAnsi"/>
          <w:sz w:val="24"/>
        </w:rPr>
        <w:t xml:space="preserve"> use time-to-event-data</w:t>
      </w:r>
      <w:r w:rsidR="00F37823">
        <w:rPr>
          <w:rFonts w:asciiTheme="minorHAnsi" w:hAnsiTheme="minorHAnsi"/>
          <w:sz w:val="24"/>
        </w:rPr>
        <w:t xml:space="preserve">, would be </w:t>
      </w:r>
      <w:r w:rsidR="00AE7ED9">
        <w:rPr>
          <w:rFonts w:asciiTheme="minorHAnsi" w:hAnsiTheme="minorHAnsi"/>
          <w:sz w:val="24"/>
        </w:rPr>
        <w:t>expected to go up over time as they are cumulative probability cu</w:t>
      </w:r>
      <w:r w:rsidR="00C75B0B">
        <w:rPr>
          <w:rFonts w:asciiTheme="minorHAnsi" w:hAnsiTheme="minorHAnsi"/>
          <w:sz w:val="24"/>
        </w:rPr>
        <w:t>rves. The sponsor further stated</w:t>
      </w:r>
      <w:r w:rsidR="00AE7ED9">
        <w:rPr>
          <w:rFonts w:asciiTheme="minorHAnsi" w:hAnsiTheme="minorHAnsi"/>
          <w:sz w:val="24"/>
        </w:rPr>
        <w:t xml:space="preserve"> that the use of time-to-</w:t>
      </w:r>
      <w:r w:rsidR="00AE7ED9">
        <w:rPr>
          <w:rFonts w:asciiTheme="minorHAnsi" w:hAnsiTheme="minorHAnsi"/>
          <w:sz w:val="24"/>
        </w:rPr>
        <w:lastRenderedPageBreak/>
        <w:t>event-data is inappropriate as time-to-first event data does not capture multiple events per patient, which is highly relevant in CF.</w:t>
      </w:r>
    </w:p>
    <w:p w:rsidR="00AC257B" w:rsidRDefault="00AC257B" w:rsidP="0013731D">
      <w:pPr>
        <w:pStyle w:val="ListParagraph"/>
        <w:widowControl/>
        <w:numPr>
          <w:ilvl w:val="1"/>
          <w:numId w:val="3"/>
        </w:numPr>
        <w:spacing w:before="120" w:after="160"/>
        <w:contextualSpacing w:val="0"/>
        <w:rPr>
          <w:rFonts w:asciiTheme="minorHAnsi" w:hAnsiTheme="minorHAnsi"/>
          <w:sz w:val="24"/>
        </w:rPr>
      </w:pPr>
      <w:r>
        <w:rPr>
          <w:rFonts w:asciiTheme="minorHAnsi" w:hAnsiTheme="minorHAnsi"/>
          <w:sz w:val="24"/>
        </w:rPr>
        <w:t>The</w:t>
      </w:r>
      <w:r w:rsidR="0013731D">
        <w:rPr>
          <w:rFonts w:asciiTheme="minorHAnsi" w:hAnsiTheme="minorHAnsi"/>
          <w:sz w:val="24"/>
        </w:rPr>
        <w:t xml:space="preserve"> PBAC noted the sponsors request that “only the correct presentation and interpretation of the </w:t>
      </w:r>
      <w:proofErr w:type="spellStart"/>
      <w:r w:rsidR="0013731D">
        <w:rPr>
          <w:rFonts w:asciiTheme="minorHAnsi" w:hAnsiTheme="minorHAnsi"/>
          <w:sz w:val="24"/>
        </w:rPr>
        <w:t>PEx</w:t>
      </w:r>
      <w:proofErr w:type="spellEnd"/>
      <w:r w:rsidR="0013731D">
        <w:rPr>
          <w:rFonts w:asciiTheme="minorHAnsi" w:hAnsiTheme="minorHAnsi"/>
          <w:sz w:val="24"/>
        </w:rPr>
        <w:t xml:space="preserve"> is made available to the PBAC”.  The </w:t>
      </w:r>
      <w:r>
        <w:rPr>
          <w:rFonts w:asciiTheme="minorHAnsi" w:hAnsiTheme="minorHAnsi"/>
          <w:sz w:val="24"/>
        </w:rPr>
        <w:t xml:space="preserve">PBAC </w:t>
      </w:r>
      <w:r w:rsidR="0013731D">
        <w:rPr>
          <w:rFonts w:asciiTheme="minorHAnsi" w:hAnsiTheme="minorHAnsi"/>
          <w:sz w:val="24"/>
        </w:rPr>
        <w:t xml:space="preserve">considered that these figures should be retained in the documentation for this consideration as </w:t>
      </w:r>
      <w:r w:rsidR="0013731D" w:rsidRPr="0013731D">
        <w:rPr>
          <w:rFonts w:asciiTheme="minorHAnsi" w:hAnsiTheme="minorHAnsi"/>
          <w:sz w:val="24"/>
        </w:rPr>
        <w:t>Figures 5 and 6 are informative for clinicians and patients</w:t>
      </w:r>
      <w:r w:rsidR="0013731D">
        <w:rPr>
          <w:rFonts w:asciiTheme="minorHAnsi" w:hAnsiTheme="minorHAnsi"/>
          <w:sz w:val="24"/>
        </w:rPr>
        <w:t>.</w:t>
      </w:r>
    </w:p>
    <w:p w:rsidR="00A87A77" w:rsidRPr="000F4FC9" w:rsidRDefault="00D7716A" w:rsidP="000F4FC9">
      <w:pPr>
        <w:keepNext/>
        <w:rPr>
          <w:rFonts w:ascii="Arial Narrow" w:hAnsi="Arial Narrow"/>
          <w:b/>
          <w:sz w:val="20"/>
        </w:rPr>
      </w:pPr>
      <w:r w:rsidRPr="000F4FC9">
        <w:rPr>
          <w:rFonts w:ascii="Arial Narrow" w:hAnsi="Arial Narrow"/>
          <w:b/>
          <w:sz w:val="20"/>
        </w:rPr>
        <w:t xml:space="preserve">Figure </w:t>
      </w:r>
      <w:r w:rsidR="00BD3F35" w:rsidRPr="000F4FC9">
        <w:rPr>
          <w:rFonts w:ascii="Arial Narrow" w:hAnsi="Arial Narrow"/>
          <w:b/>
          <w:sz w:val="20"/>
        </w:rPr>
        <w:t>5:</w:t>
      </w:r>
      <w:r w:rsidR="00A87A77" w:rsidRPr="000F4FC9">
        <w:rPr>
          <w:rFonts w:ascii="Arial Narrow" w:hAnsi="Arial Narrow"/>
          <w:b/>
          <w:sz w:val="20"/>
        </w:rPr>
        <w:t xml:space="preserve"> Time-to-First Pulmonary Exacerbation Study 105 </w:t>
      </w:r>
    </w:p>
    <w:p w:rsidR="00A87A77" w:rsidRPr="00A87A77" w:rsidRDefault="00A87A77" w:rsidP="008706C8">
      <w:pPr>
        <w:pStyle w:val="ListParagraph"/>
        <w:keepNext/>
        <w:ind w:left="0"/>
        <w:rPr>
          <w:rFonts w:ascii="Arial Narrow" w:hAnsi="Arial Narrow"/>
          <w:b/>
          <w:sz w:val="20"/>
        </w:rPr>
      </w:pPr>
      <w:r>
        <w:rPr>
          <w:noProof/>
          <w:lang w:eastAsia="en-AU"/>
        </w:rPr>
        <w:drawing>
          <wp:inline distT="0" distB="0" distL="0" distR="0" wp14:anchorId="0DE0467E" wp14:editId="6FFD14A1">
            <wp:extent cx="5711588" cy="3364174"/>
            <wp:effectExtent l="0" t="0" r="3810" b="8255"/>
            <wp:docPr id="2" name="Picture 2" title="Figure 5: Time-to-First Pulmonary Exacerbation Study 1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1588" cy="3364174"/>
                    </a:xfrm>
                    <a:prstGeom prst="rect">
                      <a:avLst/>
                    </a:prstGeom>
                    <a:noFill/>
                  </pic:spPr>
                </pic:pic>
              </a:graphicData>
            </a:graphic>
          </wp:inline>
        </w:drawing>
      </w:r>
    </w:p>
    <w:p w:rsidR="00A87A77" w:rsidRPr="008706C8" w:rsidRDefault="00A87A77" w:rsidP="008706C8">
      <w:pPr>
        <w:rPr>
          <w:rFonts w:ascii="Arial Narrow" w:hAnsi="Arial Narrow"/>
          <w:sz w:val="18"/>
          <w:szCs w:val="18"/>
        </w:rPr>
      </w:pPr>
      <w:r w:rsidRPr="008706C8">
        <w:rPr>
          <w:rFonts w:ascii="Arial Narrow" w:hAnsi="Arial Narrow"/>
          <w:sz w:val="18"/>
          <w:szCs w:val="18"/>
        </w:rPr>
        <w:t>Source: Prepared during the evaluation from data as specified in the Table Annexe (Table 5).</w:t>
      </w:r>
    </w:p>
    <w:p w:rsidR="00A87A77" w:rsidRPr="008706C8" w:rsidRDefault="00A87A77" w:rsidP="008706C8">
      <w:pPr>
        <w:rPr>
          <w:rFonts w:ascii="Arial Narrow" w:hAnsi="Arial Narrow"/>
          <w:sz w:val="18"/>
          <w:szCs w:val="18"/>
        </w:rPr>
      </w:pPr>
      <w:r w:rsidRPr="008706C8">
        <w:rPr>
          <w:rFonts w:ascii="Arial Narrow" w:hAnsi="Arial Narrow"/>
          <w:sz w:val="18"/>
          <w:szCs w:val="18"/>
        </w:rPr>
        <w:t xml:space="preserve">Abbreviations: Ext=extension; </w:t>
      </w:r>
      <w:proofErr w:type="spellStart"/>
      <w:r w:rsidRPr="008706C8">
        <w:rPr>
          <w:rFonts w:ascii="Arial Narrow" w:hAnsi="Arial Narrow"/>
          <w:sz w:val="18"/>
          <w:szCs w:val="18"/>
        </w:rPr>
        <w:t>PEx</w:t>
      </w:r>
      <w:proofErr w:type="spellEnd"/>
      <w:r w:rsidRPr="008706C8">
        <w:rPr>
          <w:rFonts w:ascii="Arial Narrow" w:hAnsi="Arial Narrow"/>
          <w:sz w:val="18"/>
          <w:szCs w:val="18"/>
        </w:rPr>
        <w:t>=pulmonary exacerbations.</w:t>
      </w:r>
    </w:p>
    <w:p w:rsidR="00A87A77" w:rsidRPr="008706C8" w:rsidRDefault="00A87A77" w:rsidP="008706C8">
      <w:pPr>
        <w:rPr>
          <w:rFonts w:ascii="Arial Narrow" w:hAnsi="Arial Narrow"/>
          <w:sz w:val="18"/>
          <w:szCs w:val="18"/>
        </w:rPr>
      </w:pPr>
      <w:r w:rsidRPr="008706C8">
        <w:rPr>
          <w:rFonts w:ascii="Arial Narrow" w:hAnsi="Arial Narrow"/>
          <w:sz w:val="18"/>
          <w:szCs w:val="18"/>
        </w:rPr>
        <w:t>Note: Information was not available to allow the presentation of confidence intervals for these point estimates.</w:t>
      </w:r>
    </w:p>
    <w:p w:rsidR="00A87A77" w:rsidRPr="00A87A77" w:rsidRDefault="00A87A77" w:rsidP="00D97227">
      <w:pPr>
        <w:pStyle w:val="ListParagraph"/>
        <w:ind w:left="644"/>
        <w:rPr>
          <w:rFonts w:ascii="Arial Narrow" w:hAnsi="Arial Narrow"/>
          <w:sz w:val="20"/>
        </w:rPr>
      </w:pPr>
    </w:p>
    <w:p w:rsidR="00A87A77" w:rsidRPr="008706C8" w:rsidRDefault="00D7716A" w:rsidP="008706C8">
      <w:pPr>
        <w:keepNext/>
        <w:rPr>
          <w:rFonts w:ascii="Arial Narrow" w:hAnsi="Arial Narrow"/>
          <w:b/>
          <w:sz w:val="20"/>
        </w:rPr>
      </w:pPr>
      <w:r w:rsidRPr="008706C8">
        <w:rPr>
          <w:rFonts w:ascii="Arial Narrow" w:hAnsi="Arial Narrow"/>
          <w:b/>
          <w:sz w:val="20"/>
        </w:rPr>
        <w:lastRenderedPageBreak/>
        <w:t xml:space="preserve">Figure </w:t>
      </w:r>
      <w:r w:rsidR="00BD3F35" w:rsidRPr="008706C8">
        <w:rPr>
          <w:rFonts w:ascii="Arial Narrow" w:hAnsi="Arial Narrow"/>
          <w:b/>
          <w:sz w:val="20"/>
        </w:rPr>
        <w:t>6:</w:t>
      </w:r>
      <w:r w:rsidR="00A87A77" w:rsidRPr="008706C8">
        <w:rPr>
          <w:rFonts w:ascii="Arial Narrow" w:hAnsi="Arial Narrow"/>
          <w:b/>
          <w:sz w:val="20"/>
        </w:rPr>
        <w:t xml:space="preserve"> Time-to-First Pulmonary Exacerbation Study 105 </w:t>
      </w:r>
    </w:p>
    <w:p w:rsidR="00A87A77" w:rsidRPr="00A87A77" w:rsidRDefault="00A87A77" w:rsidP="008706C8">
      <w:pPr>
        <w:pStyle w:val="ListParagraph"/>
        <w:ind w:left="0"/>
        <w:rPr>
          <w:rFonts w:ascii="Arial Narrow" w:hAnsi="Arial Narrow"/>
          <w:b/>
          <w:sz w:val="20"/>
        </w:rPr>
      </w:pPr>
      <w:r>
        <w:rPr>
          <w:noProof/>
          <w:lang w:eastAsia="en-AU"/>
        </w:rPr>
        <w:drawing>
          <wp:inline distT="0" distB="0" distL="0" distR="0" wp14:anchorId="5B0D61EB" wp14:editId="2B7250C2">
            <wp:extent cx="5711588" cy="3129527"/>
            <wp:effectExtent l="0" t="0" r="3810" b="0"/>
            <wp:docPr id="3" name="Picture 3" title="Figure 6: Time-to-First Pulmonary Exacerbation Study 1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1624" cy="3129547"/>
                    </a:xfrm>
                    <a:prstGeom prst="rect">
                      <a:avLst/>
                    </a:prstGeom>
                    <a:noFill/>
                  </pic:spPr>
                </pic:pic>
              </a:graphicData>
            </a:graphic>
          </wp:inline>
        </w:drawing>
      </w:r>
    </w:p>
    <w:p w:rsidR="00A87A77" w:rsidRPr="008706C8" w:rsidRDefault="00A87A77" w:rsidP="008706C8">
      <w:pPr>
        <w:rPr>
          <w:rFonts w:ascii="Arial Narrow" w:hAnsi="Arial Narrow"/>
          <w:sz w:val="18"/>
          <w:szCs w:val="18"/>
        </w:rPr>
      </w:pPr>
      <w:r w:rsidRPr="008706C8">
        <w:rPr>
          <w:rFonts w:ascii="Arial Narrow" w:hAnsi="Arial Narrow"/>
          <w:sz w:val="18"/>
          <w:szCs w:val="18"/>
        </w:rPr>
        <w:t>Source: Prepared during the evaluation from data as specified in the Table Annexe.</w:t>
      </w:r>
    </w:p>
    <w:p w:rsidR="00A87A77" w:rsidRPr="008706C8" w:rsidRDefault="00A87A77" w:rsidP="008706C8">
      <w:pPr>
        <w:rPr>
          <w:rFonts w:ascii="Arial Narrow" w:hAnsi="Arial Narrow"/>
          <w:sz w:val="18"/>
          <w:szCs w:val="18"/>
        </w:rPr>
      </w:pPr>
      <w:r w:rsidRPr="008706C8">
        <w:rPr>
          <w:rFonts w:ascii="Arial Narrow" w:hAnsi="Arial Narrow"/>
          <w:sz w:val="18"/>
          <w:szCs w:val="18"/>
        </w:rPr>
        <w:t>Abbreviations: CI=confidence intervals; Ext=extension.</w:t>
      </w:r>
    </w:p>
    <w:p w:rsidR="00A87A77" w:rsidRPr="00A87A77" w:rsidRDefault="00A87A77" w:rsidP="00D97227">
      <w:pPr>
        <w:pStyle w:val="ListParagraph"/>
        <w:ind w:left="644"/>
        <w:rPr>
          <w:rFonts w:ascii="Arial Narrow" w:hAnsi="Arial Narrow"/>
          <w:b/>
          <w:sz w:val="20"/>
        </w:rPr>
      </w:pPr>
    </w:p>
    <w:p w:rsidR="008155BB" w:rsidRPr="001A7B1E" w:rsidRDefault="00AC257B" w:rsidP="00CB0030">
      <w:pPr>
        <w:pStyle w:val="ListParagraph"/>
        <w:widowControl/>
        <w:numPr>
          <w:ilvl w:val="1"/>
          <w:numId w:val="1"/>
        </w:numPr>
        <w:spacing w:before="120" w:after="160"/>
        <w:contextualSpacing w:val="0"/>
        <w:rPr>
          <w:rFonts w:asciiTheme="minorHAnsi" w:hAnsiTheme="minorHAnsi"/>
          <w:sz w:val="24"/>
        </w:rPr>
      </w:pPr>
      <w:r>
        <w:rPr>
          <w:rFonts w:asciiTheme="minorHAnsi" w:hAnsiTheme="minorHAnsi"/>
          <w:sz w:val="24"/>
        </w:rPr>
        <w:t>At the request of the Department, in the pre-PBAC Response, the sponsor provided an additional analysis of the pulmonary exacerbation data from the PROGRESS study to determine if there is an increase in the rate of pulmonary exacerbations over time,</w:t>
      </w:r>
      <w:r w:rsidR="0013731D">
        <w:rPr>
          <w:rFonts w:asciiTheme="minorHAnsi" w:hAnsiTheme="minorHAnsi"/>
          <w:sz w:val="24"/>
        </w:rPr>
        <w:t xml:space="preserve"> </w:t>
      </w:r>
      <w:r>
        <w:rPr>
          <w:rFonts w:asciiTheme="minorHAnsi" w:hAnsiTheme="minorHAnsi"/>
          <w:sz w:val="24"/>
        </w:rPr>
        <w:t xml:space="preserve">as this analysis was not included in the final study report for PROGRESS. </w:t>
      </w:r>
      <w:r w:rsidRPr="00AE7ED9">
        <w:rPr>
          <w:rFonts w:asciiTheme="minorHAnsi" w:hAnsiTheme="minorHAnsi" w:cstheme="minorHAnsi"/>
          <w:sz w:val="24"/>
          <w:szCs w:val="24"/>
        </w:rPr>
        <w:t xml:space="preserve">The sponsor stated that the results, presented in Table 4 below, “clearly indicate that there is </w:t>
      </w:r>
      <w:r w:rsidRPr="00AE7ED9">
        <w:rPr>
          <w:rFonts w:asciiTheme="minorHAnsi" w:hAnsiTheme="minorHAnsi" w:cstheme="minorHAnsi"/>
          <w:sz w:val="24"/>
          <w:szCs w:val="24"/>
          <w:u w:val="single"/>
        </w:rPr>
        <w:t xml:space="preserve">no increase in the annualised rate of </w:t>
      </w:r>
      <w:proofErr w:type="spellStart"/>
      <w:r w:rsidRPr="00AE7ED9">
        <w:rPr>
          <w:rFonts w:asciiTheme="minorHAnsi" w:hAnsiTheme="minorHAnsi" w:cstheme="minorHAnsi"/>
          <w:sz w:val="24"/>
          <w:szCs w:val="24"/>
          <w:u w:val="single"/>
        </w:rPr>
        <w:t>PEx</w:t>
      </w:r>
      <w:proofErr w:type="spellEnd"/>
      <w:r w:rsidRPr="00AE7ED9">
        <w:rPr>
          <w:rFonts w:asciiTheme="minorHAnsi" w:hAnsiTheme="minorHAnsi" w:cstheme="minorHAnsi"/>
          <w:sz w:val="24"/>
          <w:szCs w:val="24"/>
        </w:rPr>
        <w:t xml:space="preserve"> — in fact at 0.60 events/patient-year after 2 years of treatment this remains approximately half that of placebo patients in TRAFFIC/TRANSPORT (which was 1.14 events/patient-year).”</w:t>
      </w:r>
      <w:r>
        <w:rPr>
          <w:rFonts w:asciiTheme="minorHAnsi" w:hAnsiTheme="minorHAnsi" w:cstheme="minorHAnsi"/>
          <w:sz w:val="24"/>
          <w:szCs w:val="24"/>
        </w:rPr>
        <w:t xml:space="preserve"> The pre-PBAC </w:t>
      </w:r>
      <w:proofErr w:type="gramStart"/>
      <w:r>
        <w:rPr>
          <w:rFonts w:asciiTheme="minorHAnsi" w:hAnsiTheme="minorHAnsi" w:cstheme="minorHAnsi"/>
          <w:sz w:val="24"/>
          <w:szCs w:val="24"/>
        </w:rPr>
        <w:t>Response ,</w:t>
      </w:r>
      <w:proofErr w:type="gramEnd"/>
      <w:r>
        <w:rPr>
          <w:rFonts w:asciiTheme="minorHAnsi" w:hAnsiTheme="minorHAnsi" w:cstheme="minorHAnsi"/>
          <w:sz w:val="24"/>
          <w:szCs w:val="24"/>
        </w:rPr>
        <w:t xml:space="preserve"> also </w:t>
      </w:r>
      <w:r w:rsidR="0013731D">
        <w:rPr>
          <w:rFonts w:asciiTheme="minorHAnsi" w:hAnsiTheme="minorHAnsi" w:cstheme="minorHAnsi"/>
          <w:sz w:val="24"/>
          <w:szCs w:val="24"/>
        </w:rPr>
        <w:t>argued</w:t>
      </w:r>
      <w:r>
        <w:rPr>
          <w:rFonts w:asciiTheme="minorHAnsi" w:hAnsiTheme="minorHAnsi" w:cstheme="minorHAnsi"/>
          <w:sz w:val="24"/>
          <w:szCs w:val="24"/>
        </w:rPr>
        <w:t xml:space="preserve"> that </w:t>
      </w:r>
      <w:proofErr w:type="spellStart"/>
      <w:r>
        <w:rPr>
          <w:rFonts w:asciiTheme="minorHAnsi" w:hAnsiTheme="minorHAnsi" w:cstheme="minorHAnsi"/>
          <w:sz w:val="24"/>
          <w:szCs w:val="24"/>
        </w:rPr>
        <w:t>PEx</w:t>
      </w:r>
      <w:proofErr w:type="spellEnd"/>
      <w:r>
        <w:rPr>
          <w:rFonts w:asciiTheme="minorHAnsi" w:hAnsiTheme="minorHAnsi" w:cstheme="minorHAnsi"/>
          <w:sz w:val="24"/>
          <w:szCs w:val="24"/>
        </w:rPr>
        <w:t xml:space="preserve"> are the primary cause of morbidity in CF and are associated with a permanent decline in lung function. The PBAC acknowledged that a reduction in </w:t>
      </w:r>
      <w:proofErr w:type="spellStart"/>
      <w:r>
        <w:rPr>
          <w:rFonts w:asciiTheme="minorHAnsi" w:hAnsiTheme="minorHAnsi" w:cstheme="minorHAnsi"/>
          <w:sz w:val="24"/>
          <w:szCs w:val="24"/>
        </w:rPr>
        <w:t>PEx</w:t>
      </w:r>
      <w:proofErr w:type="spellEnd"/>
      <w:r>
        <w:rPr>
          <w:rFonts w:asciiTheme="minorHAnsi" w:hAnsiTheme="minorHAnsi" w:cstheme="minorHAnsi"/>
          <w:sz w:val="24"/>
          <w:szCs w:val="24"/>
        </w:rPr>
        <w:t xml:space="preserve"> is an important clinical outcome for CF patients; however, as discussed in paragraph 6.12 in relation to </w:t>
      </w:r>
      <w:r w:rsidRPr="00DF2CC2">
        <w:rPr>
          <w:rFonts w:asciiTheme="minorHAnsi" w:hAnsiTheme="minorHAnsi" w:cstheme="minorHAnsi"/>
          <w:sz w:val="24"/>
          <w:szCs w:val="24"/>
        </w:rPr>
        <w:t>ppFEV</w:t>
      </w:r>
      <w:r w:rsidRPr="00DF2CC2">
        <w:rPr>
          <w:rFonts w:asciiTheme="minorHAnsi" w:hAnsiTheme="minorHAnsi" w:cstheme="minorHAnsi"/>
          <w:sz w:val="24"/>
          <w:szCs w:val="24"/>
          <w:vertAlign w:val="subscript"/>
        </w:rPr>
        <w:t>1</w:t>
      </w:r>
      <w:r>
        <w:rPr>
          <w:rFonts w:asciiTheme="minorHAnsi" w:hAnsiTheme="minorHAnsi" w:cstheme="minorHAnsi"/>
          <w:sz w:val="24"/>
          <w:szCs w:val="24"/>
        </w:rPr>
        <w:t xml:space="preserve">, the PBAC considered that there was still uncertainty around the longer term impact of </w:t>
      </w:r>
      <w:proofErr w:type="spellStart"/>
      <w:r>
        <w:rPr>
          <w:rFonts w:asciiTheme="minorHAnsi" w:hAnsiTheme="minorHAnsi" w:cstheme="minorHAnsi"/>
          <w:sz w:val="24"/>
          <w:szCs w:val="24"/>
        </w:rPr>
        <w:t>lumac</w:t>
      </w:r>
      <w:r w:rsidR="00D06D64">
        <w:rPr>
          <w:rFonts w:asciiTheme="minorHAnsi" w:hAnsiTheme="minorHAnsi" w:cstheme="minorHAnsi"/>
          <w:sz w:val="24"/>
          <w:szCs w:val="24"/>
        </w:rPr>
        <w:t>a</w:t>
      </w:r>
      <w:r>
        <w:rPr>
          <w:rFonts w:asciiTheme="minorHAnsi" w:hAnsiTheme="minorHAnsi" w:cstheme="minorHAnsi"/>
          <w:sz w:val="24"/>
          <w:szCs w:val="24"/>
        </w:rPr>
        <w:t>ftor</w:t>
      </w:r>
      <w:proofErr w:type="spellEnd"/>
      <w:r>
        <w:rPr>
          <w:rFonts w:asciiTheme="minorHAnsi" w:hAnsiTheme="minorHAnsi" w:cstheme="minorHAnsi"/>
          <w:sz w:val="24"/>
          <w:szCs w:val="24"/>
        </w:rPr>
        <w:t>/</w:t>
      </w:r>
      <w:proofErr w:type="spellStart"/>
      <w:r>
        <w:rPr>
          <w:rFonts w:asciiTheme="minorHAnsi" w:hAnsiTheme="minorHAnsi" w:cstheme="minorHAnsi"/>
          <w:sz w:val="24"/>
          <w:szCs w:val="24"/>
        </w:rPr>
        <w:t>ivacaftor</w:t>
      </w:r>
      <w:proofErr w:type="spellEnd"/>
      <w:r>
        <w:rPr>
          <w:rFonts w:asciiTheme="minorHAnsi" w:hAnsiTheme="minorHAnsi" w:cstheme="minorHAnsi"/>
          <w:sz w:val="24"/>
          <w:szCs w:val="24"/>
        </w:rPr>
        <w:t xml:space="preserve"> on </w:t>
      </w:r>
      <w:proofErr w:type="spellStart"/>
      <w:r>
        <w:rPr>
          <w:rFonts w:asciiTheme="minorHAnsi" w:hAnsiTheme="minorHAnsi" w:cstheme="minorHAnsi"/>
          <w:sz w:val="24"/>
          <w:szCs w:val="24"/>
        </w:rPr>
        <w:t>PEx</w:t>
      </w:r>
      <w:proofErr w:type="spellEnd"/>
      <w:r>
        <w:rPr>
          <w:rFonts w:asciiTheme="minorHAnsi" w:hAnsiTheme="minorHAnsi" w:cstheme="minorHAnsi"/>
          <w:sz w:val="24"/>
          <w:szCs w:val="24"/>
        </w:rPr>
        <w:t xml:space="preserve"> (beyond 96 weeks). </w:t>
      </w:r>
    </w:p>
    <w:p w:rsidR="00AC257B" w:rsidRPr="00AE7ED9" w:rsidRDefault="00AC257B" w:rsidP="001A7B1E">
      <w:pPr>
        <w:pStyle w:val="TableHeading0"/>
        <w:keepLines/>
      </w:pPr>
      <w:r w:rsidRPr="00AE7ED9">
        <w:t xml:space="preserve">Table </w:t>
      </w:r>
      <w:r>
        <w:t>4</w:t>
      </w:r>
      <w:r w:rsidRPr="00AE7ED9">
        <w:tab/>
        <w:t xml:space="preserve">Pulmonary exacerbations by study period: Full analysis set </w:t>
      </w:r>
    </w:p>
    <w:tbl>
      <w:tblPr>
        <w:tblStyle w:val="OPTUMTableNormal"/>
        <w:tblW w:w="5000" w:type="pct"/>
        <w:tblLook w:val="0480" w:firstRow="0" w:lastRow="0" w:firstColumn="1" w:lastColumn="0" w:noHBand="0" w:noVBand="1"/>
        <w:tblCaption w:val="Table 4 Pulmonary exacerbations by study period: Full analysis set "/>
      </w:tblPr>
      <w:tblGrid>
        <w:gridCol w:w="1951"/>
        <w:gridCol w:w="3259"/>
        <w:gridCol w:w="2017"/>
        <w:gridCol w:w="2015"/>
      </w:tblGrid>
      <w:tr w:rsidR="00AC257B" w:rsidTr="002D6558">
        <w:trPr>
          <w:tblHeader/>
        </w:trPr>
        <w:tc>
          <w:tcPr>
            <w:tcW w:w="1056" w:type="pct"/>
            <w:shd w:val="clear" w:color="auto" w:fill="D9D9D9" w:themeFill="background1" w:themeFillShade="D9"/>
          </w:tcPr>
          <w:p w:rsidR="00AC257B" w:rsidRPr="00AE7ED9" w:rsidRDefault="00AC257B" w:rsidP="001A7B1E">
            <w:pPr>
              <w:pStyle w:val="TableH1"/>
              <w:keepLines/>
              <w:jc w:val="center"/>
              <w:rPr>
                <w:rFonts w:ascii="Arial Narrow" w:hAnsi="Arial Narrow"/>
                <w:sz w:val="20"/>
                <w:szCs w:val="20"/>
              </w:rPr>
            </w:pPr>
            <w:r w:rsidRPr="00AE7ED9">
              <w:rPr>
                <w:rFonts w:ascii="Arial Narrow" w:hAnsi="Arial Narrow"/>
                <w:sz w:val="20"/>
                <w:szCs w:val="20"/>
              </w:rPr>
              <w:t>PROGRESS time interval</w:t>
            </w:r>
          </w:p>
        </w:tc>
        <w:tc>
          <w:tcPr>
            <w:tcW w:w="1763" w:type="pct"/>
            <w:shd w:val="clear" w:color="auto" w:fill="D9D9D9" w:themeFill="background1" w:themeFillShade="D9"/>
          </w:tcPr>
          <w:p w:rsidR="00AC257B" w:rsidRPr="00AE7ED9" w:rsidRDefault="00AC257B" w:rsidP="001A7B1E">
            <w:pPr>
              <w:pStyle w:val="TableH1"/>
              <w:keepLines/>
              <w:jc w:val="center"/>
              <w:rPr>
                <w:rFonts w:ascii="Arial Narrow" w:hAnsi="Arial Narrow"/>
                <w:sz w:val="20"/>
                <w:szCs w:val="20"/>
              </w:rPr>
            </w:pPr>
            <w:r w:rsidRPr="00AE7ED9">
              <w:rPr>
                <w:rFonts w:ascii="Arial Narrow" w:hAnsi="Arial Narrow"/>
                <w:sz w:val="20"/>
                <w:szCs w:val="20"/>
              </w:rPr>
              <w:t>TRAFFIC/TRANSPORT + PROGRESS time interval</w:t>
            </w:r>
          </w:p>
        </w:tc>
        <w:tc>
          <w:tcPr>
            <w:tcW w:w="1091" w:type="pct"/>
            <w:shd w:val="clear" w:color="auto" w:fill="D9D9D9" w:themeFill="background1" w:themeFillShade="D9"/>
          </w:tcPr>
          <w:p w:rsidR="00AC257B" w:rsidRPr="00AE7ED9" w:rsidRDefault="00AC257B" w:rsidP="001A7B1E">
            <w:pPr>
              <w:pStyle w:val="TableH1"/>
              <w:keepLines/>
              <w:jc w:val="center"/>
              <w:rPr>
                <w:rFonts w:ascii="Arial Narrow" w:hAnsi="Arial Narrow"/>
                <w:sz w:val="20"/>
                <w:szCs w:val="20"/>
              </w:rPr>
            </w:pPr>
            <w:r w:rsidRPr="00AE7ED9">
              <w:rPr>
                <w:rFonts w:ascii="Arial Narrow" w:hAnsi="Arial Narrow"/>
                <w:sz w:val="20"/>
                <w:szCs w:val="20"/>
              </w:rPr>
              <w:t>L400, N=369</w:t>
            </w:r>
          </w:p>
        </w:tc>
        <w:tc>
          <w:tcPr>
            <w:tcW w:w="1090" w:type="pct"/>
            <w:shd w:val="clear" w:color="auto" w:fill="D9D9D9" w:themeFill="background1" w:themeFillShade="D9"/>
          </w:tcPr>
          <w:p w:rsidR="00AC257B" w:rsidRPr="00AE7ED9" w:rsidRDefault="00AC257B" w:rsidP="001A7B1E">
            <w:pPr>
              <w:pStyle w:val="TableH1"/>
              <w:keepLines/>
              <w:jc w:val="center"/>
              <w:rPr>
                <w:rFonts w:ascii="Arial Narrow" w:hAnsi="Arial Narrow"/>
                <w:sz w:val="20"/>
                <w:szCs w:val="20"/>
              </w:rPr>
            </w:pPr>
            <w:r w:rsidRPr="00AE7ED9">
              <w:rPr>
                <w:rFonts w:ascii="Arial Narrow" w:hAnsi="Arial Narrow"/>
                <w:sz w:val="20"/>
                <w:szCs w:val="20"/>
              </w:rPr>
              <w:t>Placebo, N=371</w:t>
            </w:r>
          </w:p>
        </w:tc>
      </w:tr>
      <w:tr w:rsidR="00AC257B" w:rsidTr="00AA37D5">
        <w:tc>
          <w:tcPr>
            <w:tcW w:w="1056"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NA</w:t>
            </w:r>
          </w:p>
        </w:tc>
        <w:tc>
          <w:tcPr>
            <w:tcW w:w="1763"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0 – 24 weeks</w:t>
            </w:r>
          </w:p>
        </w:tc>
        <w:tc>
          <w:tcPr>
            <w:tcW w:w="1091"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 xml:space="preserve">0.70 </w:t>
            </w:r>
            <w:r w:rsidRPr="00AE7ED9">
              <w:rPr>
                <w:rFonts w:ascii="Arial Narrow" w:eastAsiaTheme="minorHAnsi" w:hAnsi="Arial Narrow"/>
                <w:vertAlign w:val="superscript"/>
              </w:rPr>
              <w:t>a</w:t>
            </w:r>
          </w:p>
        </w:tc>
        <w:tc>
          <w:tcPr>
            <w:tcW w:w="1090"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 xml:space="preserve">1.14 </w:t>
            </w:r>
            <w:r w:rsidRPr="00AE7ED9">
              <w:rPr>
                <w:rFonts w:ascii="Arial Narrow" w:eastAsiaTheme="minorHAnsi" w:hAnsi="Arial Narrow"/>
                <w:vertAlign w:val="superscript"/>
              </w:rPr>
              <w:t>a</w:t>
            </w:r>
          </w:p>
        </w:tc>
      </w:tr>
      <w:tr w:rsidR="00AC257B" w:rsidTr="00AA37D5">
        <w:tc>
          <w:tcPr>
            <w:tcW w:w="2819" w:type="pct"/>
            <w:gridSpan w:val="2"/>
          </w:tcPr>
          <w:p w:rsidR="00AC257B" w:rsidRPr="00AE7ED9" w:rsidRDefault="00AC257B" w:rsidP="001A7B1E">
            <w:pPr>
              <w:pStyle w:val="Tabletext"/>
              <w:keepNext/>
              <w:keepLines/>
              <w:jc w:val="center"/>
              <w:rPr>
                <w:rFonts w:ascii="Arial Narrow" w:eastAsiaTheme="minorHAnsi" w:hAnsi="Arial Narrow"/>
              </w:rPr>
            </w:pPr>
          </w:p>
        </w:tc>
        <w:tc>
          <w:tcPr>
            <w:tcW w:w="1091" w:type="pct"/>
          </w:tcPr>
          <w:p w:rsidR="00AC257B" w:rsidRPr="00AE7ED9" w:rsidRDefault="00AC257B" w:rsidP="001A7B1E">
            <w:pPr>
              <w:pStyle w:val="Tabletext"/>
              <w:keepNext/>
              <w:keepLines/>
              <w:jc w:val="center"/>
              <w:rPr>
                <w:rFonts w:ascii="Arial Narrow" w:eastAsiaTheme="minorHAnsi" w:hAnsi="Arial Narrow"/>
                <w:b/>
              </w:rPr>
            </w:pPr>
            <w:r w:rsidRPr="00AE7ED9">
              <w:rPr>
                <w:rFonts w:ascii="Arial Narrow" w:eastAsiaTheme="minorHAnsi" w:hAnsi="Arial Narrow"/>
                <w:b/>
              </w:rPr>
              <w:t>L400/I, N=340</w:t>
            </w:r>
          </w:p>
        </w:tc>
        <w:tc>
          <w:tcPr>
            <w:tcW w:w="1090" w:type="pct"/>
          </w:tcPr>
          <w:p w:rsidR="00AC257B" w:rsidRPr="00AE7ED9" w:rsidRDefault="00AC257B" w:rsidP="001A7B1E">
            <w:pPr>
              <w:pStyle w:val="Tabletext"/>
              <w:keepNext/>
              <w:keepLines/>
              <w:jc w:val="center"/>
              <w:rPr>
                <w:rFonts w:ascii="Arial Narrow" w:eastAsiaTheme="minorHAnsi" w:hAnsi="Arial Narrow"/>
                <w:b/>
              </w:rPr>
            </w:pPr>
            <w:r w:rsidRPr="00AE7ED9">
              <w:rPr>
                <w:rFonts w:ascii="Arial Narrow" w:eastAsiaTheme="minorHAnsi" w:hAnsi="Arial Narrow"/>
                <w:b/>
              </w:rPr>
              <w:t>P-L400/I, N=176</w:t>
            </w:r>
          </w:p>
        </w:tc>
      </w:tr>
      <w:tr w:rsidR="00AC257B" w:rsidTr="00AA37D5">
        <w:tc>
          <w:tcPr>
            <w:tcW w:w="1056"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0 – 24 weeks</w:t>
            </w:r>
          </w:p>
        </w:tc>
        <w:tc>
          <w:tcPr>
            <w:tcW w:w="1763"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24</w:t>
            </w:r>
            <w:r w:rsidRPr="00AE7ED9">
              <w:rPr>
                <w:rFonts w:ascii="Arial Narrow" w:eastAsiaTheme="minorHAnsi" w:hAnsi="Arial Narrow"/>
              </w:rPr>
              <w:softHyphen/>
              <w:t xml:space="preserve"> – 48 weeks</w:t>
            </w:r>
          </w:p>
        </w:tc>
        <w:tc>
          <w:tcPr>
            <w:tcW w:w="1091"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 xml:space="preserve">0.66 </w:t>
            </w:r>
            <w:r w:rsidRPr="00AE7ED9">
              <w:rPr>
                <w:rFonts w:ascii="Arial Narrow" w:eastAsiaTheme="minorHAnsi" w:hAnsi="Arial Narrow"/>
                <w:vertAlign w:val="superscript"/>
              </w:rPr>
              <w:t>b</w:t>
            </w:r>
          </w:p>
        </w:tc>
        <w:tc>
          <w:tcPr>
            <w:tcW w:w="1090"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 xml:space="preserve">0.70 </w:t>
            </w:r>
            <w:r w:rsidRPr="00AE7ED9">
              <w:rPr>
                <w:rFonts w:ascii="Arial Narrow" w:eastAsiaTheme="minorHAnsi" w:hAnsi="Arial Narrow"/>
                <w:vertAlign w:val="superscript"/>
              </w:rPr>
              <w:t>b</w:t>
            </w:r>
          </w:p>
        </w:tc>
      </w:tr>
      <w:tr w:rsidR="00AC257B" w:rsidTr="00AA37D5">
        <w:tc>
          <w:tcPr>
            <w:tcW w:w="1056"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24 – 48 weeks</w:t>
            </w:r>
          </w:p>
        </w:tc>
        <w:tc>
          <w:tcPr>
            <w:tcW w:w="1763"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48 – 72 weeks</w:t>
            </w:r>
          </w:p>
        </w:tc>
        <w:tc>
          <w:tcPr>
            <w:tcW w:w="1091"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 xml:space="preserve">0.78 </w:t>
            </w:r>
            <w:r w:rsidRPr="00AE7ED9">
              <w:rPr>
                <w:rFonts w:ascii="Arial Narrow" w:eastAsiaTheme="minorHAnsi" w:hAnsi="Arial Narrow"/>
                <w:vertAlign w:val="superscript"/>
              </w:rPr>
              <w:t>b</w:t>
            </w:r>
          </w:p>
        </w:tc>
        <w:tc>
          <w:tcPr>
            <w:tcW w:w="1090"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 xml:space="preserve">0.81 </w:t>
            </w:r>
            <w:r w:rsidRPr="00AE7ED9">
              <w:rPr>
                <w:rFonts w:ascii="Arial Narrow" w:eastAsiaTheme="minorHAnsi" w:hAnsi="Arial Narrow"/>
                <w:vertAlign w:val="superscript"/>
              </w:rPr>
              <w:t>b</w:t>
            </w:r>
          </w:p>
        </w:tc>
      </w:tr>
      <w:tr w:rsidR="00AC257B" w:rsidTr="00AA37D5">
        <w:tc>
          <w:tcPr>
            <w:tcW w:w="1056"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lastRenderedPageBreak/>
              <w:t>48 – 72 weeks</w:t>
            </w:r>
          </w:p>
        </w:tc>
        <w:tc>
          <w:tcPr>
            <w:tcW w:w="1763"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72 – 96 weeks</w:t>
            </w:r>
          </w:p>
        </w:tc>
        <w:tc>
          <w:tcPr>
            <w:tcW w:w="1091"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 xml:space="preserve">0.60 </w:t>
            </w:r>
            <w:r w:rsidRPr="00AE7ED9">
              <w:rPr>
                <w:rFonts w:ascii="Arial Narrow" w:eastAsiaTheme="minorHAnsi" w:hAnsi="Arial Narrow"/>
                <w:vertAlign w:val="superscript"/>
              </w:rPr>
              <w:t>b</w:t>
            </w:r>
          </w:p>
        </w:tc>
        <w:tc>
          <w:tcPr>
            <w:tcW w:w="1090" w:type="pct"/>
          </w:tcPr>
          <w:p w:rsidR="00AC257B" w:rsidRPr="00AE7ED9" w:rsidRDefault="00AC257B" w:rsidP="001A7B1E">
            <w:pPr>
              <w:pStyle w:val="Tabletext"/>
              <w:keepNext/>
              <w:keepLines/>
              <w:jc w:val="center"/>
              <w:rPr>
                <w:rFonts w:ascii="Arial Narrow" w:eastAsiaTheme="minorHAnsi" w:hAnsi="Arial Narrow"/>
              </w:rPr>
            </w:pPr>
            <w:r w:rsidRPr="00AE7ED9">
              <w:rPr>
                <w:rFonts w:ascii="Arial Narrow" w:eastAsiaTheme="minorHAnsi" w:hAnsi="Arial Narrow"/>
              </w:rPr>
              <w:t xml:space="preserve">0.77 </w:t>
            </w:r>
            <w:r w:rsidRPr="00AE7ED9">
              <w:rPr>
                <w:rFonts w:ascii="Arial Narrow" w:eastAsiaTheme="minorHAnsi" w:hAnsi="Arial Narrow"/>
                <w:vertAlign w:val="superscript"/>
              </w:rPr>
              <w:t>b</w:t>
            </w:r>
          </w:p>
        </w:tc>
      </w:tr>
    </w:tbl>
    <w:p w:rsidR="00AC257B" w:rsidRPr="00A360B2" w:rsidRDefault="00AC257B" w:rsidP="001A7B1E">
      <w:pPr>
        <w:pStyle w:val="TableFigNotes0"/>
        <w:rPr>
          <w:rFonts w:ascii="Arial Narrow" w:eastAsia="Calibri" w:hAnsi="Arial Narrow"/>
        </w:rPr>
      </w:pPr>
      <w:proofErr w:type="gramStart"/>
      <w:r w:rsidRPr="00A360B2">
        <w:rPr>
          <w:rFonts w:ascii="Arial Narrow" w:hAnsi="Arial Narrow"/>
        </w:rPr>
        <w:t>a</w:t>
      </w:r>
      <w:proofErr w:type="gramEnd"/>
      <w:r w:rsidRPr="00A360B2">
        <w:rPr>
          <w:rFonts w:ascii="Arial Narrow" w:hAnsi="Arial Narrow"/>
        </w:rPr>
        <w:t xml:space="preserve"> Source: </w:t>
      </w:r>
      <w:r w:rsidRPr="00A360B2">
        <w:rPr>
          <w:rFonts w:ascii="Arial Narrow" w:eastAsia="Calibri" w:hAnsi="Arial Narrow"/>
        </w:rPr>
        <w:t>Table B.7-14, page 133 July 2017 resubmission.</w:t>
      </w:r>
    </w:p>
    <w:p w:rsidR="00AC257B" w:rsidRPr="001A7B1E" w:rsidRDefault="00AC257B" w:rsidP="001A7B1E">
      <w:pPr>
        <w:pStyle w:val="TableFigNotes0"/>
        <w:rPr>
          <w:rFonts w:ascii="Arial Narrow" w:hAnsi="Arial Narrow"/>
          <w:szCs w:val="16"/>
        </w:rPr>
      </w:pPr>
      <w:proofErr w:type="gramStart"/>
      <w:r w:rsidRPr="00A360B2">
        <w:rPr>
          <w:rFonts w:ascii="Arial Narrow" w:hAnsi="Arial Narrow"/>
          <w:szCs w:val="16"/>
        </w:rPr>
        <w:t>b</w:t>
      </w:r>
      <w:proofErr w:type="gramEnd"/>
      <w:r w:rsidRPr="00A360B2">
        <w:rPr>
          <w:rFonts w:ascii="Arial Narrow" w:hAnsi="Arial Narrow"/>
          <w:szCs w:val="16"/>
        </w:rPr>
        <w:t xml:space="preserve"> Source: VX15-809-105 Final Ad Hoc, 21June2018 (requested by OHTA). Data not reliable week 72-96 due to small sample size</w:t>
      </w:r>
    </w:p>
    <w:p w:rsidR="000949E0" w:rsidRPr="00FD1925" w:rsidRDefault="00C0177A" w:rsidP="000F4FC9">
      <w:pPr>
        <w:pStyle w:val="ListParagraph"/>
        <w:widowControl/>
        <w:numPr>
          <w:ilvl w:val="1"/>
          <w:numId w:val="3"/>
        </w:numPr>
        <w:spacing w:before="120" w:after="160"/>
        <w:contextualSpacing w:val="0"/>
        <w:rPr>
          <w:rFonts w:asciiTheme="minorHAnsi" w:hAnsiTheme="minorHAnsi"/>
          <w:sz w:val="24"/>
        </w:rPr>
      </w:pPr>
      <w:r w:rsidRPr="00FD1925">
        <w:rPr>
          <w:rFonts w:asciiTheme="minorHAnsi" w:hAnsiTheme="minorHAnsi"/>
          <w:sz w:val="24"/>
          <w:szCs w:val="24"/>
        </w:rPr>
        <w:t xml:space="preserve">The changes from baseline in CFQ-R in TRAFFIC, TRANSPORT and PROGRESS are shown in Table </w:t>
      </w:r>
      <w:r w:rsidR="00A360B2">
        <w:rPr>
          <w:rFonts w:asciiTheme="minorHAnsi" w:hAnsiTheme="minorHAnsi"/>
          <w:sz w:val="24"/>
          <w:szCs w:val="24"/>
        </w:rPr>
        <w:t>5</w:t>
      </w:r>
      <w:r w:rsidRPr="00FD1925">
        <w:rPr>
          <w:rFonts w:asciiTheme="minorHAnsi" w:hAnsiTheme="minorHAnsi"/>
          <w:sz w:val="24"/>
          <w:szCs w:val="24"/>
        </w:rPr>
        <w:t xml:space="preserve">. </w:t>
      </w:r>
      <w:bookmarkStart w:id="4" w:name="_Hlk479685143"/>
      <w:r w:rsidRPr="00FD1925">
        <w:rPr>
          <w:rFonts w:asciiTheme="minorHAnsi" w:hAnsiTheme="minorHAnsi"/>
          <w:sz w:val="24"/>
          <w:szCs w:val="24"/>
        </w:rPr>
        <w:t xml:space="preserve">The numerical improvement observed in CFQ-R at 24 weeks for </w:t>
      </w:r>
      <w:proofErr w:type="spellStart"/>
      <w:r w:rsidRPr="00FD1925">
        <w:rPr>
          <w:rFonts w:asciiTheme="minorHAnsi" w:hAnsiTheme="minorHAnsi"/>
          <w:sz w:val="24"/>
          <w:szCs w:val="24"/>
        </w:rPr>
        <w:t>lumacaftor</w:t>
      </w:r>
      <w:proofErr w:type="spellEnd"/>
      <w:r w:rsidRPr="00FD1925">
        <w:rPr>
          <w:rFonts w:asciiTheme="minorHAnsi" w:hAnsiTheme="minorHAnsi"/>
          <w:sz w:val="24"/>
          <w:szCs w:val="24"/>
        </w:rPr>
        <w:t>/</w:t>
      </w:r>
      <w:proofErr w:type="spellStart"/>
      <w:r w:rsidRPr="00FD1925">
        <w:rPr>
          <w:rFonts w:asciiTheme="minorHAnsi" w:hAnsiTheme="minorHAnsi"/>
          <w:sz w:val="24"/>
          <w:szCs w:val="24"/>
        </w:rPr>
        <w:t>ivacaftor</w:t>
      </w:r>
      <w:proofErr w:type="spellEnd"/>
      <w:r w:rsidRPr="00FD1925">
        <w:rPr>
          <w:rFonts w:asciiTheme="minorHAnsi" w:hAnsiTheme="minorHAnsi"/>
          <w:sz w:val="24"/>
          <w:szCs w:val="24"/>
        </w:rPr>
        <w:t xml:space="preserve"> treated patients was not statistically significantly different to the improvement observed in placebo treated patients. </w:t>
      </w:r>
      <w:r w:rsidR="000949E0" w:rsidRPr="00FD1925">
        <w:rPr>
          <w:rFonts w:asciiTheme="minorHAnsi" w:hAnsiTheme="minorHAnsi"/>
          <w:sz w:val="24"/>
          <w:szCs w:val="24"/>
        </w:rPr>
        <w:t xml:space="preserve">The final study report for the PROGRESS study (Version 1.0 25 October 2016) provides results for CFQ-R at each study visit (Figure </w:t>
      </w:r>
      <w:r w:rsidR="00BD3F35">
        <w:rPr>
          <w:rFonts w:asciiTheme="minorHAnsi" w:hAnsiTheme="minorHAnsi"/>
          <w:sz w:val="24"/>
          <w:szCs w:val="24"/>
        </w:rPr>
        <w:t>7</w:t>
      </w:r>
      <w:r w:rsidR="0073784D">
        <w:rPr>
          <w:rFonts w:asciiTheme="minorHAnsi" w:hAnsiTheme="minorHAnsi"/>
          <w:sz w:val="24"/>
          <w:szCs w:val="24"/>
        </w:rPr>
        <w:t>).</w:t>
      </w:r>
    </w:p>
    <w:p w:rsidR="00FD1925" w:rsidRPr="00FD1925" w:rsidRDefault="00FD1925" w:rsidP="000F4FC9">
      <w:pPr>
        <w:pStyle w:val="ListParagraph"/>
        <w:widowControl/>
        <w:numPr>
          <w:ilvl w:val="1"/>
          <w:numId w:val="3"/>
        </w:numPr>
        <w:spacing w:before="120" w:after="160"/>
        <w:contextualSpacing w:val="0"/>
        <w:rPr>
          <w:rFonts w:asciiTheme="minorHAnsi" w:hAnsiTheme="minorHAnsi"/>
          <w:sz w:val="24"/>
          <w:szCs w:val="24"/>
        </w:rPr>
      </w:pPr>
      <w:r w:rsidRPr="00FD1925">
        <w:rPr>
          <w:rFonts w:asciiTheme="minorHAnsi" w:hAnsiTheme="minorHAnsi"/>
          <w:sz w:val="24"/>
          <w:szCs w:val="24"/>
        </w:rPr>
        <w:t>The final study report for the PROGRESS study states that the minimum clinically important difference (MCID) for the CFQ-R respiratory domain score is considered to be 4 points. At Week 72 of the PROGRESS study, the LS mean absolute change in CFQ-R respiratory domain score was 5.7 points (P &lt;0.0001) for the L400q12h/I group</w:t>
      </w:r>
      <w:r w:rsidR="00BD3F35" w:rsidRPr="00BD3F35">
        <w:rPr>
          <w:rFonts w:asciiTheme="minorHAnsi" w:hAnsiTheme="minorHAnsi"/>
          <w:sz w:val="24"/>
          <w:szCs w:val="24"/>
        </w:rPr>
        <w:t xml:space="preserve"> (</w:t>
      </w:r>
      <w:r w:rsidR="00BD3F35">
        <w:rPr>
          <w:rFonts w:asciiTheme="minorHAnsi" w:hAnsiTheme="minorHAnsi"/>
          <w:sz w:val="24"/>
          <w:szCs w:val="24"/>
        </w:rPr>
        <w:t>c</w:t>
      </w:r>
      <w:r w:rsidR="00BD3F35" w:rsidRPr="00BD3F35">
        <w:rPr>
          <w:rFonts w:asciiTheme="minorHAnsi" w:hAnsiTheme="minorHAnsi"/>
          <w:sz w:val="24"/>
          <w:szCs w:val="24"/>
        </w:rPr>
        <w:t xml:space="preserve">ontinued </w:t>
      </w:r>
      <w:proofErr w:type="spellStart"/>
      <w:r w:rsidR="00BD3F35" w:rsidRPr="00BD3F35">
        <w:rPr>
          <w:rFonts w:asciiTheme="minorHAnsi" w:hAnsiTheme="minorHAnsi"/>
          <w:sz w:val="24"/>
          <w:szCs w:val="24"/>
        </w:rPr>
        <w:t>lumacaftor</w:t>
      </w:r>
      <w:proofErr w:type="spellEnd"/>
      <w:r w:rsidR="00BD3F35" w:rsidRPr="00BD3F35">
        <w:rPr>
          <w:rFonts w:asciiTheme="minorHAnsi" w:hAnsiTheme="minorHAnsi"/>
          <w:sz w:val="24"/>
          <w:szCs w:val="24"/>
        </w:rPr>
        <w:t>/</w:t>
      </w:r>
      <w:proofErr w:type="spellStart"/>
      <w:r w:rsidR="00BD3F35" w:rsidRPr="00BD3F35">
        <w:rPr>
          <w:rFonts w:asciiTheme="minorHAnsi" w:hAnsiTheme="minorHAnsi"/>
          <w:sz w:val="24"/>
          <w:szCs w:val="24"/>
        </w:rPr>
        <w:t>ivacaftor</w:t>
      </w:r>
      <w:proofErr w:type="spellEnd"/>
      <w:r w:rsidR="00BD3F35" w:rsidRPr="00BD3F35">
        <w:rPr>
          <w:rFonts w:asciiTheme="minorHAnsi" w:hAnsiTheme="minorHAnsi"/>
          <w:sz w:val="24"/>
          <w:szCs w:val="24"/>
        </w:rPr>
        <w:t>)</w:t>
      </w:r>
      <w:r w:rsidRPr="00BD3F35">
        <w:rPr>
          <w:rFonts w:asciiTheme="minorHAnsi" w:hAnsiTheme="minorHAnsi"/>
          <w:sz w:val="24"/>
          <w:szCs w:val="24"/>
        </w:rPr>
        <w:t xml:space="preserve"> and 3.3 points (P = 0.0124) for the P-L400q12h/I group</w:t>
      </w:r>
      <w:r w:rsidR="00BD3F35" w:rsidRPr="00BD3F35">
        <w:rPr>
          <w:rFonts w:asciiTheme="minorHAnsi" w:hAnsiTheme="minorHAnsi"/>
          <w:sz w:val="24"/>
          <w:szCs w:val="24"/>
        </w:rPr>
        <w:t xml:space="preserve"> (</w:t>
      </w:r>
      <w:r w:rsidR="00BD3F35">
        <w:rPr>
          <w:rFonts w:asciiTheme="minorHAnsi" w:hAnsiTheme="minorHAnsi"/>
          <w:sz w:val="24"/>
          <w:szCs w:val="24"/>
        </w:rPr>
        <w:t>p</w:t>
      </w:r>
      <w:r w:rsidR="00BD3F35" w:rsidRPr="00BD3F35">
        <w:rPr>
          <w:rFonts w:asciiTheme="minorHAnsi" w:hAnsiTheme="minorHAnsi"/>
          <w:sz w:val="24"/>
          <w:szCs w:val="24"/>
        </w:rPr>
        <w:t xml:space="preserve">lacebo transitioned to </w:t>
      </w:r>
      <w:proofErr w:type="spellStart"/>
      <w:r w:rsidR="00BD3F35" w:rsidRPr="00BD3F35">
        <w:rPr>
          <w:rFonts w:asciiTheme="minorHAnsi" w:hAnsiTheme="minorHAnsi"/>
          <w:sz w:val="24"/>
          <w:szCs w:val="24"/>
        </w:rPr>
        <w:t>lumacaftor</w:t>
      </w:r>
      <w:proofErr w:type="spellEnd"/>
      <w:r w:rsidR="00BD3F35" w:rsidRPr="00BD3F35">
        <w:rPr>
          <w:rFonts w:asciiTheme="minorHAnsi" w:hAnsiTheme="minorHAnsi"/>
          <w:sz w:val="24"/>
          <w:szCs w:val="24"/>
        </w:rPr>
        <w:t>/</w:t>
      </w:r>
      <w:proofErr w:type="spellStart"/>
      <w:r w:rsidR="00BD3F35" w:rsidRPr="00BD3F35">
        <w:rPr>
          <w:rFonts w:asciiTheme="minorHAnsi" w:hAnsiTheme="minorHAnsi"/>
          <w:sz w:val="24"/>
          <w:szCs w:val="24"/>
        </w:rPr>
        <w:t>ivacaftor</w:t>
      </w:r>
      <w:proofErr w:type="spellEnd"/>
      <w:r w:rsidR="00BD3F35" w:rsidRPr="00BD3F35">
        <w:rPr>
          <w:rFonts w:asciiTheme="minorHAnsi" w:hAnsiTheme="minorHAnsi"/>
          <w:sz w:val="24"/>
          <w:szCs w:val="24"/>
        </w:rPr>
        <w:t>)</w:t>
      </w:r>
      <w:r w:rsidRPr="00BD3F35">
        <w:rPr>
          <w:rFonts w:asciiTheme="minorHAnsi" w:hAnsiTheme="minorHAnsi"/>
          <w:sz w:val="24"/>
          <w:szCs w:val="24"/>
        </w:rPr>
        <w:t xml:space="preserve"> </w:t>
      </w:r>
      <w:r w:rsidRPr="00FD1925">
        <w:rPr>
          <w:rFonts w:asciiTheme="minorHAnsi" w:hAnsiTheme="minorHAnsi"/>
          <w:sz w:val="24"/>
          <w:szCs w:val="24"/>
        </w:rPr>
        <w:t>in the pr</w:t>
      </w:r>
      <w:r w:rsidR="0073784D">
        <w:rPr>
          <w:rFonts w:asciiTheme="minorHAnsi" w:hAnsiTheme="minorHAnsi"/>
          <w:sz w:val="24"/>
          <w:szCs w:val="24"/>
        </w:rPr>
        <w:t xml:space="preserve">imary in the primary </w:t>
      </w:r>
      <w:proofErr w:type="spellStart"/>
      <w:r w:rsidR="0073784D">
        <w:rPr>
          <w:rFonts w:asciiTheme="minorHAnsi" w:hAnsiTheme="minorHAnsi"/>
          <w:sz w:val="24"/>
          <w:szCs w:val="24"/>
        </w:rPr>
        <w:t>analysis.</w:t>
      </w:r>
      <w:r w:rsidRPr="00FD1925">
        <w:rPr>
          <w:rFonts w:asciiTheme="minorHAnsi" w:hAnsiTheme="minorHAnsi"/>
          <w:sz w:val="24"/>
          <w:szCs w:val="24"/>
        </w:rPr>
        <w:t>The</w:t>
      </w:r>
      <w:proofErr w:type="spellEnd"/>
      <w:r w:rsidRPr="00FD1925">
        <w:rPr>
          <w:rFonts w:asciiTheme="minorHAnsi" w:hAnsiTheme="minorHAnsi"/>
          <w:sz w:val="24"/>
          <w:szCs w:val="24"/>
        </w:rPr>
        <w:t xml:space="preserve"> improvement in CFQ-R was below the MCID of 4 points for both groups at 96 weeks.</w:t>
      </w:r>
    </w:p>
    <w:bookmarkEnd w:id="3"/>
    <w:p w:rsidR="00C0177A" w:rsidRDefault="00C0177A" w:rsidP="000F4FC9">
      <w:pPr>
        <w:pStyle w:val="ListParagraph"/>
        <w:widowControl/>
        <w:numPr>
          <w:ilvl w:val="1"/>
          <w:numId w:val="3"/>
        </w:numPr>
        <w:spacing w:before="120" w:after="160"/>
        <w:contextualSpacing w:val="0"/>
        <w:rPr>
          <w:rFonts w:asciiTheme="minorHAnsi" w:hAnsiTheme="minorHAnsi"/>
          <w:sz w:val="24"/>
          <w:szCs w:val="24"/>
        </w:rPr>
      </w:pPr>
      <w:r w:rsidRPr="00FD1925">
        <w:rPr>
          <w:rFonts w:asciiTheme="minorHAnsi" w:hAnsiTheme="minorHAnsi"/>
          <w:sz w:val="24"/>
          <w:szCs w:val="24"/>
        </w:rPr>
        <w:t xml:space="preserve">The absolute change from baseline in body mass index (BMI) continued to increase through to 96 weeks in PROGRESS in patients previously treated with both </w:t>
      </w:r>
      <w:proofErr w:type="spellStart"/>
      <w:r w:rsidRPr="00FD1925">
        <w:rPr>
          <w:rFonts w:asciiTheme="minorHAnsi" w:hAnsiTheme="minorHAnsi"/>
          <w:sz w:val="24"/>
          <w:szCs w:val="24"/>
        </w:rPr>
        <w:t>lumacaftor</w:t>
      </w:r>
      <w:proofErr w:type="spellEnd"/>
      <w:r w:rsidRPr="00FD1925">
        <w:rPr>
          <w:rFonts w:asciiTheme="minorHAnsi" w:hAnsiTheme="minorHAnsi"/>
          <w:sz w:val="24"/>
          <w:szCs w:val="24"/>
        </w:rPr>
        <w:t>/</w:t>
      </w:r>
      <w:proofErr w:type="spellStart"/>
      <w:r w:rsidRPr="00FD1925">
        <w:rPr>
          <w:rFonts w:asciiTheme="minorHAnsi" w:hAnsiTheme="minorHAnsi"/>
          <w:sz w:val="24"/>
          <w:szCs w:val="24"/>
        </w:rPr>
        <w:t>ivacaftor</w:t>
      </w:r>
      <w:proofErr w:type="spellEnd"/>
      <w:r w:rsidRPr="00FD1925">
        <w:rPr>
          <w:rFonts w:asciiTheme="minorHAnsi" w:hAnsiTheme="minorHAnsi"/>
          <w:sz w:val="24"/>
          <w:szCs w:val="24"/>
        </w:rPr>
        <w:t xml:space="preserve"> and placebo in TRAFFIC/TRANSPORT (see Table </w:t>
      </w:r>
      <w:r w:rsidR="0014569D">
        <w:rPr>
          <w:rFonts w:asciiTheme="minorHAnsi" w:hAnsiTheme="minorHAnsi"/>
          <w:sz w:val="24"/>
          <w:szCs w:val="24"/>
        </w:rPr>
        <w:t>4</w:t>
      </w:r>
      <w:r w:rsidR="00D7716A" w:rsidRPr="00FD1925">
        <w:rPr>
          <w:rFonts w:asciiTheme="minorHAnsi" w:hAnsiTheme="minorHAnsi"/>
          <w:sz w:val="24"/>
          <w:szCs w:val="24"/>
        </w:rPr>
        <w:t xml:space="preserve"> and Figure </w:t>
      </w:r>
      <w:r w:rsidR="00CC7B6E">
        <w:rPr>
          <w:rFonts w:asciiTheme="minorHAnsi" w:hAnsiTheme="minorHAnsi"/>
          <w:sz w:val="24"/>
          <w:szCs w:val="24"/>
        </w:rPr>
        <w:t>8</w:t>
      </w:r>
      <w:r w:rsidRPr="00FD1925">
        <w:rPr>
          <w:rFonts w:asciiTheme="minorHAnsi" w:hAnsiTheme="minorHAnsi"/>
          <w:sz w:val="24"/>
          <w:szCs w:val="24"/>
        </w:rPr>
        <w:t>).</w:t>
      </w:r>
      <w:bookmarkEnd w:id="4"/>
    </w:p>
    <w:p w:rsidR="00C0177A" w:rsidRPr="00226B30" w:rsidRDefault="00C0177A" w:rsidP="00C0177A">
      <w:pPr>
        <w:pStyle w:val="TableHeading0"/>
        <w:jc w:val="both"/>
      </w:pPr>
      <w:r w:rsidRPr="00226B30">
        <w:lastRenderedPageBreak/>
        <w:t xml:space="preserve">Table </w:t>
      </w:r>
      <w:r w:rsidR="00A360B2">
        <w:t>5</w:t>
      </w:r>
      <w:r w:rsidRPr="00226B30">
        <w:t>: Changes from baseline in CFQ-R respiratory domain score and BMI in TRAFFIC, TRANSPORT and PROGRESS</w:t>
      </w:r>
    </w:p>
    <w:tbl>
      <w:tblPr>
        <w:tblStyle w:val="newstyle3"/>
        <w:tblW w:w="5000" w:type="pct"/>
        <w:tblLayout w:type="fixed"/>
        <w:tblLook w:val="04A0" w:firstRow="1" w:lastRow="0" w:firstColumn="1" w:lastColumn="0" w:noHBand="0" w:noVBand="1"/>
        <w:tblCaption w:val="Table 5: Changes from baseline in CFQ-R respiratory domain score and BMI in TRAFFIC, TRANSPORT and PROGRESS"/>
      </w:tblPr>
      <w:tblGrid>
        <w:gridCol w:w="1540"/>
        <w:gridCol w:w="1863"/>
        <w:gridCol w:w="1907"/>
        <w:gridCol w:w="1861"/>
        <w:gridCol w:w="1865"/>
      </w:tblGrid>
      <w:tr w:rsidR="00C0177A" w:rsidRPr="00226B30" w:rsidTr="00190149">
        <w:trPr>
          <w:cnfStyle w:val="100000000000" w:firstRow="1" w:lastRow="0" w:firstColumn="0" w:lastColumn="0" w:oddVBand="0" w:evenVBand="0" w:oddHBand="0" w:evenHBand="0" w:firstRowFirstColumn="0" w:firstRowLastColumn="0" w:lastRowFirstColumn="0" w:lastRowLastColumn="0"/>
          <w:trHeight w:val="300"/>
        </w:trPr>
        <w:tc>
          <w:tcPr>
            <w:tcW w:w="852" w:type="pct"/>
            <w:vMerge w:val="restart"/>
            <w:shd w:val="clear" w:color="auto" w:fill="auto"/>
            <w:noWrap/>
            <w:hideMark/>
          </w:tcPr>
          <w:p w:rsidR="00C0177A" w:rsidRPr="00226B30" w:rsidRDefault="00C0177A" w:rsidP="00EA4224">
            <w:pPr>
              <w:keepNext/>
              <w:rPr>
                <w:rFonts w:ascii="Arial Narrow" w:hAnsi="Arial Narrow" w:cs="Calibri"/>
                <w:sz w:val="16"/>
                <w:szCs w:val="16"/>
              </w:rPr>
            </w:pPr>
            <w:r w:rsidRPr="00226B30">
              <w:rPr>
                <w:rFonts w:ascii="Arial Narrow" w:hAnsi="Arial Narrow" w:cs="Calibri"/>
                <w:sz w:val="16"/>
                <w:szCs w:val="16"/>
              </w:rPr>
              <w:t> </w:t>
            </w:r>
          </w:p>
        </w:tc>
        <w:tc>
          <w:tcPr>
            <w:tcW w:w="2086" w:type="pct"/>
            <w:gridSpan w:val="2"/>
            <w:shd w:val="clear" w:color="auto" w:fill="auto"/>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TRAFFIC or TRANSPORT</w:t>
            </w:r>
          </w:p>
        </w:tc>
        <w:tc>
          <w:tcPr>
            <w:tcW w:w="2062" w:type="pct"/>
            <w:gridSpan w:val="2"/>
            <w:shd w:val="clear" w:color="auto" w:fill="auto"/>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PROGRESS</w:t>
            </w:r>
          </w:p>
        </w:tc>
      </w:tr>
      <w:tr w:rsidR="00C0177A" w:rsidRPr="00226B30" w:rsidTr="00190149">
        <w:trPr>
          <w:cantSplit w:val="0"/>
          <w:trHeight w:val="463"/>
        </w:trPr>
        <w:tc>
          <w:tcPr>
            <w:tcW w:w="852" w:type="pct"/>
            <w:vMerge/>
            <w:shd w:val="clear" w:color="auto" w:fill="auto"/>
            <w:hideMark/>
          </w:tcPr>
          <w:p w:rsidR="00C0177A" w:rsidRPr="00226B30" w:rsidRDefault="00C0177A" w:rsidP="00EA4224">
            <w:pPr>
              <w:keepNext/>
              <w:rPr>
                <w:rFonts w:ascii="Arial Narrow" w:hAnsi="Arial Narrow" w:cs="Calibri"/>
                <w:sz w:val="16"/>
                <w:szCs w:val="16"/>
              </w:rPr>
            </w:pPr>
          </w:p>
        </w:tc>
        <w:tc>
          <w:tcPr>
            <w:tcW w:w="1031" w:type="pct"/>
            <w:shd w:val="clear" w:color="auto" w:fill="auto"/>
            <w:noWrap/>
            <w:hideMark/>
          </w:tcPr>
          <w:p w:rsidR="00C0177A" w:rsidRPr="00226B30" w:rsidRDefault="00C0177A" w:rsidP="00EA4224">
            <w:pPr>
              <w:keepNext/>
              <w:ind w:left="0" w:right="0"/>
              <w:jc w:val="center"/>
              <w:rPr>
                <w:rFonts w:ascii="Arial Narrow" w:eastAsia="Times New Roman" w:hAnsi="Arial Narrow"/>
                <w:b/>
                <w:sz w:val="20"/>
              </w:rPr>
            </w:pPr>
            <w:r w:rsidRPr="00226B30">
              <w:rPr>
                <w:rFonts w:ascii="Arial Narrow" w:eastAsia="Times New Roman" w:hAnsi="Arial Narrow"/>
                <w:b/>
                <w:sz w:val="20"/>
              </w:rPr>
              <w:t>Placebo (n=371)</w:t>
            </w:r>
          </w:p>
        </w:tc>
        <w:tc>
          <w:tcPr>
            <w:tcW w:w="1055" w:type="pct"/>
            <w:shd w:val="clear" w:color="auto" w:fill="auto"/>
            <w:hideMark/>
          </w:tcPr>
          <w:p w:rsidR="00C0177A" w:rsidRPr="00226B30" w:rsidRDefault="00C0177A" w:rsidP="00EA4224">
            <w:pPr>
              <w:keepNext/>
              <w:ind w:left="0" w:right="0"/>
              <w:jc w:val="center"/>
              <w:rPr>
                <w:rFonts w:ascii="Arial Narrow" w:eastAsia="Times New Roman" w:hAnsi="Arial Narrow"/>
                <w:b/>
                <w:sz w:val="20"/>
              </w:rPr>
            </w:pPr>
            <w:proofErr w:type="spellStart"/>
            <w:r w:rsidRPr="00226B30">
              <w:rPr>
                <w:rFonts w:ascii="Arial Narrow" w:eastAsia="Times New Roman" w:hAnsi="Arial Narrow"/>
                <w:b/>
                <w:sz w:val="20"/>
              </w:rPr>
              <w:t>Lumacaftor</w:t>
            </w:r>
            <w:proofErr w:type="spellEnd"/>
            <w:r w:rsidRPr="00226B30">
              <w:rPr>
                <w:rFonts w:ascii="Arial Narrow" w:eastAsia="Times New Roman" w:hAnsi="Arial Narrow"/>
                <w:b/>
                <w:sz w:val="20"/>
              </w:rPr>
              <w:t xml:space="preserve">/ </w:t>
            </w:r>
            <w:proofErr w:type="spellStart"/>
            <w:r w:rsidRPr="00226B30">
              <w:rPr>
                <w:rFonts w:ascii="Arial Narrow" w:eastAsia="Times New Roman" w:hAnsi="Arial Narrow"/>
                <w:b/>
                <w:sz w:val="20"/>
              </w:rPr>
              <w:t>ivacaftor</w:t>
            </w:r>
            <w:proofErr w:type="spellEnd"/>
            <w:r w:rsidRPr="00226B30">
              <w:rPr>
                <w:rFonts w:ascii="Arial Narrow" w:eastAsia="Times New Roman" w:hAnsi="Arial Narrow"/>
                <w:b/>
                <w:sz w:val="20"/>
              </w:rPr>
              <w:t xml:space="preserve"> (n=369)</w:t>
            </w:r>
          </w:p>
        </w:tc>
        <w:tc>
          <w:tcPr>
            <w:tcW w:w="1030" w:type="pct"/>
            <w:shd w:val="clear" w:color="auto" w:fill="auto"/>
            <w:hideMark/>
          </w:tcPr>
          <w:p w:rsidR="00C0177A" w:rsidRPr="00226B30" w:rsidRDefault="00C0177A" w:rsidP="00EA4224">
            <w:pPr>
              <w:keepNext/>
              <w:ind w:left="0" w:right="0"/>
              <w:jc w:val="center"/>
              <w:rPr>
                <w:rFonts w:ascii="Arial Narrow" w:eastAsia="Times New Roman" w:hAnsi="Arial Narrow"/>
                <w:b/>
                <w:sz w:val="20"/>
              </w:rPr>
            </w:pPr>
            <w:r w:rsidRPr="00226B30">
              <w:rPr>
                <w:rFonts w:ascii="Arial Narrow" w:eastAsia="Times New Roman" w:hAnsi="Arial Narrow"/>
                <w:b/>
                <w:sz w:val="20"/>
              </w:rPr>
              <w:t xml:space="preserve">Placebo transitioned to </w:t>
            </w:r>
            <w:proofErr w:type="spellStart"/>
            <w:r w:rsidRPr="00226B30">
              <w:rPr>
                <w:rFonts w:ascii="Arial Narrow" w:eastAsia="Times New Roman" w:hAnsi="Arial Narrow"/>
                <w:b/>
                <w:sz w:val="20"/>
              </w:rPr>
              <w:t>lumacaftor</w:t>
            </w:r>
            <w:proofErr w:type="spellEnd"/>
            <w:r w:rsidRPr="00226B30">
              <w:rPr>
                <w:rFonts w:ascii="Arial Narrow" w:eastAsia="Times New Roman" w:hAnsi="Arial Narrow"/>
                <w:b/>
                <w:sz w:val="20"/>
              </w:rPr>
              <w:t xml:space="preserve">/ </w:t>
            </w:r>
            <w:proofErr w:type="spellStart"/>
            <w:r w:rsidRPr="00226B30">
              <w:rPr>
                <w:rFonts w:ascii="Arial Narrow" w:eastAsia="Times New Roman" w:hAnsi="Arial Narrow"/>
                <w:b/>
                <w:sz w:val="20"/>
              </w:rPr>
              <w:t>ivacaftor</w:t>
            </w:r>
            <w:proofErr w:type="spellEnd"/>
            <w:r w:rsidRPr="00226B30">
              <w:rPr>
                <w:rFonts w:ascii="Arial Narrow" w:eastAsia="Times New Roman" w:hAnsi="Arial Narrow"/>
                <w:b/>
                <w:sz w:val="20"/>
              </w:rPr>
              <w:t xml:space="preserve"> (n=176)</w:t>
            </w:r>
          </w:p>
        </w:tc>
        <w:tc>
          <w:tcPr>
            <w:tcW w:w="1032" w:type="pct"/>
            <w:shd w:val="clear" w:color="auto" w:fill="auto"/>
            <w:hideMark/>
          </w:tcPr>
          <w:p w:rsidR="00C0177A" w:rsidRPr="00226B30" w:rsidRDefault="00C0177A" w:rsidP="00EA4224">
            <w:pPr>
              <w:keepNext/>
              <w:ind w:left="0" w:right="0"/>
              <w:jc w:val="center"/>
              <w:rPr>
                <w:rFonts w:ascii="Arial Narrow" w:eastAsia="Times New Roman" w:hAnsi="Arial Narrow"/>
                <w:b/>
                <w:sz w:val="20"/>
              </w:rPr>
            </w:pPr>
            <w:r w:rsidRPr="00226B30">
              <w:rPr>
                <w:rFonts w:ascii="Arial Narrow" w:eastAsia="Times New Roman" w:hAnsi="Arial Narrow"/>
                <w:b/>
                <w:sz w:val="20"/>
              </w:rPr>
              <w:t xml:space="preserve">Continued </w:t>
            </w:r>
            <w:proofErr w:type="spellStart"/>
            <w:r w:rsidRPr="00226B30">
              <w:rPr>
                <w:rFonts w:ascii="Arial Narrow" w:eastAsia="Times New Roman" w:hAnsi="Arial Narrow"/>
                <w:b/>
                <w:sz w:val="20"/>
              </w:rPr>
              <w:t>lumacaftor</w:t>
            </w:r>
            <w:proofErr w:type="spellEnd"/>
            <w:r w:rsidRPr="00226B30">
              <w:rPr>
                <w:rFonts w:ascii="Arial Narrow" w:eastAsia="Times New Roman" w:hAnsi="Arial Narrow"/>
                <w:b/>
                <w:sz w:val="20"/>
              </w:rPr>
              <w:t xml:space="preserve">/ </w:t>
            </w:r>
            <w:proofErr w:type="spellStart"/>
            <w:r w:rsidRPr="00226B30">
              <w:rPr>
                <w:rFonts w:ascii="Arial Narrow" w:eastAsia="Times New Roman" w:hAnsi="Arial Narrow"/>
                <w:b/>
                <w:sz w:val="20"/>
              </w:rPr>
              <w:t>ivacaftor</w:t>
            </w:r>
            <w:proofErr w:type="spellEnd"/>
            <w:r w:rsidRPr="00226B30">
              <w:rPr>
                <w:rFonts w:ascii="Arial Narrow" w:eastAsia="Times New Roman" w:hAnsi="Arial Narrow"/>
                <w:b/>
                <w:sz w:val="20"/>
              </w:rPr>
              <w:t xml:space="preserve"> (n=369)</w:t>
            </w:r>
          </w:p>
        </w:tc>
      </w:tr>
      <w:tr w:rsidR="00C0177A" w:rsidRPr="00226B30" w:rsidTr="00190149">
        <w:trPr>
          <w:cantSplit w:val="0"/>
          <w:trHeight w:val="20"/>
        </w:trPr>
        <w:tc>
          <w:tcPr>
            <w:tcW w:w="5000" w:type="pct"/>
            <w:gridSpan w:val="5"/>
            <w:noWrap/>
            <w:hideMark/>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b/>
                <w:sz w:val="20"/>
              </w:rPr>
              <w:t>Absolute change from baseline in CFQ-R respiratory domain score</w:t>
            </w:r>
            <w:r w:rsidRPr="00226B30">
              <w:rPr>
                <w:rFonts w:ascii="Arial Narrow" w:eastAsia="Times New Roman" w:hAnsi="Arial Narrow"/>
                <w:sz w:val="20"/>
              </w:rPr>
              <w:t>, least squares mean, 95% CI, (points), p value</w:t>
            </w:r>
            <w:r w:rsidRPr="00226B30">
              <w:rPr>
                <w:rFonts w:ascii="Arial Narrow" w:eastAsia="Times New Roman" w:hAnsi="Arial Narrow"/>
                <w:sz w:val="20"/>
                <w:vertAlign w:val="superscript"/>
              </w:rPr>
              <w:t>†</w:t>
            </w:r>
          </w:p>
        </w:tc>
      </w:tr>
      <w:tr w:rsidR="00C0177A" w:rsidRPr="00226B30" w:rsidTr="00190149">
        <w:trPr>
          <w:cantSplit w:val="0"/>
          <w:trHeight w:val="309"/>
        </w:trPr>
        <w:tc>
          <w:tcPr>
            <w:tcW w:w="852" w:type="pct"/>
            <w:noWrap/>
            <w:hideMark/>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Week 24</w:t>
            </w:r>
          </w:p>
        </w:tc>
        <w:tc>
          <w:tcPr>
            <w:tcW w:w="1031"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1.9 (0.3 to 3.5)</w:t>
            </w:r>
          </w:p>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p=0.0213</w:t>
            </w:r>
          </w:p>
        </w:tc>
        <w:tc>
          <w:tcPr>
            <w:tcW w:w="105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 xml:space="preserve">4.1 (2.5 to 5.7) </w:t>
            </w:r>
            <w:r w:rsidRPr="00226B30">
              <w:rPr>
                <w:rFonts w:ascii="Arial Narrow" w:eastAsia="Times New Roman" w:hAnsi="Arial Narrow"/>
                <w:sz w:val="20"/>
              </w:rPr>
              <w:br/>
              <w:t>p&lt;0.0001</w:t>
            </w:r>
          </w:p>
        </w:tc>
        <w:tc>
          <w:tcPr>
            <w:tcW w:w="1030"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2"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r>
      <w:tr w:rsidR="00C0177A" w:rsidRPr="00226B30" w:rsidTr="00190149">
        <w:trPr>
          <w:cantSplit w:val="0"/>
          <w:trHeight w:val="491"/>
        </w:trPr>
        <w:tc>
          <w:tcPr>
            <w:tcW w:w="852" w:type="pct"/>
            <w:noWrap/>
            <w:hideMark/>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Extension week 72</w:t>
            </w:r>
          </w:p>
        </w:tc>
        <w:tc>
          <w:tcPr>
            <w:tcW w:w="1031"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5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0"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 xml:space="preserve">3.3 (0.7 to 5.9) </w:t>
            </w:r>
            <w:r w:rsidRPr="00226B30">
              <w:rPr>
                <w:rFonts w:ascii="Arial Narrow" w:eastAsia="Times New Roman" w:hAnsi="Arial Narrow"/>
                <w:sz w:val="20"/>
              </w:rPr>
              <w:br/>
              <w:t>p=0.0124</w:t>
            </w:r>
          </w:p>
        </w:tc>
        <w:tc>
          <w:tcPr>
            <w:tcW w:w="1032"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5.7 (3.8 to 7.5)</w:t>
            </w:r>
            <w:r w:rsidRPr="00226B30">
              <w:rPr>
                <w:rFonts w:ascii="Arial Narrow" w:eastAsia="Times New Roman" w:hAnsi="Arial Narrow"/>
                <w:sz w:val="20"/>
              </w:rPr>
              <w:br/>
              <w:t>p&lt;0.0001</w:t>
            </w:r>
          </w:p>
        </w:tc>
      </w:tr>
      <w:tr w:rsidR="00C0177A" w:rsidRPr="00226B30" w:rsidTr="00190149">
        <w:trPr>
          <w:cantSplit w:val="0"/>
          <w:trHeight w:val="20"/>
        </w:trPr>
        <w:tc>
          <w:tcPr>
            <w:tcW w:w="852" w:type="pct"/>
            <w:noWrap/>
            <w:hideMark/>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Extension week 96</w:t>
            </w:r>
          </w:p>
        </w:tc>
        <w:tc>
          <w:tcPr>
            <w:tcW w:w="1031"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55"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0"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0.5 (–2.7 to 3.6) p=0.7665</w:t>
            </w:r>
          </w:p>
        </w:tc>
        <w:tc>
          <w:tcPr>
            <w:tcW w:w="1032" w:type="pct"/>
            <w:noWrap/>
            <w:hideMark/>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 xml:space="preserve">3.5 (1.3 to 5.8) </w:t>
            </w:r>
            <w:r w:rsidRPr="00226B30">
              <w:rPr>
                <w:rFonts w:ascii="Arial Narrow" w:eastAsia="Times New Roman" w:hAnsi="Arial Narrow"/>
                <w:sz w:val="20"/>
              </w:rPr>
              <w:br/>
              <w:t>p=0.0018</w:t>
            </w:r>
          </w:p>
        </w:tc>
      </w:tr>
      <w:tr w:rsidR="00C0177A" w:rsidRPr="00226B30" w:rsidTr="00190149">
        <w:trPr>
          <w:cantSplit w:val="0"/>
          <w:trHeight w:val="20"/>
        </w:trPr>
        <w:tc>
          <w:tcPr>
            <w:tcW w:w="5000" w:type="pct"/>
            <w:gridSpan w:val="5"/>
            <w:noWrap/>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b/>
                <w:sz w:val="20"/>
              </w:rPr>
              <w:t>Absolute change from baseline in body-mass index</w:t>
            </w:r>
            <w:r w:rsidRPr="00226B30">
              <w:rPr>
                <w:rFonts w:ascii="Arial Narrow" w:eastAsia="Times New Roman" w:hAnsi="Arial Narrow"/>
                <w:sz w:val="20"/>
              </w:rPr>
              <w:t>, least squares mean, 95% CI, (kg/m</w:t>
            </w:r>
            <w:r w:rsidRPr="00226B30">
              <w:rPr>
                <w:rFonts w:ascii="Arial Narrow" w:eastAsia="Times New Roman" w:hAnsi="Arial Narrow"/>
                <w:sz w:val="20"/>
                <w:vertAlign w:val="superscript"/>
              </w:rPr>
              <w:t>2</w:t>
            </w:r>
            <w:r w:rsidRPr="00226B30">
              <w:rPr>
                <w:rFonts w:ascii="Arial Narrow" w:eastAsia="Times New Roman" w:hAnsi="Arial Narrow"/>
                <w:sz w:val="20"/>
              </w:rPr>
              <w:t>), p value†</w:t>
            </w:r>
          </w:p>
        </w:tc>
      </w:tr>
      <w:tr w:rsidR="00C0177A" w:rsidRPr="00226B30" w:rsidTr="00190149">
        <w:trPr>
          <w:cantSplit w:val="0"/>
          <w:trHeight w:val="310"/>
        </w:trPr>
        <w:tc>
          <w:tcPr>
            <w:tcW w:w="852" w:type="pct"/>
            <w:noWrap/>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Week 24</w:t>
            </w:r>
          </w:p>
        </w:tc>
        <w:tc>
          <w:tcPr>
            <w:tcW w:w="1031"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0.13 (0.04 to 0.23)</w:t>
            </w:r>
            <w:r w:rsidRPr="00226B30">
              <w:rPr>
                <w:rFonts w:ascii="Arial Narrow" w:eastAsia="Times New Roman" w:hAnsi="Arial Narrow"/>
                <w:sz w:val="20"/>
              </w:rPr>
              <w:br/>
              <w:t>p=0.0066</w:t>
            </w:r>
          </w:p>
        </w:tc>
        <w:tc>
          <w:tcPr>
            <w:tcW w:w="1055"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0.37 (0.28 to 0.47)</w:t>
            </w:r>
            <w:r w:rsidRPr="00226B30">
              <w:rPr>
                <w:rFonts w:ascii="Arial Narrow" w:eastAsia="Times New Roman" w:hAnsi="Arial Narrow"/>
                <w:sz w:val="20"/>
              </w:rPr>
              <w:br/>
              <w:t>p&lt;0.0001</w:t>
            </w:r>
          </w:p>
        </w:tc>
        <w:tc>
          <w:tcPr>
            <w:tcW w:w="1030"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2"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r>
      <w:tr w:rsidR="00C0177A" w:rsidRPr="00226B30" w:rsidTr="00190149">
        <w:trPr>
          <w:cantSplit w:val="0"/>
          <w:trHeight w:val="20"/>
        </w:trPr>
        <w:tc>
          <w:tcPr>
            <w:tcW w:w="852" w:type="pct"/>
            <w:noWrap/>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Extension week 72</w:t>
            </w:r>
          </w:p>
        </w:tc>
        <w:tc>
          <w:tcPr>
            <w:tcW w:w="1031"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55"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0"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0.62 (0.45 to 0.79) p&lt;0.0001</w:t>
            </w:r>
          </w:p>
        </w:tc>
        <w:tc>
          <w:tcPr>
            <w:tcW w:w="1032"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0.69 (0.56 to 0.81)</w:t>
            </w:r>
            <w:r w:rsidRPr="00226B30">
              <w:rPr>
                <w:rFonts w:ascii="Arial Narrow" w:eastAsia="Times New Roman" w:hAnsi="Arial Narrow"/>
                <w:sz w:val="20"/>
              </w:rPr>
              <w:br/>
              <w:t>p&lt;0.0001</w:t>
            </w:r>
          </w:p>
        </w:tc>
      </w:tr>
      <w:tr w:rsidR="00C0177A" w:rsidRPr="00226B30" w:rsidTr="00190149">
        <w:trPr>
          <w:cantSplit w:val="0"/>
          <w:trHeight w:val="20"/>
        </w:trPr>
        <w:tc>
          <w:tcPr>
            <w:tcW w:w="852" w:type="pct"/>
            <w:noWrap/>
          </w:tcPr>
          <w:p w:rsidR="00C0177A" w:rsidRPr="00226B30" w:rsidRDefault="00C0177A" w:rsidP="00EA4224">
            <w:pPr>
              <w:keepNext/>
              <w:ind w:left="0" w:right="0"/>
              <w:rPr>
                <w:rFonts w:ascii="Arial Narrow" w:eastAsia="Times New Roman" w:hAnsi="Arial Narrow"/>
                <w:sz w:val="20"/>
              </w:rPr>
            </w:pPr>
            <w:r w:rsidRPr="00226B30">
              <w:rPr>
                <w:rFonts w:ascii="Arial Narrow" w:eastAsia="Times New Roman" w:hAnsi="Arial Narrow"/>
                <w:sz w:val="20"/>
              </w:rPr>
              <w:t>Extension week 96</w:t>
            </w:r>
          </w:p>
        </w:tc>
        <w:tc>
          <w:tcPr>
            <w:tcW w:w="1031"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55"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0"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0.76 (0.56 to 0.97) p&lt;0.0001</w:t>
            </w:r>
          </w:p>
        </w:tc>
        <w:tc>
          <w:tcPr>
            <w:tcW w:w="1032" w:type="pct"/>
            <w:noWrap/>
          </w:tcPr>
          <w:p w:rsidR="00C0177A" w:rsidRPr="00226B30" w:rsidRDefault="00C0177A" w:rsidP="00EA4224">
            <w:pPr>
              <w:keepNext/>
              <w:ind w:left="0" w:right="0"/>
              <w:jc w:val="center"/>
              <w:rPr>
                <w:rFonts w:ascii="Arial Narrow" w:eastAsia="Times New Roman" w:hAnsi="Arial Narrow"/>
                <w:sz w:val="20"/>
              </w:rPr>
            </w:pPr>
            <w:r w:rsidRPr="00226B30">
              <w:rPr>
                <w:rFonts w:ascii="Arial Narrow" w:eastAsia="Times New Roman" w:hAnsi="Arial Narrow"/>
                <w:sz w:val="20"/>
              </w:rPr>
              <w:t>0.96 (0.81 to 1.11) p&lt;0.0001</w:t>
            </w:r>
          </w:p>
        </w:tc>
      </w:tr>
    </w:tbl>
    <w:p w:rsidR="00C0177A" w:rsidRPr="00226B30" w:rsidRDefault="00C0177A" w:rsidP="00C0177A">
      <w:pPr>
        <w:pStyle w:val="Tablefooter8pt"/>
        <w:rPr>
          <w:rFonts w:eastAsia="Calibri"/>
          <w:lang w:eastAsia="zh-CN"/>
        </w:rPr>
      </w:pPr>
      <w:r w:rsidRPr="00226B30">
        <w:rPr>
          <w:rFonts w:eastAsia="Calibri"/>
          <w:lang w:eastAsia="zh-CN"/>
        </w:rPr>
        <w:t>Source: Table B.7-11 and B.7-12, page 129 and 131 July 2017 resubmission.</w:t>
      </w:r>
    </w:p>
    <w:p w:rsidR="00C0177A" w:rsidRPr="00226B30" w:rsidRDefault="00C0177A" w:rsidP="00C0177A">
      <w:pPr>
        <w:pStyle w:val="Tablefooter8pt"/>
        <w:rPr>
          <w:rFonts w:eastAsia="Calibri"/>
          <w:lang w:eastAsia="zh-CN"/>
        </w:rPr>
      </w:pPr>
      <w:r w:rsidRPr="00226B30">
        <w:rPr>
          <w:rFonts w:eastAsia="Calibri"/>
          <w:lang w:eastAsia="zh-CN"/>
        </w:rPr>
        <w:t>Abbreviations: CFQ-R = Cystic Fibrosis Questionnaire-Revised; CI = confidence interval.</w:t>
      </w:r>
    </w:p>
    <w:p w:rsidR="00C0177A" w:rsidRPr="00226B30" w:rsidRDefault="00C0177A" w:rsidP="00C0177A">
      <w:pPr>
        <w:pStyle w:val="Tablefooter8pt"/>
        <w:rPr>
          <w:rFonts w:eastAsia="Calibri"/>
          <w:lang w:eastAsia="zh-CN"/>
        </w:rPr>
      </w:pPr>
      <w:r w:rsidRPr="00226B30">
        <w:rPr>
          <w:rFonts w:eastAsia="Calibri"/>
          <w:lang w:eastAsia="zh-CN"/>
        </w:rPr>
        <w:t xml:space="preserve">†For the placebo and </w:t>
      </w:r>
      <w:proofErr w:type="spellStart"/>
      <w:r w:rsidRPr="00226B30">
        <w:rPr>
          <w:rFonts w:eastAsia="Calibri"/>
          <w:lang w:eastAsia="zh-CN"/>
        </w:rPr>
        <w:t>lumacaftor</w:t>
      </w:r>
      <w:proofErr w:type="spellEnd"/>
      <w:r w:rsidRPr="00226B30">
        <w:rPr>
          <w:rFonts w:eastAsia="Calibri"/>
          <w:lang w:eastAsia="zh-CN"/>
        </w:rPr>
        <w:t>/</w:t>
      </w:r>
      <w:proofErr w:type="spellStart"/>
      <w:r w:rsidRPr="00226B30">
        <w:rPr>
          <w:rFonts w:eastAsia="Calibri"/>
          <w:lang w:eastAsia="zh-CN"/>
        </w:rPr>
        <w:t>ivacaftor</w:t>
      </w:r>
      <w:proofErr w:type="spellEnd"/>
      <w:r w:rsidRPr="00226B30">
        <w:rPr>
          <w:rFonts w:eastAsia="Calibri"/>
          <w:lang w:eastAsia="zh-CN"/>
        </w:rPr>
        <w:t xml:space="preserve"> groups, baseline from TRAFFIC or TRANSPORT was used; for the placebo transitioned to </w:t>
      </w:r>
      <w:proofErr w:type="spellStart"/>
      <w:r w:rsidRPr="00226B30">
        <w:rPr>
          <w:rFonts w:eastAsia="Calibri"/>
          <w:lang w:eastAsia="zh-CN"/>
        </w:rPr>
        <w:t>lumacaftor</w:t>
      </w:r>
      <w:proofErr w:type="spellEnd"/>
      <w:r w:rsidRPr="00226B30">
        <w:rPr>
          <w:rFonts w:eastAsia="Calibri"/>
          <w:lang w:eastAsia="zh-CN"/>
        </w:rPr>
        <w:t>/</w:t>
      </w:r>
      <w:proofErr w:type="spellStart"/>
      <w:r w:rsidRPr="00226B30">
        <w:rPr>
          <w:rFonts w:eastAsia="Calibri"/>
          <w:lang w:eastAsia="zh-CN"/>
        </w:rPr>
        <w:t>ivacaftor</w:t>
      </w:r>
      <w:proofErr w:type="spellEnd"/>
      <w:r w:rsidRPr="00226B30">
        <w:rPr>
          <w:rFonts w:eastAsia="Calibri"/>
          <w:lang w:eastAsia="zh-CN"/>
        </w:rPr>
        <w:t xml:space="preserve"> group, baseline from PROGRESS was used. All p values (including for TRAFFIC or TRANSPORT data) are within treatment. </w:t>
      </w:r>
    </w:p>
    <w:p w:rsidR="00C0177A" w:rsidRDefault="00C0177A" w:rsidP="00C0177A">
      <w:pPr>
        <w:pStyle w:val="Tablefooter8pt"/>
        <w:spacing w:after="120"/>
        <w:rPr>
          <w:rFonts w:eastAsia="Calibri"/>
          <w:lang w:eastAsia="zh-CN"/>
        </w:rPr>
      </w:pPr>
      <w:r w:rsidRPr="00226B30">
        <w:rPr>
          <w:rFonts w:eastAsia="Calibri"/>
          <w:lang w:eastAsia="zh-CN"/>
        </w:rPr>
        <w:t>All p values (including for TRAFFIC or TRANSPORT data) are within treatment.</w:t>
      </w:r>
    </w:p>
    <w:p w:rsidR="00912ED1" w:rsidRDefault="00912ED1" w:rsidP="00D7716A">
      <w:pPr>
        <w:keepNext/>
        <w:rPr>
          <w:rFonts w:ascii="Arial Narrow" w:hAnsi="Arial Narrow"/>
          <w:b/>
          <w:sz w:val="20"/>
        </w:rPr>
      </w:pPr>
    </w:p>
    <w:p w:rsidR="00D7716A" w:rsidRDefault="00D7716A" w:rsidP="00D7716A">
      <w:pPr>
        <w:keepNext/>
        <w:rPr>
          <w:rFonts w:ascii="Arial Narrow" w:hAnsi="Arial Narrow"/>
          <w:b/>
          <w:sz w:val="20"/>
        </w:rPr>
      </w:pPr>
      <w:r>
        <w:rPr>
          <w:rFonts w:ascii="Arial Narrow" w:hAnsi="Arial Narrow"/>
          <w:b/>
          <w:sz w:val="20"/>
        </w:rPr>
        <w:t xml:space="preserve">Figure </w:t>
      </w:r>
      <w:r w:rsidR="00CC7B6E">
        <w:rPr>
          <w:rFonts w:ascii="Arial Narrow" w:hAnsi="Arial Narrow"/>
          <w:b/>
          <w:sz w:val="20"/>
        </w:rPr>
        <w:t>7:</w:t>
      </w:r>
      <w:r w:rsidRPr="00566EBF">
        <w:rPr>
          <w:rFonts w:ascii="Arial Narrow" w:hAnsi="Arial Narrow"/>
          <w:b/>
          <w:sz w:val="20"/>
        </w:rPr>
        <w:t xml:space="preserve"> </w:t>
      </w:r>
      <w:r>
        <w:rPr>
          <w:rFonts w:ascii="Arial Narrow" w:hAnsi="Arial Narrow"/>
          <w:b/>
          <w:sz w:val="20"/>
        </w:rPr>
        <w:t xml:space="preserve">Absolute change in CFQ-R Respiratory Domain Score, Study 105 </w:t>
      </w:r>
    </w:p>
    <w:p w:rsidR="00D7716A" w:rsidRPr="006B7126" w:rsidRDefault="00D7716A" w:rsidP="00D7716A">
      <w:pPr>
        <w:keepNext/>
        <w:rPr>
          <w:rFonts w:ascii="Arial Narrow" w:hAnsi="Arial Narrow"/>
          <w:sz w:val="20"/>
        </w:rPr>
      </w:pPr>
      <w:r>
        <w:rPr>
          <w:rFonts w:ascii="Arial Narrow" w:hAnsi="Arial Narrow"/>
          <w:noProof/>
          <w:sz w:val="20"/>
        </w:rPr>
        <w:drawing>
          <wp:inline distT="0" distB="0" distL="0" distR="0" wp14:anchorId="367E168F" wp14:editId="1E3438D4">
            <wp:extent cx="5689482" cy="3038475"/>
            <wp:effectExtent l="0" t="0" r="6985" b="0"/>
            <wp:docPr id="4" name="Picture 4" title="Figure 7: Absolute change in CFQ-R Respiratory Domain Score, Study 1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6536" cy="3052923"/>
                    </a:xfrm>
                    <a:prstGeom prst="rect">
                      <a:avLst/>
                    </a:prstGeom>
                    <a:noFill/>
                  </pic:spPr>
                </pic:pic>
              </a:graphicData>
            </a:graphic>
          </wp:inline>
        </w:drawing>
      </w:r>
    </w:p>
    <w:p w:rsidR="00D7716A" w:rsidRPr="008706C8" w:rsidRDefault="00D7716A" w:rsidP="00D7716A">
      <w:pPr>
        <w:rPr>
          <w:rFonts w:ascii="Arial Narrow" w:hAnsi="Arial Narrow"/>
          <w:sz w:val="18"/>
          <w:szCs w:val="18"/>
        </w:rPr>
      </w:pPr>
      <w:r w:rsidRPr="008706C8">
        <w:rPr>
          <w:rFonts w:ascii="Arial Narrow" w:hAnsi="Arial Narrow"/>
          <w:sz w:val="18"/>
          <w:szCs w:val="18"/>
        </w:rPr>
        <w:t>Source: Prepared during the evaluation from data as specified in the Table Annexe (Table 9).</w:t>
      </w:r>
    </w:p>
    <w:p w:rsidR="00D7716A" w:rsidRPr="008706C8" w:rsidRDefault="00D7716A" w:rsidP="00D7716A">
      <w:pPr>
        <w:rPr>
          <w:rFonts w:ascii="Arial Narrow" w:hAnsi="Arial Narrow"/>
          <w:sz w:val="18"/>
          <w:szCs w:val="18"/>
        </w:rPr>
      </w:pPr>
      <w:r w:rsidRPr="008706C8">
        <w:rPr>
          <w:rFonts w:ascii="Arial Narrow" w:hAnsi="Arial Narrow"/>
          <w:sz w:val="18"/>
          <w:szCs w:val="18"/>
        </w:rPr>
        <w:t>Abbreviations: CFQ-R=Cystic Fibrosis Questionnaire-Revised; CI=confidence intervals; Ext=extension; LS=least squares.</w:t>
      </w:r>
    </w:p>
    <w:p w:rsidR="00D7716A" w:rsidRDefault="00D7716A" w:rsidP="00C0177A">
      <w:pPr>
        <w:pStyle w:val="Tablefooter8pt"/>
        <w:spacing w:after="120"/>
        <w:rPr>
          <w:rFonts w:eastAsia="Calibri"/>
          <w:lang w:eastAsia="zh-CN"/>
        </w:rPr>
      </w:pPr>
    </w:p>
    <w:p w:rsidR="00D7716A" w:rsidRDefault="00D7716A" w:rsidP="00D7716A">
      <w:pPr>
        <w:keepNext/>
        <w:rPr>
          <w:rFonts w:ascii="Arial Narrow" w:hAnsi="Arial Narrow"/>
          <w:b/>
          <w:sz w:val="20"/>
        </w:rPr>
      </w:pPr>
      <w:r>
        <w:rPr>
          <w:rFonts w:ascii="Arial Narrow" w:hAnsi="Arial Narrow"/>
          <w:b/>
          <w:sz w:val="20"/>
        </w:rPr>
        <w:t xml:space="preserve">Figure </w:t>
      </w:r>
      <w:r w:rsidR="00CC7B6E">
        <w:rPr>
          <w:rFonts w:ascii="Arial Narrow" w:hAnsi="Arial Narrow"/>
          <w:b/>
          <w:sz w:val="20"/>
        </w:rPr>
        <w:t>8:</w:t>
      </w:r>
      <w:r>
        <w:rPr>
          <w:rFonts w:ascii="Arial Narrow" w:hAnsi="Arial Narrow"/>
          <w:b/>
          <w:sz w:val="20"/>
        </w:rPr>
        <w:t xml:space="preserve"> Absolute change in BMI (kg/m</w:t>
      </w:r>
      <w:r>
        <w:rPr>
          <w:rFonts w:ascii="Arial Narrow" w:hAnsi="Arial Narrow"/>
          <w:b/>
          <w:sz w:val="20"/>
          <w:vertAlign w:val="superscript"/>
        </w:rPr>
        <w:t>2</w:t>
      </w:r>
      <w:r>
        <w:rPr>
          <w:rFonts w:ascii="Arial Narrow" w:hAnsi="Arial Narrow"/>
          <w:b/>
          <w:sz w:val="20"/>
        </w:rPr>
        <w:t xml:space="preserve">) Study 105 </w:t>
      </w:r>
    </w:p>
    <w:p w:rsidR="00D7716A" w:rsidRDefault="00D7716A" w:rsidP="00D7716A">
      <w:pPr>
        <w:keepNext/>
        <w:rPr>
          <w:rFonts w:ascii="Arial Narrow" w:hAnsi="Arial Narrow"/>
          <w:sz w:val="20"/>
        </w:rPr>
      </w:pPr>
      <w:r>
        <w:rPr>
          <w:rFonts w:ascii="Arial Narrow" w:hAnsi="Arial Narrow"/>
          <w:noProof/>
          <w:sz w:val="20"/>
        </w:rPr>
        <w:drawing>
          <wp:inline distT="0" distB="0" distL="0" distR="0" wp14:anchorId="04A02638" wp14:editId="0EE6EC57">
            <wp:extent cx="5678774" cy="3333750"/>
            <wp:effectExtent l="0" t="0" r="0" b="0"/>
            <wp:docPr id="8" name="Picture 8" title="Figure 8: Absolute change in BMI (kg/m2) Study 1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1457" cy="3341196"/>
                    </a:xfrm>
                    <a:prstGeom prst="rect">
                      <a:avLst/>
                    </a:prstGeom>
                    <a:noFill/>
                  </pic:spPr>
                </pic:pic>
              </a:graphicData>
            </a:graphic>
          </wp:inline>
        </w:drawing>
      </w:r>
    </w:p>
    <w:p w:rsidR="00D7716A" w:rsidRPr="008706C8" w:rsidRDefault="00D7716A" w:rsidP="00D7716A">
      <w:pPr>
        <w:rPr>
          <w:rFonts w:ascii="Arial Narrow" w:hAnsi="Arial Narrow"/>
          <w:sz w:val="18"/>
          <w:szCs w:val="18"/>
        </w:rPr>
      </w:pPr>
      <w:r w:rsidRPr="008706C8">
        <w:rPr>
          <w:rFonts w:ascii="Arial Narrow" w:hAnsi="Arial Narrow"/>
          <w:sz w:val="18"/>
          <w:szCs w:val="18"/>
        </w:rPr>
        <w:t>Source: Prepared during the evaluation from data as specified in the Table Annexe (Table8).</w:t>
      </w:r>
    </w:p>
    <w:p w:rsidR="00D7716A" w:rsidRPr="008706C8" w:rsidRDefault="00D7716A" w:rsidP="00D7716A">
      <w:pPr>
        <w:rPr>
          <w:rFonts w:ascii="Arial Narrow" w:hAnsi="Arial Narrow"/>
          <w:sz w:val="18"/>
          <w:szCs w:val="18"/>
        </w:rPr>
      </w:pPr>
      <w:r w:rsidRPr="008706C8">
        <w:rPr>
          <w:rFonts w:ascii="Arial Narrow" w:hAnsi="Arial Narrow"/>
          <w:sz w:val="18"/>
          <w:szCs w:val="18"/>
        </w:rPr>
        <w:t>Abbreviations: BMI=body mass index; CI=confidence intervals; Ext=extension; LS=least squares; kg=kilograms.</w:t>
      </w:r>
    </w:p>
    <w:p w:rsidR="00D7716A" w:rsidRPr="00226B30" w:rsidRDefault="00D7716A" w:rsidP="00C0177A">
      <w:pPr>
        <w:pStyle w:val="Tablefooter8pt"/>
        <w:spacing w:after="120"/>
        <w:rPr>
          <w:rFonts w:eastAsia="Calibri"/>
          <w:lang w:eastAsia="zh-CN"/>
        </w:rPr>
      </w:pPr>
    </w:p>
    <w:p w:rsidR="00C0177A" w:rsidRPr="00226B30" w:rsidRDefault="00C0177A" w:rsidP="000F4FC9">
      <w:pPr>
        <w:pStyle w:val="ListParagraph"/>
        <w:widowControl/>
        <w:numPr>
          <w:ilvl w:val="1"/>
          <w:numId w:val="3"/>
        </w:numPr>
        <w:spacing w:before="120" w:after="160"/>
        <w:contextualSpacing w:val="0"/>
        <w:rPr>
          <w:rFonts w:asciiTheme="minorHAnsi" w:hAnsiTheme="minorHAnsi"/>
          <w:sz w:val="24"/>
          <w:lang w:val="en-US"/>
        </w:rPr>
      </w:pPr>
      <w:r w:rsidRPr="00226B30">
        <w:rPr>
          <w:rFonts w:asciiTheme="minorHAnsi" w:hAnsiTheme="minorHAnsi"/>
          <w:sz w:val="24"/>
          <w:lang w:val="en-US"/>
        </w:rPr>
        <w:t xml:space="preserve">The </w:t>
      </w:r>
      <w:r w:rsidR="00D7716A">
        <w:rPr>
          <w:rFonts w:asciiTheme="minorHAnsi" w:hAnsiTheme="minorHAnsi"/>
          <w:sz w:val="24"/>
          <w:lang w:val="en-US"/>
        </w:rPr>
        <w:t xml:space="preserve">July 2017 </w:t>
      </w:r>
      <w:r w:rsidRPr="00226B30">
        <w:rPr>
          <w:rFonts w:asciiTheme="minorHAnsi" w:hAnsiTheme="minorHAnsi"/>
          <w:sz w:val="24"/>
          <w:lang w:val="en-US"/>
        </w:rPr>
        <w:t>resubmission claimed that the new longer-term efficacy data from PROGRESS demonstrated sustained improvements in key CF treatment outcomes that are associated with prolongation of life. Despite the progressive nature of CF, mean pp</w:t>
      </w:r>
      <w:r w:rsidRPr="00226B30">
        <w:rPr>
          <w:rFonts w:asciiTheme="minorHAnsi" w:hAnsiTheme="minorHAnsi"/>
          <w:sz w:val="24"/>
          <w:szCs w:val="24"/>
        </w:rPr>
        <w:t>FEV</w:t>
      </w:r>
      <w:r w:rsidRPr="00226B30">
        <w:rPr>
          <w:rFonts w:asciiTheme="minorHAnsi" w:hAnsiTheme="minorHAnsi"/>
          <w:sz w:val="24"/>
          <w:szCs w:val="24"/>
          <w:vertAlign w:val="subscript"/>
        </w:rPr>
        <w:t>1</w:t>
      </w:r>
      <w:r w:rsidRPr="00226B30">
        <w:rPr>
          <w:rFonts w:asciiTheme="minorHAnsi" w:hAnsiTheme="minorHAnsi"/>
          <w:sz w:val="24"/>
          <w:lang w:val="en-US"/>
        </w:rPr>
        <w:t xml:space="preserve"> remained above the pretreatment baseline after up to 120 weeks of cumulative exposure to </w:t>
      </w:r>
      <w:proofErr w:type="spellStart"/>
      <w:r w:rsidRPr="00226B30">
        <w:rPr>
          <w:rFonts w:asciiTheme="minorHAnsi" w:hAnsiTheme="minorHAnsi"/>
          <w:sz w:val="24"/>
          <w:lang w:val="en-US"/>
        </w:rPr>
        <w:t>lumacaftor</w:t>
      </w:r>
      <w:proofErr w:type="spellEnd"/>
      <w:r w:rsidRPr="00226B30">
        <w:rPr>
          <w:rFonts w:asciiTheme="minorHAnsi" w:hAnsiTheme="minorHAnsi"/>
          <w:sz w:val="24"/>
          <w:lang w:val="en-US"/>
        </w:rPr>
        <w:t>/</w:t>
      </w:r>
      <w:proofErr w:type="spellStart"/>
      <w:r w:rsidRPr="00226B30">
        <w:rPr>
          <w:rFonts w:asciiTheme="minorHAnsi" w:hAnsiTheme="minorHAnsi"/>
          <w:sz w:val="24"/>
          <w:lang w:val="en-US"/>
        </w:rPr>
        <w:t>ivacaftor</w:t>
      </w:r>
      <w:proofErr w:type="spellEnd"/>
      <w:r w:rsidRPr="00226B30">
        <w:rPr>
          <w:rFonts w:asciiTheme="minorHAnsi" w:hAnsiTheme="minorHAnsi"/>
          <w:sz w:val="24"/>
          <w:lang w:val="en-US"/>
        </w:rPr>
        <w:t xml:space="preserve"> (although this difference was not statistically significant). The resubmission also claimed that the sustained benefits on PE rates and patient-reported respiratory symptoms</w:t>
      </w:r>
      <w:r>
        <w:rPr>
          <w:rFonts w:asciiTheme="minorHAnsi" w:hAnsiTheme="minorHAnsi"/>
          <w:sz w:val="24"/>
          <w:lang w:val="en-US"/>
        </w:rPr>
        <w:t>,</w:t>
      </w:r>
      <w:r w:rsidRPr="00226B30">
        <w:rPr>
          <w:rFonts w:asciiTheme="minorHAnsi" w:hAnsiTheme="minorHAnsi"/>
          <w:sz w:val="24"/>
          <w:lang w:val="en-US"/>
        </w:rPr>
        <w:t xml:space="preserve"> together with continued improvement in nutritional status</w:t>
      </w:r>
      <w:r>
        <w:rPr>
          <w:rFonts w:asciiTheme="minorHAnsi" w:hAnsiTheme="minorHAnsi"/>
          <w:sz w:val="24"/>
          <w:lang w:val="en-US"/>
        </w:rPr>
        <w:t>,</w:t>
      </w:r>
      <w:r w:rsidRPr="00226B30">
        <w:rPr>
          <w:rFonts w:asciiTheme="minorHAnsi" w:hAnsiTheme="minorHAnsi"/>
          <w:sz w:val="24"/>
          <w:lang w:val="en-US"/>
        </w:rPr>
        <w:t xml:space="preserve"> showed that </w:t>
      </w:r>
      <w:proofErr w:type="spellStart"/>
      <w:r w:rsidRPr="00226B30">
        <w:rPr>
          <w:rFonts w:asciiTheme="minorHAnsi" w:hAnsiTheme="minorHAnsi"/>
          <w:sz w:val="24"/>
          <w:lang w:val="en-US"/>
        </w:rPr>
        <w:t>lumacaftor</w:t>
      </w:r>
      <w:proofErr w:type="spellEnd"/>
      <w:r w:rsidRPr="00226B30">
        <w:rPr>
          <w:rFonts w:asciiTheme="minorHAnsi" w:hAnsiTheme="minorHAnsi"/>
          <w:sz w:val="24"/>
          <w:lang w:val="en-US"/>
        </w:rPr>
        <w:t>/</w:t>
      </w:r>
      <w:proofErr w:type="spellStart"/>
      <w:r w:rsidRPr="00226B30">
        <w:rPr>
          <w:rFonts w:asciiTheme="minorHAnsi" w:hAnsiTheme="minorHAnsi"/>
          <w:sz w:val="24"/>
          <w:lang w:val="en-US"/>
        </w:rPr>
        <w:t>ivacaftor</w:t>
      </w:r>
      <w:proofErr w:type="spellEnd"/>
      <w:r w:rsidRPr="00226B30">
        <w:rPr>
          <w:rFonts w:asciiTheme="minorHAnsi" w:hAnsiTheme="minorHAnsi"/>
          <w:sz w:val="24"/>
          <w:lang w:val="en-US"/>
        </w:rPr>
        <w:t xml:space="preserve"> provides multisystem benefits that continue to dampen the expected disease trajectory over the longer term, and suggest that </w:t>
      </w:r>
      <w:proofErr w:type="spellStart"/>
      <w:r w:rsidRPr="00226B30">
        <w:rPr>
          <w:rFonts w:asciiTheme="minorHAnsi" w:hAnsiTheme="minorHAnsi"/>
          <w:sz w:val="24"/>
          <w:lang w:val="en-US"/>
        </w:rPr>
        <w:t>lumacaftor</w:t>
      </w:r>
      <w:proofErr w:type="spellEnd"/>
      <w:r w:rsidRPr="00226B30">
        <w:rPr>
          <w:rFonts w:asciiTheme="minorHAnsi" w:hAnsiTheme="minorHAnsi"/>
          <w:sz w:val="24"/>
          <w:lang w:val="en-US"/>
        </w:rPr>
        <w:t>/</w:t>
      </w:r>
      <w:proofErr w:type="spellStart"/>
      <w:r w:rsidRPr="00226B30">
        <w:rPr>
          <w:rFonts w:asciiTheme="minorHAnsi" w:hAnsiTheme="minorHAnsi"/>
          <w:sz w:val="24"/>
          <w:lang w:val="en-US"/>
        </w:rPr>
        <w:t>ivacaftor</w:t>
      </w:r>
      <w:proofErr w:type="spellEnd"/>
      <w:r w:rsidRPr="00226B30">
        <w:rPr>
          <w:rFonts w:asciiTheme="minorHAnsi" w:hAnsiTheme="minorHAnsi"/>
          <w:sz w:val="24"/>
          <w:lang w:val="en-US"/>
        </w:rPr>
        <w:t xml:space="preserve"> is a disease modifying therapy in CF.</w:t>
      </w:r>
    </w:p>
    <w:p w:rsidR="00C0177A" w:rsidRPr="00226B30" w:rsidRDefault="00C0177A" w:rsidP="000F4FC9">
      <w:pPr>
        <w:pStyle w:val="ListParagraph"/>
        <w:widowControl/>
        <w:numPr>
          <w:ilvl w:val="1"/>
          <w:numId w:val="3"/>
        </w:numPr>
        <w:spacing w:before="120" w:after="160"/>
        <w:contextualSpacing w:val="0"/>
        <w:rPr>
          <w:rFonts w:asciiTheme="minorHAnsi" w:hAnsiTheme="minorHAnsi"/>
          <w:sz w:val="24"/>
        </w:rPr>
      </w:pPr>
      <w:r w:rsidRPr="00226B30">
        <w:rPr>
          <w:rFonts w:asciiTheme="minorHAnsi" w:hAnsiTheme="minorHAnsi"/>
          <w:sz w:val="24"/>
          <w:lang w:val="en-US"/>
        </w:rPr>
        <w:t>To place the rate of decline in pp</w:t>
      </w:r>
      <w:r w:rsidRPr="00226B30">
        <w:rPr>
          <w:rFonts w:asciiTheme="minorHAnsi" w:hAnsiTheme="minorHAnsi"/>
          <w:sz w:val="24"/>
          <w:szCs w:val="24"/>
        </w:rPr>
        <w:t>FEV</w:t>
      </w:r>
      <w:r w:rsidRPr="00226B30">
        <w:rPr>
          <w:rFonts w:asciiTheme="minorHAnsi" w:hAnsiTheme="minorHAnsi"/>
          <w:sz w:val="24"/>
          <w:szCs w:val="24"/>
          <w:vertAlign w:val="subscript"/>
        </w:rPr>
        <w:t>1</w:t>
      </w:r>
      <w:r w:rsidRPr="00226B30">
        <w:rPr>
          <w:rFonts w:asciiTheme="minorHAnsi" w:hAnsiTheme="minorHAnsi"/>
          <w:sz w:val="24"/>
          <w:lang w:val="en-US"/>
        </w:rPr>
        <w:t xml:space="preserve"> observed in the PROGRESS study in context, </w:t>
      </w:r>
      <w:r>
        <w:rPr>
          <w:rFonts w:asciiTheme="minorHAnsi" w:hAnsiTheme="minorHAnsi"/>
          <w:sz w:val="24"/>
          <w:lang w:val="en-US"/>
        </w:rPr>
        <w:t xml:space="preserve">the </w:t>
      </w:r>
      <w:r w:rsidR="00D7716A">
        <w:rPr>
          <w:rFonts w:asciiTheme="minorHAnsi" w:hAnsiTheme="minorHAnsi"/>
          <w:sz w:val="24"/>
          <w:lang w:val="en-US"/>
        </w:rPr>
        <w:t xml:space="preserve">July 2017 </w:t>
      </w:r>
      <w:r w:rsidRPr="00226B30">
        <w:rPr>
          <w:rFonts w:asciiTheme="minorHAnsi" w:hAnsiTheme="minorHAnsi"/>
          <w:sz w:val="24"/>
          <w:lang w:val="en-US"/>
        </w:rPr>
        <w:t xml:space="preserve">resubmission presented an analysis that compared the rate of decline with that of a matched control registry. In this analysis, 455 patients treated with </w:t>
      </w:r>
      <w:proofErr w:type="spellStart"/>
      <w:r w:rsidRPr="00226B30">
        <w:rPr>
          <w:rFonts w:asciiTheme="minorHAnsi" w:hAnsiTheme="minorHAnsi"/>
          <w:sz w:val="24"/>
          <w:lang w:val="en-US"/>
        </w:rPr>
        <w:t>lumacaftor</w:t>
      </w:r>
      <w:proofErr w:type="spellEnd"/>
      <w:r w:rsidRPr="00226B30">
        <w:rPr>
          <w:rFonts w:asciiTheme="minorHAnsi" w:hAnsiTheme="minorHAnsi"/>
          <w:sz w:val="24"/>
          <w:lang w:val="en-US"/>
        </w:rPr>
        <w:t>/</w:t>
      </w:r>
      <w:proofErr w:type="spellStart"/>
      <w:r w:rsidRPr="00226B30">
        <w:rPr>
          <w:rFonts w:asciiTheme="minorHAnsi" w:hAnsiTheme="minorHAnsi"/>
          <w:sz w:val="24"/>
          <w:lang w:val="en-US"/>
        </w:rPr>
        <w:t>ivacaftor</w:t>
      </w:r>
      <w:proofErr w:type="spellEnd"/>
      <w:r w:rsidRPr="00226B30">
        <w:rPr>
          <w:rFonts w:asciiTheme="minorHAnsi" w:hAnsiTheme="minorHAnsi"/>
          <w:sz w:val="24"/>
          <w:lang w:val="en-US"/>
        </w:rPr>
        <w:t xml:space="preserve"> in PROGRESS were matched with 1,588 control patients from the US Cystic Fibrosis Foundation Patient Registry (CFFPR). </w:t>
      </w:r>
      <w:bookmarkStart w:id="5" w:name="_Hlk482117819"/>
      <w:r w:rsidRPr="00226B30">
        <w:rPr>
          <w:rFonts w:asciiTheme="minorHAnsi" w:hAnsiTheme="minorHAnsi"/>
          <w:sz w:val="24"/>
          <w:lang w:val="en-US"/>
        </w:rPr>
        <w:t>Matching was performed using a propensity score approach, with matching being based on variables including age, sex, spirometry measures, nutrition and bacteriology. The</w:t>
      </w:r>
      <w:r w:rsidR="00D7716A">
        <w:rPr>
          <w:rFonts w:asciiTheme="minorHAnsi" w:hAnsiTheme="minorHAnsi"/>
          <w:sz w:val="24"/>
          <w:lang w:val="en-US"/>
        </w:rPr>
        <w:t xml:space="preserve"> June 2017</w:t>
      </w:r>
      <w:r w:rsidRPr="00226B30">
        <w:rPr>
          <w:rFonts w:asciiTheme="minorHAnsi" w:hAnsiTheme="minorHAnsi"/>
          <w:sz w:val="24"/>
          <w:lang w:val="en-US"/>
        </w:rPr>
        <w:t xml:space="preserve"> ESC noted the groups appeared to be fairly well matched but that some key variables, including BMI and use of corticosteroids, were excluded from the propensity score model </w:t>
      </w:r>
      <w:r w:rsidRPr="00226B30">
        <w:rPr>
          <w:rFonts w:asciiTheme="minorHAnsi" w:hAnsiTheme="minorHAnsi"/>
          <w:sz w:val="24"/>
        </w:rPr>
        <w:t>and it was therefore difficult to assess whether these variables were balanced between the treatm</w:t>
      </w:r>
      <w:r w:rsidR="00D7716A">
        <w:rPr>
          <w:rFonts w:asciiTheme="minorHAnsi" w:hAnsiTheme="minorHAnsi"/>
          <w:sz w:val="24"/>
        </w:rPr>
        <w:t>ent arms after matching. The June 2017 ESC</w:t>
      </w:r>
      <w:r w:rsidRPr="00226B30">
        <w:rPr>
          <w:rFonts w:asciiTheme="minorHAnsi" w:hAnsiTheme="minorHAnsi"/>
          <w:sz w:val="24"/>
        </w:rPr>
        <w:t xml:space="preserve"> also noted the methodology </w:t>
      </w:r>
      <w:r w:rsidRPr="00226B30">
        <w:rPr>
          <w:rFonts w:asciiTheme="minorHAnsi" w:hAnsiTheme="minorHAnsi"/>
          <w:sz w:val="24"/>
        </w:rPr>
        <w:lastRenderedPageBreak/>
        <w:t>was a single point-in-time rebalancing at baseline which did not adjust for the imbalance that is reintroduced subsequent to baseline. Accordingly, if there were any post-baseline differences in variables that were not due to the treatment, or if there were differences in data collection between the patients in PROGRESS and the CFFPR cohort, these may have confounded the outcomes.</w:t>
      </w:r>
    </w:p>
    <w:p w:rsidR="00C0177A" w:rsidRPr="00226B30" w:rsidRDefault="00C0177A" w:rsidP="000F4FC9">
      <w:pPr>
        <w:pStyle w:val="ListParagraph"/>
        <w:widowControl/>
        <w:numPr>
          <w:ilvl w:val="1"/>
          <w:numId w:val="3"/>
        </w:numPr>
        <w:spacing w:before="120" w:after="160"/>
        <w:contextualSpacing w:val="0"/>
        <w:rPr>
          <w:rFonts w:asciiTheme="minorHAnsi" w:hAnsiTheme="minorHAnsi"/>
          <w:sz w:val="24"/>
          <w:lang w:val="en-US"/>
        </w:rPr>
      </w:pPr>
      <w:bookmarkStart w:id="6" w:name="_Hlk479699128"/>
      <w:bookmarkEnd w:id="5"/>
      <w:r w:rsidRPr="00226B30">
        <w:rPr>
          <w:rFonts w:asciiTheme="minorHAnsi" w:hAnsiTheme="minorHAnsi"/>
          <w:sz w:val="24"/>
          <w:lang w:val="en-US"/>
        </w:rPr>
        <w:t xml:space="preserve">The estimated </w:t>
      </w:r>
      <w:proofErr w:type="spellStart"/>
      <w:r w:rsidRPr="00226B30">
        <w:rPr>
          <w:rFonts w:asciiTheme="minorHAnsi" w:hAnsiTheme="minorHAnsi"/>
          <w:sz w:val="24"/>
          <w:lang w:val="en-US"/>
        </w:rPr>
        <w:t>annualised</w:t>
      </w:r>
      <w:proofErr w:type="spellEnd"/>
      <w:r w:rsidRPr="00226B30">
        <w:rPr>
          <w:rFonts w:asciiTheme="minorHAnsi" w:hAnsiTheme="minorHAnsi"/>
          <w:sz w:val="24"/>
          <w:lang w:val="en-US"/>
        </w:rPr>
        <w:t xml:space="preserve"> rate of lung function decline in this analysis was -1.33 percentage points (95% CI: -1.80, -0.85) in </w:t>
      </w:r>
      <w:proofErr w:type="spellStart"/>
      <w:r w:rsidRPr="00226B30">
        <w:rPr>
          <w:rFonts w:asciiTheme="minorHAnsi" w:hAnsiTheme="minorHAnsi"/>
          <w:sz w:val="24"/>
          <w:lang w:val="en-US"/>
        </w:rPr>
        <w:t>lumacaftor</w:t>
      </w:r>
      <w:proofErr w:type="spellEnd"/>
      <w:r w:rsidRPr="00226B30">
        <w:rPr>
          <w:rFonts w:asciiTheme="minorHAnsi" w:hAnsiTheme="minorHAnsi"/>
          <w:sz w:val="24"/>
          <w:lang w:val="en-US"/>
        </w:rPr>
        <w:t>/</w:t>
      </w:r>
      <w:proofErr w:type="spellStart"/>
      <w:r w:rsidRPr="00226B30">
        <w:rPr>
          <w:rFonts w:asciiTheme="minorHAnsi" w:hAnsiTheme="minorHAnsi"/>
          <w:sz w:val="24"/>
          <w:lang w:val="en-US"/>
        </w:rPr>
        <w:t>ivacaftor</w:t>
      </w:r>
      <w:proofErr w:type="spellEnd"/>
      <w:r w:rsidRPr="00226B30">
        <w:rPr>
          <w:rFonts w:asciiTheme="minorHAnsi" w:hAnsiTheme="minorHAnsi"/>
          <w:sz w:val="24"/>
          <w:lang w:val="en-US"/>
        </w:rPr>
        <w:t>-treated patients. This rate was less than the rate in the matched CFFPR controls (-2.29 percentage points, 95% CI: -2.56, -2.03; p&lt;0.001) and represented a 42% decrease in the rate of pp</w:t>
      </w:r>
      <w:r w:rsidRPr="00226B30">
        <w:rPr>
          <w:rFonts w:asciiTheme="minorHAnsi" w:hAnsiTheme="minorHAnsi"/>
          <w:sz w:val="24"/>
          <w:szCs w:val="24"/>
        </w:rPr>
        <w:t>FEV</w:t>
      </w:r>
      <w:r w:rsidRPr="00226B30">
        <w:rPr>
          <w:rFonts w:asciiTheme="minorHAnsi" w:hAnsiTheme="minorHAnsi"/>
          <w:sz w:val="24"/>
          <w:szCs w:val="24"/>
          <w:vertAlign w:val="subscript"/>
        </w:rPr>
        <w:t>1</w:t>
      </w:r>
      <w:r w:rsidRPr="00226B30">
        <w:rPr>
          <w:rFonts w:asciiTheme="minorHAnsi" w:hAnsiTheme="minorHAnsi"/>
          <w:sz w:val="24"/>
          <w:lang w:val="en-US"/>
        </w:rPr>
        <w:t xml:space="preserve"> decline in </w:t>
      </w:r>
      <w:proofErr w:type="spellStart"/>
      <w:r w:rsidRPr="00226B30">
        <w:rPr>
          <w:rFonts w:asciiTheme="minorHAnsi" w:hAnsiTheme="minorHAnsi"/>
          <w:sz w:val="24"/>
          <w:lang w:val="en-US"/>
        </w:rPr>
        <w:t>lumacaftor</w:t>
      </w:r>
      <w:proofErr w:type="spellEnd"/>
      <w:r w:rsidRPr="00226B30">
        <w:rPr>
          <w:rFonts w:asciiTheme="minorHAnsi" w:hAnsiTheme="minorHAnsi"/>
          <w:sz w:val="24"/>
          <w:lang w:val="en-US"/>
        </w:rPr>
        <w:t>/</w:t>
      </w:r>
      <w:proofErr w:type="spellStart"/>
      <w:r w:rsidRPr="00226B30">
        <w:rPr>
          <w:rFonts w:asciiTheme="minorHAnsi" w:hAnsiTheme="minorHAnsi"/>
          <w:sz w:val="24"/>
          <w:lang w:val="en-US"/>
        </w:rPr>
        <w:t>ivacaftor</w:t>
      </w:r>
      <w:proofErr w:type="spellEnd"/>
      <w:r w:rsidRPr="00226B30">
        <w:rPr>
          <w:rFonts w:asciiTheme="minorHAnsi" w:hAnsiTheme="minorHAnsi"/>
          <w:sz w:val="24"/>
          <w:lang w:val="en-US"/>
        </w:rPr>
        <w:t xml:space="preserve">-treated patients compared with the matched controls (or conversely, </w:t>
      </w:r>
      <w:proofErr w:type="spellStart"/>
      <w:r w:rsidRPr="00226B30">
        <w:rPr>
          <w:rFonts w:asciiTheme="minorHAnsi" w:hAnsiTheme="minorHAnsi"/>
          <w:sz w:val="24"/>
          <w:lang w:eastAsia="en-GB"/>
        </w:rPr>
        <w:t>lumacaftor</w:t>
      </w:r>
      <w:proofErr w:type="spellEnd"/>
      <w:r w:rsidRPr="00226B30">
        <w:rPr>
          <w:rFonts w:asciiTheme="minorHAnsi" w:hAnsiTheme="minorHAnsi"/>
          <w:sz w:val="24"/>
          <w:lang w:eastAsia="en-GB"/>
        </w:rPr>
        <w:t>/</w:t>
      </w:r>
      <w:proofErr w:type="spellStart"/>
      <w:r w:rsidRPr="00226B30">
        <w:rPr>
          <w:rFonts w:asciiTheme="minorHAnsi" w:hAnsiTheme="minorHAnsi"/>
          <w:sz w:val="24"/>
          <w:lang w:eastAsia="en-GB"/>
        </w:rPr>
        <w:t>ivacaftor</w:t>
      </w:r>
      <w:proofErr w:type="spellEnd"/>
      <w:r w:rsidRPr="00226B30">
        <w:rPr>
          <w:rFonts w:asciiTheme="minorHAnsi" w:hAnsiTheme="minorHAnsi"/>
          <w:sz w:val="24"/>
          <w:lang w:eastAsia="en-GB"/>
        </w:rPr>
        <w:t xml:space="preserve"> treated patients experienced a decline in ppFEV</w:t>
      </w:r>
      <w:r w:rsidRPr="00226B30">
        <w:rPr>
          <w:rFonts w:asciiTheme="minorHAnsi" w:hAnsiTheme="minorHAnsi"/>
          <w:sz w:val="24"/>
          <w:vertAlign w:val="subscript"/>
          <w:lang w:eastAsia="en-GB"/>
        </w:rPr>
        <w:t>1</w:t>
      </w:r>
      <w:r w:rsidRPr="00226B30">
        <w:rPr>
          <w:rFonts w:asciiTheme="minorHAnsi" w:hAnsiTheme="minorHAnsi"/>
          <w:sz w:val="24"/>
          <w:lang w:eastAsia="en-GB"/>
        </w:rPr>
        <w:t xml:space="preserve"> that was 58% of the decline in the matched registry controls)</w:t>
      </w:r>
      <w:r w:rsidRPr="00226B30">
        <w:rPr>
          <w:rFonts w:asciiTheme="minorHAnsi" w:hAnsiTheme="minorHAnsi"/>
          <w:sz w:val="24"/>
          <w:lang w:val="en-US"/>
        </w:rPr>
        <w:t xml:space="preserve">. The relative rates of </w:t>
      </w:r>
      <w:r w:rsidR="00D7716A">
        <w:rPr>
          <w:rFonts w:asciiTheme="minorHAnsi" w:hAnsiTheme="minorHAnsi"/>
          <w:sz w:val="24"/>
          <w:lang w:val="en-US"/>
        </w:rPr>
        <w:t>decline are depicted in Figure</w:t>
      </w:r>
      <w:r w:rsidR="00830F4E">
        <w:rPr>
          <w:rFonts w:asciiTheme="minorHAnsi" w:hAnsiTheme="minorHAnsi"/>
          <w:sz w:val="24"/>
          <w:lang w:val="en-US"/>
        </w:rPr>
        <w:t xml:space="preserve"> 9</w:t>
      </w:r>
      <w:r w:rsidRPr="00226B30">
        <w:rPr>
          <w:rFonts w:asciiTheme="minorHAnsi" w:hAnsiTheme="minorHAnsi"/>
          <w:sz w:val="24"/>
          <w:lang w:val="en-US"/>
        </w:rPr>
        <w:t xml:space="preserve"> below.</w:t>
      </w:r>
    </w:p>
    <w:bookmarkEnd w:id="6"/>
    <w:p w:rsidR="00C0177A" w:rsidRPr="00226B30" w:rsidRDefault="00D7716A" w:rsidP="00830F4E">
      <w:pPr>
        <w:pStyle w:val="TableHeading0"/>
        <w:ind w:left="1"/>
      </w:pPr>
      <w:r>
        <w:t xml:space="preserve">Figure </w:t>
      </w:r>
      <w:r w:rsidR="00D54DEF">
        <w:t>9</w:t>
      </w:r>
      <w:r w:rsidR="00C0177A" w:rsidRPr="00226B30">
        <w:t>: Estimated annual rate of pp</w:t>
      </w:r>
      <w:r w:rsidR="00C0177A" w:rsidRPr="00226B30">
        <w:rPr>
          <w:szCs w:val="24"/>
        </w:rPr>
        <w:t>FEV</w:t>
      </w:r>
      <w:r w:rsidR="00C0177A" w:rsidRPr="00226B30">
        <w:rPr>
          <w:szCs w:val="24"/>
          <w:vertAlign w:val="subscript"/>
        </w:rPr>
        <w:t>1</w:t>
      </w:r>
      <w:r w:rsidR="00C0177A" w:rsidRPr="00226B30">
        <w:t xml:space="preserve"> decline with </w:t>
      </w:r>
      <w:proofErr w:type="spellStart"/>
      <w:r w:rsidR="00C0177A" w:rsidRPr="00226B30">
        <w:t>lumacaftor</w:t>
      </w:r>
      <w:proofErr w:type="spellEnd"/>
      <w:r w:rsidR="00C0177A" w:rsidRPr="00226B30">
        <w:t>/</w:t>
      </w:r>
      <w:proofErr w:type="spellStart"/>
      <w:r w:rsidR="00C0177A" w:rsidRPr="00226B30">
        <w:t>ivacaftor</w:t>
      </w:r>
      <w:proofErr w:type="spellEnd"/>
      <w:r w:rsidR="00C0177A" w:rsidRPr="00226B30">
        <w:t xml:space="preserve"> treated patients compared with a matched control group.</w:t>
      </w:r>
    </w:p>
    <w:p w:rsidR="00C0177A" w:rsidRPr="00226B30" w:rsidRDefault="00C0177A" w:rsidP="00C0177A">
      <w:pPr>
        <w:pStyle w:val="ListParagraph"/>
        <w:widowControl/>
        <w:spacing w:after="120"/>
        <w:rPr>
          <w:lang w:val="en-US"/>
        </w:rPr>
      </w:pPr>
      <w:r w:rsidRPr="00226B30">
        <w:rPr>
          <w:noProof/>
          <w:lang w:eastAsia="en-AU"/>
        </w:rPr>
        <w:drawing>
          <wp:inline distT="0" distB="0" distL="0" distR="0" wp14:anchorId="06A43578" wp14:editId="64A403C6">
            <wp:extent cx="3395207" cy="2574223"/>
            <wp:effectExtent l="0" t="0" r="0" b="0"/>
            <wp:docPr id="7" name="Picture 7" title="Figure 9: Estimated annual rate of ppFEV1 decline with lumacaftor/ivacaftor treated patients compared with a matched contro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5935" cy="2589939"/>
                    </a:xfrm>
                    <a:prstGeom prst="rect">
                      <a:avLst/>
                    </a:prstGeom>
                    <a:noFill/>
                    <a:ln>
                      <a:noFill/>
                    </a:ln>
                  </pic:spPr>
                </pic:pic>
              </a:graphicData>
            </a:graphic>
          </wp:inline>
        </w:drawing>
      </w:r>
    </w:p>
    <w:p w:rsidR="00C0177A" w:rsidRPr="00226B30" w:rsidRDefault="00C0177A" w:rsidP="00830F4E">
      <w:pPr>
        <w:pStyle w:val="Tablefooter8pt"/>
        <w:rPr>
          <w:lang w:val="en-US"/>
        </w:rPr>
      </w:pPr>
      <w:r w:rsidRPr="00226B30">
        <w:rPr>
          <w:lang w:val="en-US"/>
        </w:rPr>
        <w:t>Source: Figure B.7-9 p134 July 2017 resubmission.</w:t>
      </w:r>
    </w:p>
    <w:p w:rsidR="00C0177A" w:rsidRPr="00226B30" w:rsidRDefault="00C0177A" w:rsidP="00830F4E">
      <w:pPr>
        <w:pStyle w:val="Tablefooter8pt"/>
        <w:rPr>
          <w:lang w:val="en-US"/>
        </w:rPr>
      </w:pPr>
      <w:r w:rsidRPr="00226B30">
        <w:rPr>
          <w:lang w:val="en-US"/>
        </w:rPr>
        <w:t xml:space="preserve">The lines shown are calculated slopes for </w:t>
      </w:r>
      <w:proofErr w:type="spellStart"/>
      <w:r w:rsidRPr="00226B30">
        <w:rPr>
          <w:lang w:val="en-US"/>
        </w:rPr>
        <w:t>annualised</w:t>
      </w:r>
      <w:proofErr w:type="spellEnd"/>
      <w:r w:rsidRPr="00226B30">
        <w:rPr>
          <w:lang w:val="en-US"/>
        </w:rPr>
        <w:t xml:space="preserve"> rates of decline in each group. A significant difference between groups in the rate of lung function decline was observed (p&lt;0.001). Post-baseline data were limited to 2 years; visits occurring at 21 days of treatment initiation baseline or earlier were excluded from the analysis. </w:t>
      </w:r>
    </w:p>
    <w:p w:rsidR="00C0177A" w:rsidRPr="00226B30" w:rsidRDefault="00C0177A" w:rsidP="00830F4E">
      <w:pPr>
        <w:pStyle w:val="Tablefooter8pt"/>
        <w:rPr>
          <w:lang w:val="en-US"/>
        </w:rPr>
      </w:pPr>
      <w:r w:rsidRPr="00226B30">
        <w:rPr>
          <w:lang w:val="en-US"/>
        </w:rPr>
        <w:t>Bars show standard error.</w:t>
      </w:r>
    </w:p>
    <w:p w:rsidR="00C0177A" w:rsidRPr="00226B30" w:rsidRDefault="00C0177A" w:rsidP="00830F4E">
      <w:pPr>
        <w:pStyle w:val="Tablefooter8pt"/>
        <w:keepNext w:val="0"/>
        <w:spacing w:after="120"/>
        <w:rPr>
          <w:lang w:val="en-US"/>
        </w:rPr>
      </w:pPr>
      <w:r w:rsidRPr="00226B30">
        <w:rPr>
          <w:lang w:val="en-US"/>
        </w:rPr>
        <w:t>Abbreviations: GLI = Global Lungs Initiative; pp</w:t>
      </w:r>
      <w:r w:rsidRPr="00226B30">
        <w:rPr>
          <w:szCs w:val="24"/>
        </w:rPr>
        <w:t>FEV</w:t>
      </w:r>
      <w:r w:rsidRPr="00226B30">
        <w:rPr>
          <w:szCs w:val="24"/>
          <w:vertAlign w:val="subscript"/>
        </w:rPr>
        <w:t>1</w:t>
      </w:r>
      <w:r w:rsidRPr="00226B30">
        <w:rPr>
          <w:lang w:val="en-US"/>
        </w:rPr>
        <w:t xml:space="preserve"> = percent predicted forced expiratory volume in 1 second.</w:t>
      </w:r>
    </w:p>
    <w:p w:rsidR="00C0177A" w:rsidRPr="00226B30" w:rsidRDefault="00C0177A" w:rsidP="000F4FC9">
      <w:pPr>
        <w:pStyle w:val="ListParagraph"/>
        <w:widowControl/>
        <w:numPr>
          <w:ilvl w:val="1"/>
          <w:numId w:val="3"/>
        </w:numPr>
        <w:spacing w:before="120" w:after="160"/>
        <w:contextualSpacing w:val="0"/>
        <w:rPr>
          <w:lang w:val="en-US"/>
        </w:rPr>
      </w:pPr>
      <w:r w:rsidRPr="00226B30">
        <w:rPr>
          <w:rFonts w:asciiTheme="minorHAnsi" w:hAnsiTheme="minorHAnsi"/>
          <w:sz w:val="24"/>
          <w:lang w:val="en-US"/>
        </w:rPr>
        <w:t xml:space="preserve">A rate of change analysis was also performed for secondary outcomes where data from the PROGRESS study were compared with the CFFPR cohort. These data indicated a positive rate of change in the </w:t>
      </w:r>
      <w:proofErr w:type="spellStart"/>
      <w:r w:rsidRPr="00226B30">
        <w:rPr>
          <w:rFonts w:asciiTheme="minorHAnsi" w:hAnsiTheme="minorHAnsi"/>
          <w:sz w:val="24"/>
          <w:lang w:val="en-US"/>
        </w:rPr>
        <w:t>lumacaftor</w:t>
      </w:r>
      <w:proofErr w:type="spellEnd"/>
      <w:r w:rsidRPr="00226B30">
        <w:rPr>
          <w:rFonts w:asciiTheme="minorHAnsi" w:hAnsiTheme="minorHAnsi"/>
          <w:sz w:val="24"/>
          <w:lang w:val="en-US"/>
        </w:rPr>
        <w:t>/</w:t>
      </w:r>
      <w:proofErr w:type="spellStart"/>
      <w:r w:rsidRPr="00226B30">
        <w:rPr>
          <w:rFonts w:asciiTheme="minorHAnsi" w:hAnsiTheme="minorHAnsi"/>
          <w:sz w:val="24"/>
          <w:lang w:val="en-US"/>
        </w:rPr>
        <w:t>ivacaftor</w:t>
      </w:r>
      <w:proofErr w:type="spellEnd"/>
      <w:r w:rsidRPr="00226B30">
        <w:rPr>
          <w:rFonts w:asciiTheme="minorHAnsi" w:hAnsiTheme="minorHAnsi"/>
          <w:sz w:val="24"/>
          <w:lang w:val="en-US"/>
        </w:rPr>
        <w:t xml:space="preserve"> group for weight for age and BMI-z score (with the matched cohort declining over time) and a greater rate of change in the treatment group for BMI (kg/m</w:t>
      </w:r>
      <w:r w:rsidRPr="00226B30">
        <w:rPr>
          <w:rFonts w:asciiTheme="minorHAnsi" w:hAnsiTheme="minorHAnsi"/>
          <w:sz w:val="24"/>
          <w:vertAlign w:val="superscript"/>
          <w:lang w:val="en-US"/>
        </w:rPr>
        <w:t>2</w:t>
      </w:r>
      <w:r w:rsidRPr="00226B30">
        <w:rPr>
          <w:rFonts w:asciiTheme="minorHAnsi" w:hAnsiTheme="minorHAnsi"/>
          <w:sz w:val="24"/>
          <w:lang w:val="en-US"/>
        </w:rPr>
        <w:t>) versus the matched cohort.</w:t>
      </w:r>
    </w:p>
    <w:p w:rsidR="000F4FC9" w:rsidRPr="008706C8" w:rsidRDefault="00C0177A" w:rsidP="008706C8">
      <w:pPr>
        <w:pStyle w:val="ListParagraph"/>
        <w:widowControl/>
        <w:numPr>
          <w:ilvl w:val="1"/>
          <w:numId w:val="3"/>
        </w:numPr>
        <w:spacing w:before="120" w:after="160"/>
        <w:contextualSpacing w:val="0"/>
        <w:rPr>
          <w:rFonts w:asciiTheme="minorHAnsi" w:hAnsiTheme="minorHAnsi"/>
          <w:sz w:val="24"/>
          <w:lang w:val="en-US"/>
        </w:rPr>
      </w:pPr>
      <w:r>
        <w:rPr>
          <w:rFonts w:asciiTheme="minorHAnsi" w:hAnsiTheme="minorHAnsi"/>
          <w:sz w:val="24"/>
          <w:lang w:val="en-US"/>
        </w:rPr>
        <w:t>T</w:t>
      </w:r>
      <w:r w:rsidR="00D7716A">
        <w:rPr>
          <w:rFonts w:asciiTheme="minorHAnsi" w:hAnsiTheme="minorHAnsi"/>
          <w:sz w:val="24"/>
          <w:lang w:val="en-US"/>
        </w:rPr>
        <w:t>he PBAC agreed in July 2017</w:t>
      </w:r>
      <w:r w:rsidRPr="00C16535">
        <w:rPr>
          <w:rFonts w:asciiTheme="minorHAnsi" w:hAnsiTheme="minorHAnsi"/>
          <w:sz w:val="24"/>
          <w:lang w:val="en-US"/>
        </w:rPr>
        <w:t xml:space="preserve"> that patients appeared to be fairly well matched</w:t>
      </w:r>
      <w:r>
        <w:rPr>
          <w:rFonts w:asciiTheme="minorHAnsi" w:hAnsiTheme="minorHAnsi"/>
          <w:sz w:val="24"/>
          <w:lang w:val="en-US"/>
        </w:rPr>
        <w:t xml:space="preserve"> in terms of the variables used for the propensity scoring approach.</w:t>
      </w:r>
      <w:r w:rsidRPr="00C16535">
        <w:rPr>
          <w:rFonts w:asciiTheme="minorHAnsi" w:hAnsiTheme="minorHAnsi"/>
          <w:sz w:val="24"/>
          <w:lang w:val="en-US"/>
        </w:rPr>
        <w:t xml:space="preserve"> </w:t>
      </w:r>
      <w:r>
        <w:rPr>
          <w:rFonts w:asciiTheme="minorHAnsi" w:hAnsiTheme="minorHAnsi"/>
          <w:sz w:val="24"/>
          <w:lang w:val="en-US"/>
        </w:rPr>
        <w:t xml:space="preserve">However, </w:t>
      </w:r>
      <w:r w:rsidRPr="00C16535">
        <w:rPr>
          <w:rFonts w:asciiTheme="minorHAnsi" w:hAnsiTheme="minorHAnsi"/>
          <w:sz w:val="24"/>
          <w:lang w:val="en-US"/>
        </w:rPr>
        <w:t>the PBAC considered that the historical control patients</w:t>
      </w:r>
      <w:r>
        <w:rPr>
          <w:rFonts w:asciiTheme="minorHAnsi" w:hAnsiTheme="minorHAnsi"/>
          <w:sz w:val="24"/>
          <w:lang w:val="en-US"/>
        </w:rPr>
        <w:t xml:space="preserve"> from the CFFPR</w:t>
      </w:r>
      <w:r w:rsidRPr="00C16535">
        <w:rPr>
          <w:rFonts w:asciiTheme="minorHAnsi" w:hAnsiTheme="minorHAnsi"/>
          <w:sz w:val="24"/>
          <w:lang w:val="en-US"/>
        </w:rPr>
        <w:t xml:space="preserve"> were </w:t>
      </w:r>
      <w:r>
        <w:rPr>
          <w:rFonts w:asciiTheme="minorHAnsi" w:hAnsiTheme="minorHAnsi"/>
          <w:sz w:val="24"/>
          <w:lang w:val="en-US"/>
        </w:rPr>
        <w:t xml:space="preserve">nevertheless </w:t>
      </w:r>
      <w:r w:rsidRPr="00C16535">
        <w:rPr>
          <w:rFonts w:asciiTheme="minorHAnsi" w:hAnsiTheme="minorHAnsi"/>
          <w:sz w:val="24"/>
          <w:lang w:val="en-US"/>
        </w:rPr>
        <w:t>unlikely to be representative of the patients in TRAFFIC/TRANSPORT</w:t>
      </w:r>
      <w:r>
        <w:rPr>
          <w:rFonts w:asciiTheme="minorHAnsi" w:hAnsiTheme="minorHAnsi"/>
          <w:sz w:val="24"/>
          <w:lang w:val="en-US"/>
        </w:rPr>
        <w:t>, and hence PROGRESS,</w:t>
      </w:r>
      <w:r w:rsidRPr="00C16535">
        <w:rPr>
          <w:rFonts w:asciiTheme="minorHAnsi" w:hAnsiTheme="minorHAnsi"/>
          <w:sz w:val="24"/>
          <w:lang w:val="en-US"/>
        </w:rPr>
        <w:t xml:space="preserve"> and </w:t>
      </w:r>
      <w:r>
        <w:rPr>
          <w:rFonts w:asciiTheme="minorHAnsi" w:hAnsiTheme="minorHAnsi"/>
          <w:sz w:val="24"/>
          <w:lang w:val="en-US"/>
        </w:rPr>
        <w:t xml:space="preserve">the comparison of </w:t>
      </w:r>
      <w:r w:rsidRPr="00C16535">
        <w:rPr>
          <w:rFonts w:asciiTheme="minorHAnsi" w:hAnsiTheme="minorHAnsi"/>
          <w:sz w:val="24"/>
          <w:lang w:val="en-US"/>
        </w:rPr>
        <w:t xml:space="preserve">the </w:t>
      </w:r>
      <w:r>
        <w:rPr>
          <w:rFonts w:asciiTheme="minorHAnsi" w:hAnsiTheme="minorHAnsi"/>
          <w:sz w:val="24"/>
          <w:lang w:val="en-US"/>
        </w:rPr>
        <w:t>reduction in the rate</w:t>
      </w:r>
      <w:r w:rsidRPr="00C16535">
        <w:rPr>
          <w:rFonts w:asciiTheme="minorHAnsi" w:hAnsiTheme="minorHAnsi"/>
          <w:sz w:val="24"/>
          <w:lang w:val="en-US"/>
        </w:rPr>
        <w:t xml:space="preserve"> of decline in FEV</w:t>
      </w:r>
      <w:r w:rsidRPr="00E43BD2">
        <w:rPr>
          <w:rFonts w:asciiTheme="minorHAnsi" w:hAnsiTheme="minorHAnsi"/>
          <w:sz w:val="24"/>
          <w:vertAlign w:val="subscript"/>
          <w:lang w:val="en-US"/>
        </w:rPr>
        <w:t>1</w:t>
      </w:r>
      <w:r w:rsidRPr="00C16535">
        <w:rPr>
          <w:rFonts w:asciiTheme="minorHAnsi" w:hAnsiTheme="minorHAnsi"/>
          <w:sz w:val="24"/>
          <w:lang w:val="en-US"/>
        </w:rPr>
        <w:t xml:space="preserve"> </w:t>
      </w:r>
      <w:r>
        <w:rPr>
          <w:rFonts w:asciiTheme="minorHAnsi" w:hAnsiTheme="minorHAnsi"/>
          <w:sz w:val="24"/>
          <w:lang w:val="en-US"/>
        </w:rPr>
        <w:t xml:space="preserve">in </w:t>
      </w:r>
      <w:r>
        <w:rPr>
          <w:rFonts w:asciiTheme="minorHAnsi" w:hAnsiTheme="minorHAnsi"/>
          <w:sz w:val="24"/>
          <w:lang w:val="en-US"/>
        </w:rPr>
        <w:lastRenderedPageBreak/>
        <w:t xml:space="preserve">PROGRESS versus the CFFPR </w:t>
      </w:r>
      <w:r w:rsidRPr="00C16535">
        <w:rPr>
          <w:rFonts w:asciiTheme="minorHAnsi" w:hAnsiTheme="minorHAnsi"/>
          <w:sz w:val="24"/>
          <w:lang w:val="en-US"/>
        </w:rPr>
        <w:t xml:space="preserve">was </w:t>
      </w:r>
      <w:r>
        <w:rPr>
          <w:rFonts w:asciiTheme="minorHAnsi" w:hAnsiTheme="minorHAnsi"/>
          <w:sz w:val="24"/>
          <w:lang w:val="en-US"/>
        </w:rPr>
        <w:t xml:space="preserve">likely to be biased in </w:t>
      </w:r>
      <w:r w:rsidRPr="0055086C">
        <w:rPr>
          <w:rFonts w:asciiTheme="minorHAnsi" w:hAnsiTheme="minorHAnsi"/>
          <w:sz w:val="24"/>
        </w:rPr>
        <w:t>favour</w:t>
      </w:r>
      <w:r>
        <w:rPr>
          <w:rFonts w:asciiTheme="minorHAnsi" w:hAnsiTheme="minorHAnsi"/>
          <w:sz w:val="24"/>
          <w:lang w:val="en-US"/>
        </w:rPr>
        <w:t xml:space="preserve"> of </w:t>
      </w:r>
      <w:proofErr w:type="spellStart"/>
      <w:r w:rsidRPr="00226B30">
        <w:rPr>
          <w:rFonts w:asciiTheme="minorHAnsi" w:hAnsiTheme="minorHAnsi"/>
          <w:sz w:val="24"/>
          <w:lang w:val="en-US"/>
        </w:rPr>
        <w:t>lumacaftor</w:t>
      </w:r>
      <w:proofErr w:type="spellEnd"/>
      <w:r w:rsidRPr="00226B30">
        <w:rPr>
          <w:rFonts w:asciiTheme="minorHAnsi" w:hAnsiTheme="minorHAnsi"/>
          <w:sz w:val="24"/>
          <w:lang w:val="en-US"/>
        </w:rPr>
        <w:t>/</w:t>
      </w:r>
      <w:proofErr w:type="spellStart"/>
      <w:r w:rsidRPr="00226B30">
        <w:rPr>
          <w:rFonts w:asciiTheme="minorHAnsi" w:hAnsiTheme="minorHAnsi"/>
          <w:sz w:val="24"/>
          <w:lang w:val="en-US"/>
        </w:rPr>
        <w:t>ivacaftor</w:t>
      </w:r>
      <w:proofErr w:type="spellEnd"/>
      <w:r>
        <w:rPr>
          <w:rFonts w:asciiTheme="minorHAnsi" w:hAnsiTheme="minorHAnsi"/>
          <w:sz w:val="24"/>
          <w:lang w:val="en-US"/>
        </w:rPr>
        <w:t>. More specifically:</w:t>
      </w:r>
    </w:p>
    <w:p w:rsidR="00C0177A" w:rsidRDefault="00C0177A" w:rsidP="008706C8">
      <w:pPr>
        <w:pStyle w:val="ListParagraph"/>
        <w:widowControl/>
        <w:numPr>
          <w:ilvl w:val="2"/>
          <w:numId w:val="5"/>
        </w:numPr>
        <w:spacing w:after="120"/>
        <w:ind w:left="1276" w:hanging="284"/>
        <w:contextualSpacing w:val="0"/>
        <w:rPr>
          <w:rFonts w:asciiTheme="minorHAnsi" w:hAnsiTheme="minorHAnsi"/>
          <w:sz w:val="24"/>
          <w:lang w:val="en-US"/>
        </w:rPr>
      </w:pPr>
      <w:r w:rsidRPr="001C2FCF">
        <w:rPr>
          <w:rFonts w:asciiTheme="minorHAnsi" w:hAnsiTheme="minorHAnsi"/>
          <w:sz w:val="24"/>
          <w:lang w:val="en-US"/>
        </w:rPr>
        <w:t xml:space="preserve">The </w:t>
      </w:r>
      <w:r>
        <w:rPr>
          <w:rFonts w:asciiTheme="minorHAnsi" w:hAnsiTheme="minorHAnsi"/>
          <w:sz w:val="24"/>
          <w:lang w:val="en-US"/>
        </w:rPr>
        <w:t>historical controls were drawn from the CFFPR which included only patients from the US, while the patients in PROGRESS were from the CF clinics across North America, Europe and Australia that participated in TRAFFIC/TRANSPORT. The PBAC noted a recent cohort study (Stephenson et al, 2017</w:t>
      </w:r>
      <w:r w:rsidRPr="00151FD2">
        <w:rPr>
          <w:vertAlign w:val="superscript"/>
        </w:rPr>
        <w:footnoteReference w:id="3"/>
      </w:r>
      <w:r>
        <w:rPr>
          <w:rFonts w:asciiTheme="minorHAnsi" w:hAnsiTheme="minorHAnsi"/>
          <w:sz w:val="24"/>
          <w:lang w:val="en-US"/>
        </w:rPr>
        <w:t>) that found a 10 year difference in the median age of survival for CF patients in the US CFFPR (40.6 years) compared to the Canadian Cystic</w:t>
      </w:r>
      <w:r w:rsidR="00830F4E">
        <w:rPr>
          <w:rFonts w:asciiTheme="minorHAnsi" w:hAnsiTheme="minorHAnsi"/>
          <w:sz w:val="24"/>
          <w:lang w:val="en-US"/>
        </w:rPr>
        <w:t xml:space="preserve"> Fibrosis Registry (50.9 years)</w:t>
      </w:r>
      <w:r>
        <w:rPr>
          <w:rFonts w:asciiTheme="minorHAnsi" w:hAnsiTheme="minorHAnsi"/>
          <w:sz w:val="24"/>
          <w:lang w:val="en-US"/>
        </w:rPr>
        <w:t xml:space="preserve">. The study found that this difference </w:t>
      </w:r>
      <w:r w:rsidRPr="0058227B">
        <w:rPr>
          <w:rFonts w:asciiTheme="minorHAnsi" w:hAnsiTheme="minorHAnsi"/>
          <w:sz w:val="24"/>
          <w:lang w:val="en-US"/>
        </w:rPr>
        <w:t>persisted after adjustment for risk factors associated with survival,</w:t>
      </w:r>
      <w:r>
        <w:rPr>
          <w:rFonts w:asciiTheme="minorHAnsi" w:hAnsiTheme="minorHAnsi"/>
          <w:sz w:val="24"/>
          <w:lang w:val="en-US"/>
        </w:rPr>
        <w:t xml:space="preserve"> with the exception of private </w:t>
      </w:r>
      <w:r w:rsidRPr="0058227B">
        <w:rPr>
          <w:rFonts w:asciiTheme="minorHAnsi" w:hAnsiTheme="minorHAnsi"/>
          <w:sz w:val="24"/>
          <w:lang w:val="en-US"/>
        </w:rPr>
        <w:t>insura</w:t>
      </w:r>
      <w:r>
        <w:rPr>
          <w:rFonts w:asciiTheme="minorHAnsi" w:hAnsiTheme="minorHAnsi"/>
          <w:sz w:val="24"/>
          <w:lang w:val="en-US"/>
        </w:rPr>
        <w:t xml:space="preserve">nce status among US patients, and concluded that </w:t>
      </w:r>
      <w:r w:rsidRPr="0058227B">
        <w:rPr>
          <w:rFonts w:asciiTheme="minorHAnsi" w:hAnsiTheme="minorHAnsi"/>
          <w:sz w:val="24"/>
          <w:lang w:val="en-US"/>
        </w:rPr>
        <w:t>the Canadian survival advantage</w:t>
      </w:r>
      <w:r>
        <w:rPr>
          <w:rFonts w:asciiTheme="minorHAnsi" w:hAnsiTheme="minorHAnsi"/>
          <w:sz w:val="24"/>
          <w:lang w:val="en-US"/>
        </w:rPr>
        <w:t xml:space="preserve"> may in part be explained by d</w:t>
      </w:r>
      <w:r w:rsidRPr="0058227B">
        <w:rPr>
          <w:rFonts w:asciiTheme="minorHAnsi" w:hAnsiTheme="minorHAnsi"/>
          <w:sz w:val="24"/>
          <w:lang w:val="en-US"/>
        </w:rPr>
        <w:t>ifferential access to transplantation, increased post</w:t>
      </w:r>
      <w:r>
        <w:rPr>
          <w:rFonts w:asciiTheme="minorHAnsi" w:hAnsiTheme="minorHAnsi"/>
          <w:sz w:val="24"/>
          <w:lang w:val="en-US"/>
        </w:rPr>
        <w:noBreakHyphen/>
      </w:r>
      <w:r w:rsidRPr="0058227B">
        <w:rPr>
          <w:rFonts w:asciiTheme="minorHAnsi" w:hAnsiTheme="minorHAnsi"/>
          <w:sz w:val="24"/>
          <w:lang w:val="en-US"/>
        </w:rPr>
        <w:t>transplant survival, and differences in health care systems.</w:t>
      </w:r>
      <w:r>
        <w:rPr>
          <w:rFonts w:asciiTheme="minorHAnsi" w:hAnsiTheme="minorHAnsi"/>
          <w:sz w:val="24"/>
          <w:lang w:val="en-US"/>
        </w:rPr>
        <w:t xml:space="preserve"> The clinician at the sponsor hearing</w:t>
      </w:r>
      <w:r w:rsidR="000D2F1E">
        <w:rPr>
          <w:rFonts w:asciiTheme="minorHAnsi" w:hAnsiTheme="minorHAnsi"/>
          <w:sz w:val="24"/>
          <w:lang w:val="en-US"/>
        </w:rPr>
        <w:t xml:space="preserve"> in July 2017</w:t>
      </w:r>
      <w:r>
        <w:rPr>
          <w:rFonts w:asciiTheme="minorHAnsi" w:hAnsiTheme="minorHAnsi"/>
          <w:sz w:val="24"/>
          <w:lang w:val="en-US"/>
        </w:rPr>
        <w:t xml:space="preserve"> also noted that patients in the US tend to perform worse on average than patients in other countries, such as the UK</w:t>
      </w:r>
      <w:r w:rsidRPr="0055086C">
        <w:rPr>
          <w:rFonts w:asciiTheme="minorHAnsi" w:hAnsiTheme="minorHAnsi"/>
          <w:sz w:val="24"/>
          <w:lang w:val="en-US"/>
        </w:rPr>
        <w:t>. A</w:t>
      </w:r>
      <w:r>
        <w:rPr>
          <w:rFonts w:asciiTheme="minorHAnsi" w:hAnsiTheme="minorHAnsi"/>
          <w:sz w:val="24"/>
          <w:lang w:val="en-US"/>
        </w:rPr>
        <w:t>ccordingly, the PBAC considered that the higher rate of decline in FEV</w:t>
      </w:r>
      <w:r w:rsidRPr="008323A8">
        <w:rPr>
          <w:rFonts w:asciiTheme="minorHAnsi" w:hAnsiTheme="minorHAnsi"/>
          <w:sz w:val="24"/>
          <w:vertAlign w:val="subscript"/>
          <w:lang w:val="en-US"/>
        </w:rPr>
        <w:t>1</w:t>
      </w:r>
      <w:r>
        <w:rPr>
          <w:rFonts w:asciiTheme="minorHAnsi" w:hAnsiTheme="minorHAnsi"/>
          <w:sz w:val="24"/>
          <w:lang w:val="en-US"/>
        </w:rPr>
        <w:t xml:space="preserve"> in the US CFFPR may have been at least partly due to it consisting entirely of historical US patients, compared with PROGRESS which included patients from other countries, and in which patients might be expected to have benefited from optimization of other aspects of care. Further</w:t>
      </w:r>
      <w:r w:rsidRPr="004335B0">
        <w:rPr>
          <w:rFonts w:asciiTheme="minorHAnsi" w:hAnsiTheme="minorHAnsi"/>
          <w:sz w:val="24"/>
          <w:lang w:val="en-US"/>
        </w:rPr>
        <w:t xml:space="preserve"> </w:t>
      </w:r>
      <w:r>
        <w:rPr>
          <w:rFonts w:asciiTheme="minorHAnsi" w:hAnsiTheme="minorHAnsi"/>
          <w:sz w:val="24"/>
          <w:lang w:val="en-US"/>
        </w:rPr>
        <w:t xml:space="preserve">increasing uncertainty about the benefit of </w:t>
      </w:r>
      <w:proofErr w:type="spellStart"/>
      <w:r w:rsidRPr="00226B30">
        <w:rPr>
          <w:rFonts w:asciiTheme="minorHAnsi" w:hAnsiTheme="minorHAnsi"/>
          <w:sz w:val="24"/>
          <w:lang w:val="en-US"/>
        </w:rPr>
        <w:t>lumacaftor</w:t>
      </w:r>
      <w:proofErr w:type="spellEnd"/>
      <w:r w:rsidRPr="00226B30">
        <w:rPr>
          <w:rFonts w:asciiTheme="minorHAnsi" w:hAnsiTheme="minorHAnsi"/>
          <w:sz w:val="24"/>
          <w:lang w:val="en-US"/>
        </w:rPr>
        <w:t>/</w:t>
      </w:r>
      <w:proofErr w:type="spellStart"/>
      <w:r w:rsidRPr="00226B30">
        <w:rPr>
          <w:rFonts w:asciiTheme="minorHAnsi" w:hAnsiTheme="minorHAnsi"/>
          <w:sz w:val="24"/>
          <w:lang w:val="en-US"/>
        </w:rPr>
        <w:t>ivacaftor</w:t>
      </w:r>
      <w:proofErr w:type="spellEnd"/>
      <w:r>
        <w:rPr>
          <w:rFonts w:asciiTheme="minorHAnsi" w:hAnsiTheme="minorHAnsi"/>
          <w:sz w:val="24"/>
          <w:lang w:val="en-US"/>
        </w:rPr>
        <w:t xml:space="preserve"> was the </w:t>
      </w:r>
      <w:r w:rsidRPr="0055086C">
        <w:rPr>
          <w:rFonts w:asciiTheme="minorHAnsi" w:hAnsiTheme="minorHAnsi"/>
          <w:sz w:val="24"/>
          <w:lang w:val="en-US"/>
        </w:rPr>
        <w:t xml:space="preserve">closure of US clinical trial sites which presumably resulted in </w:t>
      </w:r>
      <w:r>
        <w:rPr>
          <w:rFonts w:asciiTheme="minorHAnsi" w:hAnsiTheme="minorHAnsi"/>
          <w:sz w:val="24"/>
          <w:lang w:val="en-US"/>
        </w:rPr>
        <w:t>further depletion</w:t>
      </w:r>
      <w:r w:rsidRPr="0055086C">
        <w:rPr>
          <w:rFonts w:asciiTheme="minorHAnsi" w:hAnsiTheme="minorHAnsi"/>
          <w:sz w:val="24"/>
          <w:lang w:val="en-US"/>
        </w:rPr>
        <w:t xml:space="preserve"> </w:t>
      </w:r>
      <w:r>
        <w:rPr>
          <w:rFonts w:asciiTheme="minorHAnsi" w:hAnsiTheme="minorHAnsi"/>
          <w:sz w:val="24"/>
          <w:lang w:val="en-US"/>
        </w:rPr>
        <w:t xml:space="preserve">of the </w:t>
      </w:r>
      <w:r w:rsidRPr="0055086C">
        <w:rPr>
          <w:rFonts w:asciiTheme="minorHAnsi" w:hAnsiTheme="minorHAnsi"/>
          <w:sz w:val="24"/>
          <w:lang w:val="en-US"/>
        </w:rPr>
        <w:t>PROGRESS</w:t>
      </w:r>
      <w:r>
        <w:rPr>
          <w:rFonts w:asciiTheme="minorHAnsi" w:hAnsiTheme="minorHAnsi"/>
          <w:sz w:val="24"/>
          <w:lang w:val="en-US"/>
        </w:rPr>
        <w:t xml:space="preserve"> patient population with US patients</w:t>
      </w:r>
      <w:r w:rsidRPr="0055086C">
        <w:rPr>
          <w:rFonts w:asciiTheme="minorHAnsi" w:hAnsiTheme="minorHAnsi"/>
          <w:sz w:val="24"/>
          <w:lang w:val="en-US"/>
        </w:rPr>
        <w:t xml:space="preserve"> over</w:t>
      </w:r>
      <w:r>
        <w:rPr>
          <w:rFonts w:asciiTheme="minorHAnsi" w:hAnsiTheme="minorHAnsi"/>
          <w:sz w:val="24"/>
          <w:lang w:val="en-US"/>
        </w:rPr>
        <w:t xml:space="preserve"> </w:t>
      </w:r>
      <w:r w:rsidRPr="0055086C">
        <w:rPr>
          <w:rFonts w:asciiTheme="minorHAnsi" w:hAnsiTheme="minorHAnsi"/>
          <w:sz w:val="24"/>
          <w:lang w:val="en-US"/>
        </w:rPr>
        <w:t>time.</w:t>
      </w:r>
    </w:p>
    <w:p w:rsidR="00FD1925" w:rsidRDefault="00C0177A" w:rsidP="008706C8">
      <w:pPr>
        <w:pStyle w:val="ListParagraph"/>
        <w:widowControl/>
        <w:numPr>
          <w:ilvl w:val="2"/>
          <w:numId w:val="5"/>
        </w:numPr>
        <w:spacing w:after="120"/>
        <w:ind w:left="1276" w:hanging="284"/>
        <w:contextualSpacing w:val="0"/>
        <w:rPr>
          <w:rFonts w:asciiTheme="minorHAnsi" w:hAnsiTheme="minorHAnsi"/>
          <w:sz w:val="24"/>
          <w:lang w:val="en-US"/>
        </w:rPr>
      </w:pPr>
      <w:r>
        <w:rPr>
          <w:rFonts w:asciiTheme="minorHAnsi" w:hAnsiTheme="minorHAnsi"/>
          <w:sz w:val="24"/>
          <w:lang w:val="en-US"/>
        </w:rPr>
        <w:t xml:space="preserve">The PBAC considered that due to the requirements of the trial protocols (e.g. inclusion/exclusion criteria, monitoring and support provided), and the </w:t>
      </w:r>
      <w:r w:rsidRPr="0055086C">
        <w:rPr>
          <w:rFonts w:asciiTheme="minorHAnsi" w:hAnsiTheme="minorHAnsi"/>
          <w:sz w:val="24"/>
        </w:rPr>
        <w:t>specialised</w:t>
      </w:r>
      <w:r>
        <w:rPr>
          <w:rFonts w:asciiTheme="minorHAnsi" w:hAnsiTheme="minorHAnsi"/>
          <w:sz w:val="24"/>
          <w:lang w:val="en-US"/>
        </w:rPr>
        <w:t xml:space="preserve"> </w:t>
      </w:r>
      <w:proofErr w:type="spellStart"/>
      <w:r>
        <w:rPr>
          <w:rFonts w:asciiTheme="minorHAnsi" w:hAnsiTheme="minorHAnsi"/>
          <w:sz w:val="24"/>
          <w:lang w:val="en-US"/>
        </w:rPr>
        <w:t>centres</w:t>
      </w:r>
      <w:proofErr w:type="spellEnd"/>
      <w:r>
        <w:rPr>
          <w:rFonts w:asciiTheme="minorHAnsi" w:hAnsiTheme="minorHAnsi"/>
          <w:sz w:val="24"/>
          <w:lang w:val="en-US"/>
        </w:rPr>
        <w:t xml:space="preserve"> involved, that the patients enrolled in the trials were likely to have a better prognosis on average than the CFFPR control patients. The PBAC noted that the reduction in FEV</w:t>
      </w:r>
      <w:r w:rsidRPr="008A5FEA">
        <w:rPr>
          <w:rFonts w:asciiTheme="minorHAnsi" w:hAnsiTheme="minorHAnsi"/>
          <w:sz w:val="24"/>
          <w:vertAlign w:val="subscript"/>
          <w:lang w:val="en-US"/>
        </w:rPr>
        <w:t>1</w:t>
      </w:r>
      <w:r>
        <w:rPr>
          <w:rFonts w:asciiTheme="minorHAnsi" w:hAnsiTheme="minorHAnsi"/>
          <w:sz w:val="24"/>
          <w:lang w:val="en-US"/>
        </w:rPr>
        <w:t xml:space="preserve"> over 24 weeks for patients treated with placebo in the TRAFFIC/TRANSPORT trials was 0.4 percentage points and that this was much lower than the reduction observed in the CFFPR control patients over 1 and 2 years (2.29 percentage points). The PBAC considered that this difference suggested that the prognosis of patients in the trials differed substantially</w:t>
      </w:r>
      <w:r w:rsidRPr="0011542E">
        <w:rPr>
          <w:rFonts w:asciiTheme="minorHAnsi" w:hAnsiTheme="minorHAnsi"/>
          <w:sz w:val="24"/>
          <w:lang w:val="en-US"/>
        </w:rPr>
        <w:t xml:space="preserve"> </w:t>
      </w:r>
      <w:r>
        <w:rPr>
          <w:rFonts w:asciiTheme="minorHAnsi" w:hAnsiTheme="minorHAnsi"/>
          <w:sz w:val="24"/>
          <w:lang w:val="en-US"/>
        </w:rPr>
        <w:t>from CFFPR controls. Further, the PBAC noted that the reduction in FEV</w:t>
      </w:r>
      <w:r w:rsidRPr="00E05DC5">
        <w:rPr>
          <w:rFonts w:asciiTheme="minorHAnsi" w:hAnsiTheme="minorHAnsi"/>
          <w:sz w:val="24"/>
          <w:vertAlign w:val="subscript"/>
          <w:lang w:val="en-US"/>
        </w:rPr>
        <w:t>1</w:t>
      </w:r>
      <w:r>
        <w:rPr>
          <w:rFonts w:asciiTheme="minorHAnsi" w:hAnsiTheme="minorHAnsi"/>
          <w:sz w:val="24"/>
          <w:lang w:val="en-US"/>
        </w:rPr>
        <w:t xml:space="preserve"> in the placebo arm in a trial for </w:t>
      </w:r>
      <w:proofErr w:type="spellStart"/>
      <w:r>
        <w:rPr>
          <w:rFonts w:asciiTheme="minorHAnsi" w:hAnsiTheme="minorHAnsi"/>
          <w:sz w:val="24"/>
          <w:lang w:val="en-US"/>
        </w:rPr>
        <w:t>tezacaftor</w:t>
      </w:r>
      <w:proofErr w:type="spellEnd"/>
      <w:r>
        <w:rPr>
          <w:rFonts w:asciiTheme="minorHAnsi" w:hAnsiTheme="minorHAnsi"/>
          <w:sz w:val="24"/>
          <w:lang w:val="en-US"/>
        </w:rPr>
        <w:t>/</w:t>
      </w:r>
      <w:proofErr w:type="spellStart"/>
      <w:r>
        <w:rPr>
          <w:rFonts w:asciiTheme="minorHAnsi" w:hAnsiTheme="minorHAnsi"/>
          <w:sz w:val="24"/>
          <w:lang w:val="en-US"/>
        </w:rPr>
        <w:t>ivacaftor</w:t>
      </w:r>
      <w:proofErr w:type="spellEnd"/>
      <w:r>
        <w:rPr>
          <w:rFonts w:asciiTheme="minorHAnsi" w:hAnsiTheme="minorHAnsi"/>
          <w:sz w:val="24"/>
          <w:lang w:val="en-US"/>
        </w:rPr>
        <w:t xml:space="preserve"> in a similar patient population as TRAFFIC/TRANSPORT was 0.6 percentage points over 24 weeks (EVOLVE study</w:t>
      </w:r>
      <w:r>
        <w:rPr>
          <w:rStyle w:val="FootnoteReference"/>
          <w:rFonts w:asciiTheme="minorHAnsi" w:hAnsiTheme="minorHAnsi"/>
          <w:sz w:val="24"/>
          <w:lang w:val="en-US"/>
        </w:rPr>
        <w:footnoteReference w:id="4"/>
      </w:r>
      <w:r>
        <w:rPr>
          <w:rFonts w:asciiTheme="minorHAnsi" w:hAnsiTheme="minorHAnsi"/>
          <w:sz w:val="24"/>
          <w:lang w:val="en-US"/>
        </w:rPr>
        <w:t>).</w:t>
      </w:r>
    </w:p>
    <w:p w:rsidR="00C0177A" w:rsidRPr="00652860" w:rsidRDefault="00C0177A" w:rsidP="008706C8">
      <w:pPr>
        <w:pStyle w:val="ListParagraph"/>
        <w:widowControl/>
        <w:spacing w:after="120"/>
        <w:ind w:left="1276"/>
        <w:contextualSpacing w:val="0"/>
        <w:rPr>
          <w:rFonts w:asciiTheme="minorHAnsi" w:hAnsiTheme="minorHAnsi"/>
          <w:sz w:val="24"/>
          <w:lang w:val="en-US"/>
        </w:rPr>
      </w:pPr>
      <w:r>
        <w:rPr>
          <w:rFonts w:asciiTheme="minorHAnsi" w:hAnsiTheme="minorHAnsi"/>
          <w:sz w:val="24"/>
          <w:lang w:val="en-US"/>
        </w:rPr>
        <w:lastRenderedPageBreak/>
        <w:t>Thus the PBAC considered that it was not valid to compare the 2.29 percentage point reduction in FEV</w:t>
      </w:r>
      <w:r w:rsidRPr="00702F30">
        <w:rPr>
          <w:rFonts w:asciiTheme="minorHAnsi" w:hAnsiTheme="minorHAnsi"/>
          <w:sz w:val="24"/>
          <w:vertAlign w:val="subscript"/>
          <w:lang w:val="en-US"/>
        </w:rPr>
        <w:t>1</w:t>
      </w:r>
      <w:r>
        <w:rPr>
          <w:rFonts w:asciiTheme="minorHAnsi" w:hAnsiTheme="minorHAnsi"/>
          <w:sz w:val="24"/>
          <w:lang w:val="en-US"/>
        </w:rPr>
        <w:t xml:space="preserve"> in historical controls from CFFPR with that observed among treated patients in PROGRESS.</w:t>
      </w:r>
    </w:p>
    <w:p w:rsidR="00C0177A" w:rsidRDefault="00C0177A" w:rsidP="008706C8">
      <w:pPr>
        <w:pStyle w:val="ListParagraph"/>
        <w:widowControl/>
        <w:numPr>
          <w:ilvl w:val="1"/>
          <w:numId w:val="3"/>
        </w:numPr>
        <w:spacing w:before="120" w:after="160"/>
        <w:contextualSpacing w:val="0"/>
        <w:rPr>
          <w:rFonts w:asciiTheme="minorHAnsi" w:hAnsiTheme="minorHAnsi"/>
          <w:sz w:val="24"/>
          <w:lang w:val="en-US"/>
        </w:rPr>
      </w:pPr>
      <w:r>
        <w:rPr>
          <w:rFonts w:asciiTheme="minorHAnsi" w:hAnsiTheme="minorHAnsi"/>
          <w:sz w:val="24"/>
          <w:lang w:val="en-US"/>
        </w:rPr>
        <w:t>Overall, the PBAC considered that the matched analysis did not adequately support the claim of a reduction in the rate of decline in FEV</w:t>
      </w:r>
      <w:r w:rsidRPr="008518AB">
        <w:rPr>
          <w:rFonts w:asciiTheme="minorHAnsi" w:hAnsiTheme="minorHAnsi"/>
          <w:sz w:val="24"/>
          <w:vertAlign w:val="subscript"/>
          <w:lang w:val="en-US"/>
        </w:rPr>
        <w:t>1</w:t>
      </w:r>
      <w:r>
        <w:rPr>
          <w:rFonts w:asciiTheme="minorHAnsi" w:hAnsiTheme="minorHAnsi"/>
          <w:sz w:val="24"/>
          <w:lang w:val="en-US"/>
        </w:rPr>
        <w:t xml:space="preserve"> with </w:t>
      </w:r>
      <w:proofErr w:type="spellStart"/>
      <w:r w:rsidRPr="00226B30">
        <w:rPr>
          <w:rFonts w:asciiTheme="minorHAnsi" w:hAnsiTheme="minorHAnsi"/>
          <w:sz w:val="24"/>
          <w:lang w:val="en-US"/>
        </w:rPr>
        <w:t>lumacaftor</w:t>
      </w:r>
      <w:proofErr w:type="spellEnd"/>
      <w:r w:rsidRPr="00226B30">
        <w:rPr>
          <w:rFonts w:asciiTheme="minorHAnsi" w:hAnsiTheme="minorHAnsi"/>
          <w:sz w:val="24"/>
          <w:lang w:val="en-US"/>
        </w:rPr>
        <w:t>/</w:t>
      </w:r>
      <w:proofErr w:type="spellStart"/>
      <w:r w:rsidRPr="00226B30">
        <w:rPr>
          <w:rFonts w:asciiTheme="minorHAnsi" w:hAnsiTheme="minorHAnsi"/>
          <w:sz w:val="24"/>
          <w:lang w:val="en-US"/>
        </w:rPr>
        <w:t>ivacaftor</w:t>
      </w:r>
      <w:proofErr w:type="spellEnd"/>
      <w:r>
        <w:rPr>
          <w:rFonts w:asciiTheme="minorHAnsi" w:hAnsiTheme="minorHAnsi"/>
          <w:sz w:val="24"/>
          <w:lang w:val="en-US"/>
        </w:rPr>
        <w:t xml:space="preserve"> compared with BSC.</w:t>
      </w:r>
    </w:p>
    <w:p w:rsidR="00D7716A" w:rsidRDefault="00D7716A" w:rsidP="008706C8">
      <w:pPr>
        <w:pStyle w:val="ListParagraph"/>
        <w:widowControl/>
        <w:numPr>
          <w:ilvl w:val="1"/>
          <w:numId w:val="3"/>
        </w:numPr>
        <w:spacing w:before="120" w:after="160"/>
        <w:contextualSpacing w:val="0"/>
        <w:rPr>
          <w:rFonts w:asciiTheme="minorHAnsi" w:hAnsiTheme="minorHAnsi"/>
          <w:sz w:val="24"/>
          <w:lang w:val="en-US"/>
        </w:rPr>
      </w:pPr>
      <w:r>
        <w:rPr>
          <w:rFonts w:asciiTheme="minorHAnsi" w:hAnsiTheme="minorHAnsi"/>
          <w:sz w:val="24"/>
          <w:lang w:val="en-US"/>
        </w:rPr>
        <w:t xml:space="preserve">The current resubmission </w:t>
      </w:r>
      <w:r w:rsidR="000D2F1E">
        <w:rPr>
          <w:rFonts w:asciiTheme="minorHAnsi" w:hAnsiTheme="minorHAnsi"/>
          <w:sz w:val="24"/>
          <w:lang w:val="en-US"/>
        </w:rPr>
        <w:t xml:space="preserve">did </w:t>
      </w:r>
      <w:r>
        <w:rPr>
          <w:rFonts w:asciiTheme="minorHAnsi" w:hAnsiTheme="minorHAnsi"/>
          <w:sz w:val="24"/>
          <w:lang w:val="en-US"/>
        </w:rPr>
        <w:t>not provide any new</w:t>
      </w:r>
      <w:r w:rsidR="00FD1925">
        <w:rPr>
          <w:rFonts w:asciiTheme="minorHAnsi" w:hAnsiTheme="minorHAnsi"/>
          <w:sz w:val="24"/>
          <w:lang w:val="en-US"/>
        </w:rPr>
        <w:t xml:space="preserve"> </w:t>
      </w:r>
      <w:r>
        <w:rPr>
          <w:rFonts w:asciiTheme="minorHAnsi" w:hAnsiTheme="minorHAnsi"/>
          <w:sz w:val="24"/>
          <w:lang w:val="en-US"/>
        </w:rPr>
        <w:t>data on the rate of decline of ppFEV</w:t>
      </w:r>
      <w:r w:rsidRPr="00FD1925">
        <w:rPr>
          <w:rFonts w:asciiTheme="minorHAnsi" w:hAnsiTheme="minorHAnsi"/>
          <w:sz w:val="24"/>
          <w:vertAlign w:val="subscript"/>
          <w:lang w:val="en-US"/>
        </w:rPr>
        <w:t>1</w:t>
      </w:r>
      <w:r>
        <w:rPr>
          <w:rFonts w:asciiTheme="minorHAnsi" w:hAnsiTheme="minorHAnsi"/>
          <w:sz w:val="24"/>
          <w:lang w:val="en-US"/>
        </w:rPr>
        <w:t xml:space="preserve"> in untreated patients to better inform this comparison</w:t>
      </w:r>
      <w:r w:rsidR="00EC0C62">
        <w:rPr>
          <w:rFonts w:asciiTheme="minorHAnsi" w:hAnsiTheme="minorHAnsi"/>
          <w:sz w:val="24"/>
          <w:lang w:val="en-US"/>
        </w:rPr>
        <w:t>, despite patient level ppFEV</w:t>
      </w:r>
      <w:r w:rsidR="00EC0C62" w:rsidRPr="00FD1925">
        <w:rPr>
          <w:rFonts w:asciiTheme="minorHAnsi" w:hAnsiTheme="minorHAnsi"/>
          <w:sz w:val="24"/>
          <w:vertAlign w:val="subscript"/>
          <w:lang w:val="en-US"/>
        </w:rPr>
        <w:t>1</w:t>
      </w:r>
      <w:r w:rsidR="00EC0C62">
        <w:rPr>
          <w:rFonts w:asciiTheme="minorHAnsi" w:hAnsiTheme="minorHAnsi"/>
          <w:sz w:val="24"/>
          <w:lang w:val="en-US"/>
        </w:rPr>
        <w:t xml:space="preserve"> data being collected through the </w:t>
      </w:r>
      <w:r w:rsidR="00FD1925" w:rsidRPr="00FD1925">
        <w:rPr>
          <w:rFonts w:asciiTheme="minorHAnsi" w:hAnsiTheme="minorHAnsi"/>
          <w:sz w:val="24"/>
          <w:lang w:val="en-US"/>
        </w:rPr>
        <w:t>Australian Cystic Fibrosis Data Registry</w:t>
      </w:r>
      <w:r w:rsidR="00FD1925">
        <w:rPr>
          <w:rFonts w:asciiTheme="minorHAnsi" w:hAnsiTheme="minorHAnsi"/>
          <w:sz w:val="24"/>
          <w:lang w:val="en-US"/>
        </w:rPr>
        <w:t>.</w:t>
      </w:r>
      <w:r w:rsidR="00EC0C62">
        <w:rPr>
          <w:rFonts w:asciiTheme="minorHAnsi" w:hAnsiTheme="minorHAnsi"/>
          <w:sz w:val="24"/>
          <w:lang w:val="en-US"/>
        </w:rPr>
        <w:t xml:space="preserve">  </w:t>
      </w:r>
      <w:r w:rsidR="00B503D0">
        <w:rPr>
          <w:rFonts w:asciiTheme="minorHAnsi" w:hAnsiTheme="minorHAnsi"/>
          <w:sz w:val="24"/>
          <w:lang w:val="en-US"/>
        </w:rPr>
        <w:t>The pre-PBAC Response  state</w:t>
      </w:r>
      <w:r w:rsidR="000D2F1E">
        <w:rPr>
          <w:rFonts w:asciiTheme="minorHAnsi" w:hAnsiTheme="minorHAnsi"/>
          <w:sz w:val="24"/>
          <w:lang w:val="en-US"/>
        </w:rPr>
        <w:t>d again</w:t>
      </w:r>
      <w:r w:rsidR="00B503D0">
        <w:rPr>
          <w:rFonts w:asciiTheme="minorHAnsi" w:hAnsiTheme="minorHAnsi"/>
          <w:sz w:val="24"/>
          <w:lang w:val="en-US"/>
        </w:rPr>
        <w:t xml:space="preserve"> that “</w:t>
      </w:r>
      <w:r w:rsidR="00B503D0">
        <w:rPr>
          <w:rFonts w:asciiTheme="minorHAnsi" w:hAnsiTheme="minorHAnsi" w:cstheme="minorHAnsi"/>
          <w:sz w:val="24"/>
          <w:szCs w:val="24"/>
        </w:rPr>
        <w:t>l</w:t>
      </w:r>
      <w:r w:rsidR="00B503D0" w:rsidRPr="00B503D0">
        <w:rPr>
          <w:rFonts w:asciiTheme="minorHAnsi" w:hAnsiTheme="minorHAnsi" w:cstheme="minorHAnsi"/>
          <w:sz w:val="24"/>
          <w:szCs w:val="24"/>
        </w:rPr>
        <w:t xml:space="preserve">ong-term data to a total of 120 weeks from the PROGRESS trial confirms that the </w:t>
      </w:r>
      <w:r w:rsidR="00B503D0" w:rsidRPr="00B503D0">
        <w:rPr>
          <w:rFonts w:asciiTheme="minorHAnsi" w:hAnsiTheme="minorHAnsi" w:cstheme="minorHAnsi"/>
          <w:sz w:val="24"/>
          <w:szCs w:val="24"/>
          <w:u w:val="single"/>
        </w:rPr>
        <w:t>rate of decline</w:t>
      </w:r>
      <w:r w:rsidR="00B503D0" w:rsidRPr="00B503D0">
        <w:rPr>
          <w:rFonts w:asciiTheme="minorHAnsi" w:hAnsiTheme="minorHAnsi" w:cstheme="minorHAnsi"/>
          <w:sz w:val="24"/>
          <w:szCs w:val="24"/>
        </w:rPr>
        <w:t xml:space="preserve"> in lung function is lessened by 42% by </w:t>
      </w:r>
      <w:proofErr w:type="spellStart"/>
      <w:r w:rsidR="00B503D0" w:rsidRPr="00B503D0">
        <w:rPr>
          <w:rFonts w:asciiTheme="minorHAnsi" w:hAnsiTheme="minorHAnsi" w:cstheme="minorHAnsi"/>
          <w:sz w:val="24"/>
          <w:szCs w:val="24"/>
        </w:rPr>
        <w:t>Orkambi</w:t>
      </w:r>
      <w:proofErr w:type="spellEnd"/>
      <w:r w:rsidR="00B503D0" w:rsidRPr="00B503D0">
        <w:rPr>
          <w:rFonts w:asciiTheme="minorHAnsi" w:hAnsiTheme="minorHAnsi" w:cstheme="minorHAnsi"/>
          <w:sz w:val="24"/>
          <w:szCs w:val="24"/>
        </w:rPr>
        <w:t xml:space="preserve">® (p&lt;0.001), that </w:t>
      </w:r>
      <w:r w:rsidR="00B503D0" w:rsidRPr="00B503D0">
        <w:rPr>
          <w:rFonts w:asciiTheme="minorHAnsi" w:hAnsiTheme="minorHAnsi" w:cstheme="minorHAnsi"/>
          <w:sz w:val="24"/>
          <w:szCs w:val="24"/>
          <w:u w:val="single"/>
        </w:rPr>
        <w:t>the rate of pulmonary exacerbations continues to be approximately half</w:t>
      </w:r>
      <w:r w:rsidR="00B503D0" w:rsidRPr="00B503D0">
        <w:rPr>
          <w:rFonts w:asciiTheme="minorHAnsi" w:hAnsiTheme="minorHAnsi" w:cstheme="minorHAnsi"/>
          <w:sz w:val="24"/>
          <w:szCs w:val="24"/>
        </w:rPr>
        <w:t xml:space="preserve"> that experienced by the TRAFFIC/TRANSPORT placebo-treated patients and that BMI continues to increase”.</w:t>
      </w:r>
    </w:p>
    <w:p w:rsidR="00990855" w:rsidRDefault="00830F4E" w:rsidP="008706C8">
      <w:pPr>
        <w:pStyle w:val="ListParagraph"/>
        <w:widowControl/>
        <w:numPr>
          <w:ilvl w:val="1"/>
          <w:numId w:val="3"/>
        </w:numPr>
        <w:spacing w:before="120" w:after="160"/>
        <w:contextualSpacing w:val="0"/>
        <w:rPr>
          <w:rFonts w:asciiTheme="minorHAnsi" w:hAnsiTheme="minorHAnsi"/>
          <w:sz w:val="24"/>
          <w:lang w:val="en-US"/>
        </w:rPr>
      </w:pPr>
      <w:r w:rsidRPr="00BA6743">
        <w:rPr>
          <w:rFonts w:asciiTheme="minorHAnsi" w:hAnsiTheme="minorHAnsi"/>
          <w:sz w:val="24"/>
          <w:szCs w:val="24"/>
        </w:rPr>
        <w:t>The C</w:t>
      </w:r>
      <w:r w:rsidR="00BA6743" w:rsidRPr="00BA6743">
        <w:rPr>
          <w:rFonts w:asciiTheme="minorHAnsi" w:hAnsiTheme="minorHAnsi"/>
          <w:sz w:val="24"/>
          <w:szCs w:val="24"/>
        </w:rPr>
        <w:t xml:space="preserve">linical </w:t>
      </w:r>
      <w:r w:rsidRPr="00BA6743">
        <w:rPr>
          <w:rFonts w:asciiTheme="minorHAnsi" w:hAnsiTheme="minorHAnsi"/>
          <w:sz w:val="24"/>
          <w:szCs w:val="24"/>
        </w:rPr>
        <w:t>S</w:t>
      </w:r>
      <w:r w:rsidR="00BA6743" w:rsidRPr="00BA6743">
        <w:rPr>
          <w:rFonts w:asciiTheme="minorHAnsi" w:hAnsiTheme="minorHAnsi"/>
          <w:sz w:val="24"/>
          <w:szCs w:val="24"/>
        </w:rPr>
        <w:t xml:space="preserve">tudy </w:t>
      </w:r>
      <w:r w:rsidRPr="00BA6743">
        <w:rPr>
          <w:rFonts w:asciiTheme="minorHAnsi" w:hAnsiTheme="minorHAnsi"/>
          <w:sz w:val="24"/>
          <w:szCs w:val="24"/>
        </w:rPr>
        <w:t>R</w:t>
      </w:r>
      <w:r w:rsidR="00BA6743" w:rsidRPr="00BA6743">
        <w:rPr>
          <w:rFonts w:asciiTheme="minorHAnsi" w:hAnsiTheme="minorHAnsi"/>
          <w:sz w:val="24"/>
          <w:szCs w:val="24"/>
        </w:rPr>
        <w:t>eport</w:t>
      </w:r>
      <w:r w:rsidR="00BA6743">
        <w:rPr>
          <w:rFonts w:asciiTheme="minorHAnsi" w:hAnsiTheme="minorHAnsi"/>
          <w:sz w:val="24"/>
          <w:szCs w:val="24"/>
        </w:rPr>
        <w:t xml:space="preserve"> </w:t>
      </w:r>
      <w:r w:rsidRPr="00BA6743">
        <w:rPr>
          <w:rFonts w:asciiTheme="minorHAnsi" w:hAnsiTheme="minorHAnsi"/>
          <w:sz w:val="24"/>
          <w:szCs w:val="24"/>
        </w:rPr>
        <w:t xml:space="preserve">for </w:t>
      </w:r>
      <w:r w:rsidR="00BA6743" w:rsidRPr="00BA6743">
        <w:rPr>
          <w:rFonts w:asciiTheme="minorHAnsi" w:hAnsiTheme="minorHAnsi"/>
          <w:sz w:val="24"/>
          <w:szCs w:val="24"/>
        </w:rPr>
        <w:t>PROGRESS</w:t>
      </w:r>
      <w:r w:rsidRPr="00BA6743">
        <w:rPr>
          <w:rFonts w:asciiTheme="minorHAnsi" w:hAnsiTheme="minorHAnsi"/>
          <w:sz w:val="24"/>
          <w:szCs w:val="24"/>
        </w:rPr>
        <w:t xml:space="preserve"> presented subgroup analyses in absolute change in ppFEV</w:t>
      </w:r>
      <w:r w:rsidRPr="00BA6743">
        <w:rPr>
          <w:rFonts w:asciiTheme="minorHAnsi" w:hAnsiTheme="minorHAnsi"/>
          <w:sz w:val="24"/>
          <w:szCs w:val="24"/>
          <w:vertAlign w:val="subscript"/>
        </w:rPr>
        <w:t>1</w:t>
      </w:r>
      <w:r w:rsidRPr="00BA6743">
        <w:rPr>
          <w:rFonts w:asciiTheme="minorHAnsi" w:hAnsiTheme="minorHAnsi"/>
          <w:sz w:val="24"/>
          <w:szCs w:val="24"/>
        </w:rPr>
        <w:t xml:space="preserve"> to 96 weeks</w:t>
      </w:r>
      <w:r w:rsidR="00BA6743" w:rsidRPr="00BA6743">
        <w:rPr>
          <w:rFonts w:asciiTheme="minorHAnsi" w:hAnsiTheme="minorHAnsi"/>
          <w:sz w:val="24"/>
          <w:szCs w:val="24"/>
        </w:rPr>
        <w:t xml:space="preserve"> for a range of patient subgroups, including: age; </w:t>
      </w:r>
      <w:r w:rsidR="00BA6743" w:rsidRPr="00BA6743">
        <w:rPr>
          <w:rFonts w:asciiTheme="minorHAnsi" w:hAnsiTheme="minorHAnsi"/>
          <w:sz w:val="24"/>
          <w:szCs w:val="24"/>
          <w:lang w:val="en-US"/>
        </w:rPr>
        <w:t>ppFEV</w:t>
      </w:r>
      <w:r w:rsidR="00BA6743" w:rsidRPr="00BA6743">
        <w:rPr>
          <w:rFonts w:asciiTheme="minorHAnsi" w:hAnsiTheme="minorHAnsi"/>
          <w:sz w:val="24"/>
          <w:szCs w:val="24"/>
          <w:vertAlign w:val="subscript"/>
          <w:lang w:val="en-US"/>
        </w:rPr>
        <w:t xml:space="preserve">1 </w:t>
      </w:r>
      <w:r w:rsidR="00BA6743" w:rsidRPr="00BA6743">
        <w:rPr>
          <w:rFonts w:asciiTheme="minorHAnsi" w:hAnsiTheme="minorHAnsi"/>
          <w:sz w:val="24"/>
          <w:szCs w:val="24"/>
        </w:rPr>
        <w:t xml:space="preserve">severity at screening of the previous study; sex; prior use of inhaled antibiotic, bronchodilator, hypertonic saline or corticosteroids; and </w:t>
      </w:r>
      <w:r w:rsidR="00BA6743" w:rsidRPr="00BA6743">
        <w:rPr>
          <w:rFonts w:asciiTheme="minorHAnsi" w:hAnsiTheme="minorHAnsi"/>
          <w:i/>
          <w:sz w:val="24"/>
          <w:szCs w:val="24"/>
        </w:rPr>
        <w:t>P aeruginosa</w:t>
      </w:r>
      <w:r w:rsidR="00BA6743" w:rsidRPr="00BA6743">
        <w:rPr>
          <w:rFonts w:asciiTheme="minorHAnsi" w:hAnsiTheme="minorHAnsi"/>
          <w:sz w:val="24"/>
          <w:szCs w:val="24"/>
        </w:rPr>
        <w:t xml:space="preserve"> status at baseline of the previous study.</w:t>
      </w:r>
      <w:r w:rsidR="00BA6743">
        <w:rPr>
          <w:rFonts w:asciiTheme="minorHAnsi" w:hAnsiTheme="minorHAnsi"/>
          <w:sz w:val="24"/>
          <w:szCs w:val="24"/>
        </w:rPr>
        <w:t xml:space="preserve"> </w:t>
      </w:r>
      <w:r w:rsidRPr="00830F4E">
        <w:rPr>
          <w:rFonts w:asciiTheme="minorHAnsi" w:hAnsiTheme="minorHAnsi"/>
          <w:sz w:val="24"/>
          <w:lang w:val="en-US"/>
        </w:rPr>
        <w:t xml:space="preserve"> </w:t>
      </w:r>
      <w:r w:rsidR="00BA6743" w:rsidRPr="00BA6743">
        <w:rPr>
          <w:rFonts w:asciiTheme="minorHAnsi" w:hAnsiTheme="minorHAnsi"/>
          <w:sz w:val="24"/>
          <w:szCs w:val="24"/>
          <w:lang w:val="en-US"/>
        </w:rPr>
        <w:t xml:space="preserve">Overall, </w:t>
      </w:r>
      <w:r w:rsidR="00BA6743" w:rsidRPr="00BA6743">
        <w:rPr>
          <w:rFonts w:asciiTheme="minorHAnsi" w:hAnsiTheme="minorHAnsi"/>
          <w:sz w:val="24"/>
          <w:szCs w:val="24"/>
        </w:rPr>
        <w:t>the CSR stated that “[t]here were no trends suggestive of meaningful differences between any of the subgroups. For some subgroups, interpretation of outcomes should be treated with caution due to the small number of subjects.” (</w:t>
      </w:r>
      <w:proofErr w:type="gramStart"/>
      <w:r w:rsidR="00BA6743" w:rsidRPr="00BA6743">
        <w:rPr>
          <w:rFonts w:asciiTheme="minorHAnsi" w:hAnsiTheme="minorHAnsi"/>
          <w:sz w:val="24"/>
          <w:szCs w:val="24"/>
        </w:rPr>
        <w:t>p.133</w:t>
      </w:r>
      <w:proofErr w:type="gramEnd"/>
      <w:r w:rsidR="00BA6743" w:rsidRPr="00BA6743">
        <w:rPr>
          <w:rFonts w:asciiTheme="minorHAnsi" w:hAnsiTheme="minorHAnsi"/>
          <w:sz w:val="24"/>
          <w:szCs w:val="24"/>
        </w:rPr>
        <w:t xml:space="preserve"> of CSR Study 105).</w:t>
      </w:r>
      <w:r w:rsidR="00BA6743">
        <w:rPr>
          <w:rFonts w:asciiTheme="minorHAnsi" w:hAnsiTheme="minorHAnsi"/>
          <w:sz w:val="24"/>
          <w:szCs w:val="24"/>
        </w:rPr>
        <w:t xml:space="preserve"> The results from the subgroup analysis are presented </w:t>
      </w:r>
      <w:r w:rsidR="0014569D">
        <w:rPr>
          <w:rFonts w:asciiTheme="minorHAnsi" w:hAnsiTheme="minorHAnsi"/>
          <w:sz w:val="24"/>
          <w:szCs w:val="24"/>
        </w:rPr>
        <w:t xml:space="preserve">in Table </w:t>
      </w:r>
      <w:r w:rsidR="00A360B2">
        <w:rPr>
          <w:rFonts w:asciiTheme="minorHAnsi" w:hAnsiTheme="minorHAnsi"/>
          <w:sz w:val="24"/>
          <w:szCs w:val="24"/>
        </w:rPr>
        <w:t>6</w:t>
      </w:r>
      <w:r w:rsidR="00400EB2">
        <w:rPr>
          <w:rFonts w:asciiTheme="minorHAnsi" w:hAnsiTheme="minorHAnsi"/>
          <w:sz w:val="24"/>
          <w:szCs w:val="24"/>
        </w:rPr>
        <w:t>.</w:t>
      </w:r>
    </w:p>
    <w:p w:rsidR="00BA6743" w:rsidRPr="003A6EA2" w:rsidRDefault="00BA6743" w:rsidP="003A6EA2">
      <w:pPr>
        <w:keepNext/>
        <w:rPr>
          <w:rStyle w:val="CommentReference"/>
          <w:rFonts w:ascii="Arial Narrow" w:hAnsi="Arial Narrow"/>
          <w:b/>
          <w:sz w:val="20"/>
          <w:szCs w:val="20"/>
        </w:rPr>
      </w:pPr>
      <w:r w:rsidRPr="003A6EA2">
        <w:rPr>
          <w:rStyle w:val="CommentReference"/>
          <w:rFonts w:ascii="Arial Narrow" w:hAnsi="Arial Narrow"/>
          <w:b/>
          <w:sz w:val="20"/>
          <w:szCs w:val="20"/>
        </w:rPr>
        <w:t xml:space="preserve">Table </w:t>
      </w:r>
      <w:r w:rsidR="00A360B2">
        <w:rPr>
          <w:rStyle w:val="CommentReference"/>
          <w:rFonts w:ascii="Arial Narrow" w:hAnsi="Arial Narrow"/>
          <w:b/>
          <w:sz w:val="20"/>
          <w:szCs w:val="20"/>
        </w:rPr>
        <w:t>6</w:t>
      </w:r>
      <w:r w:rsidRPr="003A6EA2">
        <w:rPr>
          <w:rStyle w:val="CommentReference"/>
          <w:rFonts w:ascii="Arial Narrow" w:hAnsi="Arial Narrow"/>
          <w:b/>
          <w:sz w:val="20"/>
          <w:szCs w:val="20"/>
        </w:rPr>
        <w:t>: Subgroup analysis with whole trial population results– absolute changes from baseline in ppFEV</w:t>
      </w:r>
      <w:r w:rsidRPr="003A6EA2">
        <w:rPr>
          <w:rStyle w:val="CommentReference"/>
          <w:rFonts w:ascii="Arial Narrow" w:hAnsi="Arial Narrow"/>
          <w:b/>
          <w:sz w:val="20"/>
          <w:szCs w:val="20"/>
          <w:vertAlign w:val="subscript"/>
        </w:rPr>
        <w:t xml:space="preserve">1 - </w:t>
      </w:r>
      <w:r w:rsidRPr="003A6EA2">
        <w:rPr>
          <w:rStyle w:val="CommentReference"/>
          <w:rFonts w:ascii="Arial Narrow" w:hAnsi="Arial Narrow"/>
          <w:b/>
          <w:sz w:val="20"/>
          <w:szCs w:val="20"/>
        </w:rPr>
        <w:t>PROGRESS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47"/>
        <w:gridCol w:w="2126"/>
        <w:gridCol w:w="1134"/>
        <w:gridCol w:w="2410"/>
        <w:gridCol w:w="992"/>
      </w:tblGrid>
      <w:tr w:rsidR="00BA6743" w:rsidRPr="00BA6743" w:rsidTr="00713687">
        <w:trPr>
          <w:tblHeader/>
        </w:trPr>
        <w:tc>
          <w:tcPr>
            <w:tcW w:w="2547" w:type="dxa"/>
            <w:tcBorders>
              <w:bottom w:val="single" w:sz="4" w:space="0" w:color="auto"/>
            </w:tcBorders>
            <w:vAlign w:val="center"/>
          </w:tcPr>
          <w:p w:rsidR="00BA6743" w:rsidRPr="00BA6743" w:rsidRDefault="00BA6743" w:rsidP="00713687">
            <w:pPr>
              <w:pStyle w:val="Tabletext"/>
              <w:keepNext/>
              <w:rPr>
                <w:rFonts w:ascii="Arial Narrow" w:hAnsi="Arial Narrow"/>
                <w:b/>
              </w:rPr>
            </w:pPr>
            <w:r w:rsidRPr="00BA6743">
              <w:rPr>
                <w:rFonts w:ascii="Arial Narrow" w:hAnsi="Arial Narrow"/>
                <w:b/>
              </w:rPr>
              <w:t>Population</w:t>
            </w:r>
          </w:p>
        </w:tc>
        <w:tc>
          <w:tcPr>
            <w:tcW w:w="3260" w:type="dxa"/>
            <w:gridSpan w:val="2"/>
            <w:tcBorders>
              <w:bottom w:val="single" w:sz="4" w:space="0" w:color="auto"/>
            </w:tcBorders>
            <w:vAlign w:val="center"/>
          </w:tcPr>
          <w:p w:rsidR="00BA6743" w:rsidRPr="00BA6743" w:rsidRDefault="00BA6743" w:rsidP="00713687">
            <w:pPr>
              <w:pStyle w:val="Tabletext"/>
              <w:keepNext/>
              <w:jc w:val="center"/>
              <w:rPr>
                <w:rFonts w:ascii="Arial Narrow" w:hAnsi="Arial Narrow"/>
                <w:b/>
              </w:rPr>
            </w:pPr>
            <w:r w:rsidRPr="00BA6743">
              <w:rPr>
                <w:rFonts w:ascii="Arial Narrow" w:hAnsi="Arial Narrow"/>
                <w:b/>
              </w:rPr>
              <w:t xml:space="preserve">Placebo transitioned to </w:t>
            </w:r>
            <w:proofErr w:type="spellStart"/>
            <w:r w:rsidRPr="00BA6743">
              <w:rPr>
                <w:rFonts w:ascii="Arial Narrow" w:hAnsi="Arial Narrow"/>
                <w:b/>
              </w:rPr>
              <w:t>lumacaftor</w:t>
            </w:r>
            <w:proofErr w:type="spellEnd"/>
            <w:r w:rsidRPr="00BA6743">
              <w:rPr>
                <w:rFonts w:ascii="Arial Narrow" w:hAnsi="Arial Narrow"/>
                <w:b/>
              </w:rPr>
              <w:t>/</w:t>
            </w:r>
            <w:proofErr w:type="spellStart"/>
            <w:r w:rsidRPr="00BA6743">
              <w:rPr>
                <w:rFonts w:ascii="Arial Narrow" w:hAnsi="Arial Narrow"/>
                <w:b/>
              </w:rPr>
              <w:t>ivacaftor</w:t>
            </w:r>
            <w:proofErr w:type="spellEnd"/>
          </w:p>
          <w:p w:rsidR="00BA6743" w:rsidRPr="00BA6743" w:rsidRDefault="00BA6743" w:rsidP="00713687">
            <w:pPr>
              <w:pStyle w:val="Tabletext"/>
              <w:keepNext/>
              <w:jc w:val="center"/>
              <w:rPr>
                <w:rFonts w:ascii="Arial Narrow" w:hAnsi="Arial Narrow"/>
                <w:b/>
              </w:rPr>
            </w:pPr>
            <w:r w:rsidRPr="00BA6743">
              <w:rPr>
                <w:rFonts w:ascii="Arial Narrow" w:hAnsi="Arial Narrow"/>
                <w:b/>
              </w:rPr>
              <w:t>(n=176)</w:t>
            </w:r>
          </w:p>
        </w:tc>
        <w:tc>
          <w:tcPr>
            <w:tcW w:w="3402" w:type="dxa"/>
            <w:gridSpan w:val="2"/>
            <w:tcBorders>
              <w:bottom w:val="single" w:sz="4" w:space="0" w:color="auto"/>
            </w:tcBorders>
            <w:vAlign w:val="center"/>
          </w:tcPr>
          <w:p w:rsidR="00BA6743" w:rsidRPr="00BA6743" w:rsidRDefault="00BA6743" w:rsidP="00713687">
            <w:pPr>
              <w:pStyle w:val="Tabletext"/>
              <w:keepNext/>
              <w:jc w:val="center"/>
              <w:rPr>
                <w:rFonts w:ascii="Arial Narrow" w:hAnsi="Arial Narrow"/>
                <w:b/>
              </w:rPr>
            </w:pPr>
            <w:r w:rsidRPr="00BA6743">
              <w:rPr>
                <w:rFonts w:ascii="Arial Narrow" w:hAnsi="Arial Narrow"/>
                <w:b/>
              </w:rPr>
              <w:t xml:space="preserve">Continued </w:t>
            </w:r>
            <w:proofErr w:type="spellStart"/>
            <w:r w:rsidRPr="00BA6743">
              <w:rPr>
                <w:rFonts w:ascii="Arial Narrow" w:hAnsi="Arial Narrow"/>
                <w:b/>
              </w:rPr>
              <w:t>lumacaftor</w:t>
            </w:r>
            <w:proofErr w:type="spellEnd"/>
            <w:r w:rsidRPr="00BA6743">
              <w:rPr>
                <w:rFonts w:ascii="Arial Narrow" w:hAnsi="Arial Narrow"/>
                <w:b/>
              </w:rPr>
              <w:t>/</w:t>
            </w:r>
            <w:proofErr w:type="spellStart"/>
            <w:r w:rsidRPr="00BA6743">
              <w:rPr>
                <w:rFonts w:ascii="Arial Narrow" w:hAnsi="Arial Narrow"/>
                <w:b/>
              </w:rPr>
              <w:t>ivacaftor</w:t>
            </w:r>
            <w:proofErr w:type="spellEnd"/>
          </w:p>
          <w:p w:rsidR="00BA6743" w:rsidRPr="00BA6743" w:rsidRDefault="00BA6743" w:rsidP="00713687">
            <w:pPr>
              <w:pStyle w:val="Tabletext"/>
              <w:keepNext/>
              <w:jc w:val="center"/>
              <w:rPr>
                <w:rFonts w:ascii="Arial Narrow" w:hAnsi="Arial Narrow"/>
                <w:b/>
              </w:rPr>
            </w:pPr>
            <w:r w:rsidRPr="00BA6743">
              <w:rPr>
                <w:rFonts w:ascii="Arial Narrow" w:hAnsi="Arial Narrow"/>
                <w:b/>
              </w:rPr>
              <w:t>(n=369*)</w:t>
            </w:r>
          </w:p>
        </w:tc>
      </w:tr>
      <w:tr w:rsidR="00BA6743" w:rsidRPr="00BA6743" w:rsidTr="00713687">
        <w:tc>
          <w:tcPr>
            <w:tcW w:w="2547" w:type="dxa"/>
          </w:tcPr>
          <w:p w:rsidR="00BA6743" w:rsidRPr="00BA6743" w:rsidRDefault="00BA6743" w:rsidP="00713687">
            <w:pPr>
              <w:keepNext/>
              <w:rPr>
                <w:rFonts w:ascii="Arial Narrow" w:hAnsi="Arial Narrow"/>
                <w:sz w:val="20"/>
                <w:szCs w:val="20"/>
              </w:rPr>
            </w:pPr>
          </w:p>
        </w:tc>
        <w:tc>
          <w:tcPr>
            <w:tcW w:w="2126" w:type="dxa"/>
            <w:vAlign w:val="center"/>
          </w:tcPr>
          <w:p w:rsidR="00BA6743" w:rsidRPr="00933BF6" w:rsidRDefault="00BA6743" w:rsidP="00713687">
            <w:pPr>
              <w:keepNext/>
              <w:jc w:val="center"/>
              <w:rPr>
                <w:rFonts w:ascii="Arial Narrow" w:hAnsi="Arial Narrow"/>
                <w:sz w:val="20"/>
                <w:szCs w:val="20"/>
              </w:rPr>
            </w:pPr>
            <w:r w:rsidRPr="00BA6743">
              <w:rPr>
                <w:rFonts w:ascii="Arial Narrow" w:hAnsi="Arial Narrow"/>
                <w:sz w:val="20"/>
                <w:szCs w:val="20"/>
              </w:rPr>
              <w:t xml:space="preserve">n LS mean, p value†; Mean (SD) </w:t>
            </w:r>
          </w:p>
        </w:tc>
        <w:tc>
          <w:tcPr>
            <w:tcW w:w="1134" w:type="dxa"/>
            <w:vAlign w:val="center"/>
          </w:tcPr>
          <w:p w:rsidR="00BA6743" w:rsidRPr="00AD5FFE" w:rsidRDefault="00BA6743" w:rsidP="00713687">
            <w:pPr>
              <w:keepNext/>
              <w:jc w:val="center"/>
              <w:rPr>
                <w:rFonts w:ascii="Arial Narrow" w:hAnsi="Arial Narrow"/>
                <w:sz w:val="20"/>
                <w:szCs w:val="20"/>
              </w:rPr>
            </w:pPr>
            <w:r w:rsidRPr="0094281E">
              <w:rPr>
                <w:rFonts w:ascii="Arial Narrow" w:hAnsi="Arial Narrow"/>
                <w:sz w:val="20"/>
                <w:szCs w:val="20"/>
              </w:rPr>
              <w:t xml:space="preserve">(LS 95% </w:t>
            </w:r>
            <w:r w:rsidRPr="00AD5FFE">
              <w:rPr>
                <w:rFonts w:ascii="Arial Narrow" w:hAnsi="Arial Narrow"/>
                <w:sz w:val="20"/>
                <w:szCs w:val="20"/>
              </w:rPr>
              <w:t>CI)</w:t>
            </w:r>
          </w:p>
        </w:tc>
        <w:tc>
          <w:tcPr>
            <w:tcW w:w="2410" w:type="dxa"/>
            <w:vAlign w:val="center"/>
          </w:tcPr>
          <w:p w:rsidR="00BA6743" w:rsidRPr="00AD5FFE" w:rsidRDefault="00BA6743" w:rsidP="00713687">
            <w:pPr>
              <w:keepNext/>
              <w:jc w:val="center"/>
              <w:rPr>
                <w:rFonts w:ascii="Arial Narrow" w:hAnsi="Arial Narrow"/>
                <w:sz w:val="20"/>
                <w:szCs w:val="20"/>
              </w:rPr>
            </w:pPr>
            <w:r w:rsidRPr="00AD5FFE">
              <w:rPr>
                <w:rFonts w:ascii="Arial Narrow" w:hAnsi="Arial Narrow"/>
                <w:sz w:val="20"/>
                <w:szCs w:val="20"/>
              </w:rPr>
              <w:t>n LS mean, p value†; Mean (SD)</w:t>
            </w:r>
          </w:p>
        </w:tc>
        <w:tc>
          <w:tcPr>
            <w:tcW w:w="992" w:type="dxa"/>
            <w:vAlign w:val="center"/>
          </w:tcPr>
          <w:p w:rsidR="00BA6743" w:rsidRPr="00AD5FFE" w:rsidRDefault="00BA6743" w:rsidP="00713687">
            <w:pPr>
              <w:keepNext/>
              <w:jc w:val="center"/>
              <w:rPr>
                <w:rFonts w:ascii="Arial Narrow" w:hAnsi="Arial Narrow"/>
                <w:sz w:val="20"/>
                <w:szCs w:val="20"/>
              </w:rPr>
            </w:pPr>
            <w:r w:rsidRPr="00AD5FFE">
              <w:rPr>
                <w:rFonts w:ascii="Arial Narrow" w:hAnsi="Arial Narrow"/>
                <w:sz w:val="20"/>
                <w:szCs w:val="20"/>
              </w:rPr>
              <w:t>(LS 95% CI)</w:t>
            </w:r>
          </w:p>
        </w:tc>
      </w:tr>
      <w:tr w:rsidR="00BA6743" w:rsidRPr="00BA6743" w:rsidTr="00713687">
        <w:tc>
          <w:tcPr>
            <w:tcW w:w="2547" w:type="dxa"/>
            <w:tcBorders>
              <w:bottom w:val="single" w:sz="4" w:space="0" w:color="auto"/>
            </w:tcBorders>
            <w:vAlign w:val="center"/>
          </w:tcPr>
          <w:p w:rsidR="00BA6743" w:rsidRPr="00BA6743" w:rsidRDefault="00BA6743" w:rsidP="00713687">
            <w:pPr>
              <w:pStyle w:val="Tabletext"/>
              <w:rPr>
                <w:rFonts w:ascii="Arial Narrow" w:hAnsi="Arial Narrow"/>
              </w:rPr>
            </w:pPr>
            <w:r w:rsidRPr="00BA6743">
              <w:rPr>
                <w:rFonts w:ascii="Arial Narrow" w:hAnsi="Arial Narrow"/>
              </w:rPr>
              <w:t>Whole</w:t>
            </w:r>
          </w:p>
        </w:tc>
        <w:tc>
          <w:tcPr>
            <w:tcW w:w="2126" w:type="dxa"/>
            <w:tcBorders>
              <w:bottom w:val="single" w:sz="4" w:space="0" w:color="auto"/>
            </w:tcBorders>
          </w:tcPr>
          <w:p w:rsidR="00BA6743" w:rsidRPr="00BA6743" w:rsidRDefault="00BA6743" w:rsidP="00713687">
            <w:pPr>
              <w:keepNext/>
              <w:jc w:val="center"/>
              <w:rPr>
                <w:rFonts w:ascii="Arial Narrow" w:hAnsi="Arial Narrow"/>
                <w:sz w:val="20"/>
                <w:szCs w:val="20"/>
              </w:rPr>
            </w:pPr>
            <w:r w:rsidRPr="00BA6743">
              <w:rPr>
                <w:rFonts w:ascii="Arial Narrow" w:hAnsi="Arial Narrow"/>
                <w:sz w:val="20"/>
                <w:szCs w:val="20"/>
              </w:rPr>
              <w:t>75, 0.8 p=0.3495; 1.2 (8.9)</w:t>
            </w:r>
          </w:p>
        </w:tc>
        <w:tc>
          <w:tcPr>
            <w:tcW w:w="1134" w:type="dxa"/>
            <w:tcBorders>
              <w:bottom w:val="single" w:sz="4" w:space="0" w:color="auto"/>
            </w:tcBorders>
          </w:tcPr>
          <w:p w:rsidR="00BA6743" w:rsidRPr="00933BF6" w:rsidRDefault="00BA6743" w:rsidP="00713687">
            <w:pPr>
              <w:keepNext/>
              <w:jc w:val="center"/>
              <w:rPr>
                <w:rFonts w:ascii="Arial Narrow" w:hAnsi="Arial Narrow"/>
                <w:sz w:val="20"/>
                <w:szCs w:val="20"/>
              </w:rPr>
            </w:pPr>
            <w:r w:rsidRPr="00933BF6">
              <w:rPr>
                <w:rFonts w:ascii="Arial Narrow" w:hAnsi="Arial Narrow"/>
                <w:sz w:val="20"/>
                <w:szCs w:val="20"/>
              </w:rPr>
              <w:t>(–0·8, 2·3),</w:t>
            </w:r>
          </w:p>
        </w:tc>
        <w:tc>
          <w:tcPr>
            <w:tcW w:w="2410" w:type="dxa"/>
            <w:tcBorders>
              <w:bottom w:val="single" w:sz="4" w:space="0" w:color="auto"/>
            </w:tcBorders>
          </w:tcPr>
          <w:p w:rsidR="00BA6743" w:rsidRPr="00AD5FFE" w:rsidRDefault="00BA6743" w:rsidP="00713687">
            <w:pPr>
              <w:keepNext/>
              <w:jc w:val="center"/>
              <w:rPr>
                <w:rFonts w:ascii="Arial Narrow" w:hAnsi="Arial Narrow"/>
                <w:sz w:val="20"/>
                <w:szCs w:val="20"/>
              </w:rPr>
            </w:pPr>
            <w:r w:rsidRPr="0094281E">
              <w:rPr>
                <w:rFonts w:ascii="Arial Narrow" w:hAnsi="Arial Narrow"/>
                <w:sz w:val="20"/>
                <w:szCs w:val="20"/>
              </w:rPr>
              <w:t>147, 0.5</w:t>
            </w:r>
            <w:r w:rsidRPr="00AD5FFE">
              <w:rPr>
                <w:rFonts w:ascii="Arial Narrow" w:hAnsi="Arial Narrow"/>
                <w:sz w:val="20"/>
                <w:szCs w:val="20"/>
              </w:rPr>
              <w:t>, p=0.4231; 1.2 (8.9)</w:t>
            </w:r>
          </w:p>
        </w:tc>
        <w:tc>
          <w:tcPr>
            <w:tcW w:w="992" w:type="dxa"/>
            <w:tcBorders>
              <w:bottom w:val="single" w:sz="4" w:space="0" w:color="auto"/>
            </w:tcBorders>
          </w:tcPr>
          <w:p w:rsidR="00BA6743" w:rsidRPr="00AD5FFE" w:rsidRDefault="00BA6743" w:rsidP="00713687">
            <w:pPr>
              <w:keepNext/>
              <w:jc w:val="center"/>
              <w:rPr>
                <w:rFonts w:ascii="Arial Narrow" w:hAnsi="Arial Narrow"/>
                <w:sz w:val="20"/>
                <w:szCs w:val="20"/>
              </w:rPr>
            </w:pPr>
            <w:r w:rsidRPr="00AD5FFE">
              <w:rPr>
                <w:rFonts w:ascii="Arial Narrow" w:hAnsi="Arial Narrow"/>
                <w:sz w:val="20"/>
                <w:szCs w:val="20"/>
              </w:rPr>
              <w:t>(–0.7,1.6),</w:t>
            </w:r>
          </w:p>
        </w:tc>
      </w:tr>
      <w:tr w:rsidR="00BA6743" w:rsidRPr="00BA6743" w:rsidTr="00713687">
        <w:tc>
          <w:tcPr>
            <w:tcW w:w="2547" w:type="dxa"/>
            <w:tcBorders>
              <w:right w:val="single" w:sz="4" w:space="0" w:color="auto"/>
            </w:tcBorders>
            <w:vAlign w:val="center"/>
          </w:tcPr>
          <w:p w:rsidR="00BA6743" w:rsidRPr="00BA6743" w:rsidRDefault="00BA6743" w:rsidP="00713687">
            <w:pPr>
              <w:pStyle w:val="Tabletext"/>
              <w:rPr>
                <w:rFonts w:ascii="Arial Narrow" w:hAnsi="Arial Narrow"/>
              </w:rPr>
            </w:pPr>
          </w:p>
        </w:tc>
        <w:tc>
          <w:tcPr>
            <w:tcW w:w="2126" w:type="dxa"/>
            <w:tcBorders>
              <w:left w:val="single" w:sz="4" w:space="0" w:color="auto"/>
              <w:right w:val="single" w:sz="4" w:space="0" w:color="auto"/>
            </w:tcBorders>
          </w:tcPr>
          <w:p w:rsidR="00BA6743" w:rsidRPr="00BA6743" w:rsidRDefault="00BA6743" w:rsidP="00713687">
            <w:pPr>
              <w:pStyle w:val="Tabletext"/>
              <w:jc w:val="center"/>
              <w:rPr>
                <w:rFonts w:ascii="Arial Narrow" w:hAnsi="Arial Narrow"/>
              </w:rPr>
            </w:pPr>
          </w:p>
          <w:p w:rsidR="00BA6743" w:rsidRPr="00BA6743" w:rsidRDefault="00BA6743" w:rsidP="00713687">
            <w:pPr>
              <w:pStyle w:val="Tabletext"/>
              <w:jc w:val="center"/>
              <w:rPr>
                <w:rFonts w:ascii="Arial Narrow" w:hAnsi="Arial Narrow"/>
              </w:rPr>
            </w:pPr>
            <w:r w:rsidRPr="00BA6743">
              <w:rPr>
                <w:rFonts w:ascii="Arial Narrow" w:hAnsi="Arial Narrow"/>
              </w:rPr>
              <w:t>n, Mean (SD) [</w:t>
            </w:r>
            <w:proofErr w:type="spellStart"/>
            <w:r w:rsidRPr="00BA6743">
              <w:rPr>
                <w:rFonts w:ascii="Arial Narrow" w:hAnsi="Arial Narrow"/>
              </w:rPr>
              <w:t>min,max</w:t>
            </w:r>
            <w:proofErr w:type="spellEnd"/>
            <w:r w:rsidRPr="00BA6743">
              <w:rPr>
                <w:rFonts w:ascii="Arial Narrow" w:hAnsi="Arial Narrow"/>
              </w:rPr>
              <w:t>]</w:t>
            </w:r>
          </w:p>
        </w:tc>
        <w:tc>
          <w:tcPr>
            <w:tcW w:w="1134" w:type="dxa"/>
            <w:tcBorders>
              <w:left w:val="single" w:sz="4" w:space="0" w:color="auto"/>
              <w:right w:val="single" w:sz="4" w:space="0" w:color="auto"/>
            </w:tcBorders>
          </w:tcPr>
          <w:p w:rsidR="00BA6743" w:rsidRPr="00BA6743" w:rsidRDefault="00BA6743" w:rsidP="00713687">
            <w:pPr>
              <w:pStyle w:val="Tabletext"/>
              <w:jc w:val="center"/>
              <w:rPr>
                <w:rFonts w:ascii="Arial Narrow" w:hAnsi="Arial Narrow"/>
              </w:rPr>
            </w:pPr>
          </w:p>
          <w:p w:rsidR="00BA6743" w:rsidRPr="00BA6743" w:rsidRDefault="00BA6743" w:rsidP="00713687">
            <w:pPr>
              <w:pStyle w:val="Tabletext"/>
              <w:jc w:val="center"/>
              <w:rPr>
                <w:rFonts w:ascii="Arial Narrow" w:hAnsi="Arial Narrow"/>
              </w:rPr>
            </w:pPr>
            <w:r w:rsidRPr="00BA6743">
              <w:rPr>
                <w:rFonts w:ascii="Arial Narrow" w:hAnsi="Arial Narrow"/>
              </w:rPr>
              <w:t>(95% CI)</w:t>
            </w:r>
          </w:p>
        </w:tc>
        <w:tc>
          <w:tcPr>
            <w:tcW w:w="2410" w:type="dxa"/>
            <w:tcBorders>
              <w:left w:val="single" w:sz="4" w:space="0" w:color="auto"/>
            </w:tcBorders>
          </w:tcPr>
          <w:p w:rsidR="00BA6743" w:rsidRPr="00BA6743" w:rsidRDefault="00BA6743" w:rsidP="00713687">
            <w:pPr>
              <w:pStyle w:val="Tabletext"/>
              <w:jc w:val="center"/>
              <w:rPr>
                <w:rFonts w:ascii="Arial Narrow" w:hAnsi="Arial Narrow"/>
              </w:rPr>
            </w:pPr>
          </w:p>
          <w:p w:rsidR="00BA6743" w:rsidRPr="00BA6743" w:rsidRDefault="00BA6743" w:rsidP="00713687">
            <w:pPr>
              <w:pStyle w:val="Tabletext"/>
              <w:jc w:val="center"/>
              <w:rPr>
                <w:rFonts w:ascii="Arial Narrow" w:hAnsi="Arial Narrow"/>
              </w:rPr>
            </w:pPr>
            <w:r w:rsidRPr="00BA6743">
              <w:rPr>
                <w:rFonts w:ascii="Arial Narrow" w:hAnsi="Arial Narrow"/>
              </w:rPr>
              <w:t>n, Mean (SD) [</w:t>
            </w:r>
            <w:proofErr w:type="spellStart"/>
            <w:r w:rsidRPr="00BA6743">
              <w:rPr>
                <w:rFonts w:ascii="Arial Narrow" w:hAnsi="Arial Narrow"/>
              </w:rPr>
              <w:t>min,max</w:t>
            </w:r>
            <w:proofErr w:type="spellEnd"/>
            <w:r w:rsidRPr="00BA6743">
              <w:rPr>
                <w:rFonts w:ascii="Arial Narrow" w:hAnsi="Arial Narrow"/>
              </w:rPr>
              <w:t>]</w:t>
            </w:r>
          </w:p>
        </w:tc>
        <w:tc>
          <w:tcPr>
            <w:tcW w:w="992" w:type="dxa"/>
            <w:tcBorders>
              <w:left w:val="nil"/>
            </w:tcBorders>
          </w:tcPr>
          <w:p w:rsidR="00BA6743" w:rsidRPr="00BA6743" w:rsidRDefault="00BA6743" w:rsidP="00713687">
            <w:pPr>
              <w:pStyle w:val="Tabletext"/>
              <w:jc w:val="center"/>
              <w:rPr>
                <w:rFonts w:ascii="Arial Narrow" w:hAnsi="Arial Narrow"/>
                <w:i/>
              </w:rPr>
            </w:pPr>
          </w:p>
          <w:p w:rsidR="00BA6743" w:rsidRPr="00BA6743" w:rsidRDefault="00BA6743" w:rsidP="00713687">
            <w:pPr>
              <w:pStyle w:val="Tabletext"/>
              <w:jc w:val="center"/>
              <w:rPr>
                <w:rFonts w:ascii="Arial Narrow" w:hAnsi="Arial Narrow"/>
                <w:i/>
              </w:rPr>
            </w:pPr>
            <w:r w:rsidRPr="00BA6743">
              <w:rPr>
                <w:rFonts w:ascii="Arial Narrow" w:hAnsi="Arial Narrow"/>
                <w:i/>
              </w:rPr>
              <w:t>(95% CI)</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Age &lt; 18 years</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19, 3.0 (11.2) [-22.5, 21.8]</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(-2.4,8.4)</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50, -0.4 (9.9) [-28.5, 22.5]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(-3.21,2.41)</w:t>
            </w:r>
          </w:p>
        </w:tc>
      </w:tr>
      <w:tr w:rsidR="00BA6743" w:rsidRPr="00BA6743" w:rsidTr="00713687">
        <w:tc>
          <w:tcPr>
            <w:tcW w:w="2547" w:type="dxa"/>
            <w:vAlign w:val="center"/>
          </w:tcPr>
          <w:p w:rsidR="00BA6743" w:rsidRPr="00BA6743" w:rsidRDefault="00BA6743" w:rsidP="00713687">
            <w:pPr>
              <w:pStyle w:val="Tabletext"/>
              <w:rPr>
                <w:rFonts w:ascii="Arial Narrow" w:hAnsi="Arial Narrow"/>
                <w:b/>
              </w:rPr>
            </w:pPr>
            <w:r w:rsidRPr="00BA6743">
              <w:rPr>
                <w:rFonts w:ascii="Arial Narrow" w:hAnsi="Arial Narrow"/>
                <w:b/>
              </w:rPr>
              <w:t>Age ≥ 18 years</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56, 0.5 (8.0) [-18.6,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(-1.64,2.64)</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97, 2.0 (8.3) [-26.3, 24.5]</w:t>
            </w:r>
          </w:p>
        </w:tc>
        <w:tc>
          <w:tcPr>
            <w:tcW w:w="992" w:type="dxa"/>
          </w:tcPr>
          <w:p w:rsidR="00BA6743" w:rsidRPr="00BA6743" w:rsidRDefault="00BA6743" w:rsidP="00713687">
            <w:pPr>
              <w:pStyle w:val="Tabletext"/>
              <w:jc w:val="center"/>
              <w:rPr>
                <w:rFonts w:ascii="Arial Narrow" w:hAnsi="Arial Narrow"/>
                <w:b/>
                <w:i/>
              </w:rPr>
            </w:pPr>
            <w:r w:rsidRPr="00BA6743">
              <w:rPr>
                <w:rFonts w:ascii="Arial Narrow" w:hAnsi="Arial Narrow"/>
                <w:b/>
                <w:i/>
              </w:rPr>
              <w:t>(0.33,3.67)</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Sex Male</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36, 1.9 (10.0) [-22.5,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(-1.48,5.28)</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77, 1.3 (8.8) [-28.5, 18.9]</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(-0.7,3.3)</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 xml:space="preserve">Sex Female </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39, 0.5 (7.9) [-18.6, 21.8]</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(-2.06,3.06)</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70, 1.0 (9.2) [-22.2, 24.5]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(-1.19,3.19)</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Region: North America</w:t>
            </w:r>
          </w:p>
        </w:tc>
        <w:tc>
          <w:tcPr>
            <w:tcW w:w="2126" w:type="dxa"/>
          </w:tcPr>
          <w:p w:rsidR="00BA6743" w:rsidRPr="00BA6743" w:rsidRDefault="00BA6743" w:rsidP="00713687">
            <w:pPr>
              <w:pStyle w:val="Tabletext"/>
              <w:jc w:val="center"/>
              <w:rPr>
                <w:rFonts w:ascii="Arial Narrow" w:hAnsi="Arial Narrow"/>
                <w:highlight w:val="yellow"/>
              </w:rPr>
            </w:pPr>
            <w:r w:rsidRPr="00BA6743">
              <w:rPr>
                <w:rFonts w:ascii="Arial Narrow" w:hAnsi="Arial Narrow"/>
              </w:rPr>
              <w:t>13, -2.2 (8.9) [-22.5, 11.1]</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(-7.58,3.18)</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29, -0.1 (9.4) [-28.5, 245]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(-3.68,3.48)</w:t>
            </w:r>
          </w:p>
        </w:tc>
      </w:tr>
      <w:tr w:rsidR="00BA6743" w:rsidRPr="00BA6743" w:rsidTr="00713687">
        <w:tc>
          <w:tcPr>
            <w:tcW w:w="2547" w:type="dxa"/>
            <w:vAlign w:val="center"/>
          </w:tcPr>
          <w:p w:rsidR="00BA6743" w:rsidRPr="00BA6743" w:rsidRDefault="00BA6743" w:rsidP="00713687">
            <w:pPr>
              <w:pStyle w:val="Tabletext"/>
              <w:rPr>
                <w:rFonts w:ascii="Arial Narrow" w:hAnsi="Arial Narrow"/>
                <w:b/>
              </w:rPr>
            </w:pPr>
            <w:r w:rsidRPr="00BA6743">
              <w:rPr>
                <w:rFonts w:ascii="Arial Narrow" w:hAnsi="Arial Narrow"/>
                <w:b/>
              </w:rPr>
              <w:t>Region: Europe</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50, 1.2 (8.1) [-18.6, 21.8]</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(-1.1,3.5)</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96, 2.2 (9.1) [-26.3, 24.4]</w:t>
            </w:r>
          </w:p>
        </w:tc>
        <w:tc>
          <w:tcPr>
            <w:tcW w:w="992" w:type="dxa"/>
          </w:tcPr>
          <w:p w:rsidR="00BA6743" w:rsidRPr="00BA6743" w:rsidRDefault="00BA6743" w:rsidP="00713687">
            <w:pPr>
              <w:pStyle w:val="Tabletext"/>
              <w:jc w:val="center"/>
              <w:rPr>
                <w:rFonts w:ascii="Arial Narrow" w:hAnsi="Arial Narrow"/>
                <w:b/>
                <w:i/>
              </w:rPr>
            </w:pPr>
            <w:r w:rsidRPr="00BA6743">
              <w:rPr>
                <w:rFonts w:ascii="Arial Narrow" w:hAnsi="Arial Narrow"/>
                <w:b/>
                <w:i/>
              </w:rPr>
              <w:t>(0.36,4.04)</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Region: Australia</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12, 4.7 (11.3) [-7.4,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(-2.48,11.88)</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22, -1.7 (6.8) [-18.6, 11.4]</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(-4.71,1.31)</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lastRenderedPageBreak/>
              <w:t>ppFEV</w:t>
            </w:r>
            <w:r w:rsidRPr="00BA6743">
              <w:rPr>
                <w:rFonts w:ascii="Arial Narrow" w:hAnsi="Arial Narrow"/>
                <w:vertAlign w:val="subscript"/>
              </w:rPr>
              <w:t>1</w:t>
            </w:r>
            <w:r w:rsidRPr="00BA6743">
              <w:rPr>
                <w:rFonts w:ascii="Arial Narrow" w:hAnsi="Arial Narrow"/>
              </w:rPr>
              <w:t xml:space="preserve"> at screening &lt; 70</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58, 0.4 (8.9) [-22.5,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(-1.94,2.74)</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99, 1.7 (9.2) [-26.3, 24.5]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(-0.13,3.53)</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ppFEV</w:t>
            </w:r>
            <w:r w:rsidRPr="00BA6743">
              <w:rPr>
                <w:rFonts w:ascii="Arial Narrow" w:hAnsi="Arial Narrow"/>
                <w:vertAlign w:val="subscript"/>
              </w:rPr>
              <w:t>1</w:t>
            </w:r>
            <w:r w:rsidRPr="00BA6743">
              <w:rPr>
                <w:rFonts w:ascii="Arial Narrow" w:hAnsi="Arial Narrow"/>
              </w:rPr>
              <w:t xml:space="preserve"> at screening ≥ 70</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17, 3.8 (8.6) [-7.6, 21.7]</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(-0.62,8.22)</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48, 0.1 (8.4) [-28.5, 19.3]</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(-2.34,2.54)</w:t>
            </w:r>
          </w:p>
        </w:tc>
      </w:tr>
      <w:tr w:rsidR="00BA6743" w:rsidRPr="00BA6743" w:rsidTr="00713687">
        <w:tc>
          <w:tcPr>
            <w:tcW w:w="2547" w:type="dxa"/>
            <w:vAlign w:val="center"/>
          </w:tcPr>
          <w:p w:rsidR="00BA6743" w:rsidRPr="00BA6743" w:rsidRDefault="00BA6743" w:rsidP="00713687">
            <w:pPr>
              <w:pStyle w:val="Tabletext"/>
              <w:rPr>
                <w:rFonts w:ascii="Arial Narrow" w:hAnsi="Arial Narrow"/>
                <w:b/>
              </w:rPr>
            </w:pPr>
            <w:r w:rsidRPr="00BA6743">
              <w:rPr>
                <w:rFonts w:ascii="Arial Narrow" w:hAnsi="Arial Narrow"/>
                <w:b/>
              </w:rPr>
              <w:t>ppFEV</w:t>
            </w:r>
            <w:r w:rsidRPr="00BA6743">
              <w:rPr>
                <w:rFonts w:ascii="Arial Narrow" w:hAnsi="Arial Narrow"/>
                <w:b/>
                <w:vertAlign w:val="subscript"/>
              </w:rPr>
              <w:t>1</w:t>
            </w:r>
            <w:r w:rsidRPr="00BA6743">
              <w:rPr>
                <w:rFonts w:ascii="Arial Narrow" w:hAnsi="Arial Narrow"/>
                <w:b/>
              </w:rPr>
              <w:t xml:space="preserve"> at baseline &lt; 40</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4, 3.0 (6.9) [-3.0, 12.9]</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(-7.98,13.98)</w:t>
            </w:r>
          </w:p>
        </w:tc>
        <w:tc>
          <w:tcPr>
            <w:tcW w:w="2410" w:type="dxa"/>
          </w:tcPr>
          <w:p w:rsidR="00BA6743" w:rsidRPr="00BA6743" w:rsidRDefault="00BA6743" w:rsidP="00713687">
            <w:pPr>
              <w:pStyle w:val="Tabletext"/>
              <w:jc w:val="center"/>
              <w:rPr>
                <w:rFonts w:ascii="Arial Narrow" w:hAnsi="Arial Narrow"/>
                <w:highlight w:val="yellow"/>
              </w:rPr>
            </w:pPr>
            <w:r w:rsidRPr="00BA6743">
              <w:rPr>
                <w:rFonts w:ascii="Arial Narrow" w:hAnsi="Arial Narrow"/>
              </w:rPr>
              <w:t>14, 7.0 (8.8) [-7.4, 24.5]</w:t>
            </w:r>
          </w:p>
        </w:tc>
        <w:tc>
          <w:tcPr>
            <w:tcW w:w="992" w:type="dxa"/>
          </w:tcPr>
          <w:p w:rsidR="00BA6743" w:rsidRPr="00BA6743" w:rsidRDefault="00BA6743" w:rsidP="00713687">
            <w:pPr>
              <w:pStyle w:val="Tabletext"/>
              <w:jc w:val="center"/>
              <w:rPr>
                <w:rFonts w:ascii="Arial Narrow" w:hAnsi="Arial Narrow"/>
                <w:b/>
                <w:i/>
              </w:rPr>
            </w:pPr>
            <w:r w:rsidRPr="00BA6743">
              <w:rPr>
                <w:rFonts w:ascii="Arial Narrow" w:hAnsi="Arial Narrow"/>
                <w:b/>
                <w:i/>
              </w:rPr>
              <w:t>(1.92,12.08)</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ppFEV</w:t>
            </w:r>
            <w:r w:rsidRPr="00BA6743">
              <w:rPr>
                <w:rFonts w:ascii="Arial Narrow" w:hAnsi="Arial Narrow"/>
                <w:vertAlign w:val="subscript"/>
              </w:rPr>
              <w:t>1</w:t>
            </w:r>
            <w:r w:rsidRPr="00BA6743">
              <w:rPr>
                <w:rFonts w:ascii="Arial Narrow" w:hAnsi="Arial Narrow"/>
              </w:rPr>
              <w:t xml:space="preserve"> at baseline ≥ 40</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71, 1.1 (9.0) [-22.5,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(-1.03,3.23)</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133, 0.6 (8.8) [-28.5, 24.4]</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(-0.91,2.11)</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 xml:space="preserve">Prior use of inhaled antibiotic </w:t>
            </w:r>
            <w:r w:rsidR="00B47FA4">
              <w:rPr>
                <w:rFonts w:ascii="Arial Narrow" w:hAnsi="Arial Narrow"/>
              </w:rPr>
              <w:t>–</w:t>
            </w:r>
            <w:r w:rsidRPr="00BA6743">
              <w:rPr>
                <w:rFonts w:ascii="Arial Narrow" w:hAnsi="Arial Narrow"/>
              </w:rPr>
              <w:t xml:space="preserve"> yes</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48, 0.5 (8.9) [-22.5, 21.8]</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(-2.08,3.08)</w:t>
            </w:r>
          </w:p>
        </w:tc>
        <w:tc>
          <w:tcPr>
            <w:tcW w:w="2410" w:type="dxa"/>
          </w:tcPr>
          <w:p w:rsidR="00BA6743" w:rsidRPr="00BA6743" w:rsidRDefault="00BA6743" w:rsidP="00713687">
            <w:pPr>
              <w:pStyle w:val="Tabletext"/>
              <w:jc w:val="center"/>
              <w:rPr>
                <w:rFonts w:ascii="Arial Narrow" w:hAnsi="Arial Narrow"/>
                <w:highlight w:val="yellow"/>
              </w:rPr>
            </w:pPr>
            <w:r w:rsidRPr="00BA6743">
              <w:rPr>
                <w:rFonts w:ascii="Arial Narrow" w:hAnsi="Arial Narrow"/>
              </w:rPr>
              <w:t>78, 1.0 (9.3) [-28.5, 24.5]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(-1.1,3.1)</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Prior use of inhaled antibiotic - no</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27, 2.4 (9.0) [-9.0,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(-1.16,5.96)</w:t>
            </w:r>
          </w:p>
        </w:tc>
        <w:tc>
          <w:tcPr>
            <w:tcW w:w="2410" w:type="dxa"/>
          </w:tcPr>
          <w:p w:rsidR="00BA6743" w:rsidRPr="00BA6743" w:rsidRDefault="00BA6743" w:rsidP="00713687">
            <w:pPr>
              <w:pStyle w:val="Tabletext"/>
              <w:jc w:val="center"/>
              <w:rPr>
                <w:rFonts w:ascii="Arial Narrow" w:hAnsi="Arial Narrow"/>
                <w:highlight w:val="yellow"/>
              </w:rPr>
            </w:pPr>
            <w:r w:rsidRPr="00BA6743">
              <w:rPr>
                <w:rFonts w:ascii="Arial Narrow" w:hAnsi="Arial Narrow"/>
              </w:rPr>
              <w:t>69, 1.3 (8.6) [-22.2, 22.5]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(-0.77,3.37)</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Prior use of inhaled bronchodilator – yes^</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63, 0.3 (8.7) [-22.5,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(-1.89,2.49)</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130, 0.9 (9.0) [-28.5, 24.5]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(-0.66,2.46)</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Prior use of inhaled bronchodilator – no^</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12, 5.6 (8.9) [-7.6, 21.8]</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(-0.05,11.25)</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17, 3.2 (8.0) [-11.8, 17.1]</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(-0.91,7.31)</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Prior Use of Inhaled Bronchodilator: Short-Acting only</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20, -1.5 (7.5) [-18.6. 11.1]</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(-5.01,2.01)</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56, 2.2 (9.4) [-28.5, 24.5]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(-0.32,4.72)</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Prior Use of Inhaled Bronchodilator: Short-Acting and Long-Acting or Long-Acting only</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43, 1.2 (9.2) [-22.5,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(-1.63,4.03)</w:t>
            </w:r>
          </w:p>
        </w:tc>
        <w:tc>
          <w:tcPr>
            <w:tcW w:w="2410" w:type="dxa"/>
          </w:tcPr>
          <w:p w:rsidR="00BA6743" w:rsidRPr="00BA6743" w:rsidRDefault="00BA6743" w:rsidP="00713687">
            <w:pPr>
              <w:pStyle w:val="Tabletext"/>
              <w:jc w:val="center"/>
              <w:rPr>
                <w:rFonts w:ascii="Arial Narrow" w:hAnsi="Arial Narrow"/>
                <w:highlight w:val="yellow"/>
              </w:rPr>
            </w:pPr>
            <w:r w:rsidRPr="00BA6743">
              <w:rPr>
                <w:rFonts w:ascii="Arial Narrow" w:hAnsi="Arial Narrow"/>
              </w:rPr>
              <w:t>74, 0.0 (8.7) [-26.3, 24.4]</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(-2.02,2.02)</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Prior Use of Inhaled Bronchodilator: No Prior Inhaled Bronchodilator Use</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12, 5.6 (8.9) [-7.6, 21.8]</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(-0.05,11.25)</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17, 3.2 (8.0) [-11.8, 17.1]</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(-0.91,7.31)</w:t>
            </w:r>
          </w:p>
        </w:tc>
      </w:tr>
      <w:tr w:rsidR="00BA6743" w:rsidRPr="00BA6743" w:rsidTr="00713687">
        <w:tc>
          <w:tcPr>
            <w:tcW w:w="2547" w:type="dxa"/>
            <w:vAlign w:val="center"/>
          </w:tcPr>
          <w:p w:rsidR="00BA6743" w:rsidRPr="00BA6743" w:rsidRDefault="00BA6743" w:rsidP="00713687">
            <w:pPr>
              <w:pStyle w:val="Tabletext"/>
              <w:rPr>
                <w:rFonts w:ascii="Arial Narrow" w:hAnsi="Arial Narrow"/>
                <w:b/>
              </w:rPr>
            </w:pPr>
            <w:r w:rsidRPr="00BA6743">
              <w:rPr>
                <w:rFonts w:ascii="Arial Narrow" w:hAnsi="Arial Narrow"/>
                <w:b/>
              </w:rPr>
              <w:t>Prior Use of Inhaled Hypertonic Saline: No</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40, 1.0 (8.3) [-18.6, 21.8]</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(-1.65,3.65)</w:t>
            </w:r>
          </w:p>
        </w:tc>
        <w:tc>
          <w:tcPr>
            <w:tcW w:w="2410" w:type="dxa"/>
          </w:tcPr>
          <w:p w:rsidR="00BA6743" w:rsidRPr="00BA6743" w:rsidRDefault="00BA6743" w:rsidP="00713687">
            <w:pPr>
              <w:pStyle w:val="Tabletext"/>
              <w:jc w:val="center"/>
              <w:rPr>
                <w:rFonts w:ascii="Arial Narrow" w:hAnsi="Arial Narrow"/>
                <w:highlight w:val="yellow"/>
              </w:rPr>
            </w:pPr>
            <w:r w:rsidRPr="00BA6743">
              <w:rPr>
                <w:rFonts w:ascii="Arial Narrow" w:hAnsi="Arial Narrow"/>
              </w:rPr>
              <w:t>56, 3.0 (8.2) [-11.0, 24.4]</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b/>
                <w:i/>
              </w:rPr>
              <w:t>(0.8,5.2)</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Prior Use of Inhaled Hypertonic Saline: Yes</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35, 1.3 (9.7) [-22.5,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(-2.03,4.63)</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91, 0.0 (9.2) [-28.5, 24.5]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(-1.92,1.92)</w:t>
            </w:r>
          </w:p>
        </w:tc>
      </w:tr>
      <w:tr w:rsidR="00BA6743" w:rsidRPr="00BA6743" w:rsidTr="00713687">
        <w:tc>
          <w:tcPr>
            <w:tcW w:w="2547" w:type="dxa"/>
            <w:vAlign w:val="center"/>
          </w:tcPr>
          <w:p w:rsidR="00BA6743" w:rsidRPr="00BA6743" w:rsidRDefault="00BA6743" w:rsidP="00713687">
            <w:pPr>
              <w:pStyle w:val="Tabletext"/>
              <w:rPr>
                <w:rFonts w:ascii="Arial Narrow" w:hAnsi="Arial Narrow"/>
                <w:b/>
              </w:rPr>
            </w:pPr>
            <w:r w:rsidRPr="00BA6743">
              <w:rPr>
                <w:rFonts w:ascii="Arial Narrow" w:hAnsi="Arial Narrow"/>
                <w:b/>
              </w:rPr>
              <w:t>Prior Use of Inhaled Corticosteroids: No</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29, 0.7 (9.0) [-18.6, 21.8]</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(-2.72,4.12)</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63, 2.3 (7.9) [-16.0, 18.9]</w:t>
            </w:r>
          </w:p>
        </w:tc>
        <w:tc>
          <w:tcPr>
            <w:tcW w:w="992" w:type="dxa"/>
          </w:tcPr>
          <w:p w:rsidR="00BA6743" w:rsidRPr="00BA6743" w:rsidRDefault="00BA6743" w:rsidP="00713687">
            <w:pPr>
              <w:pStyle w:val="Tabletext"/>
              <w:jc w:val="center"/>
              <w:rPr>
                <w:rFonts w:ascii="Arial Narrow" w:hAnsi="Arial Narrow"/>
                <w:b/>
                <w:i/>
              </w:rPr>
            </w:pPr>
            <w:r w:rsidRPr="00BA6743">
              <w:rPr>
                <w:rFonts w:ascii="Arial Narrow" w:hAnsi="Arial Narrow"/>
                <w:b/>
                <w:i/>
              </w:rPr>
              <w:t>(0.31,4.29)</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Prior Use of Inhaled Corticosteroids: Yes</w:t>
            </w:r>
          </w:p>
        </w:tc>
        <w:tc>
          <w:tcPr>
            <w:tcW w:w="2126" w:type="dxa"/>
          </w:tcPr>
          <w:p w:rsidR="00BA6743" w:rsidRPr="00BA6743" w:rsidRDefault="00BA6743" w:rsidP="00713687">
            <w:pPr>
              <w:pStyle w:val="Tabletext"/>
              <w:jc w:val="center"/>
              <w:rPr>
                <w:rFonts w:ascii="Arial Narrow" w:hAnsi="Arial Narrow"/>
                <w:highlight w:val="yellow"/>
              </w:rPr>
            </w:pPr>
            <w:r w:rsidRPr="00BA6743">
              <w:rPr>
                <w:rFonts w:ascii="Arial Narrow" w:hAnsi="Arial Narrow"/>
              </w:rPr>
              <w:t>46, 1.5 (9.0) [-22.5,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(-1.17,4.17)</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84, 0.3 (9.6) [-28.5, 24.5]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(-1.78,2.38)</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Pseudomonas aeruginosa Status at Baseline: Negative</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18, -0.6 (9.1) [-22.5, 19.7]</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(-5.13,3.93)</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37, 2.1 (8.1) [-11.8, 19.3]</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(-0.6,4.8)</w:t>
            </w:r>
          </w:p>
        </w:tc>
      </w:tr>
      <w:tr w:rsidR="00BA6743" w:rsidRPr="00BA6743" w:rsidTr="00713687">
        <w:tc>
          <w:tcPr>
            <w:tcW w:w="2547" w:type="dxa"/>
            <w:vAlign w:val="center"/>
          </w:tcPr>
          <w:p w:rsidR="00BA6743" w:rsidRPr="00BA6743" w:rsidRDefault="00BA6743" w:rsidP="00713687">
            <w:pPr>
              <w:pStyle w:val="Tabletext"/>
              <w:rPr>
                <w:rFonts w:ascii="Arial Narrow" w:hAnsi="Arial Narrow"/>
              </w:rPr>
            </w:pPr>
            <w:r w:rsidRPr="00BA6743">
              <w:rPr>
                <w:rFonts w:ascii="Arial Narrow" w:hAnsi="Arial Narrow"/>
              </w:rPr>
              <w:t>Pseudomonas aeruginosa Status at Baseline: Positive</w:t>
            </w:r>
          </w:p>
        </w:tc>
        <w:tc>
          <w:tcPr>
            <w:tcW w:w="2126" w:type="dxa"/>
          </w:tcPr>
          <w:p w:rsidR="00BA6743" w:rsidRPr="00BA6743" w:rsidRDefault="00BA6743" w:rsidP="00713687">
            <w:pPr>
              <w:pStyle w:val="Tabletext"/>
              <w:jc w:val="center"/>
              <w:rPr>
                <w:rFonts w:ascii="Arial Narrow" w:hAnsi="Arial Narrow"/>
              </w:rPr>
            </w:pPr>
            <w:r w:rsidRPr="00BA6743">
              <w:rPr>
                <w:rFonts w:ascii="Arial Narrow" w:hAnsi="Arial Narrow"/>
              </w:rPr>
              <w:t>57, 1.7 (8.9) [-18.6, 30.5]</w:t>
            </w:r>
          </w:p>
        </w:tc>
        <w:tc>
          <w:tcPr>
            <w:tcW w:w="1134" w:type="dxa"/>
          </w:tcPr>
          <w:p w:rsidR="00BA6743" w:rsidRPr="00BA6743" w:rsidRDefault="00BA6743" w:rsidP="00713687">
            <w:pPr>
              <w:pStyle w:val="Tabletext"/>
              <w:jc w:val="center"/>
              <w:rPr>
                <w:rFonts w:ascii="Arial Narrow" w:hAnsi="Arial Narrow"/>
                <w:i/>
              </w:rPr>
            </w:pPr>
            <w:r w:rsidRPr="00BA6743">
              <w:rPr>
                <w:rFonts w:ascii="Arial Narrow" w:hAnsi="Arial Narrow"/>
                <w:i/>
              </w:rPr>
              <w:t>(-0.66,4.06)</w:t>
            </w:r>
          </w:p>
        </w:tc>
        <w:tc>
          <w:tcPr>
            <w:tcW w:w="2410" w:type="dxa"/>
          </w:tcPr>
          <w:p w:rsidR="00BA6743" w:rsidRPr="00BA6743" w:rsidRDefault="00BA6743" w:rsidP="00713687">
            <w:pPr>
              <w:pStyle w:val="Tabletext"/>
              <w:jc w:val="center"/>
              <w:rPr>
                <w:rFonts w:ascii="Arial Narrow" w:hAnsi="Arial Narrow"/>
              </w:rPr>
            </w:pPr>
            <w:r w:rsidRPr="00BA6743">
              <w:rPr>
                <w:rFonts w:ascii="Arial Narrow" w:hAnsi="Arial Narrow"/>
              </w:rPr>
              <w:t>110, 0.9 (9.2) [-28.5, 24.5]</w:t>
            </w:r>
          </w:p>
        </w:tc>
        <w:tc>
          <w:tcPr>
            <w:tcW w:w="992" w:type="dxa"/>
          </w:tcPr>
          <w:p w:rsidR="00BA6743" w:rsidRPr="00BA6743" w:rsidRDefault="00BA6743" w:rsidP="00713687">
            <w:pPr>
              <w:pStyle w:val="Tabletext"/>
              <w:jc w:val="center"/>
              <w:rPr>
                <w:rFonts w:ascii="Arial Narrow" w:hAnsi="Arial Narrow"/>
                <w:i/>
              </w:rPr>
            </w:pPr>
            <w:r w:rsidRPr="00BA6743">
              <w:rPr>
                <w:rFonts w:ascii="Arial Narrow" w:hAnsi="Arial Narrow"/>
                <w:i/>
              </w:rPr>
              <w:t>(-0.84,2.64)</w:t>
            </w:r>
          </w:p>
        </w:tc>
      </w:tr>
    </w:tbl>
    <w:p w:rsidR="00BA6743" w:rsidRPr="008706C8" w:rsidRDefault="00BA6743" w:rsidP="003A6EA2">
      <w:pPr>
        <w:pStyle w:val="TableFooter"/>
        <w:rPr>
          <w:i/>
          <w:sz w:val="16"/>
          <w:szCs w:val="16"/>
        </w:rPr>
      </w:pPr>
      <w:r w:rsidRPr="008706C8">
        <w:rPr>
          <w:sz w:val="16"/>
          <w:szCs w:val="16"/>
        </w:rPr>
        <w:t xml:space="preserve">Source: CSR 105 </w:t>
      </w:r>
      <w:proofErr w:type="gramStart"/>
      <w:r w:rsidRPr="008706C8">
        <w:rPr>
          <w:sz w:val="16"/>
          <w:szCs w:val="16"/>
        </w:rPr>
        <w:t>Section</w:t>
      </w:r>
      <w:proofErr w:type="gramEnd"/>
      <w:r w:rsidRPr="008706C8">
        <w:rPr>
          <w:sz w:val="16"/>
          <w:szCs w:val="16"/>
        </w:rPr>
        <w:t xml:space="preserve"> 14.2. Table 14.2.1.2.2a, Table 14.2.1.1.1a, Table 14.2.1.1.4a, Table 14.2.1.1.2a, Table 14.2.1.1.3a, Table 14.2.1.1.5a, Table 14.2.1.1.6a, Table 14.2.1.1.7a, Table 14.2.1.1.8a, Table 14.2.1.1.9a, Table 14.2.1.1.10a, Table 14.2.1.1.11a. </w:t>
      </w:r>
      <w:r w:rsidRPr="008706C8">
        <w:rPr>
          <w:i/>
          <w:sz w:val="16"/>
          <w:szCs w:val="16"/>
        </w:rPr>
        <w:t xml:space="preserve">The 95% confidence intervals for the subgroup means were calculated during the evaluation. </w:t>
      </w:r>
    </w:p>
    <w:p w:rsidR="00BA6743" w:rsidRPr="008706C8" w:rsidRDefault="00BA6743" w:rsidP="003A6EA2">
      <w:pPr>
        <w:pStyle w:val="TableFooter"/>
        <w:rPr>
          <w:sz w:val="16"/>
          <w:szCs w:val="16"/>
        </w:rPr>
      </w:pPr>
      <w:r w:rsidRPr="008706C8">
        <w:rPr>
          <w:sz w:val="16"/>
          <w:szCs w:val="16"/>
        </w:rPr>
        <w:t>Abbreviations: CI = confidence interval, LS = least squares; n = number of participants reporting data; N = total participants in group; ppFEV1 = percent predicted FEV1, SD = standard deviation.</w:t>
      </w:r>
    </w:p>
    <w:p w:rsidR="00BA6743" w:rsidRPr="008706C8" w:rsidRDefault="00BA6743" w:rsidP="003A6EA2">
      <w:pPr>
        <w:pStyle w:val="TableFooter"/>
        <w:rPr>
          <w:sz w:val="16"/>
          <w:szCs w:val="16"/>
        </w:rPr>
      </w:pPr>
      <w:r w:rsidRPr="008706C8">
        <w:rPr>
          <w:sz w:val="16"/>
          <w:szCs w:val="16"/>
        </w:rPr>
        <w:t xml:space="preserve">†For the placebo and </w:t>
      </w:r>
      <w:proofErr w:type="spellStart"/>
      <w:r w:rsidRPr="008706C8">
        <w:rPr>
          <w:sz w:val="16"/>
          <w:szCs w:val="16"/>
        </w:rPr>
        <w:t>lumacaftor</w:t>
      </w:r>
      <w:proofErr w:type="spellEnd"/>
      <w:r w:rsidRPr="008706C8">
        <w:rPr>
          <w:sz w:val="16"/>
          <w:szCs w:val="16"/>
        </w:rPr>
        <w:t>/</w:t>
      </w:r>
      <w:proofErr w:type="spellStart"/>
      <w:r w:rsidRPr="008706C8">
        <w:rPr>
          <w:sz w:val="16"/>
          <w:szCs w:val="16"/>
        </w:rPr>
        <w:t>ivacaftor</w:t>
      </w:r>
      <w:proofErr w:type="spellEnd"/>
      <w:r w:rsidRPr="008706C8">
        <w:rPr>
          <w:sz w:val="16"/>
          <w:szCs w:val="16"/>
        </w:rPr>
        <w:t xml:space="preserve"> groups, baseline from TRAFFIC or TRANSPORT was used; for the placebo transitioned to </w:t>
      </w:r>
      <w:proofErr w:type="spellStart"/>
      <w:r w:rsidRPr="008706C8">
        <w:rPr>
          <w:sz w:val="16"/>
          <w:szCs w:val="16"/>
        </w:rPr>
        <w:t>lumacaftor</w:t>
      </w:r>
      <w:proofErr w:type="spellEnd"/>
      <w:r w:rsidRPr="008706C8">
        <w:rPr>
          <w:sz w:val="16"/>
          <w:szCs w:val="16"/>
        </w:rPr>
        <w:t>/</w:t>
      </w:r>
      <w:proofErr w:type="spellStart"/>
      <w:r w:rsidRPr="008706C8">
        <w:rPr>
          <w:sz w:val="16"/>
          <w:szCs w:val="16"/>
        </w:rPr>
        <w:t>ivacaftor</w:t>
      </w:r>
      <w:proofErr w:type="spellEnd"/>
      <w:r w:rsidRPr="008706C8">
        <w:rPr>
          <w:sz w:val="16"/>
          <w:szCs w:val="16"/>
        </w:rPr>
        <w:t xml:space="preserve"> group, baseline from PROGRESS was used. All p values (including for TRAFFIC or TRANSPORT data) are within treatment. </w:t>
      </w:r>
    </w:p>
    <w:p w:rsidR="00BA6743" w:rsidRPr="008706C8" w:rsidRDefault="00BA6743" w:rsidP="003A6EA2">
      <w:pPr>
        <w:pStyle w:val="TableFooter"/>
        <w:rPr>
          <w:sz w:val="16"/>
          <w:szCs w:val="16"/>
        </w:rPr>
      </w:pPr>
      <w:r w:rsidRPr="008706C8">
        <w:rPr>
          <w:sz w:val="16"/>
          <w:szCs w:val="16"/>
        </w:rPr>
        <w:t xml:space="preserve">* This number is as presented in the submission. 369 patients in TRAFFIC and TRANSPORT had received at least one dose of </w:t>
      </w:r>
      <w:proofErr w:type="spellStart"/>
      <w:r w:rsidRPr="008706C8">
        <w:rPr>
          <w:sz w:val="16"/>
          <w:szCs w:val="16"/>
        </w:rPr>
        <w:t>lumacaftor</w:t>
      </w:r>
      <w:proofErr w:type="spellEnd"/>
      <w:r w:rsidRPr="008706C8">
        <w:rPr>
          <w:sz w:val="16"/>
          <w:szCs w:val="16"/>
        </w:rPr>
        <w:t>/</w:t>
      </w:r>
      <w:proofErr w:type="spellStart"/>
      <w:r w:rsidRPr="008706C8">
        <w:rPr>
          <w:sz w:val="16"/>
          <w:szCs w:val="16"/>
        </w:rPr>
        <w:t>ivacaftor</w:t>
      </w:r>
      <w:proofErr w:type="spellEnd"/>
      <w:r w:rsidRPr="008706C8">
        <w:rPr>
          <w:sz w:val="16"/>
          <w:szCs w:val="16"/>
        </w:rPr>
        <w:t xml:space="preserve"> 400mg/250mg twice daily and therefore are included in safety analyses. 341 of these patients enrolled in PROGRESS study, and 340 received at least one dose.</w:t>
      </w:r>
    </w:p>
    <w:p w:rsidR="00BA6743" w:rsidRPr="008706C8" w:rsidRDefault="00BA6743" w:rsidP="003A6EA2">
      <w:pPr>
        <w:pStyle w:val="TableFooter"/>
        <w:rPr>
          <w:sz w:val="16"/>
          <w:szCs w:val="16"/>
        </w:rPr>
      </w:pPr>
      <w:r w:rsidRPr="008706C8">
        <w:rPr>
          <w:sz w:val="16"/>
          <w:szCs w:val="16"/>
        </w:rPr>
        <w:t>^ On the bronchodilator page, only those coded as bronchodilator were included.</w:t>
      </w:r>
    </w:p>
    <w:p w:rsidR="005A3173" w:rsidRPr="00937958" w:rsidRDefault="005A3173"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Comparative harms</w:t>
      </w:r>
    </w:p>
    <w:p w:rsidR="003A7DA0" w:rsidRPr="007C02B9" w:rsidRDefault="003A7DA0" w:rsidP="00A45FB1">
      <w:pPr>
        <w:pStyle w:val="ListParagraph"/>
        <w:widowControl/>
        <w:numPr>
          <w:ilvl w:val="1"/>
          <w:numId w:val="3"/>
        </w:numPr>
        <w:spacing w:before="120" w:after="160"/>
        <w:contextualSpacing w:val="0"/>
        <w:rPr>
          <w:rFonts w:asciiTheme="minorHAnsi" w:hAnsiTheme="minorHAnsi"/>
          <w:sz w:val="24"/>
          <w:lang w:val="en-US"/>
        </w:rPr>
      </w:pPr>
      <w:bookmarkStart w:id="7" w:name="_Hlk479686839"/>
      <w:r w:rsidRPr="007C02B9">
        <w:rPr>
          <w:rFonts w:asciiTheme="minorHAnsi" w:hAnsiTheme="minorHAnsi"/>
          <w:sz w:val="24"/>
          <w:lang w:val="en-US"/>
        </w:rPr>
        <w:t xml:space="preserve">A summary of the adverse events for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versus placebo is presented in Table </w:t>
      </w:r>
      <w:r w:rsidR="00A360B2">
        <w:rPr>
          <w:rFonts w:asciiTheme="minorHAnsi" w:hAnsiTheme="minorHAnsi"/>
          <w:sz w:val="24"/>
          <w:lang w:val="en-US"/>
        </w:rPr>
        <w:t>7</w:t>
      </w:r>
      <w:r w:rsidRPr="007C02B9">
        <w:rPr>
          <w:rFonts w:asciiTheme="minorHAnsi" w:hAnsiTheme="minorHAnsi"/>
          <w:sz w:val="24"/>
          <w:lang w:val="en-US"/>
        </w:rPr>
        <w:t xml:space="preserve"> below. </w:t>
      </w:r>
    </w:p>
    <w:bookmarkEnd w:id="7"/>
    <w:p w:rsidR="003A7DA0" w:rsidRPr="00DA2530" w:rsidRDefault="003A7DA0" w:rsidP="003A7DA0">
      <w:pPr>
        <w:pStyle w:val="TableHeading0"/>
      </w:pPr>
      <w:r w:rsidRPr="00DA2530">
        <w:t xml:space="preserve">Table </w:t>
      </w:r>
      <w:r w:rsidR="00A360B2">
        <w:t>7</w:t>
      </w:r>
      <w:r w:rsidRPr="00DA2530">
        <w:t>: Summary of adverse events in TRAFFIC and TRANSPORT</w:t>
      </w:r>
    </w:p>
    <w:tbl>
      <w:tblPr>
        <w:tblW w:w="5000" w:type="pct"/>
        <w:tblLayout w:type="fixed"/>
        <w:tblCellMar>
          <w:left w:w="58" w:type="dxa"/>
          <w:right w:w="43" w:type="dxa"/>
        </w:tblCellMar>
        <w:tblLook w:val="04A0" w:firstRow="1" w:lastRow="0" w:firstColumn="1" w:lastColumn="0" w:noHBand="0" w:noVBand="1"/>
      </w:tblPr>
      <w:tblGrid>
        <w:gridCol w:w="2206"/>
        <w:gridCol w:w="1153"/>
        <w:gridCol w:w="1154"/>
        <w:gridCol w:w="1154"/>
        <w:gridCol w:w="1154"/>
        <w:gridCol w:w="1154"/>
        <w:gridCol w:w="1152"/>
      </w:tblGrid>
      <w:tr w:rsidR="003A7DA0" w:rsidRPr="00DA2530" w:rsidTr="00447713">
        <w:trPr>
          <w:trHeight w:val="300"/>
          <w:tblHeader/>
        </w:trPr>
        <w:tc>
          <w:tcPr>
            <w:tcW w:w="12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7DA0" w:rsidRPr="00DA2530" w:rsidRDefault="003A7DA0" w:rsidP="00447713">
            <w:pPr>
              <w:keepNext/>
              <w:rPr>
                <w:rFonts w:ascii="Arial Narrow" w:hAnsi="Arial Narrow" w:cs="Calibri"/>
                <w:b/>
                <w:bCs/>
                <w:color w:val="000000"/>
                <w:sz w:val="20"/>
              </w:rPr>
            </w:pPr>
            <w:r w:rsidRPr="00DA2530">
              <w:rPr>
                <w:rFonts w:ascii="Arial Narrow" w:hAnsi="Arial Narrow" w:cs="Calibri"/>
                <w:b/>
                <w:bCs/>
                <w:color w:val="000000"/>
                <w:sz w:val="20"/>
              </w:rPr>
              <w:t>AE Category</w:t>
            </w:r>
          </w:p>
        </w:tc>
        <w:tc>
          <w:tcPr>
            <w:tcW w:w="1263" w:type="pct"/>
            <w:gridSpan w:val="2"/>
            <w:tcBorders>
              <w:top w:val="single" w:sz="4" w:space="0" w:color="auto"/>
              <w:left w:val="nil"/>
              <w:bottom w:val="single" w:sz="4" w:space="0" w:color="auto"/>
              <w:right w:val="single" w:sz="4" w:space="0" w:color="auto"/>
            </w:tcBorders>
            <w:shd w:val="clear" w:color="auto" w:fill="auto"/>
            <w:noWrap/>
            <w:vAlign w:val="center"/>
            <w:hideMark/>
          </w:tcPr>
          <w:p w:rsidR="003A7DA0" w:rsidRPr="00DA2530" w:rsidRDefault="003A7DA0" w:rsidP="00447713">
            <w:pPr>
              <w:keepNext/>
              <w:jc w:val="center"/>
              <w:rPr>
                <w:rFonts w:ascii="Arial Narrow" w:hAnsi="Arial Narrow" w:cs="Calibri"/>
                <w:b/>
                <w:bCs/>
                <w:color w:val="000000"/>
                <w:sz w:val="20"/>
              </w:rPr>
            </w:pPr>
            <w:r w:rsidRPr="00DA2530">
              <w:rPr>
                <w:rFonts w:ascii="Arial Narrow" w:hAnsi="Arial Narrow" w:cs="Calibri"/>
                <w:b/>
                <w:bCs/>
                <w:color w:val="000000"/>
                <w:sz w:val="20"/>
              </w:rPr>
              <w:t>TRAFFIC</w:t>
            </w:r>
          </w:p>
        </w:tc>
        <w:tc>
          <w:tcPr>
            <w:tcW w:w="1264" w:type="pct"/>
            <w:gridSpan w:val="2"/>
            <w:tcBorders>
              <w:top w:val="single" w:sz="4" w:space="0" w:color="auto"/>
              <w:left w:val="nil"/>
              <w:bottom w:val="single" w:sz="4" w:space="0" w:color="auto"/>
              <w:right w:val="single" w:sz="4" w:space="0" w:color="auto"/>
            </w:tcBorders>
            <w:shd w:val="clear" w:color="auto" w:fill="auto"/>
            <w:noWrap/>
            <w:vAlign w:val="center"/>
            <w:hideMark/>
          </w:tcPr>
          <w:p w:rsidR="003A7DA0" w:rsidRPr="00DA2530" w:rsidRDefault="003A7DA0" w:rsidP="00447713">
            <w:pPr>
              <w:keepNext/>
              <w:jc w:val="center"/>
              <w:rPr>
                <w:rFonts w:ascii="Arial Narrow" w:hAnsi="Arial Narrow" w:cs="Calibri"/>
                <w:b/>
                <w:bCs/>
                <w:color w:val="000000"/>
                <w:sz w:val="20"/>
              </w:rPr>
            </w:pPr>
            <w:r w:rsidRPr="00DA2530">
              <w:rPr>
                <w:rFonts w:ascii="Arial Narrow" w:hAnsi="Arial Narrow" w:cs="Calibri"/>
                <w:b/>
                <w:bCs/>
                <w:color w:val="000000"/>
                <w:sz w:val="20"/>
              </w:rPr>
              <w:t>TRANSPORT</w:t>
            </w:r>
          </w:p>
        </w:tc>
        <w:tc>
          <w:tcPr>
            <w:tcW w:w="1264" w:type="pct"/>
            <w:gridSpan w:val="2"/>
            <w:tcBorders>
              <w:top w:val="single" w:sz="4" w:space="0" w:color="auto"/>
              <w:left w:val="nil"/>
              <w:bottom w:val="single" w:sz="4" w:space="0" w:color="auto"/>
              <w:right w:val="single" w:sz="4" w:space="0" w:color="auto"/>
            </w:tcBorders>
            <w:shd w:val="clear" w:color="auto" w:fill="auto"/>
            <w:vAlign w:val="center"/>
          </w:tcPr>
          <w:p w:rsidR="003A7DA0" w:rsidRPr="00DA2530" w:rsidRDefault="003A7DA0" w:rsidP="00447713">
            <w:pPr>
              <w:keepNext/>
              <w:jc w:val="center"/>
              <w:rPr>
                <w:rFonts w:ascii="Arial Narrow" w:hAnsi="Arial Narrow" w:cs="Calibri"/>
                <w:b/>
                <w:bCs/>
                <w:color w:val="000000"/>
                <w:sz w:val="20"/>
              </w:rPr>
            </w:pPr>
            <w:r w:rsidRPr="00DA2530">
              <w:rPr>
                <w:rFonts w:ascii="Arial Narrow" w:hAnsi="Arial Narrow" w:cs="Calibri"/>
                <w:b/>
                <w:bCs/>
                <w:color w:val="000000"/>
                <w:sz w:val="20"/>
              </w:rPr>
              <w:t>Pooled</w:t>
            </w:r>
          </w:p>
        </w:tc>
      </w:tr>
      <w:tr w:rsidR="003A7DA0" w:rsidRPr="00DA2530" w:rsidTr="00447713">
        <w:trPr>
          <w:trHeight w:val="699"/>
          <w:tblHeader/>
        </w:trPr>
        <w:tc>
          <w:tcPr>
            <w:tcW w:w="1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A7DA0" w:rsidRPr="00DA2530" w:rsidRDefault="003A7DA0" w:rsidP="00447713">
            <w:pPr>
              <w:keepNext/>
              <w:rPr>
                <w:rFonts w:ascii="Arial Narrow" w:hAnsi="Arial Narrow" w:cs="Calibri"/>
                <w:b/>
                <w:bCs/>
                <w:color w:val="000000"/>
                <w:sz w:val="20"/>
              </w:rPr>
            </w:pPr>
          </w:p>
        </w:tc>
        <w:tc>
          <w:tcPr>
            <w:tcW w:w="632" w:type="pct"/>
            <w:tcBorders>
              <w:top w:val="nil"/>
              <w:left w:val="nil"/>
              <w:bottom w:val="single" w:sz="4" w:space="0" w:color="auto"/>
              <w:right w:val="single" w:sz="4" w:space="0" w:color="auto"/>
            </w:tcBorders>
            <w:shd w:val="clear" w:color="auto" w:fill="auto"/>
            <w:vAlign w:val="bottom"/>
            <w:hideMark/>
          </w:tcPr>
          <w:p w:rsidR="003A7DA0" w:rsidRPr="00DA2530" w:rsidRDefault="003A7DA0" w:rsidP="00447713">
            <w:pPr>
              <w:keepNext/>
              <w:jc w:val="center"/>
              <w:rPr>
                <w:rFonts w:ascii="Arial Narrow" w:hAnsi="Arial Narrow" w:cs="Calibri"/>
                <w:b/>
                <w:bCs/>
                <w:color w:val="000000"/>
                <w:sz w:val="20"/>
              </w:rPr>
            </w:pPr>
            <w:proofErr w:type="spellStart"/>
            <w:r>
              <w:rPr>
                <w:rFonts w:ascii="Arial Narrow" w:hAnsi="Arial Narrow" w:cs="Calibri"/>
                <w:b/>
                <w:bCs/>
                <w:color w:val="000000"/>
                <w:sz w:val="20"/>
              </w:rPr>
              <w:t>Lumacaftor</w:t>
            </w:r>
            <w:proofErr w:type="spellEnd"/>
            <w:r>
              <w:rPr>
                <w:rFonts w:ascii="Arial Narrow" w:hAnsi="Arial Narrow" w:cs="Calibri"/>
                <w:b/>
                <w:bCs/>
                <w:color w:val="000000"/>
                <w:sz w:val="20"/>
              </w:rPr>
              <w:t xml:space="preserve">/ </w:t>
            </w:r>
            <w:proofErr w:type="spellStart"/>
            <w:r>
              <w:rPr>
                <w:rFonts w:ascii="Arial Narrow" w:hAnsi="Arial Narrow" w:cs="Calibri"/>
                <w:b/>
                <w:bCs/>
                <w:color w:val="000000"/>
                <w:sz w:val="20"/>
              </w:rPr>
              <w:t>ivacaftor</w:t>
            </w:r>
            <w:proofErr w:type="spellEnd"/>
          </w:p>
          <w:p w:rsidR="003A7DA0" w:rsidRPr="00DA2530" w:rsidRDefault="003A7DA0" w:rsidP="00447713">
            <w:pPr>
              <w:keepNext/>
              <w:jc w:val="center"/>
              <w:rPr>
                <w:rFonts w:ascii="Arial Narrow" w:hAnsi="Arial Narrow" w:cs="Calibri"/>
                <w:b/>
                <w:bCs/>
                <w:color w:val="000000"/>
                <w:sz w:val="20"/>
              </w:rPr>
            </w:pPr>
            <w:r w:rsidRPr="00DA2530">
              <w:rPr>
                <w:rFonts w:ascii="Arial Narrow" w:hAnsi="Arial Narrow" w:cs="Calibri"/>
                <w:b/>
                <w:bCs/>
                <w:color w:val="000000"/>
                <w:sz w:val="20"/>
              </w:rPr>
              <w:t>(N=182)</w:t>
            </w:r>
          </w:p>
        </w:tc>
        <w:tc>
          <w:tcPr>
            <w:tcW w:w="632" w:type="pct"/>
            <w:tcBorders>
              <w:top w:val="nil"/>
              <w:left w:val="nil"/>
              <w:bottom w:val="single" w:sz="4" w:space="0" w:color="auto"/>
              <w:right w:val="single" w:sz="4" w:space="0" w:color="auto"/>
            </w:tcBorders>
            <w:shd w:val="clear" w:color="auto" w:fill="auto"/>
            <w:noWrap/>
            <w:vAlign w:val="bottom"/>
            <w:hideMark/>
          </w:tcPr>
          <w:p w:rsidR="003A7DA0" w:rsidRPr="00DA2530" w:rsidRDefault="003A7DA0" w:rsidP="00447713">
            <w:pPr>
              <w:keepNext/>
              <w:jc w:val="center"/>
              <w:rPr>
                <w:rFonts w:ascii="Arial Narrow" w:hAnsi="Arial Narrow" w:cs="Calibri"/>
                <w:b/>
                <w:bCs/>
                <w:color w:val="000000"/>
                <w:sz w:val="20"/>
              </w:rPr>
            </w:pPr>
            <w:r w:rsidRPr="00DA2530">
              <w:rPr>
                <w:rFonts w:ascii="Arial Narrow" w:hAnsi="Arial Narrow" w:cs="Calibri"/>
                <w:b/>
                <w:bCs/>
                <w:color w:val="000000"/>
                <w:sz w:val="20"/>
              </w:rPr>
              <w:t>Placebo</w:t>
            </w:r>
          </w:p>
          <w:p w:rsidR="003A7DA0" w:rsidRPr="00DA2530" w:rsidRDefault="003A7DA0" w:rsidP="00447713">
            <w:pPr>
              <w:keepNext/>
              <w:jc w:val="center"/>
              <w:rPr>
                <w:rFonts w:ascii="Arial Narrow" w:hAnsi="Arial Narrow" w:cs="Calibri"/>
                <w:b/>
                <w:bCs/>
                <w:color w:val="000000"/>
                <w:sz w:val="20"/>
              </w:rPr>
            </w:pPr>
            <w:r w:rsidRPr="00DA2530">
              <w:rPr>
                <w:rFonts w:ascii="Arial Narrow" w:hAnsi="Arial Narrow" w:cs="Calibri"/>
                <w:b/>
                <w:bCs/>
                <w:color w:val="000000"/>
                <w:sz w:val="20"/>
              </w:rPr>
              <w:t>(N=184)</w:t>
            </w:r>
          </w:p>
        </w:tc>
        <w:tc>
          <w:tcPr>
            <w:tcW w:w="632" w:type="pct"/>
            <w:tcBorders>
              <w:top w:val="nil"/>
              <w:left w:val="nil"/>
              <w:bottom w:val="single" w:sz="4" w:space="0" w:color="auto"/>
              <w:right w:val="single" w:sz="4" w:space="0" w:color="auto"/>
            </w:tcBorders>
            <w:shd w:val="clear" w:color="auto" w:fill="auto"/>
            <w:vAlign w:val="bottom"/>
            <w:hideMark/>
          </w:tcPr>
          <w:p w:rsidR="003A7DA0" w:rsidRPr="00DA2530" w:rsidRDefault="003A7DA0" w:rsidP="00447713">
            <w:pPr>
              <w:keepNext/>
              <w:jc w:val="center"/>
              <w:rPr>
                <w:rFonts w:ascii="Arial Narrow" w:hAnsi="Arial Narrow" w:cs="Calibri"/>
                <w:b/>
                <w:bCs/>
                <w:color w:val="000000"/>
                <w:sz w:val="20"/>
              </w:rPr>
            </w:pPr>
            <w:proofErr w:type="spellStart"/>
            <w:r>
              <w:rPr>
                <w:rFonts w:ascii="Arial Narrow" w:hAnsi="Arial Narrow" w:cs="Calibri"/>
                <w:b/>
                <w:bCs/>
                <w:color w:val="000000"/>
                <w:sz w:val="20"/>
              </w:rPr>
              <w:t>Lumacaftor</w:t>
            </w:r>
            <w:proofErr w:type="spellEnd"/>
            <w:r>
              <w:rPr>
                <w:rFonts w:ascii="Arial Narrow" w:hAnsi="Arial Narrow" w:cs="Calibri"/>
                <w:b/>
                <w:bCs/>
                <w:color w:val="000000"/>
                <w:sz w:val="20"/>
              </w:rPr>
              <w:t xml:space="preserve">/ </w:t>
            </w:r>
            <w:proofErr w:type="spellStart"/>
            <w:r>
              <w:rPr>
                <w:rFonts w:ascii="Arial Narrow" w:hAnsi="Arial Narrow" w:cs="Calibri"/>
                <w:b/>
                <w:bCs/>
                <w:color w:val="000000"/>
                <w:sz w:val="20"/>
              </w:rPr>
              <w:t>ivacaftor</w:t>
            </w:r>
            <w:proofErr w:type="spellEnd"/>
          </w:p>
          <w:p w:rsidR="003A7DA0" w:rsidRPr="00DA2530" w:rsidRDefault="003A7DA0" w:rsidP="00447713">
            <w:pPr>
              <w:keepNext/>
              <w:jc w:val="center"/>
              <w:rPr>
                <w:rFonts w:ascii="Arial Narrow" w:hAnsi="Arial Narrow" w:cs="Calibri"/>
                <w:b/>
                <w:bCs/>
                <w:color w:val="000000"/>
                <w:sz w:val="20"/>
              </w:rPr>
            </w:pPr>
            <w:r w:rsidRPr="00DA2530" w:rsidDel="00116163">
              <w:rPr>
                <w:rFonts w:ascii="Arial Narrow" w:hAnsi="Arial Narrow" w:cs="Calibri"/>
                <w:b/>
                <w:bCs/>
                <w:color w:val="000000"/>
                <w:sz w:val="20"/>
              </w:rPr>
              <w:t xml:space="preserve"> </w:t>
            </w:r>
            <w:r w:rsidRPr="00DA2530">
              <w:rPr>
                <w:rFonts w:ascii="Arial Narrow" w:hAnsi="Arial Narrow" w:cs="Calibri"/>
                <w:b/>
                <w:bCs/>
                <w:color w:val="000000"/>
                <w:sz w:val="20"/>
              </w:rPr>
              <w:t>(N=187)</w:t>
            </w:r>
          </w:p>
        </w:tc>
        <w:tc>
          <w:tcPr>
            <w:tcW w:w="632" w:type="pct"/>
            <w:tcBorders>
              <w:top w:val="nil"/>
              <w:left w:val="nil"/>
              <w:bottom w:val="single" w:sz="4" w:space="0" w:color="auto"/>
              <w:right w:val="single" w:sz="4" w:space="0" w:color="auto"/>
            </w:tcBorders>
            <w:shd w:val="clear" w:color="auto" w:fill="auto"/>
            <w:noWrap/>
            <w:vAlign w:val="bottom"/>
            <w:hideMark/>
          </w:tcPr>
          <w:p w:rsidR="003A7DA0" w:rsidRPr="00DA2530" w:rsidRDefault="003A7DA0" w:rsidP="00447713">
            <w:pPr>
              <w:keepNext/>
              <w:jc w:val="center"/>
              <w:rPr>
                <w:rFonts w:ascii="Arial Narrow" w:hAnsi="Arial Narrow" w:cs="Calibri"/>
                <w:b/>
                <w:bCs/>
                <w:color w:val="000000"/>
                <w:sz w:val="20"/>
              </w:rPr>
            </w:pPr>
            <w:r w:rsidRPr="00DA2530">
              <w:rPr>
                <w:rFonts w:ascii="Arial Narrow" w:hAnsi="Arial Narrow" w:cs="Calibri"/>
                <w:b/>
                <w:bCs/>
                <w:color w:val="000000"/>
                <w:sz w:val="20"/>
              </w:rPr>
              <w:t>Placebo</w:t>
            </w:r>
          </w:p>
          <w:p w:rsidR="003A7DA0" w:rsidRPr="00DA2530" w:rsidRDefault="003A7DA0" w:rsidP="00447713">
            <w:pPr>
              <w:keepNext/>
              <w:jc w:val="center"/>
              <w:rPr>
                <w:rFonts w:ascii="Arial Narrow" w:hAnsi="Arial Narrow" w:cs="Calibri"/>
                <w:b/>
                <w:bCs/>
                <w:color w:val="000000"/>
                <w:sz w:val="20"/>
              </w:rPr>
            </w:pPr>
            <w:r w:rsidRPr="00DA2530">
              <w:rPr>
                <w:rFonts w:ascii="Arial Narrow" w:hAnsi="Arial Narrow" w:cs="Calibri"/>
                <w:b/>
                <w:bCs/>
                <w:color w:val="000000"/>
                <w:sz w:val="20"/>
              </w:rPr>
              <w:t>(N=186)</w:t>
            </w:r>
          </w:p>
        </w:tc>
        <w:tc>
          <w:tcPr>
            <w:tcW w:w="632" w:type="pct"/>
            <w:tcBorders>
              <w:top w:val="nil"/>
              <w:left w:val="nil"/>
              <w:bottom w:val="single" w:sz="4" w:space="0" w:color="auto"/>
              <w:right w:val="single" w:sz="4" w:space="0" w:color="auto"/>
            </w:tcBorders>
            <w:shd w:val="clear" w:color="auto" w:fill="auto"/>
            <w:vAlign w:val="bottom"/>
          </w:tcPr>
          <w:p w:rsidR="003A7DA0" w:rsidRPr="00DA2530" w:rsidRDefault="003A7DA0" w:rsidP="00447713">
            <w:pPr>
              <w:keepNext/>
              <w:jc w:val="center"/>
              <w:rPr>
                <w:rFonts w:ascii="Arial Narrow" w:hAnsi="Arial Narrow" w:cs="Calibri"/>
                <w:b/>
                <w:bCs/>
                <w:color w:val="000000"/>
                <w:sz w:val="20"/>
              </w:rPr>
            </w:pPr>
            <w:proofErr w:type="spellStart"/>
            <w:r>
              <w:rPr>
                <w:rFonts w:ascii="Arial Narrow" w:hAnsi="Arial Narrow" w:cs="Calibri"/>
                <w:b/>
                <w:bCs/>
                <w:color w:val="000000"/>
                <w:sz w:val="20"/>
              </w:rPr>
              <w:t>Lumacaftor</w:t>
            </w:r>
            <w:proofErr w:type="spellEnd"/>
            <w:r>
              <w:rPr>
                <w:rFonts w:ascii="Arial Narrow" w:hAnsi="Arial Narrow" w:cs="Calibri"/>
                <w:b/>
                <w:bCs/>
                <w:color w:val="000000"/>
                <w:sz w:val="20"/>
              </w:rPr>
              <w:t xml:space="preserve">/ </w:t>
            </w:r>
            <w:proofErr w:type="spellStart"/>
            <w:r>
              <w:rPr>
                <w:rFonts w:ascii="Arial Narrow" w:hAnsi="Arial Narrow" w:cs="Calibri"/>
                <w:b/>
                <w:bCs/>
                <w:color w:val="000000"/>
                <w:sz w:val="20"/>
              </w:rPr>
              <w:t>ivacaftor</w:t>
            </w:r>
            <w:proofErr w:type="spellEnd"/>
          </w:p>
          <w:p w:rsidR="003A7DA0" w:rsidRPr="00DA2530" w:rsidRDefault="003A7DA0" w:rsidP="00447713">
            <w:pPr>
              <w:keepNext/>
              <w:jc w:val="center"/>
              <w:rPr>
                <w:rFonts w:ascii="Arial Narrow" w:hAnsi="Arial Narrow" w:cs="Calibri"/>
                <w:b/>
                <w:bCs/>
                <w:color w:val="000000"/>
                <w:sz w:val="20"/>
              </w:rPr>
            </w:pPr>
            <w:r w:rsidRPr="00DA2530" w:rsidDel="00116163">
              <w:rPr>
                <w:rFonts w:ascii="Arial Narrow" w:hAnsi="Arial Narrow" w:cs="Calibri"/>
                <w:b/>
                <w:bCs/>
                <w:color w:val="000000"/>
                <w:sz w:val="20"/>
              </w:rPr>
              <w:t xml:space="preserve"> </w:t>
            </w:r>
            <w:r w:rsidRPr="00DA2530">
              <w:rPr>
                <w:rFonts w:ascii="Arial Narrow" w:hAnsi="Arial Narrow" w:cs="Calibri"/>
                <w:b/>
                <w:bCs/>
                <w:color w:val="000000"/>
                <w:sz w:val="20"/>
              </w:rPr>
              <w:t>(N=369)</w:t>
            </w:r>
          </w:p>
        </w:tc>
        <w:tc>
          <w:tcPr>
            <w:tcW w:w="632" w:type="pct"/>
            <w:tcBorders>
              <w:top w:val="nil"/>
              <w:left w:val="nil"/>
              <w:bottom w:val="single" w:sz="4" w:space="0" w:color="auto"/>
              <w:right w:val="single" w:sz="4" w:space="0" w:color="auto"/>
            </w:tcBorders>
            <w:shd w:val="clear" w:color="auto" w:fill="auto"/>
            <w:vAlign w:val="bottom"/>
          </w:tcPr>
          <w:p w:rsidR="003A7DA0" w:rsidRPr="00DA2530" w:rsidRDefault="003A7DA0" w:rsidP="00447713">
            <w:pPr>
              <w:keepNext/>
              <w:jc w:val="center"/>
              <w:rPr>
                <w:rFonts w:ascii="Arial Narrow" w:hAnsi="Arial Narrow" w:cs="Calibri"/>
                <w:b/>
                <w:bCs/>
                <w:color w:val="000000"/>
                <w:sz w:val="20"/>
              </w:rPr>
            </w:pPr>
            <w:r w:rsidRPr="00DA2530">
              <w:rPr>
                <w:rFonts w:ascii="Arial Narrow" w:hAnsi="Arial Narrow" w:cs="Calibri"/>
                <w:b/>
                <w:bCs/>
                <w:color w:val="000000"/>
                <w:sz w:val="20"/>
              </w:rPr>
              <w:t>Placebo</w:t>
            </w:r>
          </w:p>
          <w:p w:rsidR="003A7DA0" w:rsidRPr="00DA2530" w:rsidRDefault="003A7DA0" w:rsidP="00447713">
            <w:pPr>
              <w:keepNext/>
              <w:jc w:val="center"/>
              <w:rPr>
                <w:rFonts w:ascii="Arial Narrow" w:hAnsi="Arial Narrow" w:cs="Calibri"/>
                <w:b/>
                <w:bCs/>
                <w:color w:val="000000"/>
                <w:sz w:val="20"/>
              </w:rPr>
            </w:pPr>
            <w:r w:rsidRPr="00DA2530">
              <w:rPr>
                <w:rFonts w:ascii="Arial Narrow" w:hAnsi="Arial Narrow" w:cs="Calibri"/>
                <w:b/>
                <w:bCs/>
                <w:color w:val="000000"/>
                <w:sz w:val="20"/>
              </w:rPr>
              <w:t>(N=370)</w:t>
            </w:r>
          </w:p>
        </w:tc>
      </w:tr>
      <w:tr w:rsidR="003A7DA0" w:rsidRPr="00DA2530" w:rsidTr="00447713">
        <w:trPr>
          <w:trHeight w:val="289"/>
        </w:trPr>
        <w:tc>
          <w:tcPr>
            <w:tcW w:w="1209" w:type="pct"/>
            <w:tcBorders>
              <w:top w:val="nil"/>
              <w:left w:val="single" w:sz="4" w:space="0" w:color="auto"/>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rPr>
                <w:rFonts w:ascii="Arial Narrow" w:hAnsi="Arial Narrow" w:cs="Calibri"/>
                <w:bCs/>
                <w:color w:val="000000"/>
                <w:sz w:val="20"/>
              </w:rPr>
            </w:pPr>
            <w:r w:rsidRPr="00DA2530">
              <w:rPr>
                <w:rFonts w:ascii="Arial Narrow" w:hAnsi="Arial Narrow" w:cs="Calibri"/>
                <w:bCs/>
                <w:color w:val="000000"/>
                <w:sz w:val="20"/>
              </w:rPr>
              <w:t>Total number of AEs</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1019</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994</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1111</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1138</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2130</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2132</w:t>
            </w:r>
          </w:p>
        </w:tc>
      </w:tr>
      <w:tr w:rsidR="003A7DA0" w:rsidRPr="00DA2530" w:rsidTr="00447713">
        <w:trPr>
          <w:trHeight w:val="289"/>
        </w:trPr>
        <w:tc>
          <w:tcPr>
            <w:tcW w:w="1209" w:type="pct"/>
            <w:tcBorders>
              <w:top w:val="nil"/>
              <w:left w:val="single" w:sz="4" w:space="0" w:color="auto"/>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rPr>
                <w:rFonts w:ascii="Arial Narrow" w:hAnsi="Arial Narrow" w:cs="Calibri"/>
                <w:bCs/>
                <w:color w:val="000000"/>
                <w:sz w:val="20"/>
              </w:rPr>
            </w:pPr>
            <w:r w:rsidRPr="00DA2530">
              <w:rPr>
                <w:rFonts w:ascii="Arial Narrow" w:hAnsi="Arial Narrow" w:cs="Calibri"/>
                <w:bCs/>
                <w:color w:val="000000"/>
                <w:sz w:val="20"/>
              </w:rPr>
              <w:t>Subjects with any AEs, n (%)</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174 (95.6)</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174 (94.6)</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177 (94.7)</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181 (97.3)</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351 (95.1)</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355 (95.9)</w:t>
            </w:r>
          </w:p>
        </w:tc>
      </w:tr>
      <w:tr w:rsidR="003A7DA0" w:rsidRPr="00DA2530" w:rsidTr="00447713">
        <w:trPr>
          <w:trHeight w:val="578"/>
        </w:trPr>
        <w:tc>
          <w:tcPr>
            <w:tcW w:w="1209" w:type="pct"/>
            <w:tcBorders>
              <w:top w:val="nil"/>
              <w:left w:val="single" w:sz="4" w:space="0" w:color="auto"/>
              <w:bottom w:val="single" w:sz="4" w:space="0" w:color="auto"/>
              <w:right w:val="single" w:sz="4" w:space="0" w:color="auto"/>
            </w:tcBorders>
            <w:shd w:val="clear" w:color="auto" w:fill="auto"/>
            <w:vAlign w:val="center"/>
          </w:tcPr>
          <w:p w:rsidR="003A7DA0" w:rsidRPr="00DA2530" w:rsidRDefault="003A7DA0" w:rsidP="00447713">
            <w:pPr>
              <w:keepNext/>
              <w:spacing w:before="20"/>
              <w:rPr>
                <w:rFonts w:ascii="Arial Narrow" w:hAnsi="Arial Narrow" w:cs="Calibri"/>
                <w:bCs/>
                <w:color w:val="000000"/>
                <w:sz w:val="20"/>
              </w:rPr>
            </w:pPr>
            <w:r w:rsidRPr="00DA2530">
              <w:rPr>
                <w:rFonts w:ascii="Arial Narrow" w:hAnsi="Arial Narrow" w:cs="Calibri"/>
                <w:bCs/>
                <w:color w:val="000000"/>
                <w:sz w:val="20"/>
              </w:rPr>
              <w:t xml:space="preserve">Subjects with Grade </w:t>
            </w:r>
            <w:r>
              <w:rPr>
                <w:rFonts w:ascii="Arial Narrow" w:hAnsi="Arial Narrow" w:cs="Calibri"/>
                <w:bCs/>
                <w:color w:val="000000"/>
                <w:sz w:val="20"/>
              </w:rPr>
              <w:t>3</w:t>
            </w:r>
            <w:r w:rsidRPr="00DA2530">
              <w:rPr>
                <w:rFonts w:ascii="Arial Narrow" w:hAnsi="Arial Narrow" w:cs="Calibri"/>
                <w:bCs/>
                <w:color w:val="000000"/>
                <w:sz w:val="20"/>
              </w:rPr>
              <w:t>/4 AEs, n (%)</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lang w:val="en-US"/>
              </w:rPr>
              <w:t>19 (10.4)</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lang w:val="en-US"/>
              </w:rPr>
              <w:t>25 (13.6)</w:t>
            </w:r>
          </w:p>
        </w:tc>
        <w:tc>
          <w:tcPr>
            <w:tcW w:w="632" w:type="pct"/>
            <w:tcBorders>
              <w:top w:val="nil"/>
              <w:left w:val="nil"/>
              <w:bottom w:val="single" w:sz="4" w:space="0" w:color="auto"/>
              <w:right w:val="single" w:sz="4" w:space="0" w:color="auto"/>
            </w:tcBorders>
            <w:shd w:val="clear" w:color="auto" w:fill="auto"/>
            <w:noWrap/>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lang w:val="en-US"/>
              </w:rPr>
              <w:t>26 (13.9)</w:t>
            </w:r>
          </w:p>
        </w:tc>
        <w:tc>
          <w:tcPr>
            <w:tcW w:w="632" w:type="pct"/>
            <w:tcBorders>
              <w:top w:val="nil"/>
              <w:left w:val="nil"/>
              <w:bottom w:val="single" w:sz="4" w:space="0" w:color="auto"/>
              <w:right w:val="single" w:sz="4" w:space="0" w:color="auto"/>
            </w:tcBorders>
            <w:shd w:val="clear" w:color="auto" w:fill="auto"/>
            <w:noWrap/>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lang w:val="en-US"/>
              </w:rPr>
              <w:t>34 (18.3)</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NR</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NR</w:t>
            </w:r>
          </w:p>
        </w:tc>
      </w:tr>
      <w:tr w:rsidR="003A7DA0" w:rsidRPr="00DA2530" w:rsidTr="00447713">
        <w:trPr>
          <w:trHeight w:val="578"/>
        </w:trPr>
        <w:tc>
          <w:tcPr>
            <w:tcW w:w="1209" w:type="pct"/>
            <w:tcBorders>
              <w:top w:val="nil"/>
              <w:left w:val="single" w:sz="4" w:space="0" w:color="auto"/>
              <w:bottom w:val="single" w:sz="4" w:space="0" w:color="auto"/>
              <w:right w:val="single" w:sz="4" w:space="0" w:color="auto"/>
            </w:tcBorders>
            <w:shd w:val="clear" w:color="auto" w:fill="auto"/>
            <w:vAlign w:val="center"/>
          </w:tcPr>
          <w:p w:rsidR="003A7DA0" w:rsidRPr="00DA2530" w:rsidRDefault="003A7DA0" w:rsidP="00447713">
            <w:pPr>
              <w:keepNext/>
              <w:spacing w:before="20"/>
              <w:rPr>
                <w:rFonts w:ascii="Arial Narrow" w:hAnsi="Arial Narrow" w:cs="Calibri"/>
                <w:bCs/>
                <w:color w:val="000000"/>
                <w:sz w:val="20"/>
              </w:rPr>
            </w:pPr>
            <w:r w:rsidRPr="00DA2530">
              <w:rPr>
                <w:rFonts w:ascii="Arial Narrow" w:hAnsi="Arial Narrow" w:cs="Calibri"/>
                <w:bCs/>
                <w:color w:val="000000"/>
                <w:sz w:val="20"/>
              </w:rPr>
              <w:t>Subjects with AEs by relationship: ‘Related’ or ‘possibly related”, n (%)</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91 (50)</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49 (26.6)</w:t>
            </w:r>
          </w:p>
        </w:tc>
        <w:tc>
          <w:tcPr>
            <w:tcW w:w="632" w:type="pct"/>
            <w:tcBorders>
              <w:top w:val="nil"/>
              <w:left w:val="nil"/>
              <w:bottom w:val="single" w:sz="4" w:space="0" w:color="auto"/>
              <w:right w:val="single" w:sz="4" w:space="0" w:color="auto"/>
            </w:tcBorders>
            <w:shd w:val="clear" w:color="auto" w:fill="auto"/>
            <w:noWrap/>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100 (53.5)</w:t>
            </w:r>
          </w:p>
        </w:tc>
        <w:tc>
          <w:tcPr>
            <w:tcW w:w="632" w:type="pct"/>
            <w:tcBorders>
              <w:top w:val="nil"/>
              <w:left w:val="nil"/>
              <w:bottom w:val="single" w:sz="4" w:space="0" w:color="auto"/>
              <w:right w:val="single" w:sz="4" w:space="0" w:color="auto"/>
            </w:tcBorders>
            <w:shd w:val="clear" w:color="auto" w:fill="auto"/>
            <w:noWrap/>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80 (43)</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NR</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NR</w:t>
            </w:r>
          </w:p>
        </w:tc>
      </w:tr>
      <w:tr w:rsidR="003A7DA0" w:rsidRPr="00DA2530" w:rsidTr="00447713">
        <w:trPr>
          <w:trHeight w:val="578"/>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3A7DA0" w:rsidRPr="00DA2530" w:rsidRDefault="003A7DA0" w:rsidP="00447713">
            <w:pPr>
              <w:keepNext/>
              <w:spacing w:before="20"/>
              <w:rPr>
                <w:rFonts w:ascii="Arial Narrow" w:hAnsi="Arial Narrow" w:cs="Calibri"/>
                <w:bCs/>
                <w:color w:val="000000"/>
                <w:sz w:val="20"/>
              </w:rPr>
            </w:pPr>
            <w:r w:rsidRPr="00DA2530">
              <w:rPr>
                <w:rFonts w:ascii="Arial Narrow" w:hAnsi="Arial Narrow" w:cs="Calibri"/>
                <w:bCs/>
                <w:color w:val="000000"/>
                <w:sz w:val="20"/>
              </w:rPr>
              <w:t>Subjects with AEs leading to treatment discontinuation, n (%)</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6 (3.3)</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4 (2.2)</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11 (5.9)</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2 (1.1)</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17 (4.6)</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6 (1.6)</w:t>
            </w:r>
          </w:p>
        </w:tc>
      </w:tr>
      <w:tr w:rsidR="003A7DA0" w:rsidRPr="00DA2530" w:rsidTr="00447713">
        <w:trPr>
          <w:trHeight w:val="578"/>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3A7DA0" w:rsidRPr="00DA2530" w:rsidRDefault="003A7DA0" w:rsidP="00447713">
            <w:pPr>
              <w:keepNext/>
              <w:spacing w:before="20"/>
              <w:rPr>
                <w:rFonts w:ascii="Arial Narrow" w:hAnsi="Arial Narrow" w:cs="Calibri"/>
                <w:bCs/>
                <w:color w:val="000000"/>
                <w:sz w:val="20"/>
              </w:rPr>
            </w:pPr>
            <w:r w:rsidRPr="00DA2530">
              <w:rPr>
                <w:rFonts w:ascii="Arial Narrow" w:hAnsi="Arial Narrow" w:cs="Calibri"/>
                <w:bCs/>
                <w:color w:val="000000"/>
                <w:sz w:val="20"/>
              </w:rPr>
              <w:t>Subjects with AEs leading to treatment interruption, n (%)</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14 (7.7)</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10 (5.4)</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8 (4.3)</w:t>
            </w:r>
          </w:p>
        </w:tc>
        <w:tc>
          <w:tcPr>
            <w:tcW w:w="632" w:type="pct"/>
            <w:tcBorders>
              <w:top w:val="nil"/>
              <w:left w:val="nil"/>
              <w:bottom w:val="single" w:sz="4" w:space="0" w:color="auto"/>
              <w:right w:val="single" w:sz="4" w:space="0" w:color="auto"/>
            </w:tcBorders>
            <w:shd w:val="clear" w:color="auto" w:fill="auto"/>
            <w:noWrap/>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15 (8.1)</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22 (6.0)</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25 (6.8)</w:t>
            </w:r>
          </w:p>
        </w:tc>
      </w:tr>
      <w:tr w:rsidR="003A7DA0" w:rsidRPr="00DA2530" w:rsidTr="00447713">
        <w:trPr>
          <w:trHeight w:val="289"/>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3A7DA0" w:rsidRPr="00DA2530" w:rsidRDefault="003A7DA0" w:rsidP="00447713">
            <w:pPr>
              <w:keepNext/>
              <w:spacing w:before="20"/>
              <w:rPr>
                <w:rFonts w:ascii="Arial Narrow" w:hAnsi="Arial Narrow" w:cs="Calibri"/>
                <w:bCs/>
                <w:color w:val="000000"/>
                <w:sz w:val="20"/>
              </w:rPr>
            </w:pPr>
            <w:r w:rsidRPr="00DA2530">
              <w:rPr>
                <w:rFonts w:ascii="Arial Narrow" w:hAnsi="Arial Narrow" w:cs="Calibri"/>
                <w:bCs/>
                <w:color w:val="000000"/>
                <w:sz w:val="20"/>
              </w:rPr>
              <w:t>Subjects with SAEs, n (%)</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33 (18.1)</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49 (26.6)</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31 (16.6)</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57 (30.6)</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64 (17.3)</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106 (28.6)</w:t>
            </w:r>
          </w:p>
        </w:tc>
      </w:tr>
      <w:tr w:rsidR="003A7DA0" w:rsidRPr="00DA2530" w:rsidTr="00447713">
        <w:trPr>
          <w:trHeight w:val="289"/>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3A7DA0" w:rsidRPr="00DA2530" w:rsidRDefault="003A7DA0" w:rsidP="00447713">
            <w:pPr>
              <w:keepNext/>
              <w:spacing w:before="20"/>
              <w:rPr>
                <w:rFonts w:ascii="Arial Narrow" w:hAnsi="Arial Narrow" w:cs="Calibri"/>
                <w:bCs/>
                <w:color w:val="000000"/>
                <w:sz w:val="20"/>
              </w:rPr>
            </w:pPr>
            <w:r w:rsidRPr="00DA2530">
              <w:rPr>
                <w:rFonts w:ascii="Arial Narrow" w:hAnsi="Arial Narrow" w:cs="Calibri"/>
                <w:bCs/>
                <w:color w:val="000000"/>
                <w:sz w:val="20"/>
              </w:rPr>
              <w:t>Subjects with related SAEs, n (%)</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8 (4.4)</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3 (1.6)</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6 (3.2)</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5 (2.7)</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14 (3.8)</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8 (2.2)</w:t>
            </w:r>
          </w:p>
        </w:tc>
      </w:tr>
      <w:tr w:rsidR="003A7DA0" w:rsidRPr="00DA2530" w:rsidTr="00447713">
        <w:trPr>
          <w:trHeight w:val="289"/>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3A7DA0" w:rsidRPr="00DA2530" w:rsidRDefault="003A7DA0" w:rsidP="00447713">
            <w:pPr>
              <w:keepNext/>
              <w:spacing w:before="20"/>
              <w:rPr>
                <w:rFonts w:ascii="Arial Narrow" w:hAnsi="Arial Narrow" w:cs="Calibri"/>
                <w:bCs/>
                <w:color w:val="000000"/>
                <w:sz w:val="20"/>
              </w:rPr>
            </w:pPr>
            <w:r w:rsidRPr="00DA2530">
              <w:rPr>
                <w:rFonts w:ascii="Arial Narrow" w:hAnsi="Arial Narrow" w:cs="Calibri"/>
                <w:bCs/>
                <w:color w:val="000000"/>
                <w:sz w:val="20"/>
              </w:rPr>
              <w:t>Subjects with AEs leading to death, n (%)</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0</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0</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0</w:t>
            </w:r>
          </w:p>
        </w:tc>
        <w:tc>
          <w:tcPr>
            <w:tcW w:w="632" w:type="pct"/>
            <w:tcBorders>
              <w:top w:val="nil"/>
              <w:left w:val="nil"/>
              <w:bottom w:val="single" w:sz="4" w:space="0" w:color="auto"/>
              <w:right w:val="single" w:sz="4" w:space="0" w:color="auto"/>
            </w:tcBorders>
            <w:shd w:val="clear" w:color="auto" w:fill="auto"/>
            <w:vAlign w:val="center"/>
            <w:hideMark/>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0</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0</w:t>
            </w:r>
          </w:p>
        </w:tc>
        <w:tc>
          <w:tcPr>
            <w:tcW w:w="632" w:type="pct"/>
            <w:tcBorders>
              <w:top w:val="nil"/>
              <w:left w:val="nil"/>
              <w:bottom w:val="single" w:sz="4" w:space="0" w:color="auto"/>
              <w:right w:val="single" w:sz="4" w:space="0" w:color="auto"/>
            </w:tcBorders>
            <w:shd w:val="clear" w:color="auto" w:fill="auto"/>
            <w:vAlign w:val="center"/>
          </w:tcPr>
          <w:p w:rsidR="003A7DA0" w:rsidRPr="00DA2530" w:rsidRDefault="003A7DA0" w:rsidP="00447713">
            <w:pPr>
              <w:keepNext/>
              <w:spacing w:before="20"/>
              <w:jc w:val="center"/>
              <w:rPr>
                <w:rFonts w:ascii="Arial Narrow" w:hAnsi="Arial Narrow"/>
                <w:sz w:val="20"/>
              </w:rPr>
            </w:pPr>
            <w:r w:rsidRPr="00DA2530">
              <w:rPr>
                <w:rFonts w:ascii="Arial Narrow" w:hAnsi="Arial Narrow"/>
                <w:sz w:val="20"/>
              </w:rPr>
              <w:t>0</w:t>
            </w:r>
          </w:p>
        </w:tc>
      </w:tr>
    </w:tbl>
    <w:p w:rsidR="003A7DA0" w:rsidRPr="00DA2530" w:rsidRDefault="003A7DA0" w:rsidP="003A7DA0">
      <w:pPr>
        <w:pStyle w:val="Tablefooter8pt"/>
      </w:pPr>
      <w:r w:rsidRPr="00DA2530">
        <w:t xml:space="preserve">Source: Table B.6.4, p112 July 2017 resubmission. </w:t>
      </w:r>
      <w:proofErr w:type="gramStart"/>
      <w:r w:rsidRPr="00DA2530">
        <w:t>Table 12-2, TRAFFIC CSR, p 188; Table 12-2, TRANSPORT CSR, p 201.</w:t>
      </w:r>
      <w:proofErr w:type="gramEnd"/>
    </w:p>
    <w:p w:rsidR="003A7DA0" w:rsidRPr="001A7B1E" w:rsidRDefault="003A7DA0" w:rsidP="001A7B1E">
      <w:pPr>
        <w:pStyle w:val="Tablefooter8pt"/>
      </w:pPr>
      <w:r w:rsidRPr="00DA2530">
        <w:t>Abbreviations: AE</w:t>
      </w:r>
      <w:r>
        <w:t xml:space="preserve"> = adverse event; n = size of subsample; N =</w:t>
      </w:r>
      <w:r w:rsidRPr="00DA2530">
        <w:t xml:space="preserve"> number of subjects; </w:t>
      </w:r>
      <w:r>
        <w:t xml:space="preserve">SAE = serious adverse event, NR = </w:t>
      </w:r>
      <w:r w:rsidRPr="00DA2530">
        <w:t>not reported.</w:t>
      </w:r>
    </w:p>
    <w:p w:rsidR="003A7DA0" w:rsidRPr="007C02B9" w:rsidRDefault="003A7DA0"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In the randomised trials, the most common adverse events experienced by patients who received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were </w:t>
      </w:r>
      <w:bookmarkStart w:id="8" w:name="_Hlk479759173"/>
      <w:proofErr w:type="spellStart"/>
      <w:r w:rsidRPr="007C02B9">
        <w:rPr>
          <w:rFonts w:asciiTheme="minorHAnsi" w:hAnsiTheme="minorHAnsi"/>
          <w:sz w:val="24"/>
          <w:lang w:val="en-US"/>
        </w:rPr>
        <w:t>dyspnoea</w:t>
      </w:r>
      <w:proofErr w:type="spellEnd"/>
      <w:r w:rsidRPr="007C02B9">
        <w:rPr>
          <w:rFonts w:asciiTheme="minorHAnsi" w:hAnsiTheme="minorHAnsi"/>
          <w:sz w:val="24"/>
          <w:lang w:val="en-US"/>
        </w:rPr>
        <w:t xml:space="preserve"> (14.0% versus 7.8% on placebo), </w:t>
      </w:r>
      <w:proofErr w:type="spellStart"/>
      <w:r w:rsidRPr="007C02B9">
        <w:rPr>
          <w:rFonts w:asciiTheme="minorHAnsi" w:hAnsiTheme="minorHAnsi"/>
          <w:sz w:val="24"/>
          <w:lang w:val="en-US"/>
        </w:rPr>
        <w:t>diarrhoea</w:t>
      </w:r>
      <w:proofErr w:type="spellEnd"/>
      <w:r w:rsidRPr="007C02B9">
        <w:rPr>
          <w:rFonts w:asciiTheme="minorHAnsi" w:hAnsiTheme="minorHAnsi"/>
          <w:sz w:val="24"/>
          <w:lang w:val="en-US"/>
        </w:rPr>
        <w:t xml:space="preserve"> (11.0% versus 8.4% on placebo), and nausea (10.2% versus 7.6% on placebo). Serious adverse reactions occurring in at least 0.5% of patients on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and in a greater proportion of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patients than placebo patients were hepatobiliary events.</w:t>
      </w:r>
    </w:p>
    <w:p w:rsidR="0006001E" w:rsidRPr="007C02B9" w:rsidRDefault="0006001E"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The final study report for the PROGRESS open label study (version 1.0, 25 October 2016</w:t>
      </w:r>
      <w:r w:rsidR="008D518B">
        <w:rPr>
          <w:rFonts w:asciiTheme="minorHAnsi" w:hAnsiTheme="minorHAnsi"/>
          <w:sz w:val="24"/>
          <w:lang w:val="en-US"/>
        </w:rPr>
        <w:t>)</w:t>
      </w:r>
      <w:r w:rsidRPr="007C02B9">
        <w:rPr>
          <w:rFonts w:asciiTheme="minorHAnsi" w:hAnsiTheme="minorHAnsi"/>
          <w:sz w:val="24"/>
          <w:lang w:val="en-US"/>
        </w:rPr>
        <w:t xml:space="preserve"> records that a total of 1017 (98.8%) subjects had at least </w:t>
      </w:r>
      <w:r w:rsidR="000D2F1E">
        <w:rPr>
          <w:rFonts w:asciiTheme="minorHAnsi" w:hAnsiTheme="minorHAnsi"/>
          <w:sz w:val="24"/>
          <w:lang w:val="en-US"/>
        </w:rPr>
        <w:t>one</w:t>
      </w:r>
      <w:r w:rsidR="000D2F1E" w:rsidRPr="007C02B9">
        <w:rPr>
          <w:rFonts w:asciiTheme="minorHAnsi" w:hAnsiTheme="minorHAnsi"/>
          <w:sz w:val="24"/>
          <w:lang w:val="en-US"/>
        </w:rPr>
        <w:t xml:space="preserve"> </w:t>
      </w:r>
      <w:r w:rsidRPr="007C02B9">
        <w:rPr>
          <w:rFonts w:asciiTheme="minorHAnsi" w:hAnsiTheme="minorHAnsi"/>
          <w:sz w:val="24"/>
          <w:lang w:val="en-US"/>
        </w:rPr>
        <w:t xml:space="preserve">AE during the PROGRESS study period. The most common AEs (≥20% of subjects overall) by </w:t>
      </w:r>
      <w:r w:rsidR="003A6EA2" w:rsidRPr="007C02B9">
        <w:rPr>
          <w:rFonts w:asciiTheme="minorHAnsi" w:hAnsiTheme="minorHAnsi"/>
          <w:sz w:val="24"/>
          <w:lang w:val="en-US"/>
        </w:rPr>
        <w:t>preferred term (</w:t>
      </w:r>
      <w:r w:rsidRPr="007C02B9">
        <w:rPr>
          <w:rFonts w:asciiTheme="minorHAnsi" w:hAnsiTheme="minorHAnsi"/>
          <w:sz w:val="24"/>
          <w:lang w:val="en-US"/>
        </w:rPr>
        <w:t>PT</w:t>
      </w:r>
      <w:r w:rsidR="003A6EA2" w:rsidRPr="007C02B9">
        <w:rPr>
          <w:rFonts w:asciiTheme="minorHAnsi" w:hAnsiTheme="minorHAnsi"/>
          <w:sz w:val="24"/>
          <w:lang w:val="en-US"/>
        </w:rPr>
        <w:t>)</w:t>
      </w:r>
      <w:r w:rsidRPr="007C02B9">
        <w:rPr>
          <w:rFonts w:asciiTheme="minorHAnsi" w:hAnsiTheme="minorHAnsi"/>
          <w:sz w:val="24"/>
          <w:lang w:val="en-US"/>
        </w:rPr>
        <w:t xml:space="preserve"> were infective </w:t>
      </w:r>
      <w:proofErr w:type="spellStart"/>
      <w:r w:rsidRPr="007C02B9">
        <w:rPr>
          <w:rFonts w:asciiTheme="minorHAnsi" w:hAnsiTheme="minorHAnsi"/>
          <w:sz w:val="24"/>
          <w:lang w:val="en-US"/>
        </w:rPr>
        <w:t>PEx</w:t>
      </w:r>
      <w:proofErr w:type="spellEnd"/>
      <w:r w:rsidRPr="007C02B9">
        <w:rPr>
          <w:rFonts w:asciiTheme="minorHAnsi" w:hAnsiTheme="minorHAnsi"/>
          <w:sz w:val="24"/>
          <w:lang w:val="en-US"/>
        </w:rPr>
        <w:t xml:space="preserve"> of CF (65.0%), cough (47.2%), sputum increased (22.1%), and hemoptysis (20.7%), all of which were expected manifestations of CF disease. Outcomes were generally similar across treatment groups; however, as expected with the known safety profile of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a higher incidence of respiratory events (e.g., respiration abnormal and dyspnea) was observed in the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-naïve groups than in the L600qd/I and L400q12h/I groups. In addition, AEs related to transaminase elevations had a higher incidence in the LUM/IVA-naïve group than in the L600qd/I andL400q12h/I groups.</w:t>
      </w:r>
    </w:p>
    <w:p w:rsidR="0006001E" w:rsidRPr="007C02B9" w:rsidRDefault="0006001E"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lastRenderedPageBreak/>
        <w:t xml:space="preserve">Serious adverse events were experienced by 45% of patients in </w:t>
      </w:r>
      <w:proofErr w:type="gramStart"/>
      <w:r w:rsidRPr="007C02B9">
        <w:rPr>
          <w:rFonts w:asciiTheme="minorHAnsi" w:hAnsiTheme="minorHAnsi"/>
          <w:sz w:val="24"/>
          <w:lang w:val="en-US"/>
        </w:rPr>
        <w:t>PROGRESS,</w:t>
      </w:r>
      <w:proofErr w:type="gramEnd"/>
      <w:r w:rsidRPr="007C02B9">
        <w:rPr>
          <w:rFonts w:asciiTheme="minorHAnsi" w:hAnsiTheme="minorHAnsi"/>
          <w:sz w:val="24"/>
          <w:lang w:val="en-US"/>
        </w:rPr>
        <w:t xml:space="preserve"> the most frequently reported being infective PEs of CF (in 33% of patients), </w:t>
      </w:r>
      <w:proofErr w:type="spellStart"/>
      <w:r w:rsidRPr="007C02B9">
        <w:rPr>
          <w:rFonts w:asciiTheme="minorHAnsi" w:hAnsiTheme="minorHAnsi"/>
          <w:sz w:val="24"/>
          <w:lang w:val="en-US"/>
        </w:rPr>
        <w:t>haemoptysis</w:t>
      </w:r>
      <w:proofErr w:type="spellEnd"/>
      <w:r w:rsidRPr="007C02B9">
        <w:rPr>
          <w:rFonts w:asciiTheme="minorHAnsi" w:hAnsiTheme="minorHAnsi"/>
          <w:sz w:val="24"/>
          <w:lang w:val="en-US"/>
        </w:rPr>
        <w:t xml:space="preserve"> (3%), and distal intestinal obstruction syndrome (3%).</w:t>
      </w:r>
    </w:p>
    <w:p w:rsidR="0006001E" w:rsidRDefault="0006001E"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Two deaths occurred in the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 xml:space="preserve"> 400 mg/</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250 mg every 12h group during the course of PROGRESS: one patient died from respiratory failure related to infective PE, and one from distal intestinal obstruction syndrome. Neither of the deaths was considered to be related to the study drug.</w:t>
      </w:r>
    </w:p>
    <w:bookmarkEnd w:id="8"/>
    <w:p w:rsidR="003C2FB5" w:rsidRPr="00966D0D" w:rsidRDefault="006436CD"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Benefits and harms</w:t>
      </w:r>
    </w:p>
    <w:p w:rsidR="0006001E" w:rsidRPr="007C02B9" w:rsidRDefault="0006001E"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On the basis of the direct randomised trials presented by the resubmission, treatment with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resulted in approximately a 2.81 percentage point larger increase in absolute ppFEV1 compared with placebo over a median duration of follow-up of 24 weeks.</w:t>
      </w:r>
    </w:p>
    <w:p w:rsidR="0006001E" w:rsidRPr="007C02B9" w:rsidRDefault="0006001E"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On the basis of the direct randomised trials presented by the resubmission, a patient treated with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could expect to have one fewer pulmonary exacerbation over 2.5 years and one fewer hospitalisation due to a pulmonary exacerbation over 3 years.</w:t>
      </w:r>
    </w:p>
    <w:p w:rsidR="0006001E" w:rsidRPr="007C02B9" w:rsidRDefault="0006001E"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Patients treated with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who continued therapy after completion of the original randomised trials continued to show an improvement in their lung function over baseline. However, the extent of that improvement decreased over time and by 96 weeks of treatment this difference was no longer statistically significant compared with before they commenced the trials.</w:t>
      </w:r>
    </w:p>
    <w:p w:rsidR="0006001E" w:rsidRPr="007C02B9" w:rsidRDefault="0006001E"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On the basis of direct evidence from the trials, the overall frequency of adverse events being reported was comparable between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and placebo groups. </w:t>
      </w:r>
      <w:proofErr w:type="spellStart"/>
      <w:r w:rsidRPr="007C02B9">
        <w:rPr>
          <w:rFonts w:asciiTheme="minorHAnsi" w:hAnsiTheme="minorHAnsi"/>
          <w:sz w:val="24"/>
          <w:lang w:val="en-US"/>
        </w:rPr>
        <w:t>Dyspnoea</w:t>
      </w:r>
      <w:proofErr w:type="spellEnd"/>
      <w:r w:rsidRPr="007C02B9">
        <w:rPr>
          <w:rFonts w:asciiTheme="minorHAnsi" w:hAnsiTheme="minorHAnsi"/>
          <w:sz w:val="24"/>
          <w:lang w:val="en-US"/>
        </w:rPr>
        <w:t xml:space="preserve"> (14.0% versus 7.8% on placebo), </w:t>
      </w:r>
      <w:proofErr w:type="spellStart"/>
      <w:r w:rsidRPr="007C02B9">
        <w:rPr>
          <w:rFonts w:asciiTheme="minorHAnsi" w:hAnsiTheme="minorHAnsi"/>
          <w:sz w:val="24"/>
          <w:lang w:val="en-US"/>
        </w:rPr>
        <w:t>diarrhoea</w:t>
      </w:r>
      <w:proofErr w:type="spellEnd"/>
      <w:r w:rsidRPr="007C02B9">
        <w:rPr>
          <w:rFonts w:asciiTheme="minorHAnsi" w:hAnsiTheme="minorHAnsi"/>
          <w:sz w:val="24"/>
          <w:lang w:val="en-US"/>
        </w:rPr>
        <w:t xml:space="preserve"> (11.0% versus 8.4% on placebo), and nausea (10.2% versus 7.6% on placebo) occurred more frequently in the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group. Hepatobiliary serious adverse events had been reported in TRAFFIC and TRANSPORT, and occurred in at least 0.5% of patients on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and in a greater proportion of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patients than placebo patients. Following discontinuation of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liver function tests returned to baseline or improved substantially in all patients.</w:t>
      </w:r>
    </w:p>
    <w:p w:rsidR="0006001E" w:rsidRDefault="0006001E"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For patients who continued to receive (or commenced)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therapy after the TRAFFIC and TRANSPORT trials ended, the most common adverse events reported were cough (44%), increased sputum (22%), and </w:t>
      </w:r>
      <w:proofErr w:type="spellStart"/>
      <w:r w:rsidRPr="007C02B9">
        <w:rPr>
          <w:rFonts w:asciiTheme="minorHAnsi" w:hAnsiTheme="minorHAnsi"/>
          <w:sz w:val="24"/>
          <w:lang w:val="en-US"/>
        </w:rPr>
        <w:t>haemoptysis</w:t>
      </w:r>
      <w:proofErr w:type="spellEnd"/>
      <w:r w:rsidRPr="007C02B9">
        <w:rPr>
          <w:rFonts w:asciiTheme="minorHAnsi" w:hAnsiTheme="minorHAnsi"/>
          <w:sz w:val="24"/>
          <w:lang w:val="en-US"/>
        </w:rPr>
        <w:t xml:space="preserve"> (20%) and may resolve without discontinuing treatment. A trend of an increase in blood pressure associated with extended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therapy had been identified and routine blood pressure monitoring is recommended. The most frequently reported serious adverse events in this group were infective PEs of cystic fibrosis (in 33% of patients), </w:t>
      </w:r>
      <w:proofErr w:type="spellStart"/>
      <w:r w:rsidRPr="007C02B9">
        <w:rPr>
          <w:rFonts w:asciiTheme="minorHAnsi" w:hAnsiTheme="minorHAnsi"/>
          <w:sz w:val="24"/>
          <w:lang w:val="en-US"/>
        </w:rPr>
        <w:t>haemoptysis</w:t>
      </w:r>
      <w:proofErr w:type="spellEnd"/>
      <w:r w:rsidRPr="007C02B9">
        <w:rPr>
          <w:rFonts w:asciiTheme="minorHAnsi" w:hAnsiTheme="minorHAnsi"/>
          <w:sz w:val="24"/>
          <w:lang w:val="en-US"/>
        </w:rPr>
        <w:t xml:space="preserve"> (3%), and distal intestinal obstruction syndrome (3%).</w:t>
      </w:r>
    </w:p>
    <w:p w:rsidR="000D2F1E" w:rsidRPr="000D2F1E" w:rsidRDefault="000D2F1E" w:rsidP="000D2F1E">
      <w:pPr>
        <w:pStyle w:val="ListParagraph"/>
        <w:numPr>
          <w:ilvl w:val="1"/>
          <w:numId w:val="3"/>
        </w:numPr>
        <w:rPr>
          <w:rFonts w:asciiTheme="minorHAnsi" w:hAnsiTheme="minorHAnsi"/>
          <w:sz w:val="24"/>
          <w:lang w:val="en-US"/>
        </w:rPr>
      </w:pPr>
      <w:r w:rsidRPr="000D2F1E">
        <w:rPr>
          <w:rFonts w:asciiTheme="minorHAnsi" w:hAnsiTheme="minorHAnsi"/>
          <w:sz w:val="24"/>
          <w:lang w:val="en-US"/>
        </w:rPr>
        <w:t xml:space="preserve">The final PROGRESS study report indicates that 14.9% of the Final Analysis Set for this study discontinued study treatment because of an “adverse event” or “subject </w:t>
      </w:r>
      <w:r w:rsidRPr="000D2F1E">
        <w:rPr>
          <w:rFonts w:asciiTheme="minorHAnsi" w:hAnsiTheme="minorHAnsi"/>
          <w:sz w:val="24"/>
          <w:lang w:val="en-US"/>
        </w:rPr>
        <w:lastRenderedPageBreak/>
        <w:t xml:space="preserve">refused further dosing” (PROGRESS study report Version 1.0, 25 October 2016, pp 78).  </w:t>
      </w:r>
    </w:p>
    <w:p w:rsidR="003C2FB5"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claim</w:t>
      </w:r>
    </w:p>
    <w:p w:rsidR="003B1432" w:rsidRPr="007C02B9" w:rsidRDefault="003B1432"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The March 2016 submission described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as superior in terms of comparative effectiveness as it improved key CF outcomes that are associated with prolongation of life expectancy. The July 2017 and current resubmission claimed that the longer term data from the PROGRESS study provided further evidence that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is a disease modifying therapy. </w:t>
      </w:r>
    </w:p>
    <w:p w:rsidR="003B1432" w:rsidRPr="007C02B9" w:rsidRDefault="003B1432"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The March 2016 submission claimed the drug is equivalent to BSC in terms of comparative safety, and the current resubmission argued that the longer term safety profile was consistent with the previous data in TRAFFIC and TRANSPORT.</w:t>
      </w:r>
    </w:p>
    <w:p w:rsidR="003B1432" w:rsidRPr="007C02B9" w:rsidRDefault="003B1432"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In March 2016, the PBAC noted the improvement in exacerbations, weight gain, BMI, the hospitalisation rate and antibiotic use associated with treatment with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in the short-term but considered that the impact of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on improvements in long-term lung function and survival was uncertain. In addition, the PBAC considered that the claim of equivalent comparative safety was reasonable in the short-term but noted the long-term safety of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is unknown.</w:t>
      </w:r>
    </w:p>
    <w:p w:rsidR="003B1432" w:rsidRPr="007C02B9" w:rsidRDefault="003B1432"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In the July 2017 resubmission, evidence from the PROGRESS extension study demonstrated that the modest increase in ppFEV1 in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treated patients demonstrated in TRAFFIC and TRANSPORT was not maintained through to 120 weeks. </w:t>
      </w:r>
    </w:p>
    <w:p w:rsidR="003B1432" w:rsidRPr="007C02B9" w:rsidRDefault="003B1432"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The PSCR for the July 2017 submission argued the main objective of treatment with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is to </w:t>
      </w:r>
      <w:proofErr w:type="spellStart"/>
      <w:r w:rsidRPr="007C02B9">
        <w:rPr>
          <w:rFonts w:asciiTheme="minorHAnsi" w:hAnsiTheme="minorHAnsi"/>
          <w:sz w:val="24"/>
          <w:lang w:val="en-US"/>
        </w:rPr>
        <w:t>minimise</w:t>
      </w:r>
      <w:proofErr w:type="spellEnd"/>
      <w:r w:rsidRPr="007C02B9">
        <w:rPr>
          <w:rFonts w:asciiTheme="minorHAnsi" w:hAnsiTheme="minorHAnsi"/>
          <w:sz w:val="24"/>
          <w:lang w:val="en-US"/>
        </w:rPr>
        <w:t xml:space="preserve"> the rate of deterioration over time, noting the matched analysis of the comparative rates of decline of ppFEV1 which represented a 42% decrease in the rate of ppFEV1 decline in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-treated patients compared with a matched cohort. The PSCR further argued that the clinical impact of slowing CF progression over time was reflected to some extent by the maintenance of the absolute reduction in PE events per patient-year for up to 120 weeks of treatment.  </w:t>
      </w:r>
    </w:p>
    <w:p w:rsidR="003B1432" w:rsidRPr="007C02B9" w:rsidRDefault="003B1432"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In July 2017, the PBAC considered the claim that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slows the rate of decline in ppFEV1 beyond 24 weeks, compared with patients treated with BSC, was not adequately supported by the resubmission for the reasons outlined in paragraph </w:t>
      </w:r>
      <w:r w:rsidRPr="001A6630">
        <w:rPr>
          <w:rFonts w:asciiTheme="minorHAnsi" w:hAnsiTheme="minorHAnsi"/>
          <w:sz w:val="24"/>
          <w:lang w:val="en-US"/>
        </w:rPr>
        <w:t>6.2</w:t>
      </w:r>
      <w:r w:rsidR="00D06D64" w:rsidRPr="001A6630">
        <w:rPr>
          <w:rFonts w:asciiTheme="minorHAnsi" w:hAnsiTheme="minorHAnsi"/>
          <w:sz w:val="24"/>
          <w:lang w:val="en-US"/>
        </w:rPr>
        <w:t>5</w:t>
      </w:r>
      <w:r w:rsidRPr="007C02B9">
        <w:rPr>
          <w:rFonts w:asciiTheme="minorHAnsi" w:hAnsiTheme="minorHAnsi"/>
          <w:sz w:val="24"/>
          <w:lang w:val="en-US"/>
        </w:rPr>
        <w:t>. However, the PBAC noted improvements in other clinical measures, including a reduction pulmonary exacerbations and an increase in body mass index, were maintained beyond the 24 week trial period, and therefore considered that the claim of superior comparative effectiveness for these outcomes was reasonable.</w:t>
      </w:r>
    </w:p>
    <w:p w:rsidR="003B1432" w:rsidRPr="00AF5F59" w:rsidRDefault="003B1432" w:rsidP="00AF5F59">
      <w:pPr>
        <w:pStyle w:val="ListParagraph"/>
        <w:widowControl/>
        <w:numPr>
          <w:ilvl w:val="1"/>
          <w:numId w:val="3"/>
        </w:numPr>
        <w:spacing w:before="120" w:after="160"/>
        <w:contextualSpacing w:val="0"/>
        <w:rPr>
          <w:rFonts w:asciiTheme="minorHAnsi" w:hAnsiTheme="minorHAnsi"/>
          <w:sz w:val="24"/>
          <w:lang w:val="en-US"/>
        </w:rPr>
      </w:pPr>
      <w:r w:rsidRPr="00AF5F59">
        <w:rPr>
          <w:rFonts w:asciiTheme="minorHAnsi" w:hAnsiTheme="minorHAnsi"/>
          <w:sz w:val="24"/>
          <w:lang w:val="en-US"/>
        </w:rPr>
        <w:t>In July 2017, the PBAC considered that the claim of non-inferior comparative safety was not adequately supported by the updated data from the PROGRESS study pr</w:t>
      </w:r>
      <w:r w:rsidRPr="002A1DB5">
        <w:rPr>
          <w:rFonts w:asciiTheme="minorHAnsi" w:hAnsiTheme="minorHAnsi"/>
          <w:sz w:val="24"/>
          <w:lang w:val="en-US"/>
        </w:rPr>
        <w:t xml:space="preserve">ovided in the current resubmission. There is evidence of drug-related adverse </w:t>
      </w:r>
      <w:r w:rsidRPr="002A1DB5">
        <w:rPr>
          <w:rFonts w:asciiTheme="minorHAnsi" w:hAnsiTheme="minorHAnsi"/>
          <w:sz w:val="24"/>
          <w:lang w:val="en-US"/>
        </w:rPr>
        <w:lastRenderedPageBreak/>
        <w:t xml:space="preserve">events including respiratory adverse events (e.g. </w:t>
      </w:r>
      <w:proofErr w:type="spellStart"/>
      <w:r w:rsidRPr="002A1DB5">
        <w:rPr>
          <w:rFonts w:asciiTheme="minorHAnsi" w:hAnsiTheme="minorHAnsi"/>
          <w:sz w:val="24"/>
          <w:lang w:val="en-US"/>
        </w:rPr>
        <w:t>haemoptysis</w:t>
      </w:r>
      <w:proofErr w:type="spellEnd"/>
      <w:r w:rsidRPr="002A1DB5">
        <w:rPr>
          <w:rFonts w:asciiTheme="minorHAnsi" w:hAnsiTheme="minorHAnsi"/>
          <w:sz w:val="24"/>
          <w:lang w:val="en-US"/>
        </w:rPr>
        <w:t xml:space="preserve">, cough), hepatobiliary events and development of hypertension associated with continued therapy. </w:t>
      </w:r>
      <w:r w:rsidRPr="00AF5F59">
        <w:rPr>
          <w:rFonts w:asciiTheme="minorHAnsi" w:hAnsiTheme="minorHAnsi"/>
          <w:sz w:val="24"/>
          <w:lang w:val="en-US"/>
        </w:rPr>
        <w:t>The July 2018 submission does not alter the clinical claim.</w:t>
      </w:r>
    </w:p>
    <w:p w:rsidR="00AF5F59" w:rsidRPr="00C4077F" w:rsidRDefault="00841412" w:rsidP="007C02B9">
      <w:pPr>
        <w:pStyle w:val="ListParagraph"/>
        <w:widowControl/>
        <w:numPr>
          <w:ilvl w:val="1"/>
          <w:numId w:val="3"/>
        </w:numPr>
        <w:spacing w:before="120" w:after="160"/>
        <w:contextualSpacing w:val="0"/>
        <w:rPr>
          <w:rFonts w:asciiTheme="minorHAnsi" w:hAnsiTheme="minorHAnsi"/>
          <w:sz w:val="24"/>
          <w:lang w:val="en-US"/>
        </w:rPr>
      </w:pPr>
      <w:r>
        <w:rPr>
          <w:rFonts w:asciiTheme="minorHAnsi" w:hAnsiTheme="minorHAnsi"/>
          <w:sz w:val="24"/>
          <w:lang w:val="en-US"/>
        </w:rPr>
        <w:t xml:space="preserve">The PBAC </w:t>
      </w:r>
      <w:r w:rsidRPr="008D29D6">
        <w:rPr>
          <w:rFonts w:asciiTheme="minorHAnsi" w:hAnsiTheme="minorHAnsi"/>
          <w:sz w:val="24"/>
          <w:szCs w:val="24"/>
        </w:rPr>
        <w:t xml:space="preserve">considered that the claim </w:t>
      </w:r>
      <w:r w:rsidRPr="008D29D6">
        <w:rPr>
          <w:rFonts w:asciiTheme="minorHAnsi" w:hAnsiTheme="minorHAnsi"/>
          <w:sz w:val="24"/>
          <w:lang w:val="en-US"/>
        </w:rPr>
        <w:t xml:space="preserve">that </w:t>
      </w:r>
      <w:proofErr w:type="spellStart"/>
      <w:r w:rsidRPr="008D29D6">
        <w:rPr>
          <w:rFonts w:asciiTheme="minorHAnsi" w:hAnsiTheme="minorHAnsi"/>
          <w:sz w:val="24"/>
          <w:lang w:val="en-US"/>
        </w:rPr>
        <w:t>lumacaftor</w:t>
      </w:r>
      <w:proofErr w:type="spellEnd"/>
      <w:r w:rsidRPr="008D29D6">
        <w:rPr>
          <w:rFonts w:asciiTheme="minorHAnsi" w:hAnsiTheme="minorHAnsi"/>
          <w:sz w:val="24"/>
          <w:lang w:val="en-US"/>
        </w:rPr>
        <w:t>/</w:t>
      </w:r>
      <w:proofErr w:type="spellStart"/>
      <w:r w:rsidRPr="008D29D6">
        <w:rPr>
          <w:rFonts w:asciiTheme="minorHAnsi" w:hAnsiTheme="minorHAnsi"/>
          <w:sz w:val="24"/>
          <w:lang w:val="en-US"/>
        </w:rPr>
        <w:t>ivacaftor</w:t>
      </w:r>
      <w:proofErr w:type="spellEnd"/>
      <w:r w:rsidRPr="008D29D6">
        <w:rPr>
          <w:rFonts w:asciiTheme="minorHAnsi" w:hAnsiTheme="minorHAnsi"/>
          <w:sz w:val="24"/>
          <w:lang w:val="en-US"/>
        </w:rPr>
        <w:t xml:space="preserve"> slows the rate of decline in ppFEV1</w:t>
      </w:r>
      <w:r w:rsidR="00AF5F59">
        <w:rPr>
          <w:rFonts w:asciiTheme="minorHAnsi" w:hAnsiTheme="minorHAnsi"/>
          <w:sz w:val="24"/>
          <w:lang w:val="en-US"/>
        </w:rPr>
        <w:t xml:space="preserve"> and reduces </w:t>
      </w:r>
      <w:proofErr w:type="spellStart"/>
      <w:r w:rsidR="00AF5F59">
        <w:rPr>
          <w:rFonts w:asciiTheme="minorHAnsi" w:hAnsiTheme="minorHAnsi"/>
          <w:sz w:val="24"/>
          <w:lang w:val="en-US"/>
        </w:rPr>
        <w:t>PEx</w:t>
      </w:r>
      <w:proofErr w:type="spellEnd"/>
      <w:r w:rsidR="00AF5F59">
        <w:rPr>
          <w:rFonts w:asciiTheme="minorHAnsi" w:hAnsiTheme="minorHAnsi"/>
          <w:sz w:val="24"/>
          <w:lang w:val="en-US"/>
        </w:rPr>
        <w:t xml:space="preserve"> for</w:t>
      </w:r>
      <w:r w:rsidRPr="008D29D6">
        <w:rPr>
          <w:rFonts w:asciiTheme="minorHAnsi" w:hAnsiTheme="minorHAnsi"/>
          <w:sz w:val="24"/>
          <w:lang w:val="en-US"/>
        </w:rPr>
        <w:t xml:space="preserve"> up to 96 weeks </w:t>
      </w:r>
      <w:r w:rsidR="00AF5F59">
        <w:rPr>
          <w:rFonts w:asciiTheme="minorHAnsi" w:hAnsiTheme="minorHAnsi"/>
          <w:sz w:val="24"/>
          <w:szCs w:val="24"/>
        </w:rPr>
        <w:t>may be</w:t>
      </w:r>
      <w:r w:rsidRPr="008D29D6">
        <w:rPr>
          <w:rFonts w:asciiTheme="minorHAnsi" w:hAnsiTheme="minorHAnsi"/>
          <w:sz w:val="24"/>
          <w:szCs w:val="24"/>
        </w:rPr>
        <w:t xml:space="preserve"> reasonable. However, the PBAC remained concerned that the available data suggest considerable heterogeneity in the clinical benefit received by patients</w:t>
      </w:r>
      <w:r w:rsidR="00AF5F59">
        <w:rPr>
          <w:rFonts w:asciiTheme="minorHAnsi" w:hAnsiTheme="minorHAnsi"/>
          <w:sz w:val="24"/>
          <w:szCs w:val="24"/>
        </w:rPr>
        <w:t xml:space="preserve"> and there is no information to demonstrate that the slower rate of decline or reductions in </w:t>
      </w:r>
      <w:proofErr w:type="spellStart"/>
      <w:r w:rsidR="00AF5F59">
        <w:rPr>
          <w:rFonts w:asciiTheme="minorHAnsi" w:hAnsiTheme="minorHAnsi"/>
          <w:sz w:val="24"/>
          <w:szCs w:val="24"/>
        </w:rPr>
        <w:t>PEx</w:t>
      </w:r>
      <w:proofErr w:type="spellEnd"/>
      <w:r w:rsidR="00AF5F59">
        <w:rPr>
          <w:rFonts w:asciiTheme="minorHAnsi" w:hAnsiTheme="minorHAnsi"/>
          <w:sz w:val="24"/>
          <w:szCs w:val="24"/>
        </w:rPr>
        <w:t xml:space="preserve"> are maintained over a longer period, which is important in the context of a life-long progressive disease. </w:t>
      </w:r>
      <w:r w:rsidRPr="008D29D6">
        <w:rPr>
          <w:rFonts w:asciiTheme="minorHAnsi" w:hAnsiTheme="minorHAnsi"/>
          <w:sz w:val="24"/>
          <w:szCs w:val="24"/>
        </w:rPr>
        <w:t xml:space="preserve"> </w:t>
      </w:r>
    </w:p>
    <w:p w:rsidR="00D06D64" w:rsidRDefault="00841412" w:rsidP="00C4077F">
      <w:pPr>
        <w:pStyle w:val="ListParagraph"/>
        <w:widowControl/>
        <w:numPr>
          <w:ilvl w:val="1"/>
          <w:numId w:val="3"/>
        </w:numPr>
        <w:spacing w:before="120" w:after="160"/>
        <w:contextualSpacing w:val="0"/>
        <w:rPr>
          <w:rFonts w:asciiTheme="minorHAnsi" w:hAnsiTheme="minorHAnsi"/>
          <w:sz w:val="24"/>
          <w:lang w:val="en-US"/>
        </w:rPr>
      </w:pPr>
      <w:r w:rsidRPr="00C4077F">
        <w:rPr>
          <w:rFonts w:asciiTheme="minorHAnsi" w:hAnsiTheme="minorHAnsi"/>
          <w:sz w:val="24"/>
          <w:lang w:val="en-US"/>
        </w:rPr>
        <w:t xml:space="preserve">The PBAC considered that </w:t>
      </w:r>
      <w:r w:rsidR="00AF5F59" w:rsidRPr="00C4077F">
        <w:rPr>
          <w:rFonts w:asciiTheme="minorHAnsi" w:hAnsiTheme="minorHAnsi"/>
          <w:sz w:val="24"/>
          <w:lang w:val="en-US"/>
        </w:rPr>
        <w:t>a Managed Access Program</w:t>
      </w:r>
      <w:r w:rsidR="006D004B">
        <w:rPr>
          <w:rFonts w:asciiTheme="minorHAnsi" w:hAnsiTheme="minorHAnsi"/>
          <w:sz w:val="24"/>
          <w:lang w:val="en-US"/>
        </w:rPr>
        <w:t xml:space="preserve"> (MAP)</w:t>
      </w:r>
      <w:r w:rsidR="00AF5F59" w:rsidRPr="00C4077F">
        <w:rPr>
          <w:rFonts w:asciiTheme="minorHAnsi" w:hAnsiTheme="minorHAnsi"/>
          <w:sz w:val="24"/>
          <w:lang w:val="en-US"/>
        </w:rPr>
        <w:t xml:space="preserve"> would allow patients access to subsidised treatment with </w:t>
      </w:r>
      <w:proofErr w:type="spellStart"/>
      <w:r w:rsidR="00AF5F59" w:rsidRPr="00C4077F">
        <w:rPr>
          <w:rFonts w:asciiTheme="minorHAnsi" w:hAnsiTheme="minorHAnsi"/>
          <w:sz w:val="24"/>
          <w:lang w:val="en-US"/>
        </w:rPr>
        <w:t>lumacaftor</w:t>
      </w:r>
      <w:proofErr w:type="spellEnd"/>
      <w:r w:rsidR="00AF5F59" w:rsidRPr="00C4077F">
        <w:rPr>
          <w:rFonts w:asciiTheme="minorHAnsi" w:hAnsiTheme="minorHAnsi"/>
          <w:sz w:val="24"/>
          <w:lang w:val="en-US"/>
        </w:rPr>
        <w:t xml:space="preserve"> with </w:t>
      </w:r>
      <w:proofErr w:type="spellStart"/>
      <w:r w:rsidR="00AF5F59" w:rsidRPr="00C4077F">
        <w:rPr>
          <w:rFonts w:asciiTheme="minorHAnsi" w:hAnsiTheme="minorHAnsi"/>
          <w:sz w:val="24"/>
          <w:lang w:val="en-US"/>
        </w:rPr>
        <w:t>ivacaftor</w:t>
      </w:r>
      <w:proofErr w:type="spellEnd"/>
      <w:r w:rsidR="00AF5F59" w:rsidRPr="00C4077F">
        <w:rPr>
          <w:rFonts w:asciiTheme="minorHAnsi" w:hAnsiTheme="minorHAnsi"/>
          <w:sz w:val="24"/>
          <w:lang w:val="en-US"/>
        </w:rPr>
        <w:t xml:space="preserve"> whilst providing the sponsor with the opportunity to demonstrate that </w:t>
      </w:r>
      <w:r w:rsidRPr="00C4077F">
        <w:rPr>
          <w:rFonts w:asciiTheme="minorHAnsi" w:hAnsiTheme="minorHAnsi"/>
          <w:sz w:val="24"/>
          <w:lang w:val="en-US"/>
        </w:rPr>
        <w:t xml:space="preserve">the differences in the rates of decline in lung function (ppFEV1) and </w:t>
      </w:r>
      <w:proofErr w:type="spellStart"/>
      <w:r w:rsidRPr="00C4077F">
        <w:rPr>
          <w:rFonts w:asciiTheme="minorHAnsi" w:hAnsiTheme="minorHAnsi"/>
          <w:sz w:val="24"/>
          <w:lang w:val="en-US"/>
        </w:rPr>
        <w:t>PEx</w:t>
      </w:r>
      <w:proofErr w:type="spellEnd"/>
      <w:r w:rsidRPr="00C4077F">
        <w:rPr>
          <w:rFonts w:asciiTheme="minorHAnsi" w:hAnsiTheme="minorHAnsi"/>
          <w:sz w:val="24"/>
          <w:lang w:val="en-US"/>
        </w:rPr>
        <w:t xml:space="preserve"> observed over </w:t>
      </w:r>
      <w:r w:rsidR="00AF5F59" w:rsidRPr="00C4077F">
        <w:rPr>
          <w:rFonts w:asciiTheme="minorHAnsi" w:hAnsiTheme="minorHAnsi"/>
          <w:sz w:val="24"/>
          <w:lang w:val="en-US"/>
        </w:rPr>
        <w:t>a</w:t>
      </w:r>
      <w:r w:rsidRPr="00C4077F">
        <w:rPr>
          <w:rFonts w:asciiTheme="minorHAnsi" w:hAnsiTheme="minorHAnsi"/>
          <w:sz w:val="24"/>
          <w:lang w:val="en-US"/>
        </w:rPr>
        <w:t xml:space="preserve"> 96 week trial period are sustained over a longer time period of at least 4 years in real clinical practice.</w:t>
      </w:r>
    </w:p>
    <w:p w:rsidR="00D06D64" w:rsidRPr="005C5A18" w:rsidRDefault="00AF5F59" w:rsidP="00C4077F">
      <w:pPr>
        <w:pStyle w:val="ListParagraph"/>
        <w:widowControl/>
        <w:numPr>
          <w:ilvl w:val="1"/>
          <w:numId w:val="3"/>
        </w:numPr>
        <w:spacing w:before="120" w:after="160"/>
        <w:contextualSpacing w:val="0"/>
        <w:rPr>
          <w:rFonts w:asciiTheme="minorHAnsi" w:hAnsiTheme="minorHAnsi"/>
          <w:sz w:val="24"/>
          <w:lang w:val="en-US"/>
        </w:rPr>
      </w:pPr>
      <w:r w:rsidRPr="005C5A18">
        <w:rPr>
          <w:rFonts w:asciiTheme="minorHAnsi" w:hAnsiTheme="minorHAnsi"/>
          <w:sz w:val="24"/>
          <w:lang w:val="en-US"/>
        </w:rPr>
        <w:t>The PBAC noted that Vertex plans to bring forward new treatments</w:t>
      </w:r>
      <w:r w:rsidR="0078588E" w:rsidRPr="005C5A18">
        <w:rPr>
          <w:rFonts w:asciiTheme="minorHAnsi" w:hAnsiTheme="minorHAnsi"/>
          <w:sz w:val="24"/>
          <w:lang w:val="en-US"/>
        </w:rPr>
        <w:t xml:space="preserve"> for patients who are homozygous for the f508del mutation in the CFTR gene,</w:t>
      </w:r>
      <w:r w:rsidRPr="005C5A18">
        <w:rPr>
          <w:rFonts w:asciiTheme="minorHAnsi" w:hAnsiTheme="minorHAnsi"/>
          <w:sz w:val="24"/>
          <w:lang w:val="en-US"/>
        </w:rPr>
        <w:t xml:space="preserve"> </w:t>
      </w:r>
      <w:r w:rsidR="0078588E" w:rsidRPr="005C5A18">
        <w:rPr>
          <w:rFonts w:asciiTheme="minorHAnsi" w:hAnsiTheme="minorHAnsi"/>
          <w:sz w:val="24"/>
          <w:lang w:val="en-US"/>
        </w:rPr>
        <w:t xml:space="preserve">with </w:t>
      </w:r>
      <w:proofErr w:type="spellStart"/>
      <w:r w:rsidR="0078588E" w:rsidRPr="005C5A18">
        <w:rPr>
          <w:rFonts w:asciiTheme="minorHAnsi" w:hAnsiTheme="minorHAnsi"/>
          <w:sz w:val="24"/>
          <w:lang w:val="en-US"/>
        </w:rPr>
        <w:t>tezacaftor</w:t>
      </w:r>
      <w:proofErr w:type="spellEnd"/>
      <w:r w:rsidR="0078588E" w:rsidRPr="005C5A18">
        <w:rPr>
          <w:rFonts w:asciiTheme="minorHAnsi" w:hAnsiTheme="minorHAnsi"/>
          <w:sz w:val="24"/>
          <w:lang w:val="en-US"/>
        </w:rPr>
        <w:t xml:space="preserve"> and </w:t>
      </w:r>
      <w:proofErr w:type="spellStart"/>
      <w:r w:rsidR="0078588E" w:rsidRPr="005C5A18">
        <w:rPr>
          <w:rFonts w:asciiTheme="minorHAnsi" w:hAnsiTheme="minorHAnsi"/>
          <w:sz w:val="24"/>
          <w:lang w:val="en-US"/>
        </w:rPr>
        <w:t>ivacaftor</w:t>
      </w:r>
      <w:proofErr w:type="spellEnd"/>
      <w:r w:rsidR="0078588E" w:rsidRPr="005C5A18">
        <w:rPr>
          <w:rFonts w:asciiTheme="minorHAnsi" w:hAnsiTheme="minorHAnsi"/>
          <w:sz w:val="24"/>
          <w:lang w:val="en-US"/>
        </w:rPr>
        <w:t xml:space="preserve"> currently undergoing r</w:t>
      </w:r>
      <w:r w:rsidR="0078588E" w:rsidRPr="00C4077F">
        <w:rPr>
          <w:rFonts w:asciiTheme="minorHAnsi" w:hAnsiTheme="minorHAnsi"/>
          <w:sz w:val="24"/>
          <w:lang w:val="en-US"/>
        </w:rPr>
        <w:t xml:space="preserve">egulatory review in some countries and a triple therapy combination treatment in clinical trials.  The PBAC recognized that this might limit the availability of longer term data for </w:t>
      </w:r>
      <w:proofErr w:type="spellStart"/>
      <w:r w:rsidR="0078588E" w:rsidRPr="00C4077F">
        <w:rPr>
          <w:rFonts w:asciiTheme="minorHAnsi" w:hAnsiTheme="minorHAnsi"/>
          <w:sz w:val="24"/>
          <w:lang w:val="en-US"/>
        </w:rPr>
        <w:t>lumacaftor</w:t>
      </w:r>
      <w:proofErr w:type="spellEnd"/>
      <w:r w:rsidR="0078588E" w:rsidRPr="00C4077F">
        <w:rPr>
          <w:rFonts w:asciiTheme="minorHAnsi" w:hAnsiTheme="minorHAnsi"/>
          <w:sz w:val="24"/>
          <w:lang w:val="en-US"/>
        </w:rPr>
        <w:t xml:space="preserve"> with </w:t>
      </w:r>
      <w:proofErr w:type="spellStart"/>
      <w:r w:rsidR="0078588E" w:rsidRPr="00C4077F">
        <w:rPr>
          <w:rFonts w:asciiTheme="minorHAnsi" w:hAnsiTheme="minorHAnsi"/>
          <w:sz w:val="24"/>
          <w:lang w:val="en-US"/>
        </w:rPr>
        <w:t>ivacaftor</w:t>
      </w:r>
      <w:proofErr w:type="spellEnd"/>
      <w:r w:rsidR="0078588E" w:rsidRPr="00C4077F">
        <w:rPr>
          <w:rFonts w:asciiTheme="minorHAnsi" w:hAnsiTheme="minorHAnsi"/>
          <w:sz w:val="24"/>
          <w:lang w:val="en-US"/>
        </w:rPr>
        <w:t xml:space="preserve"> but considered that the MAP could </w:t>
      </w:r>
      <w:r w:rsidR="00C8267D">
        <w:rPr>
          <w:rFonts w:asciiTheme="minorHAnsi" w:hAnsiTheme="minorHAnsi"/>
          <w:sz w:val="24"/>
          <w:lang w:val="en-US"/>
        </w:rPr>
        <w:t xml:space="preserve">allow the PBAC to be provided </w:t>
      </w:r>
      <w:r w:rsidR="0078588E" w:rsidRPr="00C4077F">
        <w:rPr>
          <w:rFonts w:asciiTheme="minorHAnsi" w:hAnsiTheme="minorHAnsi"/>
          <w:sz w:val="24"/>
          <w:lang w:val="en-US"/>
        </w:rPr>
        <w:t xml:space="preserve">with longer term data for patients treated continuously with </w:t>
      </w:r>
      <w:proofErr w:type="spellStart"/>
      <w:r w:rsidR="0078588E" w:rsidRPr="00C4077F">
        <w:rPr>
          <w:rFonts w:asciiTheme="minorHAnsi" w:hAnsiTheme="minorHAnsi"/>
          <w:sz w:val="24"/>
          <w:lang w:val="en-US"/>
        </w:rPr>
        <w:t>lumacaftor</w:t>
      </w:r>
      <w:proofErr w:type="spellEnd"/>
      <w:r w:rsidR="0078588E" w:rsidRPr="00C4077F">
        <w:rPr>
          <w:rFonts w:asciiTheme="minorHAnsi" w:hAnsiTheme="minorHAnsi"/>
          <w:sz w:val="24"/>
          <w:lang w:val="en-US"/>
        </w:rPr>
        <w:t xml:space="preserve"> with </w:t>
      </w:r>
      <w:proofErr w:type="spellStart"/>
      <w:r w:rsidR="0078588E" w:rsidRPr="00C4077F">
        <w:rPr>
          <w:rFonts w:asciiTheme="minorHAnsi" w:hAnsiTheme="minorHAnsi"/>
          <w:sz w:val="24"/>
          <w:lang w:val="en-US"/>
        </w:rPr>
        <w:t>ivacaftor</w:t>
      </w:r>
      <w:proofErr w:type="spellEnd"/>
      <w:r w:rsidR="0078588E" w:rsidRPr="00C4077F">
        <w:rPr>
          <w:rFonts w:asciiTheme="minorHAnsi" w:hAnsiTheme="minorHAnsi"/>
          <w:sz w:val="24"/>
          <w:lang w:val="en-US"/>
        </w:rPr>
        <w:t xml:space="preserve">, </w:t>
      </w:r>
      <w:r w:rsidR="00C8267D">
        <w:rPr>
          <w:rFonts w:asciiTheme="minorHAnsi" w:hAnsiTheme="minorHAnsi"/>
          <w:sz w:val="24"/>
          <w:lang w:val="en-US"/>
        </w:rPr>
        <w:t xml:space="preserve">as well as treatment with </w:t>
      </w:r>
      <w:proofErr w:type="spellStart"/>
      <w:r w:rsidR="0078588E" w:rsidRPr="00C4077F">
        <w:rPr>
          <w:rFonts w:asciiTheme="minorHAnsi" w:hAnsiTheme="minorHAnsi"/>
          <w:sz w:val="24"/>
          <w:lang w:val="en-US"/>
        </w:rPr>
        <w:t>tezacaftor</w:t>
      </w:r>
      <w:proofErr w:type="spellEnd"/>
      <w:r w:rsidR="0078588E" w:rsidRPr="00C4077F">
        <w:rPr>
          <w:rFonts w:asciiTheme="minorHAnsi" w:hAnsiTheme="minorHAnsi"/>
          <w:sz w:val="24"/>
          <w:lang w:val="en-US"/>
        </w:rPr>
        <w:t xml:space="preserve"> with </w:t>
      </w:r>
      <w:proofErr w:type="spellStart"/>
      <w:r w:rsidR="0078588E" w:rsidRPr="00C4077F">
        <w:rPr>
          <w:rFonts w:asciiTheme="minorHAnsi" w:hAnsiTheme="minorHAnsi"/>
          <w:sz w:val="24"/>
          <w:lang w:val="en-US"/>
        </w:rPr>
        <w:t>ivacaftor</w:t>
      </w:r>
      <w:proofErr w:type="spellEnd"/>
      <w:r w:rsidR="0078588E" w:rsidRPr="00C4077F">
        <w:rPr>
          <w:rFonts w:asciiTheme="minorHAnsi" w:hAnsiTheme="minorHAnsi"/>
          <w:sz w:val="24"/>
          <w:lang w:val="en-US"/>
        </w:rPr>
        <w:t xml:space="preserve"> or triple therapy, or through </w:t>
      </w:r>
      <w:r w:rsidR="00B95831" w:rsidRPr="00C4077F">
        <w:rPr>
          <w:rFonts w:asciiTheme="minorHAnsi" w:hAnsiTheme="minorHAnsi"/>
          <w:sz w:val="24"/>
          <w:lang w:val="en-US"/>
        </w:rPr>
        <w:t>conse</w:t>
      </w:r>
      <w:r w:rsidR="00B95831" w:rsidRPr="005C5A18">
        <w:rPr>
          <w:rFonts w:asciiTheme="minorHAnsi" w:hAnsiTheme="minorHAnsi"/>
          <w:sz w:val="24"/>
          <w:lang w:val="en-US"/>
        </w:rPr>
        <w:t>cutive</w:t>
      </w:r>
      <w:r w:rsidR="0078588E" w:rsidRPr="005C5A18">
        <w:rPr>
          <w:rFonts w:asciiTheme="minorHAnsi" w:hAnsiTheme="minorHAnsi"/>
          <w:sz w:val="24"/>
          <w:lang w:val="en-US"/>
        </w:rPr>
        <w:t xml:space="preserve"> periods of treatment with</w:t>
      </w:r>
      <w:r w:rsidR="00171842" w:rsidRPr="005C5A18">
        <w:rPr>
          <w:rFonts w:asciiTheme="minorHAnsi" w:hAnsiTheme="minorHAnsi"/>
          <w:sz w:val="24"/>
          <w:lang w:val="en-US"/>
        </w:rPr>
        <w:t xml:space="preserve"> more than one of</w:t>
      </w:r>
      <w:r w:rsidR="0078588E" w:rsidRPr="005C5A18">
        <w:rPr>
          <w:rFonts w:asciiTheme="minorHAnsi" w:hAnsiTheme="minorHAnsi"/>
          <w:sz w:val="24"/>
          <w:lang w:val="en-US"/>
        </w:rPr>
        <w:t xml:space="preserve"> these regimens.</w:t>
      </w:r>
    </w:p>
    <w:p w:rsidR="003D3BE7" w:rsidRPr="001A7B1E" w:rsidRDefault="008D29D6" w:rsidP="00CB0030">
      <w:pPr>
        <w:pStyle w:val="ListParagraph"/>
        <w:widowControl/>
        <w:numPr>
          <w:ilvl w:val="1"/>
          <w:numId w:val="1"/>
        </w:numPr>
        <w:spacing w:after="120"/>
        <w:ind w:left="709" w:hanging="709"/>
        <w:contextualSpacing w:val="0"/>
        <w:rPr>
          <w:rFonts w:asciiTheme="minorHAnsi" w:hAnsiTheme="minorHAnsi"/>
          <w:sz w:val="24"/>
          <w:szCs w:val="24"/>
        </w:rPr>
      </w:pPr>
      <w:r w:rsidRPr="00841412">
        <w:rPr>
          <w:rFonts w:asciiTheme="minorHAnsi" w:hAnsiTheme="minorHAnsi"/>
          <w:sz w:val="24"/>
          <w:szCs w:val="24"/>
        </w:rPr>
        <w:t xml:space="preserve">As </w:t>
      </w:r>
      <w:r w:rsidRPr="00AD6F59">
        <w:rPr>
          <w:rFonts w:asciiTheme="minorHAnsi" w:hAnsiTheme="minorHAnsi"/>
          <w:sz w:val="24"/>
          <w:szCs w:val="24"/>
        </w:rPr>
        <w:t>in its July 2017 consideration, t</w:t>
      </w:r>
      <w:r w:rsidR="003D3BE7" w:rsidRPr="00AD6F59">
        <w:rPr>
          <w:rFonts w:asciiTheme="minorHAnsi" w:hAnsiTheme="minorHAnsi"/>
          <w:sz w:val="24"/>
          <w:szCs w:val="24"/>
        </w:rPr>
        <w:t xml:space="preserve">he PBAC considered that the claim of </w:t>
      </w:r>
      <w:r w:rsidR="003D3BE7" w:rsidRPr="00D44B48">
        <w:rPr>
          <w:rFonts w:asciiTheme="minorHAnsi" w:hAnsiTheme="minorHAnsi"/>
          <w:sz w:val="24"/>
          <w:szCs w:val="24"/>
        </w:rPr>
        <w:t>non-inferior</w:t>
      </w:r>
      <w:r w:rsidR="003D3BE7" w:rsidRPr="00A55A56">
        <w:rPr>
          <w:rFonts w:asciiTheme="minorHAnsi" w:hAnsiTheme="minorHAnsi"/>
          <w:sz w:val="24"/>
          <w:szCs w:val="24"/>
        </w:rPr>
        <w:t xml:space="preserve"> comparative safety was not adequately supported by the data</w:t>
      </w:r>
      <w:r w:rsidRPr="00A55A56">
        <w:rPr>
          <w:rFonts w:asciiTheme="minorHAnsi" w:hAnsiTheme="minorHAnsi"/>
          <w:sz w:val="24"/>
          <w:szCs w:val="24"/>
        </w:rPr>
        <w:t xml:space="preserve"> for the reasons outlined in paragraph </w:t>
      </w:r>
      <w:r w:rsidRPr="001A6630">
        <w:rPr>
          <w:rFonts w:asciiTheme="minorHAnsi" w:hAnsiTheme="minorHAnsi"/>
          <w:sz w:val="24"/>
          <w:szCs w:val="24"/>
        </w:rPr>
        <w:t>6.45</w:t>
      </w:r>
      <w:r w:rsidR="003D3BE7" w:rsidRPr="00A55A56">
        <w:rPr>
          <w:rFonts w:asciiTheme="minorHAnsi" w:hAnsiTheme="minorHAnsi"/>
          <w:sz w:val="24"/>
          <w:szCs w:val="24"/>
        </w:rPr>
        <w:t>.</w:t>
      </w:r>
    </w:p>
    <w:p w:rsidR="005A3173" w:rsidRPr="00966D0D" w:rsidRDefault="005A3173" w:rsidP="003B1432">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206DD3" w:rsidRPr="007C02B9" w:rsidRDefault="00206DD3" w:rsidP="007C02B9">
      <w:pPr>
        <w:pStyle w:val="ListParagraph"/>
        <w:widowControl/>
        <w:numPr>
          <w:ilvl w:val="1"/>
          <w:numId w:val="3"/>
        </w:numPr>
        <w:spacing w:before="120" w:after="160"/>
        <w:contextualSpacing w:val="0"/>
        <w:rPr>
          <w:rFonts w:asciiTheme="minorHAnsi" w:hAnsiTheme="minorHAnsi"/>
          <w:sz w:val="24"/>
          <w:lang w:val="en-US"/>
        </w:rPr>
      </w:pPr>
      <w:bookmarkStart w:id="9" w:name="_Ref482265491"/>
      <w:r w:rsidRPr="007C02B9">
        <w:rPr>
          <w:rFonts w:asciiTheme="minorHAnsi" w:hAnsiTheme="minorHAnsi"/>
          <w:sz w:val="24"/>
          <w:lang w:val="en-US"/>
        </w:rPr>
        <w:t xml:space="preserve">The structure of the model was the same as the previous submissions (March 2016 November 2016 and July 2017) which presented a cost-utility analysis compared with BSC. </w:t>
      </w:r>
      <w:bookmarkEnd w:id="9"/>
    </w:p>
    <w:p w:rsidR="00206DD3" w:rsidRPr="007C02B9" w:rsidRDefault="00ED6E73"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In July 2017 the</w:t>
      </w:r>
      <w:r w:rsidR="00206DD3" w:rsidRPr="007C02B9">
        <w:rPr>
          <w:rFonts w:asciiTheme="minorHAnsi" w:hAnsiTheme="minorHAnsi"/>
          <w:sz w:val="24"/>
          <w:lang w:val="en-US"/>
        </w:rPr>
        <w:t xml:space="preserve"> PBAC considered that the claim </w:t>
      </w:r>
      <w:r w:rsidRPr="007C02B9">
        <w:rPr>
          <w:rFonts w:asciiTheme="minorHAnsi" w:hAnsiTheme="minorHAnsi"/>
          <w:sz w:val="24"/>
          <w:lang w:val="en-US"/>
        </w:rPr>
        <w:t xml:space="preserve">made at that time </w:t>
      </w:r>
      <w:r w:rsidR="00206DD3" w:rsidRPr="007C02B9">
        <w:rPr>
          <w:rFonts w:asciiTheme="minorHAnsi" w:hAnsiTheme="minorHAnsi"/>
          <w:sz w:val="24"/>
          <w:lang w:val="en-US"/>
        </w:rPr>
        <w:t xml:space="preserve">that </w:t>
      </w:r>
      <w:proofErr w:type="spellStart"/>
      <w:r w:rsidR="00206DD3" w:rsidRPr="007C02B9">
        <w:rPr>
          <w:rFonts w:asciiTheme="minorHAnsi" w:hAnsiTheme="minorHAnsi"/>
          <w:sz w:val="24"/>
          <w:lang w:val="en-US"/>
        </w:rPr>
        <w:t>lumacaftor</w:t>
      </w:r>
      <w:proofErr w:type="spellEnd"/>
      <w:r w:rsidR="00206DD3" w:rsidRPr="007C02B9">
        <w:rPr>
          <w:rFonts w:asciiTheme="minorHAnsi" w:hAnsiTheme="minorHAnsi"/>
          <w:sz w:val="24"/>
          <w:lang w:val="en-US"/>
        </w:rPr>
        <w:t>/</w:t>
      </w:r>
      <w:proofErr w:type="spellStart"/>
      <w:r w:rsidR="00206DD3" w:rsidRPr="007C02B9">
        <w:rPr>
          <w:rFonts w:asciiTheme="minorHAnsi" w:hAnsiTheme="minorHAnsi"/>
          <w:sz w:val="24"/>
          <w:lang w:val="en-US"/>
        </w:rPr>
        <w:t>ivacaftor</w:t>
      </w:r>
      <w:proofErr w:type="spellEnd"/>
      <w:r w:rsidR="00206DD3" w:rsidRPr="007C02B9">
        <w:rPr>
          <w:rFonts w:asciiTheme="minorHAnsi" w:hAnsiTheme="minorHAnsi"/>
          <w:sz w:val="24"/>
          <w:lang w:val="en-US"/>
        </w:rPr>
        <w:t xml:space="preserve"> slows the rate of decline in ppFEV1 beyond 24 weeks, compared with patients treated with BSC, was not </w:t>
      </w:r>
      <w:r w:rsidR="00846221" w:rsidRPr="007C02B9">
        <w:rPr>
          <w:rFonts w:asciiTheme="minorHAnsi" w:hAnsiTheme="minorHAnsi"/>
          <w:sz w:val="24"/>
          <w:lang w:val="en-US"/>
        </w:rPr>
        <w:t>adequately supported.</w:t>
      </w:r>
      <w:r w:rsidR="00206DD3" w:rsidRPr="007C02B9">
        <w:rPr>
          <w:rFonts w:asciiTheme="minorHAnsi" w:hAnsiTheme="minorHAnsi"/>
          <w:sz w:val="24"/>
          <w:lang w:val="en-US"/>
        </w:rPr>
        <w:t xml:space="preserve"> </w:t>
      </w:r>
      <w:r w:rsidR="00846221" w:rsidRPr="007C02B9">
        <w:rPr>
          <w:rFonts w:asciiTheme="minorHAnsi" w:hAnsiTheme="minorHAnsi"/>
          <w:sz w:val="24"/>
          <w:lang w:val="en-US"/>
        </w:rPr>
        <w:t>T</w:t>
      </w:r>
      <w:r w:rsidR="00206DD3" w:rsidRPr="007C02B9">
        <w:rPr>
          <w:rFonts w:asciiTheme="minorHAnsi" w:hAnsiTheme="minorHAnsi"/>
          <w:sz w:val="24"/>
          <w:lang w:val="en-US"/>
        </w:rPr>
        <w:t xml:space="preserve">he PBAC defined an alternative scenario which it considered informative for decision making. Specifically, the PBAC made the following changes to Base case in the </w:t>
      </w:r>
      <w:r w:rsidR="00846221" w:rsidRPr="007C02B9">
        <w:rPr>
          <w:rFonts w:asciiTheme="minorHAnsi" w:hAnsiTheme="minorHAnsi"/>
          <w:sz w:val="24"/>
          <w:lang w:val="en-US"/>
        </w:rPr>
        <w:t xml:space="preserve">July 2017 </w:t>
      </w:r>
      <w:r w:rsidR="00206DD3" w:rsidRPr="007C02B9">
        <w:rPr>
          <w:rFonts w:asciiTheme="minorHAnsi" w:hAnsiTheme="minorHAnsi"/>
          <w:sz w:val="24"/>
          <w:lang w:val="en-US"/>
        </w:rPr>
        <w:t>resubmission:</w:t>
      </w:r>
    </w:p>
    <w:p w:rsidR="00206DD3" w:rsidRPr="00206DD3" w:rsidRDefault="00206DD3" w:rsidP="0080519B">
      <w:pPr>
        <w:widowControl w:val="0"/>
        <w:numPr>
          <w:ilvl w:val="2"/>
          <w:numId w:val="5"/>
        </w:numPr>
        <w:spacing w:after="120"/>
        <w:ind w:left="1134" w:hanging="283"/>
        <w:jc w:val="both"/>
        <w:rPr>
          <w:rFonts w:asciiTheme="minorHAnsi" w:hAnsiTheme="minorHAnsi" w:cs="Arial"/>
          <w:snapToGrid w:val="0"/>
          <w:lang w:eastAsia="en-US"/>
        </w:rPr>
      </w:pPr>
      <w:r w:rsidRPr="00206DD3">
        <w:rPr>
          <w:rFonts w:asciiTheme="minorHAnsi" w:hAnsiTheme="minorHAnsi" w:cs="Arial"/>
          <w:snapToGrid w:val="0"/>
          <w:lang w:eastAsia="en-US"/>
        </w:rPr>
        <w:t>The estimated decline in ppFEV</w:t>
      </w:r>
      <w:r w:rsidRPr="00206DD3">
        <w:rPr>
          <w:rFonts w:asciiTheme="minorHAnsi" w:hAnsiTheme="minorHAnsi" w:cs="Arial"/>
          <w:snapToGrid w:val="0"/>
          <w:vertAlign w:val="subscript"/>
          <w:lang w:eastAsia="en-US"/>
        </w:rPr>
        <w:t>1</w:t>
      </w:r>
      <w:r w:rsidRPr="00206DD3">
        <w:rPr>
          <w:rFonts w:asciiTheme="minorHAnsi" w:hAnsiTheme="minorHAnsi" w:cs="Arial"/>
          <w:snapToGrid w:val="0"/>
          <w:lang w:eastAsia="en-US"/>
        </w:rPr>
        <w:t xml:space="preserve"> in </w:t>
      </w:r>
      <w:proofErr w:type="spellStart"/>
      <w:r w:rsidRPr="00206DD3">
        <w:rPr>
          <w:rFonts w:asciiTheme="minorHAnsi" w:hAnsiTheme="minorHAnsi" w:cs="Arial"/>
          <w:snapToGrid w:val="0"/>
          <w:lang w:eastAsia="en-US"/>
        </w:rPr>
        <w:t>lumacaftor</w:t>
      </w:r>
      <w:proofErr w:type="spellEnd"/>
      <w:r w:rsidRPr="00206DD3">
        <w:rPr>
          <w:rFonts w:asciiTheme="minorHAnsi" w:hAnsiTheme="minorHAnsi" w:cs="Arial"/>
          <w:snapToGrid w:val="0"/>
          <w:lang w:eastAsia="en-US"/>
        </w:rPr>
        <w:t>/</w:t>
      </w:r>
      <w:proofErr w:type="spellStart"/>
      <w:r w:rsidRPr="00206DD3">
        <w:rPr>
          <w:rFonts w:asciiTheme="minorHAnsi" w:hAnsiTheme="minorHAnsi" w:cs="Arial"/>
          <w:snapToGrid w:val="0"/>
          <w:lang w:eastAsia="en-US"/>
        </w:rPr>
        <w:t>ivacaftor</w:t>
      </w:r>
      <w:proofErr w:type="spellEnd"/>
      <w:r w:rsidRPr="00206DD3">
        <w:rPr>
          <w:rFonts w:asciiTheme="minorHAnsi" w:hAnsiTheme="minorHAnsi" w:cs="Arial"/>
          <w:snapToGrid w:val="0"/>
          <w:lang w:eastAsia="en-US"/>
        </w:rPr>
        <w:t xml:space="preserve"> treated patients was set </w:t>
      </w:r>
      <w:r w:rsidRPr="00206DD3">
        <w:rPr>
          <w:rFonts w:asciiTheme="minorHAnsi" w:hAnsiTheme="minorHAnsi" w:cs="Arial"/>
          <w:snapToGrid w:val="0"/>
          <w:lang w:eastAsia="en-US"/>
        </w:rPr>
        <w:lastRenderedPageBreak/>
        <w:t>to 100% of BSC after 24 weeks. The PBAC considered that this assumption was a more realistic interpretation of the available data than the submission’s assumption of no change in ppFEV</w:t>
      </w:r>
      <w:r w:rsidRPr="00206DD3">
        <w:rPr>
          <w:rFonts w:asciiTheme="minorHAnsi" w:hAnsiTheme="minorHAnsi" w:cs="Arial"/>
          <w:snapToGrid w:val="0"/>
          <w:vertAlign w:val="subscript"/>
          <w:lang w:eastAsia="en-US"/>
        </w:rPr>
        <w:t>1</w:t>
      </w:r>
      <w:r w:rsidRPr="00206DD3">
        <w:rPr>
          <w:rFonts w:asciiTheme="minorHAnsi" w:hAnsiTheme="minorHAnsi" w:cs="Arial"/>
          <w:snapToGrid w:val="0"/>
          <w:lang w:eastAsia="en-US"/>
        </w:rPr>
        <w:t xml:space="preserve"> for </w:t>
      </w:r>
      <w:proofErr w:type="spellStart"/>
      <w:r w:rsidRPr="00206DD3">
        <w:rPr>
          <w:rFonts w:asciiTheme="minorHAnsi" w:hAnsiTheme="minorHAnsi" w:cs="Arial"/>
          <w:snapToGrid w:val="0"/>
          <w:lang w:eastAsia="en-US"/>
        </w:rPr>
        <w:t>lumacaftor</w:t>
      </w:r>
      <w:proofErr w:type="spellEnd"/>
      <w:r w:rsidRPr="00206DD3">
        <w:rPr>
          <w:rFonts w:asciiTheme="minorHAnsi" w:hAnsiTheme="minorHAnsi" w:cs="Arial"/>
          <w:snapToGrid w:val="0"/>
          <w:lang w:eastAsia="en-US"/>
        </w:rPr>
        <w:t>/</w:t>
      </w:r>
      <w:proofErr w:type="spellStart"/>
      <w:r w:rsidRPr="00206DD3">
        <w:rPr>
          <w:rFonts w:asciiTheme="minorHAnsi" w:hAnsiTheme="minorHAnsi" w:cs="Arial"/>
          <w:snapToGrid w:val="0"/>
          <w:lang w:eastAsia="en-US"/>
        </w:rPr>
        <w:t>ivacaftor</w:t>
      </w:r>
      <w:proofErr w:type="spellEnd"/>
      <w:r w:rsidRPr="00206DD3">
        <w:rPr>
          <w:rFonts w:asciiTheme="minorHAnsi" w:hAnsiTheme="minorHAnsi" w:cs="Arial"/>
          <w:snapToGrid w:val="0"/>
          <w:lang w:eastAsia="en-US"/>
        </w:rPr>
        <w:t xml:space="preserve"> patients. Furthermore, the PBAC considered this assumption may still favour </w:t>
      </w:r>
      <w:proofErr w:type="spellStart"/>
      <w:r w:rsidRPr="00206DD3">
        <w:rPr>
          <w:rFonts w:asciiTheme="minorHAnsi" w:hAnsiTheme="minorHAnsi" w:cs="Arial"/>
          <w:snapToGrid w:val="0"/>
          <w:lang w:eastAsia="en-US"/>
        </w:rPr>
        <w:t>lumacaftor</w:t>
      </w:r>
      <w:proofErr w:type="spellEnd"/>
      <w:r w:rsidRPr="00206DD3">
        <w:rPr>
          <w:rFonts w:asciiTheme="minorHAnsi" w:hAnsiTheme="minorHAnsi" w:cs="Arial"/>
          <w:snapToGrid w:val="0"/>
          <w:lang w:eastAsia="en-US"/>
        </w:rPr>
        <w:t>/</w:t>
      </w:r>
      <w:proofErr w:type="spellStart"/>
      <w:r w:rsidRPr="00206DD3">
        <w:rPr>
          <w:rFonts w:asciiTheme="minorHAnsi" w:hAnsiTheme="minorHAnsi" w:cs="Arial"/>
          <w:snapToGrid w:val="0"/>
          <w:lang w:eastAsia="en-US"/>
        </w:rPr>
        <w:t>ivacaftor</w:t>
      </w:r>
      <w:proofErr w:type="spellEnd"/>
      <w:r w:rsidRPr="00206DD3">
        <w:rPr>
          <w:rFonts w:asciiTheme="minorHAnsi" w:hAnsiTheme="minorHAnsi" w:cs="Arial"/>
          <w:snapToGrid w:val="0"/>
          <w:lang w:eastAsia="en-US"/>
        </w:rPr>
        <w:t xml:space="preserve">, as </w:t>
      </w:r>
      <w:proofErr w:type="spellStart"/>
      <w:r w:rsidRPr="00206DD3">
        <w:rPr>
          <w:rFonts w:asciiTheme="minorHAnsi" w:hAnsiTheme="minorHAnsi" w:cs="Arial"/>
          <w:snapToGrid w:val="0"/>
          <w:lang w:eastAsia="en-US"/>
        </w:rPr>
        <w:t>lumacaftor</w:t>
      </w:r>
      <w:proofErr w:type="spellEnd"/>
      <w:r w:rsidRPr="00206DD3">
        <w:rPr>
          <w:rFonts w:asciiTheme="minorHAnsi" w:hAnsiTheme="minorHAnsi" w:cs="Arial"/>
          <w:snapToGrid w:val="0"/>
          <w:lang w:eastAsia="en-US"/>
        </w:rPr>
        <w:t>/</w:t>
      </w:r>
      <w:proofErr w:type="spellStart"/>
      <w:r w:rsidRPr="00206DD3">
        <w:rPr>
          <w:rFonts w:asciiTheme="minorHAnsi" w:hAnsiTheme="minorHAnsi" w:cs="Arial"/>
          <w:snapToGrid w:val="0"/>
          <w:lang w:eastAsia="en-US"/>
        </w:rPr>
        <w:t>ivacaftor</w:t>
      </w:r>
      <w:proofErr w:type="spellEnd"/>
      <w:r w:rsidRPr="00206DD3">
        <w:rPr>
          <w:rFonts w:asciiTheme="minorHAnsi" w:hAnsiTheme="minorHAnsi" w:cs="Arial"/>
          <w:snapToGrid w:val="0"/>
          <w:lang w:eastAsia="en-US"/>
        </w:rPr>
        <w:t xml:space="preserve"> treated patients would therefore always maintain the 2.8 percentage point difference in ppFEV</w:t>
      </w:r>
      <w:r w:rsidRPr="00206DD3">
        <w:rPr>
          <w:rFonts w:asciiTheme="minorHAnsi" w:hAnsiTheme="minorHAnsi" w:cs="Arial"/>
          <w:snapToGrid w:val="0"/>
          <w:vertAlign w:val="subscript"/>
          <w:lang w:eastAsia="en-US"/>
        </w:rPr>
        <w:t>1</w:t>
      </w:r>
      <w:r w:rsidRPr="00206DD3">
        <w:rPr>
          <w:rFonts w:asciiTheme="minorHAnsi" w:hAnsiTheme="minorHAnsi" w:cs="Arial"/>
          <w:snapToGrid w:val="0"/>
          <w:lang w:eastAsia="en-US"/>
        </w:rPr>
        <w:t>, compared with BSC patients; the PBAC considered that the difference in ppFEV</w:t>
      </w:r>
      <w:r w:rsidRPr="00206DD3">
        <w:rPr>
          <w:rFonts w:asciiTheme="minorHAnsi" w:hAnsiTheme="minorHAnsi" w:cs="Arial"/>
          <w:snapToGrid w:val="0"/>
          <w:vertAlign w:val="subscript"/>
          <w:lang w:eastAsia="en-US"/>
        </w:rPr>
        <w:t>1</w:t>
      </w:r>
      <w:r w:rsidRPr="00206DD3">
        <w:rPr>
          <w:rFonts w:asciiTheme="minorHAnsi" w:hAnsiTheme="minorHAnsi" w:cs="Arial"/>
          <w:snapToGrid w:val="0"/>
          <w:lang w:eastAsia="en-US"/>
        </w:rPr>
        <w:t xml:space="preserve"> may in fact reduce over the long-term. </w:t>
      </w:r>
    </w:p>
    <w:p w:rsidR="00846221" w:rsidRDefault="00206DD3" w:rsidP="0080519B">
      <w:pPr>
        <w:widowControl w:val="0"/>
        <w:numPr>
          <w:ilvl w:val="2"/>
          <w:numId w:val="5"/>
        </w:numPr>
        <w:spacing w:after="120"/>
        <w:ind w:left="1134" w:hanging="283"/>
        <w:jc w:val="both"/>
        <w:rPr>
          <w:rFonts w:asciiTheme="minorHAnsi" w:hAnsiTheme="minorHAnsi" w:cs="Arial"/>
          <w:snapToGrid w:val="0"/>
          <w:lang w:eastAsia="en-US"/>
        </w:rPr>
      </w:pPr>
      <w:r w:rsidRPr="00206DD3">
        <w:rPr>
          <w:rFonts w:asciiTheme="minorHAnsi" w:hAnsiTheme="minorHAnsi" w:cs="Arial"/>
          <w:snapToGrid w:val="0"/>
          <w:lang w:eastAsia="en-US"/>
        </w:rPr>
        <w:t xml:space="preserve">Assuming 75% of hospitalisations are due to PEs </w:t>
      </w:r>
    </w:p>
    <w:p w:rsidR="00206DD3" w:rsidRPr="00206DD3" w:rsidRDefault="00206DD3" w:rsidP="0080519B">
      <w:pPr>
        <w:widowControl w:val="0"/>
        <w:numPr>
          <w:ilvl w:val="2"/>
          <w:numId w:val="5"/>
        </w:numPr>
        <w:spacing w:after="120"/>
        <w:ind w:left="1134" w:hanging="283"/>
        <w:jc w:val="both"/>
        <w:rPr>
          <w:rFonts w:asciiTheme="minorHAnsi" w:hAnsiTheme="minorHAnsi" w:cs="Arial"/>
          <w:snapToGrid w:val="0"/>
          <w:lang w:eastAsia="en-US"/>
        </w:rPr>
      </w:pPr>
      <w:r w:rsidRPr="00206DD3">
        <w:rPr>
          <w:rFonts w:asciiTheme="minorHAnsi" w:hAnsiTheme="minorHAnsi" w:cs="Arial"/>
          <w:snapToGrid w:val="0"/>
          <w:lang w:eastAsia="en-US"/>
        </w:rPr>
        <w:t xml:space="preserve">Removal of the F1 5% statutory price reduction and the </w:t>
      </w:r>
      <w:r w:rsidRPr="003738E7">
        <w:rPr>
          <w:rFonts w:asciiTheme="minorHAnsi" w:hAnsiTheme="minorHAnsi" w:cs="Arial"/>
          <w:snapToGrid w:val="0"/>
          <w:lang w:eastAsia="en-US"/>
        </w:rPr>
        <w:t xml:space="preserve">assumed </w:t>
      </w:r>
      <w:r w:rsidR="004978B4">
        <w:rPr>
          <w:rFonts w:asciiTheme="minorHAnsi" w:hAnsiTheme="minorHAnsi" w:cs="Arial"/>
          <w:noProof/>
          <w:snapToGrid w:val="0"/>
          <w:color w:val="000000"/>
          <w:highlight w:val="black"/>
          <w:lang w:eastAsia="en-US"/>
        </w:rPr>
        <w:t>'''''</w:t>
      </w:r>
      <w:r w:rsidRPr="00206DD3">
        <w:rPr>
          <w:rFonts w:asciiTheme="minorHAnsi" w:hAnsiTheme="minorHAnsi" w:cs="Arial"/>
          <w:snapToGrid w:val="0"/>
          <w:lang w:eastAsia="en-US"/>
        </w:rPr>
        <w:t xml:space="preserve">% generic price reduction, in line with the PBAC Guidelines V5.0 (p82) which states that submissions should value future costs at current prices. The PBAC also noted that as </w:t>
      </w:r>
      <w:proofErr w:type="spellStart"/>
      <w:r w:rsidRPr="00206DD3">
        <w:rPr>
          <w:rFonts w:asciiTheme="minorHAnsi" w:hAnsiTheme="minorHAnsi" w:cs="Arial"/>
          <w:snapToGrid w:val="0"/>
          <w:lang w:eastAsia="en-US"/>
        </w:rPr>
        <w:t>lumacaftor</w:t>
      </w:r>
      <w:proofErr w:type="spellEnd"/>
      <w:r w:rsidRPr="00206DD3">
        <w:rPr>
          <w:rFonts w:asciiTheme="minorHAnsi" w:hAnsiTheme="minorHAnsi" w:cs="Arial"/>
          <w:snapToGrid w:val="0"/>
          <w:lang w:eastAsia="en-US"/>
        </w:rPr>
        <w:t>/</w:t>
      </w:r>
      <w:proofErr w:type="spellStart"/>
      <w:r w:rsidRPr="00206DD3">
        <w:rPr>
          <w:rFonts w:asciiTheme="minorHAnsi" w:hAnsiTheme="minorHAnsi" w:cs="Arial"/>
          <w:snapToGrid w:val="0"/>
          <w:lang w:eastAsia="en-US"/>
        </w:rPr>
        <w:t>ivacaftor</w:t>
      </w:r>
      <w:proofErr w:type="spellEnd"/>
      <w:r w:rsidRPr="00206DD3">
        <w:rPr>
          <w:rFonts w:asciiTheme="minorHAnsi" w:hAnsiTheme="minorHAnsi" w:cs="Arial"/>
          <w:snapToGrid w:val="0"/>
          <w:lang w:eastAsia="en-US"/>
        </w:rPr>
        <w:t xml:space="preserve"> is likely to be replaced with </w:t>
      </w:r>
      <w:proofErr w:type="spellStart"/>
      <w:r w:rsidRPr="00206DD3">
        <w:rPr>
          <w:rFonts w:asciiTheme="minorHAnsi" w:hAnsiTheme="minorHAnsi" w:cs="Arial"/>
          <w:snapToGrid w:val="0"/>
          <w:lang w:eastAsia="en-US"/>
        </w:rPr>
        <w:t>tezacaftor</w:t>
      </w:r>
      <w:proofErr w:type="spellEnd"/>
      <w:r w:rsidRPr="00206DD3">
        <w:rPr>
          <w:rFonts w:asciiTheme="minorHAnsi" w:hAnsiTheme="minorHAnsi" w:cs="Arial"/>
          <w:snapToGrid w:val="0"/>
          <w:lang w:eastAsia="en-US"/>
        </w:rPr>
        <w:t>/</w:t>
      </w:r>
      <w:proofErr w:type="spellStart"/>
      <w:r w:rsidRPr="00206DD3">
        <w:rPr>
          <w:rFonts w:asciiTheme="minorHAnsi" w:hAnsiTheme="minorHAnsi" w:cs="Arial"/>
          <w:snapToGrid w:val="0"/>
          <w:lang w:eastAsia="en-US"/>
        </w:rPr>
        <w:t>ivacaftor</w:t>
      </w:r>
      <w:proofErr w:type="spellEnd"/>
      <w:r w:rsidRPr="00206DD3">
        <w:rPr>
          <w:rFonts w:asciiTheme="minorHAnsi" w:hAnsiTheme="minorHAnsi" w:cs="Arial"/>
          <w:snapToGrid w:val="0"/>
          <w:lang w:eastAsia="en-US"/>
        </w:rPr>
        <w:t xml:space="preserve"> and triple therapy with the “next generation correctors” over the next several years, it is unlikely that </w:t>
      </w:r>
      <w:proofErr w:type="spellStart"/>
      <w:r w:rsidRPr="00206DD3">
        <w:rPr>
          <w:rFonts w:asciiTheme="minorHAnsi" w:hAnsiTheme="minorHAnsi" w:cs="Arial"/>
          <w:snapToGrid w:val="0"/>
          <w:lang w:eastAsia="en-US"/>
        </w:rPr>
        <w:t>lumacaftor</w:t>
      </w:r>
      <w:proofErr w:type="spellEnd"/>
      <w:r w:rsidRPr="00206DD3">
        <w:rPr>
          <w:rFonts w:asciiTheme="minorHAnsi" w:hAnsiTheme="minorHAnsi" w:cs="Arial"/>
          <w:snapToGrid w:val="0"/>
          <w:lang w:eastAsia="en-US"/>
        </w:rPr>
        <w:t>/</w:t>
      </w:r>
      <w:proofErr w:type="spellStart"/>
      <w:r w:rsidRPr="00206DD3">
        <w:rPr>
          <w:rFonts w:asciiTheme="minorHAnsi" w:hAnsiTheme="minorHAnsi" w:cs="Arial"/>
          <w:snapToGrid w:val="0"/>
          <w:lang w:eastAsia="en-US"/>
        </w:rPr>
        <w:t>ivacaftor</w:t>
      </w:r>
      <w:proofErr w:type="spellEnd"/>
      <w:r w:rsidRPr="00206DD3">
        <w:rPr>
          <w:rFonts w:asciiTheme="minorHAnsi" w:hAnsiTheme="minorHAnsi" w:cs="Arial"/>
          <w:snapToGrid w:val="0"/>
          <w:lang w:eastAsia="en-US"/>
        </w:rPr>
        <w:t xml:space="preserve"> will be in use at the time that the submission assumed the price will reduce by </w:t>
      </w:r>
      <w:r w:rsidR="004978B4">
        <w:rPr>
          <w:rFonts w:asciiTheme="minorHAnsi" w:hAnsiTheme="minorHAnsi" w:cs="Arial"/>
          <w:noProof/>
          <w:snapToGrid w:val="0"/>
          <w:color w:val="000000"/>
          <w:highlight w:val="black"/>
          <w:lang w:eastAsia="en-US"/>
        </w:rPr>
        <w:t>'''''</w:t>
      </w:r>
      <w:r w:rsidRPr="00206DD3">
        <w:rPr>
          <w:rFonts w:asciiTheme="minorHAnsi" w:hAnsiTheme="minorHAnsi" w:cs="Arial"/>
          <w:snapToGrid w:val="0"/>
          <w:lang w:eastAsia="en-US"/>
        </w:rPr>
        <w:t>%.</w:t>
      </w:r>
    </w:p>
    <w:p w:rsidR="00206DD3" w:rsidRPr="007C02B9" w:rsidRDefault="00206DD3"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The PBAC’s scenario resulted in an ICER of around</w:t>
      </w:r>
      <w:r w:rsidR="00F77361">
        <w:rPr>
          <w:rFonts w:asciiTheme="minorHAnsi" w:hAnsiTheme="minorHAnsi"/>
          <w:sz w:val="24"/>
          <w:lang w:val="en-US"/>
        </w:rPr>
        <w:t xml:space="preserve"> more than</w:t>
      </w:r>
      <w:r w:rsidRPr="007C02B9">
        <w:rPr>
          <w:rFonts w:asciiTheme="minorHAnsi" w:hAnsiTheme="minorHAnsi"/>
          <w:sz w:val="24"/>
          <w:lang w:val="en-US"/>
        </w:rPr>
        <w:t xml:space="preserve"> $</w:t>
      </w:r>
      <w:r w:rsidR="00F77361">
        <w:rPr>
          <w:rFonts w:asciiTheme="minorHAnsi" w:hAnsiTheme="minorHAnsi"/>
          <w:sz w:val="24"/>
          <w:lang w:val="en-US"/>
        </w:rPr>
        <w:t>200,000</w:t>
      </w:r>
      <w:r w:rsidRPr="007C02B9">
        <w:rPr>
          <w:rFonts w:asciiTheme="minorHAnsi" w:hAnsiTheme="minorHAnsi"/>
          <w:sz w:val="24"/>
          <w:lang w:val="en-US"/>
        </w:rPr>
        <w:t xml:space="preserve"> per QALY gained (presented in Table </w:t>
      </w:r>
      <w:r w:rsidR="00841412">
        <w:rPr>
          <w:rFonts w:asciiTheme="minorHAnsi" w:hAnsiTheme="minorHAnsi"/>
          <w:sz w:val="24"/>
          <w:lang w:val="en-US"/>
        </w:rPr>
        <w:t>8</w:t>
      </w:r>
      <w:r w:rsidR="00933BF6" w:rsidRPr="007C02B9">
        <w:rPr>
          <w:rFonts w:asciiTheme="minorHAnsi" w:hAnsiTheme="minorHAnsi"/>
          <w:sz w:val="24"/>
          <w:lang w:val="en-US"/>
        </w:rPr>
        <w:t xml:space="preserve"> </w:t>
      </w:r>
      <w:r w:rsidRPr="007C02B9">
        <w:rPr>
          <w:rFonts w:asciiTheme="minorHAnsi" w:hAnsiTheme="minorHAnsi"/>
          <w:sz w:val="24"/>
          <w:lang w:val="en-US"/>
        </w:rPr>
        <w:t xml:space="preserve">with </w:t>
      </w:r>
      <w:r w:rsidR="00846221" w:rsidRPr="007C02B9">
        <w:rPr>
          <w:rFonts w:asciiTheme="minorHAnsi" w:hAnsiTheme="minorHAnsi"/>
          <w:sz w:val="24"/>
          <w:lang w:val="en-US"/>
        </w:rPr>
        <w:t>July 2017 b</w:t>
      </w:r>
      <w:r w:rsidRPr="007C02B9">
        <w:rPr>
          <w:rFonts w:asciiTheme="minorHAnsi" w:hAnsiTheme="minorHAnsi"/>
          <w:sz w:val="24"/>
          <w:lang w:val="en-US"/>
        </w:rPr>
        <w:t>ase case 1 for comparison).</w:t>
      </w:r>
    </w:p>
    <w:p w:rsidR="00206DD3" w:rsidRPr="00206DD3" w:rsidRDefault="00206DD3" w:rsidP="00206DD3">
      <w:pPr>
        <w:keepNext/>
        <w:rPr>
          <w:rFonts w:ascii="Arial Narrow" w:hAnsi="Arial Narrow" w:cs="Arial"/>
          <w:b/>
          <w:snapToGrid w:val="0"/>
          <w:sz w:val="20"/>
          <w:szCs w:val="20"/>
          <w:lang w:eastAsia="en-GB"/>
        </w:rPr>
      </w:pPr>
      <w:r w:rsidRPr="00206DD3">
        <w:rPr>
          <w:rFonts w:ascii="Arial Narrow" w:hAnsi="Arial Narrow" w:cs="Arial"/>
          <w:b/>
          <w:snapToGrid w:val="0"/>
          <w:sz w:val="20"/>
          <w:szCs w:val="20"/>
          <w:lang w:eastAsia="en-GB"/>
        </w:rPr>
        <w:t xml:space="preserve">Table </w:t>
      </w:r>
      <w:r w:rsidR="00841412">
        <w:rPr>
          <w:rFonts w:ascii="Arial Narrow" w:hAnsi="Arial Narrow" w:cs="Arial"/>
          <w:b/>
          <w:snapToGrid w:val="0"/>
          <w:sz w:val="20"/>
          <w:szCs w:val="20"/>
          <w:lang w:eastAsia="en-GB"/>
        </w:rPr>
        <w:t>8</w:t>
      </w:r>
      <w:r w:rsidRPr="00206DD3">
        <w:rPr>
          <w:rFonts w:ascii="Arial Narrow" w:hAnsi="Arial Narrow" w:cs="Arial"/>
          <w:b/>
          <w:snapToGrid w:val="0"/>
          <w:sz w:val="20"/>
          <w:szCs w:val="20"/>
          <w:lang w:eastAsia="en-GB"/>
        </w:rPr>
        <w:t>: Results of scenario analysis conducted by PBAC</w:t>
      </w:r>
      <w:r w:rsidR="00846221">
        <w:rPr>
          <w:rFonts w:ascii="Arial Narrow" w:hAnsi="Arial Narrow" w:cs="Arial"/>
          <w:b/>
          <w:snapToGrid w:val="0"/>
          <w:sz w:val="20"/>
          <w:szCs w:val="20"/>
          <w:lang w:eastAsia="en-GB"/>
        </w:rPr>
        <w:t xml:space="preserve"> in July 2017</w:t>
      </w:r>
    </w:p>
    <w:tbl>
      <w:tblPr>
        <w:tblStyle w:val="OPTUMTableNormal"/>
        <w:tblW w:w="4942" w:type="pct"/>
        <w:tblInd w:w="108" w:type="dxa"/>
        <w:tblLook w:val="04A0" w:firstRow="1" w:lastRow="0" w:firstColumn="1" w:lastColumn="0" w:noHBand="0" w:noVBand="1"/>
        <w:tblCaption w:val="Table 8: Results of scenario analysis conducted by PBAC in July 2017"/>
      </w:tblPr>
      <w:tblGrid>
        <w:gridCol w:w="3545"/>
        <w:gridCol w:w="1398"/>
        <w:gridCol w:w="1398"/>
        <w:gridCol w:w="1398"/>
        <w:gridCol w:w="1396"/>
      </w:tblGrid>
      <w:tr w:rsidR="00206DD3" w:rsidRPr="00206DD3" w:rsidTr="007C02B9">
        <w:trPr>
          <w:cnfStyle w:val="100000000000" w:firstRow="1" w:lastRow="0" w:firstColumn="0" w:lastColumn="0" w:oddVBand="0" w:evenVBand="0" w:oddHBand="0" w:evenHBand="0" w:firstRowFirstColumn="0" w:firstRowLastColumn="0" w:lastRowFirstColumn="0" w:lastRowLastColumn="0"/>
          <w:tblHeader/>
        </w:trPr>
        <w:tc>
          <w:tcPr>
            <w:tcW w:w="1941" w:type="pct"/>
            <w:shd w:val="clear" w:color="auto" w:fill="auto"/>
            <w:vAlign w:val="center"/>
          </w:tcPr>
          <w:p w:rsidR="00206DD3" w:rsidRPr="00206DD3" w:rsidRDefault="00206DD3" w:rsidP="00206DD3">
            <w:pPr>
              <w:keepNext/>
              <w:spacing w:after="40"/>
              <w:rPr>
                <w:rFonts w:ascii="Arial Narrow" w:eastAsiaTheme="minorHAnsi" w:hAnsi="Arial Narrow" w:cs="Arial"/>
                <w:b/>
                <w:sz w:val="20"/>
                <w:szCs w:val="20"/>
                <w:lang w:eastAsia="en-US"/>
              </w:rPr>
            </w:pPr>
            <w:r w:rsidRPr="00206DD3">
              <w:rPr>
                <w:rFonts w:ascii="Arial Narrow" w:eastAsiaTheme="minorHAnsi" w:hAnsi="Arial Narrow" w:cs="Arial"/>
                <w:b/>
                <w:sz w:val="20"/>
                <w:szCs w:val="20"/>
                <w:lang w:eastAsia="en-US"/>
              </w:rPr>
              <w:t>Scenario</w:t>
            </w:r>
          </w:p>
        </w:tc>
        <w:tc>
          <w:tcPr>
            <w:tcW w:w="765" w:type="pct"/>
            <w:shd w:val="clear" w:color="auto" w:fill="auto"/>
            <w:vAlign w:val="center"/>
          </w:tcPr>
          <w:p w:rsidR="00206DD3" w:rsidRPr="00206DD3" w:rsidRDefault="00206DD3" w:rsidP="00206DD3">
            <w:pPr>
              <w:keepNext/>
              <w:spacing w:after="40"/>
              <w:ind w:left="-95" w:right="-105"/>
              <w:jc w:val="center"/>
              <w:rPr>
                <w:rFonts w:ascii="Arial Narrow" w:eastAsiaTheme="minorHAnsi" w:hAnsi="Arial Narrow" w:cs="Arial"/>
                <w:b/>
                <w:sz w:val="20"/>
                <w:szCs w:val="20"/>
                <w:lang w:eastAsia="en-US"/>
              </w:rPr>
            </w:pPr>
            <w:r w:rsidRPr="00206DD3">
              <w:rPr>
                <w:rFonts w:ascii="Arial Narrow" w:eastAsiaTheme="minorHAnsi" w:hAnsi="Arial Narrow" w:cs="Arial"/>
                <w:b/>
                <w:sz w:val="20"/>
                <w:szCs w:val="20"/>
                <w:lang w:eastAsia="en-US"/>
              </w:rPr>
              <w:t>Inc. cost ($)</w:t>
            </w:r>
          </w:p>
        </w:tc>
        <w:tc>
          <w:tcPr>
            <w:tcW w:w="765" w:type="pct"/>
            <w:vAlign w:val="center"/>
          </w:tcPr>
          <w:p w:rsidR="00206DD3" w:rsidRPr="00206DD3" w:rsidRDefault="00206DD3" w:rsidP="00206DD3">
            <w:pPr>
              <w:keepNext/>
              <w:spacing w:after="40"/>
              <w:ind w:left="-95" w:right="-105"/>
              <w:jc w:val="center"/>
              <w:rPr>
                <w:rFonts w:ascii="Arial Narrow" w:eastAsiaTheme="minorHAnsi" w:hAnsi="Arial Narrow" w:cs="Arial"/>
                <w:b/>
                <w:sz w:val="20"/>
                <w:szCs w:val="20"/>
                <w:lang w:eastAsia="en-US"/>
              </w:rPr>
            </w:pPr>
            <w:r w:rsidRPr="00206DD3">
              <w:rPr>
                <w:rFonts w:ascii="Arial Narrow" w:eastAsiaTheme="minorHAnsi" w:hAnsi="Arial Narrow" w:cs="Arial"/>
                <w:b/>
                <w:sz w:val="20"/>
                <w:szCs w:val="20"/>
                <w:lang w:eastAsia="en-US"/>
              </w:rPr>
              <w:t>Inc. effect (LYs)</w:t>
            </w:r>
          </w:p>
        </w:tc>
        <w:tc>
          <w:tcPr>
            <w:tcW w:w="765" w:type="pct"/>
            <w:shd w:val="clear" w:color="auto" w:fill="auto"/>
            <w:vAlign w:val="center"/>
          </w:tcPr>
          <w:p w:rsidR="00206DD3" w:rsidRPr="00206DD3" w:rsidRDefault="00206DD3" w:rsidP="00206DD3">
            <w:pPr>
              <w:keepNext/>
              <w:spacing w:after="40"/>
              <w:ind w:left="-95" w:right="-105"/>
              <w:jc w:val="center"/>
              <w:rPr>
                <w:rFonts w:ascii="Arial Narrow" w:eastAsiaTheme="minorHAnsi" w:hAnsi="Arial Narrow" w:cs="Arial"/>
                <w:b/>
                <w:sz w:val="20"/>
                <w:szCs w:val="20"/>
                <w:lang w:eastAsia="en-US"/>
              </w:rPr>
            </w:pPr>
            <w:r w:rsidRPr="00206DD3">
              <w:rPr>
                <w:rFonts w:ascii="Arial Narrow" w:eastAsiaTheme="minorHAnsi" w:hAnsi="Arial Narrow" w:cs="Arial"/>
                <w:b/>
                <w:sz w:val="20"/>
                <w:szCs w:val="20"/>
                <w:lang w:eastAsia="en-US"/>
              </w:rPr>
              <w:t>Inc. effect (QALYs)</w:t>
            </w:r>
          </w:p>
        </w:tc>
        <w:tc>
          <w:tcPr>
            <w:tcW w:w="765" w:type="pct"/>
            <w:shd w:val="clear" w:color="auto" w:fill="auto"/>
            <w:vAlign w:val="center"/>
          </w:tcPr>
          <w:p w:rsidR="00206DD3" w:rsidRPr="00206DD3" w:rsidRDefault="00206DD3" w:rsidP="00206DD3">
            <w:pPr>
              <w:keepNext/>
              <w:spacing w:after="40"/>
              <w:ind w:left="-95" w:right="-105"/>
              <w:jc w:val="center"/>
              <w:rPr>
                <w:rFonts w:ascii="Arial Narrow" w:eastAsiaTheme="minorHAnsi" w:hAnsi="Arial Narrow" w:cs="Arial"/>
                <w:b/>
                <w:sz w:val="20"/>
                <w:szCs w:val="20"/>
                <w:lang w:eastAsia="en-US"/>
              </w:rPr>
            </w:pPr>
            <w:r w:rsidRPr="00206DD3">
              <w:rPr>
                <w:rFonts w:ascii="Arial Narrow" w:eastAsiaTheme="minorHAnsi" w:hAnsi="Arial Narrow" w:cs="Arial"/>
                <w:b/>
                <w:sz w:val="20"/>
                <w:szCs w:val="20"/>
                <w:lang w:eastAsia="en-US"/>
              </w:rPr>
              <w:t>ICER ($/QALY gained)</w:t>
            </w:r>
          </w:p>
        </w:tc>
      </w:tr>
      <w:tr w:rsidR="00206DD3" w:rsidRPr="00206DD3" w:rsidTr="007C02B9">
        <w:tc>
          <w:tcPr>
            <w:tcW w:w="1941" w:type="pct"/>
            <w:vAlign w:val="center"/>
          </w:tcPr>
          <w:p w:rsidR="00206DD3" w:rsidRPr="00206DD3" w:rsidRDefault="0006001E" w:rsidP="0006001E">
            <w:pPr>
              <w:keepNext/>
              <w:spacing w:after="40"/>
              <w:rPr>
                <w:rFonts w:ascii="Arial Narrow" w:eastAsiaTheme="minorHAnsi" w:hAnsi="Arial Narrow" w:cs="Arial"/>
                <w:sz w:val="20"/>
                <w:szCs w:val="20"/>
                <w:lang w:eastAsia="en-US"/>
              </w:rPr>
            </w:pPr>
            <w:r>
              <w:rPr>
                <w:rFonts w:ascii="Arial Narrow" w:eastAsiaTheme="minorHAnsi" w:hAnsi="Arial Narrow" w:cs="Arial"/>
                <w:sz w:val="20"/>
                <w:szCs w:val="20"/>
                <w:lang w:eastAsia="en-US"/>
              </w:rPr>
              <w:t>July 2017</w:t>
            </w:r>
            <w:r w:rsidR="00206DD3" w:rsidRPr="00206DD3">
              <w:rPr>
                <w:rFonts w:ascii="Arial Narrow" w:eastAsiaTheme="minorHAnsi" w:hAnsi="Arial Narrow" w:cs="Arial"/>
                <w:sz w:val="20"/>
                <w:szCs w:val="20"/>
                <w:lang w:eastAsia="en-US"/>
              </w:rPr>
              <w:t xml:space="preserve"> resubmission, base case 1</w:t>
            </w:r>
          </w:p>
        </w:tc>
        <w:tc>
          <w:tcPr>
            <w:tcW w:w="765" w:type="pct"/>
            <w:vAlign w:val="center"/>
          </w:tcPr>
          <w:p w:rsidR="00206DD3" w:rsidRPr="00206DD3" w:rsidRDefault="00206DD3" w:rsidP="00206DD3">
            <w:pPr>
              <w:keepNext/>
              <w:spacing w:after="40"/>
              <w:jc w:val="right"/>
              <w:rPr>
                <w:rFonts w:ascii="Arial Narrow" w:eastAsiaTheme="minorHAnsi" w:hAnsi="Arial Narrow" w:cs="Arial"/>
                <w:sz w:val="20"/>
                <w:szCs w:val="20"/>
                <w:lang w:eastAsia="en-US"/>
              </w:rPr>
            </w:pPr>
            <w:r w:rsidRPr="00206DD3">
              <w:rPr>
                <w:rFonts w:ascii="Arial Narrow" w:eastAsiaTheme="minorHAnsi" w:hAnsi="Arial Narrow" w:cstheme="minorBidi"/>
                <w:sz w:val="20"/>
                <w:szCs w:val="22"/>
                <w:lang w:eastAsia="en-US"/>
              </w:rPr>
              <w:t>$</w:t>
            </w:r>
            <w:r w:rsidR="004978B4">
              <w:rPr>
                <w:rFonts w:ascii="Arial Narrow" w:eastAsiaTheme="minorHAnsi" w:hAnsi="Arial Narrow" w:cstheme="minorBidi"/>
                <w:noProof/>
                <w:color w:val="000000"/>
                <w:sz w:val="20"/>
                <w:szCs w:val="22"/>
                <w:highlight w:val="black"/>
                <w:lang w:eastAsia="en-US"/>
              </w:rPr>
              <w:t>'''''''''''''''''</w:t>
            </w:r>
          </w:p>
        </w:tc>
        <w:tc>
          <w:tcPr>
            <w:tcW w:w="765" w:type="pct"/>
          </w:tcPr>
          <w:p w:rsidR="00206DD3" w:rsidRPr="00206DD3" w:rsidRDefault="00206DD3" w:rsidP="00206DD3">
            <w:pPr>
              <w:keepNext/>
              <w:spacing w:after="40"/>
              <w:jc w:val="right"/>
              <w:rPr>
                <w:rFonts w:ascii="Arial Narrow" w:eastAsiaTheme="minorHAnsi" w:hAnsi="Arial Narrow" w:cstheme="minorBidi"/>
                <w:sz w:val="20"/>
                <w:szCs w:val="22"/>
                <w:lang w:eastAsia="en-US"/>
              </w:rPr>
            </w:pPr>
            <w:r w:rsidRPr="00206DD3">
              <w:rPr>
                <w:rFonts w:ascii="Arial Narrow" w:eastAsiaTheme="minorHAnsi" w:hAnsi="Arial Narrow" w:cstheme="minorBidi"/>
                <w:sz w:val="20"/>
                <w:szCs w:val="22"/>
                <w:lang w:eastAsia="en-US"/>
              </w:rPr>
              <w:t>4.640</w:t>
            </w:r>
          </w:p>
        </w:tc>
        <w:tc>
          <w:tcPr>
            <w:tcW w:w="765" w:type="pct"/>
            <w:vAlign w:val="center"/>
          </w:tcPr>
          <w:p w:rsidR="00206DD3" w:rsidRPr="00206DD3" w:rsidRDefault="00206DD3" w:rsidP="00206DD3">
            <w:pPr>
              <w:keepNext/>
              <w:spacing w:after="40"/>
              <w:jc w:val="right"/>
              <w:rPr>
                <w:rFonts w:ascii="Arial Narrow" w:eastAsiaTheme="minorHAnsi" w:hAnsi="Arial Narrow" w:cs="Arial"/>
                <w:sz w:val="20"/>
                <w:szCs w:val="20"/>
                <w:lang w:eastAsia="en-US"/>
              </w:rPr>
            </w:pPr>
            <w:r w:rsidRPr="00206DD3">
              <w:rPr>
                <w:rFonts w:ascii="Arial Narrow" w:eastAsiaTheme="minorHAnsi" w:hAnsi="Arial Narrow" w:cstheme="minorBidi"/>
                <w:sz w:val="20"/>
                <w:szCs w:val="22"/>
                <w:lang w:eastAsia="en-US"/>
              </w:rPr>
              <w:t>4.659</w:t>
            </w:r>
          </w:p>
        </w:tc>
        <w:tc>
          <w:tcPr>
            <w:tcW w:w="765" w:type="pct"/>
            <w:vAlign w:val="center"/>
          </w:tcPr>
          <w:p w:rsidR="00206DD3" w:rsidRPr="00206DD3" w:rsidRDefault="00206DD3" w:rsidP="00206DD3">
            <w:pPr>
              <w:keepNext/>
              <w:spacing w:after="40"/>
              <w:jc w:val="right"/>
              <w:rPr>
                <w:rFonts w:ascii="Arial Narrow" w:eastAsiaTheme="minorHAnsi" w:hAnsi="Arial Narrow" w:cs="Arial"/>
                <w:sz w:val="20"/>
                <w:szCs w:val="20"/>
                <w:lang w:eastAsia="en-US"/>
              </w:rPr>
            </w:pPr>
            <w:r w:rsidRPr="00206DD3">
              <w:rPr>
                <w:rFonts w:ascii="Arial Narrow" w:eastAsiaTheme="minorHAnsi" w:hAnsi="Arial Narrow" w:cstheme="minorBidi"/>
                <w:sz w:val="20"/>
                <w:szCs w:val="22"/>
                <w:lang w:eastAsia="en-US"/>
              </w:rPr>
              <w:t>$</w:t>
            </w:r>
            <w:r w:rsidR="004978B4">
              <w:rPr>
                <w:rFonts w:ascii="Arial Narrow" w:eastAsiaTheme="minorHAnsi" w:hAnsi="Arial Narrow" w:cstheme="minorBidi"/>
                <w:noProof/>
                <w:color w:val="000000"/>
                <w:sz w:val="20"/>
                <w:szCs w:val="22"/>
                <w:highlight w:val="black"/>
                <w:lang w:eastAsia="en-US"/>
              </w:rPr>
              <w:t>''''''''''''''''''''</w:t>
            </w:r>
          </w:p>
        </w:tc>
      </w:tr>
      <w:tr w:rsidR="00206DD3" w:rsidRPr="00206DD3" w:rsidTr="007C02B9">
        <w:trPr>
          <w:tblHeader/>
        </w:trPr>
        <w:tc>
          <w:tcPr>
            <w:tcW w:w="1941" w:type="pct"/>
            <w:shd w:val="clear" w:color="auto" w:fill="auto"/>
            <w:vAlign w:val="center"/>
          </w:tcPr>
          <w:p w:rsidR="00206DD3" w:rsidRPr="00206DD3" w:rsidRDefault="00206DD3" w:rsidP="00206DD3">
            <w:pPr>
              <w:keepNext/>
              <w:spacing w:after="40"/>
              <w:rPr>
                <w:rFonts w:ascii="Arial Narrow" w:eastAsiaTheme="minorHAnsi" w:hAnsi="Arial Narrow" w:cs="Arial"/>
                <w:sz w:val="20"/>
                <w:szCs w:val="20"/>
                <w:lang w:eastAsia="en-US"/>
              </w:rPr>
            </w:pPr>
            <w:r w:rsidRPr="00206DD3">
              <w:rPr>
                <w:rFonts w:ascii="Arial Narrow" w:eastAsiaTheme="minorHAnsi" w:hAnsi="Arial Narrow" w:cs="Arial"/>
                <w:sz w:val="20"/>
                <w:szCs w:val="20"/>
                <w:lang w:eastAsia="en-US"/>
              </w:rPr>
              <w:t>PBAC scenario for decision making</w:t>
            </w:r>
          </w:p>
        </w:tc>
        <w:tc>
          <w:tcPr>
            <w:tcW w:w="765" w:type="pct"/>
            <w:shd w:val="clear" w:color="auto" w:fill="auto"/>
          </w:tcPr>
          <w:p w:rsidR="00206DD3" w:rsidRPr="00206DD3" w:rsidRDefault="00206DD3" w:rsidP="00206DD3">
            <w:pPr>
              <w:keepNext/>
              <w:spacing w:after="40"/>
              <w:jc w:val="right"/>
              <w:rPr>
                <w:rFonts w:ascii="Arial Narrow" w:eastAsiaTheme="minorHAnsi" w:hAnsi="Arial Narrow" w:cstheme="minorBidi"/>
                <w:sz w:val="20"/>
                <w:szCs w:val="22"/>
                <w:lang w:eastAsia="en-US"/>
              </w:rPr>
            </w:pPr>
            <w:r w:rsidRPr="00206DD3">
              <w:rPr>
                <w:rFonts w:ascii="Arial Narrow" w:eastAsiaTheme="minorHAnsi" w:hAnsi="Arial Narrow" w:cstheme="minorBidi"/>
                <w:sz w:val="20"/>
                <w:szCs w:val="22"/>
                <w:lang w:eastAsia="en-US"/>
              </w:rPr>
              <w:t>$</w:t>
            </w:r>
            <w:r w:rsidR="004978B4">
              <w:rPr>
                <w:rFonts w:ascii="Arial Narrow" w:eastAsiaTheme="minorHAnsi" w:hAnsi="Arial Narrow" w:cstheme="minorBidi"/>
                <w:noProof/>
                <w:color w:val="000000"/>
                <w:sz w:val="20"/>
                <w:szCs w:val="22"/>
                <w:highlight w:val="black"/>
                <w:lang w:eastAsia="en-US"/>
              </w:rPr>
              <w:t>'''''''''''''''''''''''''</w:t>
            </w:r>
          </w:p>
        </w:tc>
        <w:tc>
          <w:tcPr>
            <w:tcW w:w="765" w:type="pct"/>
          </w:tcPr>
          <w:p w:rsidR="00206DD3" w:rsidRPr="00206DD3" w:rsidRDefault="00206DD3" w:rsidP="00206DD3">
            <w:pPr>
              <w:jc w:val="right"/>
              <w:rPr>
                <w:rFonts w:ascii="Arial Narrow" w:eastAsiaTheme="minorHAnsi" w:hAnsi="Arial Narrow" w:cstheme="minorBidi"/>
                <w:sz w:val="20"/>
                <w:szCs w:val="22"/>
                <w:lang w:eastAsia="en-US"/>
              </w:rPr>
            </w:pPr>
            <w:r w:rsidRPr="00206DD3">
              <w:rPr>
                <w:rFonts w:ascii="Arial Narrow" w:eastAsiaTheme="minorHAnsi" w:hAnsi="Arial Narrow" w:cstheme="minorBidi"/>
                <w:sz w:val="20"/>
                <w:szCs w:val="22"/>
                <w:lang w:eastAsia="en-US"/>
              </w:rPr>
              <w:t>1.144</w:t>
            </w:r>
          </w:p>
        </w:tc>
        <w:tc>
          <w:tcPr>
            <w:tcW w:w="765" w:type="pct"/>
            <w:shd w:val="clear" w:color="auto" w:fill="auto"/>
          </w:tcPr>
          <w:p w:rsidR="00206DD3" w:rsidRPr="00206DD3" w:rsidRDefault="00206DD3" w:rsidP="00206DD3">
            <w:pPr>
              <w:jc w:val="right"/>
              <w:rPr>
                <w:rFonts w:ascii="Arial Narrow" w:eastAsiaTheme="minorHAnsi" w:hAnsi="Arial Narrow" w:cstheme="minorBidi"/>
                <w:sz w:val="20"/>
                <w:szCs w:val="22"/>
                <w:lang w:eastAsia="en-US"/>
              </w:rPr>
            </w:pPr>
            <w:r w:rsidRPr="00206DD3">
              <w:rPr>
                <w:rFonts w:ascii="Arial Narrow" w:eastAsiaTheme="minorHAnsi" w:hAnsi="Arial Narrow" w:cstheme="minorBidi"/>
                <w:sz w:val="20"/>
                <w:szCs w:val="22"/>
                <w:lang w:eastAsia="en-US"/>
              </w:rPr>
              <w:t>0.720</w:t>
            </w:r>
          </w:p>
        </w:tc>
        <w:tc>
          <w:tcPr>
            <w:tcW w:w="765" w:type="pct"/>
            <w:shd w:val="clear" w:color="auto" w:fill="auto"/>
          </w:tcPr>
          <w:p w:rsidR="00206DD3" w:rsidRPr="00206DD3" w:rsidRDefault="00206DD3" w:rsidP="00206DD3">
            <w:pPr>
              <w:keepNext/>
              <w:spacing w:after="40"/>
              <w:jc w:val="right"/>
              <w:rPr>
                <w:rFonts w:ascii="Arial Narrow" w:eastAsiaTheme="minorHAnsi" w:hAnsi="Arial Narrow" w:cstheme="minorBidi"/>
                <w:sz w:val="20"/>
                <w:szCs w:val="22"/>
                <w:lang w:eastAsia="en-US"/>
              </w:rPr>
            </w:pPr>
            <w:r w:rsidRPr="00206DD3">
              <w:rPr>
                <w:rFonts w:ascii="Arial Narrow" w:eastAsiaTheme="minorHAnsi" w:hAnsi="Arial Narrow" w:cstheme="minorBidi"/>
                <w:snapToGrid w:val="0"/>
                <w:sz w:val="20"/>
                <w:szCs w:val="22"/>
                <w:lang w:eastAsia="en-US"/>
              </w:rPr>
              <w:t>$</w:t>
            </w:r>
            <w:r w:rsidR="004978B4">
              <w:rPr>
                <w:rFonts w:ascii="Arial Narrow" w:eastAsiaTheme="minorHAnsi" w:hAnsi="Arial Narrow" w:cstheme="minorBidi"/>
                <w:noProof/>
                <w:snapToGrid w:val="0"/>
                <w:color w:val="000000"/>
                <w:sz w:val="20"/>
                <w:szCs w:val="22"/>
                <w:highlight w:val="black"/>
                <w:lang w:eastAsia="en-US"/>
              </w:rPr>
              <w:t>'''''''''''''''''''''''</w:t>
            </w:r>
          </w:p>
        </w:tc>
      </w:tr>
    </w:tbl>
    <w:p w:rsidR="007C02B9" w:rsidRDefault="00206DD3" w:rsidP="007C02B9">
      <w:pPr>
        <w:keepNext/>
        <w:spacing w:after="120"/>
        <w:rPr>
          <w:rFonts w:asciiTheme="minorHAnsi" w:hAnsiTheme="minorHAnsi" w:cs="Arial"/>
          <w:snapToGrid w:val="0"/>
          <w:lang w:eastAsia="en-US"/>
        </w:rPr>
      </w:pPr>
      <w:r w:rsidRPr="00206DD3">
        <w:rPr>
          <w:rFonts w:ascii="Arial Narrow" w:hAnsi="Arial Narrow" w:cs="Arial"/>
          <w:snapToGrid w:val="0"/>
          <w:sz w:val="16"/>
          <w:szCs w:val="16"/>
          <w:lang w:eastAsia="en-US"/>
        </w:rPr>
        <w:t>Source: Constructed during the preparation of the PBAC minutes.</w:t>
      </w:r>
    </w:p>
    <w:p w:rsidR="00206DD3" w:rsidRPr="007C02B9" w:rsidRDefault="00846221"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At the July 2017 meeting and o</w:t>
      </w:r>
      <w:r w:rsidR="00206DD3" w:rsidRPr="007C02B9">
        <w:rPr>
          <w:rFonts w:asciiTheme="minorHAnsi" w:hAnsiTheme="minorHAnsi"/>
          <w:sz w:val="24"/>
          <w:lang w:val="en-US"/>
        </w:rPr>
        <w:t xml:space="preserve">n the request of the Minister (delegate) under section 101(3) of the Act, the PBAC considered the price or range of prices at which it considered treatment with </w:t>
      </w:r>
      <w:proofErr w:type="spellStart"/>
      <w:r w:rsidR="00206DD3" w:rsidRPr="007C02B9">
        <w:rPr>
          <w:rFonts w:asciiTheme="minorHAnsi" w:hAnsiTheme="minorHAnsi"/>
          <w:sz w:val="24"/>
          <w:lang w:val="en-US"/>
        </w:rPr>
        <w:t>lumacaftor</w:t>
      </w:r>
      <w:proofErr w:type="spellEnd"/>
      <w:r w:rsidR="00206DD3" w:rsidRPr="007C02B9">
        <w:rPr>
          <w:rFonts w:asciiTheme="minorHAnsi" w:hAnsiTheme="minorHAnsi"/>
          <w:sz w:val="24"/>
          <w:lang w:val="en-US"/>
        </w:rPr>
        <w:t>/</w:t>
      </w:r>
      <w:proofErr w:type="spellStart"/>
      <w:r w:rsidR="00206DD3" w:rsidRPr="007C02B9">
        <w:rPr>
          <w:rFonts w:asciiTheme="minorHAnsi" w:hAnsiTheme="minorHAnsi"/>
          <w:sz w:val="24"/>
          <w:lang w:val="en-US"/>
        </w:rPr>
        <w:t>ivacaftor</w:t>
      </w:r>
      <w:proofErr w:type="spellEnd"/>
      <w:r w:rsidR="00206DD3" w:rsidRPr="007C02B9">
        <w:rPr>
          <w:rFonts w:asciiTheme="minorHAnsi" w:hAnsiTheme="minorHAnsi"/>
          <w:sz w:val="24"/>
          <w:lang w:val="en-US"/>
        </w:rPr>
        <w:t xml:space="preserve"> would be acceptably cost-effective for the purposes of the Act. </w:t>
      </w:r>
      <w:r w:rsidRPr="007C02B9">
        <w:rPr>
          <w:rFonts w:asciiTheme="minorHAnsi" w:hAnsiTheme="minorHAnsi"/>
          <w:sz w:val="24"/>
          <w:lang w:val="en-US"/>
        </w:rPr>
        <w:t xml:space="preserve"> T</w:t>
      </w:r>
      <w:r w:rsidR="00206DD3" w:rsidRPr="007C02B9">
        <w:rPr>
          <w:rFonts w:asciiTheme="minorHAnsi" w:hAnsiTheme="minorHAnsi"/>
          <w:sz w:val="24"/>
          <w:lang w:val="en-US"/>
        </w:rPr>
        <w:t xml:space="preserve">he PBAC advised that the maximum ICER it would consider to be acceptably cost effective, noting the precedent of </w:t>
      </w:r>
      <w:proofErr w:type="spellStart"/>
      <w:r w:rsidR="00206DD3" w:rsidRPr="007C02B9">
        <w:rPr>
          <w:rFonts w:asciiTheme="minorHAnsi" w:hAnsiTheme="minorHAnsi"/>
          <w:sz w:val="24"/>
          <w:lang w:val="en-US"/>
        </w:rPr>
        <w:t>ivacaftor</w:t>
      </w:r>
      <w:proofErr w:type="spellEnd"/>
      <w:r w:rsidR="00206DD3" w:rsidRPr="007C02B9">
        <w:rPr>
          <w:rFonts w:asciiTheme="minorHAnsi" w:hAnsiTheme="minorHAnsi"/>
          <w:sz w:val="24"/>
          <w:lang w:val="en-US"/>
        </w:rPr>
        <w:t>, would be around $</w:t>
      </w:r>
      <w:r w:rsidR="005B04EC">
        <w:rPr>
          <w:rFonts w:asciiTheme="minorHAnsi" w:hAnsiTheme="minorHAnsi"/>
          <w:sz w:val="24"/>
          <w:lang w:val="en-US"/>
        </w:rPr>
        <w:t>105,000/QALY - $200,000/QALY</w:t>
      </w:r>
      <w:r w:rsidR="00206DD3" w:rsidRPr="007C02B9">
        <w:rPr>
          <w:rFonts w:asciiTheme="minorHAnsi" w:hAnsiTheme="minorHAnsi"/>
          <w:sz w:val="24"/>
          <w:lang w:val="en-US"/>
        </w:rPr>
        <w:t>. Based on its revised scenario, the PBAC advised that the maximum DPMQ that it would consider to be acceptably cost-effective would be around $</w:t>
      </w:r>
      <w:r w:rsidR="004978B4">
        <w:rPr>
          <w:rFonts w:asciiTheme="minorHAnsi" w:hAnsiTheme="minorHAnsi"/>
          <w:noProof/>
          <w:color w:val="000000"/>
          <w:sz w:val="24"/>
          <w:highlight w:val="black"/>
          <w:lang w:val="en-US"/>
        </w:rPr>
        <w:t>''''''''''</w:t>
      </w:r>
      <w:r w:rsidR="00206DD3" w:rsidRPr="007C02B9">
        <w:rPr>
          <w:rFonts w:asciiTheme="minorHAnsi" w:hAnsiTheme="minorHAnsi"/>
          <w:sz w:val="24"/>
          <w:lang w:val="en-US"/>
        </w:rPr>
        <w:t xml:space="preserve"> (or around $</w:t>
      </w:r>
      <w:r w:rsidR="004978B4">
        <w:rPr>
          <w:rFonts w:asciiTheme="minorHAnsi" w:hAnsiTheme="minorHAnsi"/>
          <w:noProof/>
          <w:color w:val="000000"/>
          <w:sz w:val="24"/>
          <w:highlight w:val="black"/>
          <w:lang w:val="en-US"/>
        </w:rPr>
        <w:t>''''''''''''''</w:t>
      </w:r>
      <w:r w:rsidR="00206DD3" w:rsidRPr="007C02B9">
        <w:rPr>
          <w:rFonts w:asciiTheme="minorHAnsi" w:hAnsiTheme="minorHAnsi"/>
          <w:sz w:val="24"/>
          <w:lang w:val="en-US"/>
        </w:rPr>
        <w:t xml:space="preserve"> per patient per year, assuming 11 packs per patient per year) which would result in an ICER of $</w:t>
      </w:r>
      <w:r w:rsidR="004D3203">
        <w:rPr>
          <w:rFonts w:asciiTheme="minorHAnsi" w:hAnsiTheme="minorHAnsi"/>
          <w:sz w:val="24"/>
          <w:lang w:val="en-US"/>
        </w:rPr>
        <w:t>105,000 - $200,000/QALY</w:t>
      </w:r>
      <w:r w:rsidR="00206DD3" w:rsidRPr="007C02B9">
        <w:rPr>
          <w:rFonts w:asciiTheme="minorHAnsi" w:hAnsiTheme="minorHAnsi"/>
          <w:sz w:val="24"/>
          <w:lang w:val="en-US"/>
        </w:rPr>
        <w:t xml:space="preserve">. </w:t>
      </w:r>
    </w:p>
    <w:p w:rsidR="005B3F11" w:rsidRPr="007C02B9" w:rsidRDefault="00846221"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The current resubmission (July 2018)</w:t>
      </w:r>
      <w:r w:rsidR="005B3F11" w:rsidRPr="007C02B9">
        <w:rPr>
          <w:rFonts w:asciiTheme="minorHAnsi" w:hAnsiTheme="minorHAnsi"/>
          <w:sz w:val="24"/>
          <w:lang w:val="en-US"/>
        </w:rPr>
        <w:t xml:space="preserve"> </w:t>
      </w:r>
      <w:r w:rsidR="003F0BC8" w:rsidRPr="007C02B9">
        <w:rPr>
          <w:rFonts w:asciiTheme="minorHAnsi" w:hAnsiTheme="minorHAnsi"/>
          <w:sz w:val="24"/>
          <w:lang w:val="en-US"/>
        </w:rPr>
        <w:t>presented a model which</w:t>
      </w:r>
      <w:r w:rsidR="005B3F11" w:rsidRPr="007C02B9">
        <w:rPr>
          <w:rFonts w:asciiTheme="minorHAnsi" w:hAnsiTheme="minorHAnsi"/>
          <w:sz w:val="24"/>
          <w:lang w:val="en-US"/>
        </w:rPr>
        <w:t xml:space="preserve"> incorporated patients 2 years and over, adjustments were made to the economic model for patients aged 12 years and older by using the ‘patient filter’ functionality provided in the Excel workbook. Accordingly, aspects of the model specification or outputs which were specific to the 2-5 age </w:t>
      </w:r>
      <w:proofErr w:type="gramStart"/>
      <w:r w:rsidR="005B3F11" w:rsidRPr="007C02B9">
        <w:rPr>
          <w:rFonts w:asciiTheme="minorHAnsi" w:hAnsiTheme="minorHAnsi"/>
          <w:sz w:val="24"/>
          <w:lang w:val="en-US"/>
        </w:rPr>
        <w:t>group</w:t>
      </w:r>
      <w:proofErr w:type="gramEnd"/>
      <w:r w:rsidR="005B3F11" w:rsidRPr="007C02B9">
        <w:rPr>
          <w:rFonts w:asciiTheme="minorHAnsi" w:hAnsiTheme="minorHAnsi"/>
          <w:sz w:val="24"/>
          <w:lang w:val="en-US"/>
        </w:rPr>
        <w:t xml:space="preserve"> are not presented in this overview. </w:t>
      </w:r>
    </w:p>
    <w:p w:rsidR="00F832AC" w:rsidRPr="007C02B9" w:rsidRDefault="005B3F11"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The model </w:t>
      </w:r>
      <w:r w:rsidR="00AD4F42">
        <w:rPr>
          <w:rFonts w:asciiTheme="minorHAnsi" w:hAnsiTheme="minorHAnsi"/>
          <w:sz w:val="24"/>
          <w:lang w:val="en-US"/>
        </w:rPr>
        <w:t xml:space="preserve">initially provided with the July 2018 submission </w:t>
      </w:r>
      <w:r w:rsidR="00D27CDE" w:rsidRPr="007C02B9">
        <w:rPr>
          <w:rFonts w:asciiTheme="minorHAnsi" w:hAnsiTheme="minorHAnsi"/>
          <w:sz w:val="24"/>
          <w:lang w:val="en-US"/>
        </w:rPr>
        <w:t>adjust</w:t>
      </w:r>
      <w:r w:rsidR="00AD4F42">
        <w:rPr>
          <w:rFonts w:asciiTheme="minorHAnsi" w:hAnsiTheme="minorHAnsi"/>
          <w:sz w:val="24"/>
          <w:lang w:val="en-US"/>
        </w:rPr>
        <w:t>ed</w:t>
      </w:r>
      <w:r w:rsidR="00D27CDE" w:rsidRPr="007C02B9">
        <w:rPr>
          <w:rFonts w:asciiTheme="minorHAnsi" w:hAnsiTheme="minorHAnsi"/>
          <w:sz w:val="24"/>
          <w:lang w:val="en-US"/>
        </w:rPr>
        <w:t xml:space="preserve"> the rate of decline in the </w:t>
      </w:r>
      <w:proofErr w:type="spellStart"/>
      <w:r w:rsidR="00D27CDE" w:rsidRPr="007C02B9">
        <w:rPr>
          <w:rFonts w:asciiTheme="minorHAnsi" w:hAnsiTheme="minorHAnsi"/>
          <w:sz w:val="24"/>
          <w:lang w:val="en-US"/>
        </w:rPr>
        <w:t>lumacaftor</w:t>
      </w:r>
      <w:proofErr w:type="spellEnd"/>
      <w:r w:rsidR="00D27CDE" w:rsidRPr="007C02B9">
        <w:rPr>
          <w:rFonts w:asciiTheme="minorHAnsi" w:hAnsiTheme="minorHAnsi"/>
          <w:sz w:val="24"/>
          <w:lang w:val="en-US"/>
        </w:rPr>
        <w:t>/</w:t>
      </w:r>
      <w:proofErr w:type="spellStart"/>
      <w:r w:rsidR="00D27CDE" w:rsidRPr="007C02B9">
        <w:rPr>
          <w:rFonts w:asciiTheme="minorHAnsi" w:hAnsiTheme="minorHAnsi"/>
          <w:sz w:val="24"/>
          <w:lang w:val="en-US"/>
        </w:rPr>
        <w:t>ivacaftor</w:t>
      </w:r>
      <w:proofErr w:type="spellEnd"/>
      <w:r w:rsidR="00D27CDE" w:rsidRPr="007C02B9">
        <w:rPr>
          <w:rFonts w:asciiTheme="minorHAnsi" w:hAnsiTheme="minorHAnsi"/>
          <w:sz w:val="24"/>
          <w:lang w:val="en-US"/>
        </w:rPr>
        <w:t xml:space="preserve"> treatment group to </w:t>
      </w:r>
      <w:r w:rsidR="004978B4">
        <w:rPr>
          <w:rFonts w:asciiTheme="minorHAnsi" w:hAnsiTheme="minorHAnsi"/>
          <w:noProof/>
          <w:color w:val="000000"/>
          <w:sz w:val="24"/>
          <w:highlight w:val="black"/>
          <w:lang w:val="en-US"/>
        </w:rPr>
        <w:t>'''''</w:t>
      </w:r>
      <w:r w:rsidR="00D27CDE" w:rsidRPr="003738E7">
        <w:rPr>
          <w:rFonts w:asciiTheme="minorHAnsi" w:hAnsiTheme="minorHAnsi"/>
          <w:sz w:val="24"/>
          <w:lang w:val="en-US"/>
        </w:rPr>
        <w:t>% of that in the BSC group</w:t>
      </w:r>
      <w:r w:rsidR="00470C77" w:rsidRPr="003738E7">
        <w:rPr>
          <w:rFonts w:asciiTheme="minorHAnsi" w:hAnsiTheme="minorHAnsi"/>
          <w:sz w:val="24"/>
          <w:lang w:val="en-US"/>
        </w:rPr>
        <w:t>;</w:t>
      </w:r>
      <w:r w:rsidR="00D27CDE" w:rsidRPr="003738E7">
        <w:rPr>
          <w:rFonts w:asciiTheme="minorHAnsi" w:hAnsiTheme="minorHAnsi"/>
          <w:sz w:val="24"/>
          <w:lang w:val="en-US"/>
        </w:rPr>
        <w:t xml:space="preserve"> </w:t>
      </w:r>
      <w:r w:rsidR="00D27CDE" w:rsidRPr="003738E7">
        <w:rPr>
          <w:rFonts w:asciiTheme="minorHAnsi" w:hAnsiTheme="minorHAnsi"/>
          <w:sz w:val="24"/>
          <w:lang w:val="en-US"/>
        </w:rPr>
        <w:lastRenderedPageBreak/>
        <w:t xml:space="preserve">reinstates the 5% and </w:t>
      </w:r>
      <w:r w:rsidR="004978B4">
        <w:rPr>
          <w:rFonts w:asciiTheme="minorHAnsi" w:hAnsiTheme="minorHAnsi"/>
          <w:noProof/>
          <w:color w:val="000000"/>
          <w:sz w:val="24"/>
          <w:highlight w:val="black"/>
          <w:lang w:val="en-US"/>
        </w:rPr>
        <w:t>'''''</w:t>
      </w:r>
      <w:r w:rsidR="00D27CDE" w:rsidRPr="003738E7">
        <w:rPr>
          <w:rFonts w:asciiTheme="minorHAnsi" w:hAnsiTheme="minorHAnsi"/>
          <w:sz w:val="24"/>
          <w:lang w:val="en-US"/>
        </w:rPr>
        <w:t>% price reductions</w:t>
      </w:r>
      <w:r w:rsidR="00470C77" w:rsidRPr="003738E7">
        <w:rPr>
          <w:rFonts w:asciiTheme="minorHAnsi" w:hAnsiTheme="minorHAnsi"/>
          <w:sz w:val="24"/>
          <w:lang w:val="en-US"/>
        </w:rPr>
        <w:t>;</w:t>
      </w:r>
      <w:r w:rsidR="00D27CDE" w:rsidRPr="003738E7">
        <w:rPr>
          <w:rFonts w:asciiTheme="minorHAnsi" w:hAnsiTheme="minorHAnsi"/>
          <w:sz w:val="24"/>
          <w:lang w:val="en-US"/>
        </w:rPr>
        <w:t xml:space="preserve"> and </w:t>
      </w:r>
      <w:r w:rsidR="00470C77" w:rsidRPr="003738E7">
        <w:rPr>
          <w:rFonts w:asciiTheme="minorHAnsi" w:hAnsiTheme="minorHAnsi"/>
          <w:sz w:val="24"/>
          <w:lang w:val="en-US"/>
        </w:rPr>
        <w:t xml:space="preserve">assumes </w:t>
      </w:r>
      <w:r w:rsidR="00F832AC" w:rsidRPr="003738E7">
        <w:rPr>
          <w:rFonts w:asciiTheme="minorHAnsi" w:hAnsiTheme="minorHAnsi"/>
          <w:sz w:val="24"/>
          <w:lang w:val="en-US"/>
        </w:rPr>
        <w:t xml:space="preserve">that all CF </w:t>
      </w:r>
      <w:proofErr w:type="spellStart"/>
      <w:r w:rsidR="00F832AC" w:rsidRPr="003738E7">
        <w:rPr>
          <w:rFonts w:asciiTheme="minorHAnsi" w:hAnsiTheme="minorHAnsi"/>
          <w:sz w:val="24"/>
          <w:lang w:val="en-US"/>
        </w:rPr>
        <w:t>hospitalisations</w:t>
      </w:r>
      <w:proofErr w:type="spellEnd"/>
      <w:r w:rsidR="00F832AC" w:rsidRPr="003738E7">
        <w:rPr>
          <w:rFonts w:asciiTheme="minorHAnsi" w:hAnsiTheme="minorHAnsi"/>
          <w:sz w:val="24"/>
          <w:lang w:val="en-US"/>
        </w:rPr>
        <w:t xml:space="preserve"> are due to </w:t>
      </w:r>
      <w:proofErr w:type="spellStart"/>
      <w:r w:rsidR="00F832AC" w:rsidRPr="003738E7">
        <w:rPr>
          <w:rFonts w:asciiTheme="minorHAnsi" w:hAnsiTheme="minorHAnsi"/>
          <w:sz w:val="24"/>
          <w:lang w:val="en-US"/>
        </w:rPr>
        <w:t>PEx</w:t>
      </w:r>
      <w:proofErr w:type="spellEnd"/>
      <w:r w:rsidR="00F832AC" w:rsidRPr="003738E7">
        <w:rPr>
          <w:rFonts w:asciiTheme="minorHAnsi" w:hAnsiTheme="minorHAnsi"/>
          <w:sz w:val="24"/>
          <w:lang w:val="en-US"/>
        </w:rPr>
        <w:t xml:space="preserve">, and that there was a reduction of </w:t>
      </w:r>
      <w:r w:rsidR="00CD12B2" w:rsidRPr="003738E7">
        <w:rPr>
          <w:rFonts w:asciiTheme="minorHAnsi" w:hAnsiTheme="minorHAnsi"/>
          <w:sz w:val="24"/>
          <w:lang w:val="en-US"/>
        </w:rPr>
        <w:t>61</w:t>
      </w:r>
      <w:r w:rsidR="00F832AC" w:rsidRPr="003738E7">
        <w:rPr>
          <w:rFonts w:asciiTheme="minorHAnsi" w:hAnsiTheme="minorHAnsi"/>
          <w:sz w:val="24"/>
          <w:lang w:val="en-US"/>
        </w:rPr>
        <w:t xml:space="preserve">% of </w:t>
      </w:r>
      <w:proofErr w:type="spellStart"/>
      <w:r w:rsidR="00F832AC" w:rsidRPr="003738E7">
        <w:rPr>
          <w:rFonts w:asciiTheme="minorHAnsi" w:hAnsiTheme="minorHAnsi"/>
          <w:sz w:val="24"/>
          <w:lang w:val="en-US"/>
        </w:rPr>
        <w:t>hospitalisations</w:t>
      </w:r>
      <w:proofErr w:type="spellEnd"/>
      <w:r w:rsidR="00F832AC" w:rsidRPr="007C02B9">
        <w:rPr>
          <w:rFonts w:asciiTheme="minorHAnsi" w:hAnsiTheme="minorHAnsi"/>
          <w:sz w:val="24"/>
          <w:lang w:val="en-US"/>
        </w:rPr>
        <w:t xml:space="preserve">. </w:t>
      </w:r>
      <w:r w:rsidRPr="007C02B9">
        <w:rPr>
          <w:rFonts w:asciiTheme="minorHAnsi" w:hAnsiTheme="minorHAnsi"/>
          <w:sz w:val="24"/>
          <w:lang w:val="en-US"/>
        </w:rPr>
        <w:t xml:space="preserve"> </w:t>
      </w:r>
    </w:p>
    <w:p w:rsidR="00D27CDE" w:rsidRPr="007C02B9" w:rsidRDefault="0014569D" w:rsidP="007C02B9">
      <w:pPr>
        <w:pStyle w:val="ListParagraph"/>
        <w:widowControl/>
        <w:numPr>
          <w:ilvl w:val="1"/>
          <w:numId w:val="3"/>
        </w:numPr>
        <w:spacing w:before="120" w:after="160"/>
        <w:contextualSpacing w:val="0"/>
        <w:rPr>
          <w:rFonts w:asciiTheme="minorHAnsi" w:hAnsiTheme="minorHAnsi"/>
          <w:sz w:val="24"/>
          <w:lang w:val="en-US"/>
        </w:rPr>
      </w:pPr>
      <w:r>
        <w:rPr>
          <w:rFonts w:asciiTheme="minorHAnsi" w:hAnsiTheme="minorHAnsi"/>
          <w:sz w:val="24"/>
          <w:lang w:val="en-US"/>
        </w:rPr>
        <w:t xml:space="preserve">Table </w:t>
      </w:r>
      <w:r w:rsidR="00841412">
        <w:rPr>
          <w:rFonts w:asciiTheme="minorHAnsi" w:hAnsiTheme="minorHAnsi"/>
          <w:sz w:val="24"/>
          <w:lang w:val="en-US"/>
        </w:rPr>
        <w:t>9</w:t>
      </w:r>
      <w:r w:rsidR="00D27CDE" w:rsidRPr="007C02B9">
        <w:rPr>
          <w:rFonts w:asciiTheme="minorHAnsi" w:hAnsiTheme="minorHAnsi"/>
          <w:sz w:val="24"/>
          <w:lang w:val="en-US"/>
        </w:rPr>
        <w:t xml:space="preserve"> presents a summary of the FEV1, weight for age z</w:t>
      </w:r>
      <w:r w:rsidR="00470C77" w:rsidRPr="007C02B9">
        <w:rPr>
          <w:rFonts w:asciiTheme="minorHAnsi" w:hAnsiTheme="minorHAnsi"/>
          <w:sz w:val="24"/>
          <w:lang w:val="en-US"/>
        </w:rPr>
        <w:t>-</w:t>
      </w:r>
      <w:r w:rsidR="00D27CDE" w:rsidRPr="007C02B9">
        <w:rPr>
          <w:rFonts w:asciiTheme="minorHAnsi" w:hAnsiTheme="minorHAnsi"/>
          <w:sz w:val="24"/>
          <w:lang w:val="en-US"/>
        </w:rPr>
        <w:t xml:space="preserve">score and pulmonary exacerbation input parameters applied in the base case of the economic model. These inputs are presented by treatment (BSC alone or </w:t>
      </w:r>
      <w:proofErr w:type="spellStart"/>
      <w:r w:rsidR="00D27CDE" w:rsidRPr="007C02B9">
        <w:rPr>
          <w:rFonts w:asciiTheme="minorHAnsi" w:hAnsiTheme="minorHAnsi"/>
          <w:sz w:val="24"/>
          <w:lang w:val="en-US"/>
        </w:rPr>
        <w:t>lumacaftor</w:t>
      </w:r>
      <w:proofErr w:type="spellEnd"/>
      <w:r w:rsidR="00D27CDE" w:rsidRPr="007C02B9">
        <w:rPr>
          <w:rFonts w:asciiTheme="minorHAnsi" w:hAnsiTheme="minorHAnsi"/>
          <w:sz w:val="24"/>
          <w:lang w:val="en-US"/>
        </w:rPr>
        <w:t>/</w:t>
      </w:r>
      <w:proofErr w:type="spellStart"/>
      <w:r w:rsidR="00D27CDE" w:rsidRPr="007C02B9">
        <w:rPr>
          <w:rFonts w:asciiTheme="minorHAnsi" w:hAnsiTheme="minorHAnsi"/>
          <w:sz w:val="24"/>
          <w:lang w:val="en-US"/>
        </w:rPr>
        <w:t>ivacaftor</w:t>
      </w:r>
      <w:proofErr w:type="spellEnd"/>
      <w:r w:rsidR="00D27CDE" w:rsidRPr="007C02B9">
        <w:rPr>
          <w:rFonts w:asciiTheme="minorHAnsi" w:hAnsiTheme="minorHAnsi"/>
          <w:sz w:val="24"/>
          <w:lang w:val="en-US"/>
        </w:rPr>
        <w:t xml:space="preserve">) and by patient age group. The summary also presents these input parameters by the modelled time period (i.e. ≤24 weeks (within the period of the pivotal trials) and &gt;24 weeks (extrapolated beyond the pivotal RCT period) or as otherwise specified. </w:t>
      </w:r>
    </w:p>
    <w:p w:rsidR="00D27CDE" w:rsidRPr="00C4077F" w:rsidRDefault="00D27CDE" w:rsidP="00C4077F">
      <w:pPr>
        <w:rPr>
          <w:rFonts w:ascii="Arial Narrow" w:hAnsi="Arial Narrow" w:cs="Arial"/>
          <w:b/>
          <w:bCs/>
          <w:sz w:val="20"/>
          <w:lang w:val="en-US"/>
        </w:rPr>
      </w:pPr>
      <w:bookmarkStart w:id="10" w:name="_Ref433883660"/>
      <w:bookmarkStart w:id="11" w:name="_Toc476577751"/>
      <w:bookmarkStart w:id="12" w:name="_Toc476652698"/>
      <w:bookmarkStart w:id="13" w:name="_Toc508021961"/>
      <w:r w:rsidRPr="00C4077F">
        <w:rPr>
          <w:rFonts w:ascii="Arial Narrow" w:hAnsi="Arial Narrow" w:cs="Arial"/>
          <w:b/>
          <w:bCs/>
          <w:sz w:val="20"/>
          <w:lang w:val="en-US"/>
        </w:rPr>
        <w:t xml:space="preserve">Table </w:t>
      </w:r>
      <w:bookmarkEnd w:id="10"/>
      <w:r w:rsidR="00841412" w:rsidRPr="00C4077F">
        <w:rPr>
          <w:rFonts w:ascii="Arial Narrow" w:hAnsi="Arial Narrow" w:cs="Arial"/>
          <w:b/>
          <w:bCs/>
          <w:sz w:val="20"/>
          <w:lang w:val="en-US"/>
        </w:rPr>
        <w:t>9</w:t>
      </w:r>
      <w:r w:rsidR="00470C77" w:rsidRPr="00C4077F">
        <w:rPr>
          <w:rFonts w:ascii="Arial Narrow" w:hAnsi="Arial Narrow" w:cs="Arial"/>
          <w:b/>
          <w:bCs/>
          <w:sz w:val="20"/>
          <w:lang w:val="en-US"/>
        </w:rPr>
        <w:t>:</w:t>
      </w:r>
      <w:r w:rsidR="00F832AC" w:rsidRPr="00C4077F">
        <w:rPr>
          <w:rFonts w:ascii="Arial Narrow" w:hAnsi="Arial Narrow" w:cs="Arial"/>
          <w:b/>
          <w:bCs/>
          <w:sz w:val="20"/>
          <w:lang w:val="en-US"/>
        </w:rPr>
        <w:t xml:space="preserve"> </w:t>
      </w:r>
      <w:r w:rsidRPr="00C4077F">
        <w:rPr>
          <w:rFonts w:ascii="Arial Narrow" w:hAnsi="Arial Narrow" w:cs="Arial"/>
          <w:b/>
          <w:bCs/>
          <w:sz w:val="20"/>
          <w:lang w:val="en-US"/>
        </w:rPr>
        <w:t>Summary of FEV</w:t>
      </w:r>
      <w:r w:rsidRPr="00C4077F">
        <w:rPr>
          <w:rFonts w:ascii="Arial Narrow" w:hAnsi="Arial Narrow" w:cs="Arial"/>
          <w:b/>
          <w:bCs/>
          <w:sz w:val="20"/>
          <w:vertAlign w:val="subscript"/>
          <w:lang w:val="en-US"/>
        </w:rPr>
        <w:t>1</w:t>
      </w:r>
      <w:r w:rsidRPr="00C4077F">
        <w:rPr>
          <w:rFonts w:ascii="Arial Narrow" w:hAnsi="Arial Narrow" w:cs="Arial"/>
          <w:b/>
          <w:bCs/>
          <w:sz w:val="20"/>
          <w:lang w:val="en-US"/>
        </w:rPr>
        <w:t>, weight for age z</w:t>
      </w:r>
      <w:r w:rsidR="00470C77" w:rsidRPr="00C4077F">
        <w:rPr>
          <w:rFonts w:ascii="Arial Narrow" w:hAnsi="Arial Narrow" w:cs="Arial"/>
          <w:b/>
          <w:bCs/>
          <w:sz w:val="20"/>
          <w:lang w:val="en-US"/>
        </w:rPr>
        <w:t>-</w:t>
      </w:r>
      <w:r w:rsidRPr="00C4077F">
        <w:rPr>
          <w:rFonts w:ascii="Arial Narrow" w:hAnsi="Arial Narrow" w:cs="Arial"/>
          <w:b/>
          <w:bCs/>
          <w:sz w:val="20"/>
          <w:lang w:val="en-US"/>
        </w:rPr>
        <w:t xml:space="preserve">score and pulmonary exacerbation economic model inputs by treatment, patient age and modelled time </w:t>
      </w:r>
      <w:bookmarkEnd w:id="11"/>
      <w:bookmarkEnd w:id="12"/>
      <w:bookmarkEnd w:id="13"/>
      <w:r w:rsidR="00072B9B" w:rsidRPr="00C4077F">
        <w:rPr>
          <w:rFonts w:ascii="Arial Narrow" w:hAnsi="Arial Narrow" w:cs="Arial"/>
          <w:b/>
          <w:bCs/>
          <w:sz w:val="20"/>
          <w:lang w:val="en-US"/>
        </w:rPr>
        <w:t>period</w:t>
      </w:r>
    </w:p>
    <w:tbl>
      <w:tblPr>
        <w:tblStyle w:val="TableGrid"/>
        <w:tblW w:w="0" w:type="auto"/>
        <w:tblInd w:w="108" w:type="dxa"/>
        <w:tblLook w:val="04A0" w:firstRow="1" w:lastRow="0" w:firstColumn="1" w:lastColumn="0" w:noHBand="0" w:noVBand="1"/>
        <w:tblCaption w:val="Table 9: Summary of FEV1, weight for age z-score and pulmonary exacerbation economic model inputs by treatment, patient age and modelled time period"/>
      </w:tblPr>
      <w:tblGrid>
        <w:gridCol w:w="1524"/>
        <w:gridCol w:w="959"/>
        <w:gridCol w:w="1183"/>
        <w:gridCol w:w="1262"/>
        <w:gridCol w:w="2018"/>
        <w:gridCol w:w="2188"/>
      </w:tblGrid>
      <w:tr w:rsidR="00D27CDE" w:rsidRPr="00D35336" w:rsidTr="002D6558">
        <w:trPr>
          <w:tblHeader/>
        </w:trPr>
        <w:tc>
          <w:tcPr>
            <w:tcW w:w="1524" w:type="dxa"/>
            <w:vMerge w:val="restart"/>
            <w:tcBorders>
              <w:left w:val="single" w:sz="4" w:space="0" w:color="auto"/>
              <w:right w:val="single" w:sz="4" w:space="0" w:color="auto"/>
            </w:tcBorders>
            <w:shd w:val="clear" w:color="auto" w:fill="D9D9D9" w:themeFill="background1" w:themeFillShade="D9"/>
          </w:tcPr>
          <w:p w:rsidR="00D27CDE" w:rsidRPr="00B37F10" w:rsidRDefault="00D27CDE" w:rsidP="00714C7B">
            <w:pPr>
              <w:pStyle w:val="TableH1"/>
              <w:rPr>
                <w:rFonts w:ascii="Arial Narrow" w:hAnsi="Arial Narrow"/>
                <w:sz w:val="20"/>
                <w:szCs w:val="20"/>
              </w:rPr>
            </w:pPr>
            <w:r w:rsidRPr="00B37F10">
              <w:rPr>
                <w:rFonts w:ascii="Arial Narrow" w:hAnsi="Arial Narrow"/>
                <w:sz w:val="20"/>
                <w:szCs w:val="20"/>
              </w:rPr>
              <w:t>Parameter description</w:t>
            </w:r>
          </w:p>
        </w:tc>
        <w:tc>
          <w:tcPr>
            <w:tcW w:w="959" w:type="dxa"/>
            <w:vMerge w:val="restart"/>
            <w:tcBorders>
              <w:left w:val="single" w:sz="4" w:space="0" w:color="auto"/>
              <w:right w:val="single" w:sz="4" w:space="0" w:color="auto"/>
            </w:tcBorders>
            <w:shd w:val="clear" w:color="auto" w:fill="D9D9D9" w:themeFill="background1" w:themeFillShade="D9"/>
          </w:tcPr>
          <w:p w:rsidR="00D27CDE" w:rsidRPr="00B37F10" w:rsidRDefault="00D27CDE" w:rsidP="00714C7B">
            <w:pPr>
              <w:pStyle w:val="Tableheadingcent"/>
              <w:rPr>
                <w:rFonts w:ascii="Arial Narrow" w:hAnsi="Arial Narrow"/>
                <w:sz w:val="20"/>
                <w:szCs w:val="20"/>
              </w:rPr>
            </w:pPr>
            <w:r w:rsidRPr="00B37F10">
              <w:rPr>
                <w:rFonts w:ascii="Arial Narrow" w:hAnsi="Arial Narrow"/>
                <w:sz w:val="20"/>
                <w:szCs w:val="20"/>
              </w:rPr>
              <w:t>Age group (years)</w:t>
            </w:r>
          </w:p>
        </w:tc>
        <w:tc>
          <w:tcPr>
            <w:tcW w:w="2445" w:type="dxa"/>
            <w:gridSpan w:val="2"/>
            <w:tcBorders>
              <w:left w:val="single" w:sz="4" w:space="0" w:color="auto"/>
              <w:bottom w:val="single" w:sz="4" w:space="0" w:color="auto"/>
              <w:right w:val="single" w:sz="4" w:space="0" w:color="auto"/>
            </w:tcBorders>
            <w:shd w:val="clear" w:color="auto" w:fill="D9D9D9" w:themeFill="background1" w:themeFillShade="D9"/>
          </w:tcPr>
          <w:p w:rsidR="00D27CDE" w:rsidRPr="00B37F10" w:rsidRDefault="00D27CDE" w:rsidP="00714C7B">
            <w:pPr>
              <w:pStyle w:val="Tableheadingcent"/>
              <w:rPr>
                <w:rFonts w:ascii="Arial Narrow" w:hAnsi="Arial Narrow"/>
                <w:sz w:val="20"/>
                <w:szCs w:val="20"/>
              </w:rPr>
            </w:pPr>
            <w:r w:rsidRPr="00B37F10">
              <w:rPr>
                <w:rFonts w:ascii="Arial Narrow" w:hAnsi="Arial Narrow"/>
                <w:sz w:val="20"/>
                <w:szCs w:val="20"/>
              </w:rPr>
              <w:t>BSC alone</w:t>
            </w:r>
          </w:p>
        </w:tc>
        <w:tc>
          <w:tcPr>
            <w:tcW w:w="4206" w:type="dxa"/>
            <w:gridSpan w:val="2"/>
            <w:tcBorders>
              <w:left w:val="single" w:sz="4" w:space="0" w:color="auto"/>
              <w:bottom w:val="single" w:sz="4" w:space="0" w:color="auto"/>
              <w:right w:val="single" w:sz="4" w:space="0" w:color="auto"/>
            </w:tcBorders>
            <w:shd w:val="clear" w:color="auto" w:fill="D9D9D9" w:themeFill="background1" w:themeFillShade="D9"/>
          </w:tcPr>
          <w:p w:rsidR="00D27CDE" w:rsidRPr="00B37F10" w:rsidRDefault="00D27CDE" w:rsidP="00714C7B">
            <w:pPr>
              <w:pStyle w:val="Tableheadingcent"/>
              <w:rPr>
                <w:rFonts w:ascii="Arial Narrow" w:hAnsi="Arial Narrow"/>
                <w:sz w:val="20"/>
                <w:szCs w:val="20"/>
              </w:rPr>
            </w:pPr>
            <w:r w:rsidRPr="00B37F10">
              <w:rPr>
                <w:rFonts w:ascii="Arial Narrow" w:hAnsi="Arial Narrow"/>
                <w:sz w:val="20"/>
                <w:szCs w:val="20"/>
              </w:rPr>
              <w:t>lumacaftor/ivacaftor</w:t>
            </w:r>
          </w:p>
        </w:tc>
      </w:tr>
      <w:tr w:rsidR="00D27CDE" w:rsidRPr="00D35336" w:rsidTr="002D6558">
        <w:trPr>
          <w:tblHeader/>
        </w:trPr>
        <w:tc>
          <w:tcPr>
            <w:tcW w:w="1524" w:type="dxa"/>
            <w:vMerge/>
            <w:tcBorders>
              <w:left w:val="single" w:sz="4" w:space="0" w:color="auto"/>
              <w:bottom w:val="single" w:sz="4" w:space="0" w:color="auto"/>
              <w:right w:val="single" w:sz="4" w:space="0" w:color="auto"/>
            </w:tcBorders>
            <w:shd w:val="clear" w:color="auto" w:fill="D9D9D9" w:themeFill="background1" w:themeFillShade="D9"/>
          </w:tcPr>
          <w:p w:rsidR="00D27CDE" w:rsidRPr="00B37F10" w:rsidRDefault="00D27CDE" w:rsidP="00714C7B">
            <w:pPr>
              <w:pStyle w:val="TableH1"/>
              <w:rPr>
                <w:rFonts w:ascii="Arial Narrow" w:hAnsi="Arial Narrow"/>
                <w:sz w:val="20"/>
                <w:szCs w:val="20"/>
              </w:rPr>
            </w:pPr>
          </w:p>
        </w:tc>
        <w:tc>
          <w:tcPr>
            <w:tcW w:w="959" w:type="dxa"/>
            <w:vMerge/>
            <w:tcBorders>
              <w:left w:val="single" w:sz="4" w:space="0" w:color="auto"/>
              <w:bottom w:val="single" w:sz="4" w:space="0" w:color="auto"/>
              <w:right w:val="single" w:sz="4" w:space="0" w:color="auto"/>
            </w:tcBorders>
            <w:shd w:val="clear" w:color="auto" w:fill="D9D9D9" w:themeFill="background1" w:themeFillShade="D9"/>
          </w:tcPr>
          <w:p w:rsidR="00D27CDE" w:rsidRPr="00B37F10" w:rsidRDefault="00D27CDE" w:rsidP="00714C7B">
            <w:pPr>
              <w:pStyle w:val="TableH1"/>
              <w:rPr>
                <w:rFonts w:ascii="Arial Narrow" w:hAnsi="Arial Narrow"/>
                <w:sz w:val="20"/>
                <w:szCs w:val="20"/>
              </w:rPr>
            </w:pPr>
          </w:p>
        </w:tc>
        <w:tc>
          <w:tcPr>
            <w:tcW w:w="1183" w:type="dxa"/>
            <w:tcBorders>
              <w:left w:val="single" w:sz="4" w:space="0" w:color="auto"/>
              <w:bottom w:val="single" w:sz="4" w:space="0" w:color="auto"/>
              <w:right w:val="single" w:sz="4" w:space="0" w:color="auto"/>
            </w:tcBorders>
            <w:shd w:val="clear" w:color="auto" w:fill="D9D9D9" w:themeFill="background1" w:themeFillShade="D9"/>
          </w:tcPr>
          <w:p w:rsidR="00D27CDE" w:rsidRPr="00B37F10" w:rsidRDefault="00D27CDE" w:rsidP="00714C7B">
            <w:pPr>
              <w:pStyle w:val="Tableheadingcent"/>
              <w:rPr>
                <w:rFonts w:ascii="Arial Narrow" w:hAnsi="Arial Narrow"/>
                <w:sz w:val="20"/>
                <w:szCs w:val="20"/>
              </w:rPr>
            </w:pPr>
            <w:r w:rsidRPr="00B37F10">
              <w:rPr>
                <w:rFonts w:ascii="Arial Narrow" w:hAnsi="Arial Narrow"/>
                <w:sz w:val="20"/>
                <w:szCs w:val="20"/>
              </w:rPr>
              <w:t xml:space="preserve">Model input </w:t>
            </w:r>
            <w:r w:rsidRPr="00B37F10">
              <w:rPr>
                <w:rFonts w:ascii="Arial Narrow" w:hAnsi="Arial Narrow"/>
                <w:sz w:val="20"/>
                <w:szCs w:val="20"/>
              </w:rPr>
              <w:br/>
              <w:t>≤ 24 weeks</w:t>
            </w:r>
          </w:p>
        </w:tc>
        <w:tc>
          <w:tcPr>
            <w:tcW w:w="1262" w:type="dxa"/>
            <w:tcBorders>
              <w:left w:val="single" w:sz="4" w:space="0" w:color="auto"/>
              <w:bottom w:val="single" w:sz="4" w:space="0" w:color="auto"/>
              <w:right w:val="single" w:sz="4" w:space="0" w:color="auto"/>
            </w:tcBorders>
            <w:shd w:val="clear" w:color="auto" w:fill="D9D9D9" w:themeFill="background1" w:themeFillShade="D9"/>
          </w:tcPr>
          <w:p w:rsidR="00D27CDE" w:rsidRPr="00B37F10" w:rsidRDefault="00D27CDE" w:rsidP="00714C7B">
            <w:pPr>
              <w:pStyle w:val="Tableheadingcent"/>
              <w:rPr>
                <w:rFonts w:ascii="Arial Narrow" w:hAnsi="Arial Narrow"/>
                <w:sz w:val="20"/>
                <w:szCs w:val="20"/>
              </w:rPr>
            </w:pPr>
            <w:r w:rsidRPr="00B37F10">
              <w:rPr>
                <w:rFonts w:ascii="Arial Narrow" w:hAnsi="Arial Narrow"/>
                <w:sz w:val="20"/>
                <w:szCs w:val="20"/>
              </w:rPr>
              <w:t xml:space="preserve">Model input </w:t>
            </w:r>
            <w:r w:rsidRPr="00B37F10">
              <w:rPr>
                <w:rFonts w:ascii="Arial Narrow" w:hAnsi="Arial Narrow"/>
                <w:sz w:val="20"/>
                <w:szCs w:val="20"/>
              </w:rPr>
              <w:br/>
              <w:t>&gt; 24 weeks</w:t>
            </w:r>
          </w:p>
        </w:tc>
        <w:tc>
          <w:tcPr>
            <w:tcW w:w="2018" w:type="dxa"/>
            <w:tcBorders>
              <w:left w:val="single" w:sz="4" w:space="0" w:color="auto"/>
              <w:bottom w:val="single" w:sz="4" w:space="0" w:color="auto"/>
              <w:right w:val="single" w:sz="4" w:space="0" w:color="auto"/>
            </w:tcBorders>
            <w:shd w:val="clear" w:color="auto" w:fill="D9D9D9" w:themeFill="background1" w:themeFillShade="D9"/>
          </w:tcPr>
          <w:p w:rsidR="00D27CDE" w:rsidRPr="00B37F10" w:rsidRDefault="00D27CDE" w:rsidP="00714C7B">
            <w:pPr>
              <w:pStyle w:val="Tableheadingcent"/>
              <w:rPr>
                <w:rFonts w:ascii="Arial Narrow" w:hAnsi="Arial Narrow"/>
                <w:sz w:val="20"/>
                <w:szCs w:val="20"/>
              </w:rPr>
            </w:pPr>
            <w:r w:rsidRPr="00B37F10">
              <w:rPr>
                <w:rFonts w:ascii="Arial Narrow" w:hAnsi="Arial Narrow"/>
                <w:sz w:val="20"/>
                <w:szCs w:val="20"/>
              </w:rPr>
              <w:t xml:space="preserve">Model input </w:t>
            </w:r>
            <w:r w:rsidRPr="00B37F10">
              <w:rPr>
                <w:rFonts w:ascii="Arial Narrow" w:hAnsi="Arial Narrow"/>
                <w:sz w:val="20"/>
                <w:szCs w:val="20"/>
              </w:rPr>
              <w:br/>
              <w:t>≤ 24 weeks</w:t>
            </w:r>
          </w:p>
        </w:tc>
        <w:tc>
          <w:tcPr>
            <w:tcW w:w="2188" w:type="dxa"/>
            <w:tcBorders>
              <w:left w:val="single" w:sz="4" w:space="0" w:color="auto"/>
              <w:bottom w:val="single" w:sz="4" w:space="0" w:color="auto"/>
              <w:right w:val="single" w:sz="4" w:space="0" w:color="auto"/>
            </w:tcBorders>
            <w:shd w:val="clear" w:color="auto" w:fill="D9D9D9" w:themeFill="background1" w:themeFillShade="D9"/>
          </w:tcPr>
          <w:p w:rsidR="00D27CDE" w:rsidRPr="00B37F10" w:rsidRDefault="00D27CDE" w:rsidP="00714C7B">
            <w:pPr>
              <w:pStyle w:val="Tableheadingcent"/>
              <w:rPr>
                <w:rFonts w:ascii="Arial Narrow" w:hAnsi="Arial Narrow"/>
                <w:sz w:val="20"/>
                <w:szCs w:val="20"/>
              </w:rPr>
            </w:pPr>
            <w:r w:rsidRPr="00B37F10">
              <w:rPr>
                <w:rFonts w:ascii="Arial Narrow" w:hAnsi="Arial Narrow"/>
                <w:sz w:val="20"/>
                <w:szCs w:val="20"/>
              </w:rPr>
              <w:t xml:space="preserve">Model input </w:t>
            </w:r>
            <w:r w:rsidRPr="00B37F10">
              <w:rPr>
                <w:rFonts w:ascii="Arial Narrow" w:hAnsi="Arial Narrow"/>
                <w:sz w:val="20"/>
                <w:szCs w:val="20"/>
              </w:rPr>
              <w:br/>
              <w:t>&gt; 24 weeks</w:t>
            </w:r>
          </w:p>
        </w:tc>
      </w:tr>
      <w:tr w:rsidR="00D27CDE" w:rsidRPr="00D35336" w:rsidTr="007C02B9">
        <w:tc>
          <w:tcPr>
            <w:tcW w:w="1524" w:type="dxa"/>
            <w:vMerge w:val="restart"/>
            <w:tcBorders>
              <w:left w:val="single" w:sz="4" w:space="0" w:color="auto"/>
              <w:right w:val="single" w:sz="4" w:space="0" w:color="auto"/>
            </w:tcBorders>
            <w:shd w:val="clear" w:color="auto" w:fill="FFFFFF" w:themeFill="background1"/>
          </w:tcPr>
          <w:p w:rsidR="00D27CDE" w:rsidRPr="00B37F10" w:rsidRDefault="00D27CDE" w:rsidP="00714C7B">
            <w:pPr>
              <w:pStyle w:val="Tabletextleft"/>
              <w:rPr>
                <w:rFonts w:ascii="Arial Narrow" w:hAnsi="Arial Narrow"/>
                <w:sz w:val="20"/>
              </w:rPr>
            </w:pPr>
            <w:r w:rsidRPr="00B37F10">
              <w:rPr>
                <w:rFonts w:ascii="Arial Narrow" w:hAnsi="Arial Narrow"/>
                <w:sz w:val="20"/>
              </w:rPr>
              <w:t>Change in ppFEV</w:t>
            </w:r>
            <w:r w:rsidRPr="00B37F10">
              <w:rPr>
                <w:rFonts w:ascii="Arial Narrow" w:hAnsi="Arial Narrow"/>
                <w:sz w:val="20"/>
                <w:vertAlign w:val="subscript"/>
              </w:rPr>
              <w:t>1</w:t>
            </w:r>
          </w:p>
        </w:tc>
        <w:tc>
          <w:tcPr>
            <w:tcW w:w="959" w:type="dxa"/>
            <w:tcBorders>
              <w:left w:val="single" w:sz="4" w:space="0" w:color="auto"/>
              <w:bottom w:val="single" w:sz="4" w:space="0" w:color="auto"/>
              <w:right w:val="single" w:sz="4" w:space="0" w:color="auto"/>
            </w:tcBorders>
            <w:shd w:val="clear" w:color="auto" w:fill="FFFFFF" w:themeFill="background1"/>
          </w:tcPr>
          <w:p w:rsidR="00D27CDE" w:rsidRPr="00B37F10" w:rsidRDefault="00D27CDE" w:rsidP="00714C7B">
            <w:pPr>
              <w:pStyle w:val="Tabletextcent"/>
              <w:rPr>
                <w:rFonts w:ascii="Arial Narrow" w:hAnsi="Arial Narrow"/>
                <w:sz w:val="20"/>
              </w:rPr>
            </w:pPr>
            <w:r w:rsidRPr="00B37F10">
              <w:rPr>
                <w:rFonts w:ascii="Arial Narrow" w:hAnsi="Arial Narrow"/>
                <w:sz w:val="20"/>
              </w:rPr>
              <w:t>2–8</w:t>
            </w:r>
          </w:p>
        </w:tc>
        <w:tc>
          <w:tcPr>
            <w:tcW w:w="1183" w:type="dxa"/>
            <w:vMerge w:val="restart"/>
            <w:tcBorders>
              <w:left w:val="single" w:sz="4" w:space="0" w:color="auto"/>
              <w:right w:val="single" w:sz="4" w:space="0" w:color="auto"/>
            </w:tcBorders>
            <w:shd w:val="clear" w:color="auto" w:fill="FFFFFF" w:themeFill="background1"/>
            <w:tcMar>
              <w:left w:w="14" w:type="dxa"/>
              <w:right w:w="14" w:type="dxa"/>
            </w:tcMar>
          </w:tcPr>
          <w:p w:rsidR="00D27CDE" w:rsidRPr="00B37F10" w:rsidRDefault="004978B4" w:rsidP="00714C7B">
            <w:pPr>
              <w:pStyle w:val="Tabletextcent"/>
              <w:rPr>
                <w:rFonts w:ascii="Arial Narrow" w:hAnsi="Arial Narrow"/>
                <w:sz w:val="20"/>
              </w:rPr>
            </w:pPr>
            <w:r>
              <w:rPr>
                <w:rFonts w:ascii="Arial Narrow" w:hAnsi="Arial Narrow"/>
                <w:noProof/>
                <w:color w:val="000000"/>
                <w:sz w:val="20"/>
                <w:highlight w:val="black"/>
              </w:rPr>
              <w:t>''''''''</w:t>
            </w:r>
            <w:r w:rsidR="00D27CDE" w:rsidRPr="00B37F10">
              <w:rPr>
                <w:rFonts w:ascii="Arial Narrow" w:hAnsi="Arial Narrow"/>
                <w:sz w:val="20"/>
              </w:rPr>
              <w:t>%</w:t>
            </w:r>
          </w:p>
        </w:tc>
        <w:tc>
          <w:tcPr>
            <w:tcW w:w="1262" w:type="dxa"/>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lang w:eastAsia="en-US"/>
              </w:rPr>
            </w:pPr>
            <w:r w:rsidRPr="00B37F10">
              <w:rPr>
                <w:rFonts w:ascii="Arial Narrow" w:hAnsi="Arial Narrow"/>
                <w:sz w:val="20"/>
              </w:rPr>
              <w:t>-</w:t>
            </w:r>
            <w:r w:rsidR="004978B4">
              <w:rPr>
                <w:rFonts w:ascii="Arial Narrow" w:hAnsi="Arial Narrow"/>
                <w:noProof/>
                <w:color w:val="000000"/>
                <w:sz w:val="20"/>
                <w:highlight w:val="black"/>
              </w:rPr>
              <w:t>''''''''''</w:t>
            </w:r>
            <w:r w:rsidRPr="00B37F10">
              <w:rPr>
                <w:rFonts w:ascii="Arial Narrow" w:hAnsi="Arial Narrow"/>
                <w:sz w:val="20"/>
              </w:rPr>
              <w:t>%</w:t>
            </w:r>
            <w:r w:rsidRPr="00B37F10">
              <w:rPr>
                <w:rFonts w:ascii="Arial Narrow" w:hAnsi="Arial Narrow"/>
                <w:sz w:val="20"/>
              </w:rPr>
              <w:br/>
              <w:t>(annual change)</w:t>
            </w:r>
          </w:p>
        </w:tc>
        <w:tc>
          <w:tcPr>
            <w:tcW w:w="2018" w:type="dxa"/>
            <w:vMerge w:val="restart"/>
            <w:tcBorders>
              <w:left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lang w:eastAsia="en-US"/>
              </w:rPr>
            </w:pPr>
            <w:r w:rsidRPr="00B37F10">
              <w:rPr>
                <w:rFonts w:ascii="Arial Narrow" w:hAnsi="Arial Narrow"/>
                <w:sz w:val="20"/>
                <w:lang w:eastAsia="en-US"/>
              </w:rPr>
              <w:t>+</w:t>
            </w:r>
            <w:r w:rsidR="004978B4">
              <w:rPr>
                <w:rFonts w:ascii="Arial Narrow" w:hAnsi="Arial Narrow"/>
                <w:noProof/>
                <w:color w:val="000000"/>
                <w:sz w:val="20"/>
                <w:highlight w:val="black"/>
                <w:lang w:eastAsia="en-US"/>
              </w:rPr>
              <w:t>'''''''''</w:t>
            </w:r>
            <w:r w:rsidRPr="00B37F10">
              <w:rPr>
                <w:rFonts w:ascii="Arial Narrow" w:hAnsi="Arial Narrow"/>
                <w:sz w:val="20"/>
                <w:lang w:eastAsia="en-US"/>
              </w:rPr>
              <w:t xml:space="preserve">% </w:t>
            </w:r>
          </w:p>
          <w:p w:rsidR="00D27CDE" w:rsidRPr="00B37F10" w:rsidRDefault="00D27CDE" w:rsidP="00714C7B">
            <w:pPr>
              <w:pStyle w:val="Tabletextcent"/>
              <w:rPr>
                <w:rFonts w:ascii="Arial Narrow" w:hAnsi="Arial Narrow"/>
                <w:sz w:val="20"/>
                <w:lang w:eastAsia="en-US"/>
              </w:rPr>
            </w:pPr>
            <w:r w:rsidRPr="00B37F10">
              <w:rPr>
                <w:rFonts w:ascii="Arial Narrow" w:hAnsi="Arial Narrow"/>
                <w:sz w:val="20"/>
                <w:lang w:eastAsia="en-US"/>
              </w:rPr>
              <w:t>(2–11 years of age)</w:t>
            </w:r>
            <w:r w:rsidRPr="00B37F10">
              <w:rPr>
                <w:rFonts w:ascii="Arial Narrow" w:hAnsi="Arial Narrow"/>
                <w:sz w:val="20"/>
                <w:lang w:eastAsia="en-US"/>
              </w:rPr>
              <w:br/>
            </w:r>
          </w:p>
        </w:tc>
        <w:tc>
          <w:tcPr>
            <w:tcW w:w="2188" w:type="dxa"/>
            <w:vMerge w:val="restart"/>
            <w:tcBorders>
              <w:left w:val="single" w:sz="4" w:space="0" w:color="auto"/>
              <w:right w:val="single" w:sz="4" w:space="0" w:color="auto"/>
            </w:tcBorders>
            <w:shd w:val="clear" w:color="auto" w:fill="FFFFFF" w:themeFill="background1"/>
            <w:tcMar>
              <w:left w:w="14" w:type="dxa"/>
              <w:right w:w="14" w:type="dxa"/>
            </w:tcMar>
          </w:tcPr>
          <w:p w:rsidR="00D27CDE" w:rsidRPr="00B37F10" w:rsidRDefault="004978B4" w:rsidP="00714C7B">
            <w:pPr>
              <w:pStyle w:val="Tabletextcent"/>
              <w:rPr>
                <w:rFonts w:ascii="Arial Narrow" w:hAnsi="Arial Narrow"/>
                <w:sz w:val="20"/>
                <w:lang w:eastAsia="en-US"/>
              </w:rPr>
            </w:pPr>
            <w:r>
              <w:rPr>
                <w:rFonts w:ascii="Arial Narrow" w:hAnsi="Arial Narrow"/>
                <w:noProof/>
                <w:color w:val="000000"/>
                <w:sz w:val="20"/>
                <w:highlight w:val="black"/>
                <w:lang w:eastAsia="en-US"/>
              </w:rPr>
              <w:t>''''''</w:t>
            </w:r>
            <w:r w:rsidR="00D27CDE" w:rsidRPr="00B37F10">
              <w:rPr>
                <w:rFonts w:ascii="Arial Narrow" w:hAnsi="Arial Narrow"/>
                <w:sz w:val="20"/>
                <w:lang w:eastAsia="en-US"/>
              </w:rPr>
              <w:t>% of the decline seen in BSC at appropriate age</w:t>
            </w:r>
          </w:p>
        </w:tc>
      </w:tr>
      <w:tr w:rsidR="00D27CDE" w:rsidRPr="00D35336" w:rsidTr="007C02B9">
        <w:tc>
          <w:tcPr>
            <w:tcW w:w="1524" w:type="dxa"/>
            <w:vMerge/>
            <w:tcBorders>
              <w:left w:val="single" w:sz="4" w:space="0" w:color="auto"/>
              <w:right w:val="single" w:sz="4" w:space="0" w:color="auto"/>
            </w:tcBorders>
            <w:shd w:val="clear" w:color="auto" w:fill="FFFFFF" w:themeFill="background1"/>
          </w:tcPr>
          <w:p w:rsidR="00D27CDE" w:rsidRPr="00B37F10" w:rsidRDefault="00D27CDE" w:rsidP="00714C7B">
            <w:pPr>
              <w:pStyle w:val="Tabletextleft"/>
              <w:rPr>
                <w:rFonts w:ascii="Arial Narrow" w:hAnsi="Arial Narrow"/>
                <w:sz w:val="20"/>
              </w:rPr>
            </w:pPr>
          </w:p>
        </w:tc>
        <w:tc>
          <w:tcPr>
            <w:tcW w:w="959" w:type="dxa"/>
            <w:tcBorders>
              <w:left w:val="single" w:sz="4" w:space="0" w:color="auto"/>
              <w:bottom w:val="single" w:sz="4" w:space="0" w:color="auto"/>
              <w:right w:val="single" w:sz="4" w:space="0" w:color="auto"/>
            </w:tcBorders>
            <w:shd w:val="clear" w:color="auto" w:fill="FFFFFF" w:themeFill="background1"/>
          </w:tcPr>
          <w:p w:rsidR="00D27CDE" w:rsidRPr="00B37F10" w:rsidRDefault="00D27CDE" w:rsidP="00714C7B">
            <w:pPr>
              <w:pStyle w:val="Tabletextcent"/>
              <w:rPr>
                <w:rFonts w:ascii="Arial Narrow" w:hAnsi="Arial Narrow"/>
                <w:sz w:val="20"/>
              </w:rPr>
            </w:pPr>
            <w:r w:rsidRPr="00B37F10">
              <w:rPr>
                <w:rFonts w:ascii="Arial Narrow" w:hAnsi="Arial Narrow"/>
                <w:sz w:val="20"/>
              </w:rPr>
              <w:t>9–12</w:t>
            </w:r>
          </w:p>
        </w:tc>
        <w:tc>
          <w:tcPr>
            <w:tcW w:w="1183" w:type="dxa"/>
            <w:vMerge/>
            <w:tcBorders>
              <w:left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rPr>
            </w:pPr>
          </w:p>
        </w:tc>
        <w:tc>
          <w:tcPr>
            <w:tcW w:w="1262" w:type="dxa"/>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lang w:eastAsia="en-US"/>
              </w:rPr>
            </w:pPr>
            <w:r w:rsidRPr="00B37F10">
              <w:rPr>
                <w:rFonts w:ascii="Arial Narrow" w:hAnsi="Arial Narrow"/>
                <w:sz w:val="20"/>
                <w:lang w:eastAsia="en-US"/>
              </w:rPr>
              <w:t>-</w:t>
            </w:r>
            <w:r w:rsidR="004978B4">
              <w:rPr>
                <w:rFonts w:ascii="Arial Narrow" w:hAnsi="Arial Narrow"/>
                <w:noProof/>
                <w:color w:val="000000"/>
                <w:sz w:val="20"/>
                <w:highlight w:val="black"/>
                <w:lang w:eastAsia="en-US"/>
              </w:rPr>
              <w:t>''''''''''</w:t>
            </w:r>
            <w:r w:rsidRPr="00B37F10">
              <w:rPr>
                <w:rFonts w:ascii="Arial Narrow" w:hAnsi="Arial Narrow"/>
                <w:sz w:val="20"/>
                <w:lang w:eastAsia="en-US"/>
              </w:rPr>
              <w:t xml:space="preserve">% </w:t>
            </w:r>
            <w:r w:rsidRPr="00B37F10">
              <w:rPr>
                <w:rFonts w:ascii="Arial Narrow" w:hAnsi="Arial Narrow"/>
                <w:sz w:val="20"/>
                <w:lang w:eastAsia="en-US"/>
              </w:rPr>
              <w:br/>
            </w:r>
            <w:r w:rsidRPr="00B37F10">
              <w:rPr>
                <w:rFonts w:ascii="Arial Narrow" w:hAnsi="Arial Narrow"/>
                <w:sz w:val="20"/>
              </w:rPr>
              <w:t>(annual change)</w:t>
            </w:r>
          </w:p>
        </w:tc>
        <w:tc>
          <w:tcPr>
            <w:tcW w:w="2018" w:type="dxa"/>
            <w:vMerge/>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lang w:eastAsia="en-US"/>
              </w:rPr>
            </w:pPr>
          </w:p>
        </w:tc>
        <w:tc>
          <w:tcPr>
            <w:tcW w:w="2188" w:type="dxa"/>
            <w:vMerge/>
            <w:tcBorders>
              <w:left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lang w:eastAsia="en-US"/>
              </w:rPr>
            </w:pPr>
          </w:p>
        </w:tc>
      </w:tr>
      <w:tr w:rsidR="00D27CDE" w:rsidRPr="00D35336" w:rsidTr="007C02B9">
        <w:tc>
          <w:tcPr>
            <w:tcW w:w="1524" w:type="dxa"/>
            <w:vMerge/>
            <w:tcBorders>
              <w:left w:val="single" w:sz="4" w:space="0" w:color="auto"/>
              <w:right w:val="single" w:sz="4" w:space="0" w:color="auto"/>
            </w:tcBorders>
            <w:shd w:val="clear" w:color="auto" w:fill="FFFFFF" w:themeFill="background1"/>
          </w:tcPr>
          <w:p w:rsidR="00D27CDE" w:rsidRPr="00B37F10" w:rsidRDefault="00D27CDE" w:rsidP="00714C7B">
            <w:pPr>
              <w:pStyle w:val="Tabletextleft"/>
              <w:rPr>
                <w:rFonts w:ascii="Arial Narrow" w:hAnsi="Arial Narrow"/>
                <w:sz w:val="20"/>
              </w:rPr>
            </w:pPr>
          </w:p>
        </w:tc>
        <w:tc>
          <w:tcPr>
            <w:tcW w:w="959" w:type="dxa"/>
            <w:tcBorders>
              <w:left w:val="single" w:sz="4" w:space="0" w:color="auto"/>
              <w:bottom w:val="single" w:sz="4" w:space="0" w:color="auto"/>
              <w:right w:val="single" w:sz="4" w:space="0" w:color="auto"/>
            </w:tcBorders>
            <w:shd w:val="clear" w:color="auto" w:fill="FFFFFF" w:themeFill="background1"/>
          </w:tcPr>
          <w:p w:rsidR="00D27CDE" w:rsidRPr="00B37F10" w:rsidRDefault="00D27CDE" w:rsidP="00714C7B">
            <w:pPr>
              <w:pStyle w:val="Tabletextcent"/>
              <w:rPr>
                <w:rFonts w:ascii="Arial Narrow" w:hAnsi="Arial Narrow"/>
                <w:sz w:val="20"/>
              </w:rPr>
            </w:pPr>
            <w:r w:rsidRPr="00B37F10">
              <w:rPr>
                <w:rFonts w:ascii="Arial Narrow" w:hAnsi="Arial Narrow"/>
                <w:sz w:val="20"/>
              </w:rPr>
              <w:t>13-17</w:t>
            </w:r>
          </w:p>
        </w:tc>
        <w:tc>
          <w:tcPr>
            <w:tcW w:w="1183" w:type="dxa"/>
            <w:vMerge/>
            <w:tcBorders>
              <w:left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rPr>
            </w:pPr>
          </w:p>
        </w:tc>
        <w:tc>
          <w:tcPr>
            <w:tcW w:w="1262" w:type="dxa"/>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lang w:eastAsia="en-US"/>
              </w:rPr>
            </w:pPr>
            <w:r w:rsidRPr="00B37F10">
              <w:rPr>
                <w:rFonts w:ascii="Arial Narrow" w:hAnsi="Arial Narrow"/>
                <w:sz w:val="20"/>
                <w:lang w:eastAsia="en-US"/>
              </w:rPr>
              <w:t>-</w:t>
            </w:r>
            <w:r w:rsidR="004978B4">
              <w:rPr>
                <w:rFonts w:ascii="Arial Narrow" w:hAnsi="Arial Narrow"/>
                <w:noProof/>
                <w:color w:val="000000"/>
                <w:sz w:val="20"/>
                <w:highlight w:val="black"/>
                <w:lang w:eastAsia="en-US"/>
              </w:rPr>
              <w:t>''''''''''</w:t>
            </w:r>
            <w:r w:rsidRPr="00B37F10">
              <w:rPr>
                <w:rFonts w:ascii="Arial Narrow" w:hAnsi="Arial Narrow"/>
                <w:sz w:val="20"/>
                <w:lang w:eastAsia="en-US"/>
              </w:rPr>
              <w:t>%</w:t>
            </w:r>
            <w:r w:rsidRPr="00B37F10">
              <w:rPr>
                <w:rFonts w:ascii="Arial Narrow" w:hAnsi="Arial Narrow"/>
                <w:sz w:val="20"/>
                <w:lang w:eastAsia="en-US"/>
              </w:rPr>
              <w:br/>
            </w:r>
            <w:r w:rsidRPr="00B37F10">
              <w:rPr>
                <w:rFonts w:ascii="Arial Narrow" w:hAnsi="Arial Narrow"/>
                <w:sz w:val="20"/>
              </w:rPr>
              <w:t>(annual change)</w:t>
            </w:r>
          </w:p>
        </w:tc>
        <w:tc>
          <w:tcPr>
            <w:tcW w:w="2018" w:type="dxa"/>
            <w:vMerge w:val="restart"/>
            <w:tcBorders>
              <w:left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lang w:eastAsia="en-US"/>
              </w:rPr>
            </w:pPr>
            <w:r w:rsidRPr="00B37F10">
              <w:rPr>
                <w:rFonts w:ascii="Arial Narrow" w:hAnsi="Arial Narrow"/>
                <w:sz w:val="20"/>
                <w:lang w:eastAsia="en-US"/>
              </w:rPr>
              <w:t>+</w:t>
            </w:r>
            <w:r w:rsidR="004978B4">
              <w:rPr>
                <w:rFonts w:ascii="Arial Narrow" w:hAnsi="Arial Narrow"/>
                <w:noProof/>
                <w:color w:val="000000"/>
                <w:sz w:val="20"/>
                <w:highlight w:val="black"/>
                <w:lang w:eastAsia="en-US"/>
              </w:rPr>
              <w:t>'''''''</w:t>
            </w:r>
            <w:r w:rsidRPr="00B37F10">
              <w:rPr>
                <w:rFonts w:ascii="Arial Narrow" w:hAnsi="Arial Narrow"/>
                <w:sz w:val="20"/>
                <w:lang w:eastAsia="en-US"/>
              </w:rPr>
              <w:t xml:space="preserve">% </w:t>
            </w:r>
          </w:p>
          <w:p w:rsidR="00D27CDE" w:rsidRPr="00B37F10" w:rsidRDefault="00D27CDE" w:rsidP="00714C7B">
            <w:pPr>
              <w:pStyle w:val="Tabletextcent"/>
              <w:rPr>
                <w:rFonts w:ascii="Arial Narrow" w:hAnsi="Arial Narrow"/>
                <w:sz w:val="20"/>
                <w:lang w:eastAsia="en-US"/>
              </w:rPr>
            </w:pPr>
            <w:r w:rsidRPr="00B37F10">
              <w:rPr>
                <w:rFonts w:ascii="Arial Narrow" w:hAnsi="Arial Narrow"/>
                <w:sz w:val="20"/>
                <w:lang w:eastAsia="en-US"/>
              </w:rPr>
              <w:t>(12+ years of age)</w:t>
            </w:r>
            <w:r w:rsidRPr="00B37F10">
              <w:rPr>
                <w:rFonts w:ascii="Arial Narrow" w:hAnsi="Arial Narrow"/>
                <w:sz w:val="20"/>
                <w:lang w:eastAsia="en-US"/>
              </w:rPr>
              <w:br/>
            </w:r>
          </w:p>
        </w:tc>
        <w:tc>
          <w:tcPr>
            <w:tcW w:w="2188" w:type="dxa"/>
            <w:vMerge/>
            <w:tcBorders>
              <w:left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lang w:eastAsia="en-US"/>
              </w:rPr>
            </w:pPr>
          </w:p>
        </w:tc>
      </w:tr>
      <w:tr w:rsidR="00D27CDE" w:rsidRPr="00D35336" w:rsidTr="007C02B9">
        <w:tc>
          <w:tcPr>
            <w:tcW w:w="1524" w:type="dxa"/>
            <w:vMerge/>
            <w:tcBorders>
              <w:left w:val="single" w:sz="4" w:space="0" w:color="auto"/>
              <w:bottom w:val="single" w:sz="4" w:space="0" w:color="auto"/>
              <w:right w:val="single" w:sz="4" w:space="0" w:color="auto"/>
            </w:tcBorders>
            <w:shd w:val="clear" w:color="auto" w:fill="FFFFFF" w:themeFill="background1"/>
          </w:tcPr>
          <w:p w:rsidR="00D27CDE" w:rsidRPr="00B37F10" w:rsidRDefault="00D27CDE" w:rsidP="00714C7B">
            <w:pPr>
              <w:pStyle w:val="Tabletextleft"/>
              <w:rPr>
                <w:rFonts w:ascii="Arial Narrow" w:hAnsi="Arial Narrow"/>
                <w:sz w:val="20"/>
              </w:rPr>
            </w:pPr>
          </w:p>
        </w:tc>
        <w:tc>
          <w:tcPr>
            <w:tcW w:w="959" w:type="dxa"/>
            <w:tcBorders>
              <w:left w:val="single" w:sz="4" w:space="0" w:color="auto"/>
              <w:bottom w:val="single" w:sz="4" w:space="0" w:color="auto"/>
              <w:right w:val="single" w:sz="4" w:space="0" w:color="auto"/>
            </w:tcBorders>
            <w:shd w:val="clear" w:color="auto" w:fill="FFFFFF" w:themeFill="background1"/>
          </w:tcPr>
          <w:p w:rsidR="00D27CDE" w:rsidRPr="00B37F10" w:rsidRDefault="00D27CDE" w:rsidP="00714C7B">
            <w:pPr>
              <w:pStyle w:val="Tabletextcent"/>
              <w:rPr>
                <w:rFonts w:ascii="Arial Narrow" w:hAnsi="Arial Narrow"/>
                <w:sz w:val="20"/>
              </w:rPr>
            </w:pPr>
            <w:r w:rsidRPr="00B37F10">
              <w:rPr>
                <w:rFonts w:ascii="Arial Narrow" w:hAnsi="Arial Narrow"/>
                <w:sz w:val="20"/>
                <w:lang w:eastAsia="en-US"/>
              </w:rPr>
              <w:t>≥ 18</w:t>
            </w:r>
          </w:p>
        </w:tc>
        <w:tc>
          <w:tcPr>
            <w:tcW w:w="1183" w:type="dxa"/>
            <w:vMerge/>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rPr>
            </w:pPr>
          </w:p>
        </w:tc>
        <w:tc>
          <w:tcPr>
            <w:tcW w:w="1262" w:type="dxa"/>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rPr>
            </w:pPr>
            <w:r w:rsidRPr="00B37F10">
              <w:rPr>
                <w:rFonts w:ascii="Arial Narrow" w:hAnsi="Arial Narrow"/>
                <w:sz w:val="20"/>
                <w:lang w:eastAsia="en-US"/>
              </w:rPr>
              <w:t>-</w:t>
            </w:r>
            <w:r w:rsidR="004978B4">
              <w:rPr>
                <w:rFonts w:ascii="Arial Narrow" w:hAnsi="Arial Narrow"/>
                <w:noProof/>
                <w:color w:val="000000"/>
                <w:sz w:val="20"/>
                <w:highlight w:val="black"/>
                <w:lang w:eastAsia="en-US"/>
              </w:rPr>
              <w:t>'''''''''''</w:t>
            </w:r>
            <w:r w:rsidRPr="00B37F10">
              <w:rPr>
                <w:rFonts w:ascii="Arial Narrow" w:hAnsi="Arial Narrow"/>
                <w:sz w:val="20"/>
                <w:lang w:eastAsia="en-US"/>
              </w:rPr>
              <w:t xml:space="preserve">% </w:t>
            </w:r>
            <w:r w:rsidRPr="00B37F10">
              <w:rPr>
                <w:rFonts w:ascii="Arial Narrow" w:hAnsi="Arial Narrow"/>
                <w:sz w:val="20"/>
                <w:lang w:eastAsia="en-US"/>
              </w:rPr>
              <w:br/>
            </w:r>
            <w:r w:rsidRPr="00B37F10">
              <w:rPr>
                <w:rFonts w:ascii="Arial Narrow" w:hAnsi="Arial Narrow"/>
                <w:sz w:val="20"/>
              </w:rPr>
              <w:t>(annual change)</w:t>
            </w:r>
          </w:p>
        </w:tc>
        <w:tc>
          <w:tcPr>
            <w:tcW w:w="2018" w:type="dxa"/>
            <w:vMerge/>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rPr>
            </w:pPr>
          </w:p>
        </w:tc>
        <w:tc>
          <w:tcPr>
            <w:tcW w:w="2188" w:type="dxa"/>
            <w:vMerge/>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rPr>
            </w:pPr>
          </w:p>
        </w:tc>
      </w:tr>
      <w:tr w:rsidR="00D27CDE" w:rsidRPr="00D35336" w:rsidTr="007C02B9">
        <w:tc>
          <w:tcPr>
            <w:tcW w:w="1524" w:type="dxa"/>
            <w:tcBorders>
              <w:left w:val="single" w:sz="4" w:space="0" w:color="auto"/>
              <w:bottom w:val="single" w:sz="4" w:space="0" w:color="auto"/>
              <w:right w:val="single" w:sz="4" w:space="0" w:color="auto"/>
            </w:tcBorders>
            <w:shd w:val="clear" w:color="auto" w:fill="FFFFFF" w:themeFill="background1"/>
          </w:tcPr>
          <w:p w:rsidR="00D27CDE" w:rsidRPr="00B37F10" w:rsidRDefault="00D27CDE" w:rsidP="00714C7B">
            <w:pPr>
              <w:pStyle w:val="Tabletextleft"/>
              <w:rPr>
                <w:rFonts w:ascii="Arial Narrow" w:hAnsi="Arial Narrow"/>
                <w:sz w:val="20"/>
              </w:rPr>
            </w:pPr>
            <w:r w:rsidRPr="00B37F10">
              <w:rPr>
                <w:rFonts w:ascii="Arial Narrow" w:hAnsi="Arial Narrow"/>
                <w:sz w:val="20"/>
                <w:lang w:eastAsia="en-US"/>
              </w:rPr>
              <w:t xml:space="preserve">Change in Weight for age z-score </w:t>
            </w:r>
          </w:p>
        </w:tc>
        <w:tc>
          <w:tcPr>
            <w:tcW w:w="959" w:type="dxa"/>
            <w:tcBorders>
              <w:left w:val="single" w:sz="4" w:space="0" w:color="auto"/>
              <w:bottom w:val="single" w:sz="4" w:space="0" w:color="auto"/>
              <w:right w:val="single" w:sz="4" w:space="0" w:color="auto"/>
            </w:tcBorders>
            <w:shd w:val="clear" w:color="auto" w:fill="FFFFFF" w:themeFill="background1"/>
          </w:tcPr>
          <w:p w:rsidR="00D27CDE" w:rsidRPr="00B37F10" w:rsidRDefault="00D27CDE" w:rsidP="00714C7B">
            <w:pPr>
              <w:pStyle w:val="Tabletextcent"/>
              <w:rPr>
                <w:rFonts w:ascii="Arial Narrow" w:hAnsi="Arial Narrow"/>
                <w:sz w:val="20"/>
              </w:rPr>
            </w:pPr>
            <w:r w:rsidRPr="00B37F10">
              <w:rPr>
                <w:rFonts w:ascii="Arial Narrow" w:hAnsi="Arial Narrow"/>
                <w:sz w:val="20"/>
              </w:rPr>
              <w:t>All</w:t>
            </w:r>
          </w:p>
        </w:tc>
        <w:tc>
          <w:tcPr>
            <w:tcW w:w="1183" w:type="dxa"/>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D27CDE" w:rsidP="00714C7B">
            <w:pPr>
              <w:pStyle w:val="Tabletextcent"/>
              <w:rPr>
                <w:rFonts w:ascii="Arial Narrow" w:hAnsi="Arial Narrow"/>
                <w:sz w:val="20"/>
                <w:lang w:eastAsia="en-US"/>
              </w:rPr>
            </w:pPr>
            <w:r w:rsidRPr="00B37F10">
              <w:rPr>
                <w:rFonts w:ascii="Arial Narrow" w:hAnsi="Arial Narrow"/>
                <w:sz w:val="20"/>
                <w:lang w:eastAsia="en-US"/>
              </w:rPr>
              <w:t>-</w:t>
            </w:r>
            <w:r w:rsidR="004978B4">
              <w:rPr>
                <w:rFonts w:ascii="Arial Narrow" w:hAnsi="Arial Narrow"/>
                <w:noProof/>
                <w:color w:val="000000"/>
                <w:sz w:val="20"/>
                <w:highlight w:val="black"/>
                <w:lang w:eastAsia="en-US"/>
              </w:rPr>
              <w:t>''''''''''</w:t>
            </w:r>
            <w:r w:rsidRPr="00B37F10">
              <w:rPr>
                <w:rFonts w:ascii="Arial Narrow" w:hAnsi="Arial Narrow"/>
                <w:sz w:val="20"/>
                <w:lang w:eastAsia="en-US"/>
              </w:rPr>
              <w:t xml:space="preserve"> </w:t>
            </w:r>
            <w:r w:rsidRPr="00B37F10">
              <w:rPr>
                <w:rFonts w:ascii="Arial Narrow" w:hAnsi="Arial Narrow"/>
                <w:sz w:val="20"/>
                <w:lang w:eastAsia="en-US"/>
              </w:rPr>
              <w:br/>
              <w:t>(per annum)</w:t>
            </w:r>
            <w:r w:rsidRPr="00B37F10">
              <w:rPr>
                <w:rFonts w:ascii="Arial Narrow" w:hAnsi="Arial Narrow"/>
                <w:sz w:val="20"/>
                <w:lang w:eastAsia="en-US"/>
              </w:rPr>
              <w:br/>
              <w:t>(≤ first 2 years of model)</w:t>
            </w:r>
          </w:p>
        </w:tc>
        <w:tc>
          <w:tcPr>
            <w:tcW w:w="1262" w:type="dxa"/>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4978B4" w:rsidP="00714C7B">
            <w:pPr>
              <w:pStyle w:val="Tabletextcent"/>
              <w:rPr>
                <w:rFonts w:ascii="Arial Narrow" w:hAnsi="Arial Narrow"/>
                <w:sz w:val="20"/>
                <w:lang w:eastAsia="en-US"/>
              </w:rPr>
            </w:pPr>
            <w:r>
              <w:rPr>
                <w:rFonts w:ascii="Arial Narrow" w:hAnsi="Arial Narrow"/>
                <w:noProof/>
                <w:color w:val="000000"/>
                <w:sz w:val="20"/>
                <w:highlight w:val="black"/>
                <w:lang w:eastAsia="en-US"/>
              </w:rPr>
              <w:t>''''''' '''''''''''''' ''''''''''''''''''</w:t>
            </w:r>
            <w:r w:rsidR="00D27CDE" w:rsidRPr="00B37F10">
              <w:rPr>
                <w:rFonts w:ascii="Arial Narrow" w:hAnsi="Arial Narrow"/>
                <w:sz w:val="20"/>
                <w:lang w:eastAsia="en-US"/>
              </w:rPr>
              <w:br/>
              <w:t>(&gt; first 2 years of model)</w:t>
            </w:r>
          </w:p>
        </w:tc>
        <w:tc>
          <w:tcPr>
            <w:tcW w:w="2018" w:type="dxa"/>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4978B4" w:rsidP="00714C7B">
            <w:pPr>
              <w:pStyle w:val="Tabletextcent"/>
              <w:rPr>
                <w:rFonts w:ascii="Arial Narrow" w:hAnsi="Arial Narrow"/>
                <w:sz w:val="20"/>
                <w:lang w:eastAsia="en-US"/>
              </w:rPr>
            </w:pPr>
            <w:r>
              <w:rPr>
                <w:rFonts w:ascii="Arial Narrow" w:hAnsi="Arial Narrow"/>
                <w:noProof/>
                <w:color w:val="000000"/>
                <w:sz w:val="20"/>
                <w:highlight w:val="black"/>
                <w:lang w:eastAsia="en-US"/>
              </w:rPr>
              <w:t xml:space="preserve">''''''''''''''' </w:t>
            </w:r>
            <w:r>
              <w:rPr>
                <w:rFonts w:ascii="Arial Narrow" w:hAnsi="Arial Narrow"/>
                <w:noProof/>
                <w:color w:val="000000"/>
                <w:sz w:val="20"/>
                <w:highlight w:val="black"/>
                <w:lang w:eastAsia="en-US"/>
              </w:rPr>
              <w:br/>
            </w:r>
            <w:r w:rsidR="00D27CDE" w:rsidRPr="00B37F10">
              <w:rPr>
                <w:rFonts w:ascii="Arial Narrow" w:hAnsi="Arial Narrow"/>
                <w:sz w:val="20"/>
                <w:lang w:eastAsia="en-US"/>
              </w:rPr>
              <w:t>(per annum)</w:t>
            </w:r>
            <w:r w:rsidR="00D27CDE" w:rsidRPr="00B37F10">
              <w:rPr>
                <w:rFonts w:ascii="Arial Narrow" w:hAnsi="Arial Narrow"/>
                <w:sz w:val="20"/>
                <w:lang w:eastAsia="en-US"/>
              </w:rPr>
              <w:br/>
              <w:t>(≤ first 2 years of model)</w:t>
            </w:r>
          </w:p>
        </w:tc>
        <w:tc>
          <w:tcPr>
            <w:tcW w:w="2188" w:type="dxa"/>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4978B4" w:rsidP="00714C7B">
            <w:pPr>
              <w:pStyle w:val="Tabletextcent"/>
              <w:rPr>
                <w:rFonts w:ascii="Arial Narrow" w:hAnsi="Arial Narrow"/>
                <w:sz w:val="20"/>
                <w:lang w:eastAsia="en-US"/>
              </w:rPr>
            </w:pPr>
            <w:r>
              <w:rPr>
                <w:rFonts w:ascii="Arial Narrow" w:hAnsi="Arial Narrow"/>
                <w:noProof/>
                <w:color w:val="000000"/>
                <w:sz w:val="20"/>
                <w:highlight w:val="black"/>
                <w:lang w:eastAsia="en-US"/>
              </w:rPr>
              <w:t>''''''' ''''''''''''''' ''''''''''''''''''</w:t>
            </w:r>
            <w:r w:rsidR="00D27CDE" w:rsidRPr="00B37F10">
              <w:rPr>
                <w:rFonts w:ascii="Arial Narrow" w:hAnsi="Arial Narrow"/>
                <w:sz w:val="20"/>
                <w:lang w:eastAsia="en-US"/>
              </w:rPr>
              <w:br/>
              <w:t>(&gt; first 2 years of model)</w:t>
            </w:r>
          </w:p>
        </w:tc>
      </w:tr>
      <w:tr w:rsidR="00D27CDE" w:rsidRPr="00D35336" w:rsidTr="007C02B9">
        <w:tc>
          <w:tcPr>
            <w:tcW w:w="1524" w:type="dxa"/>
            <w:vMerge w:val="restart"/>
            <w:tcBorders>
              <w:left w:val="single" w:sz="4" w:space="0" w:color="auto"/>
              <w:right w:val="single" w:sz="4" w:space="0" w:color="auto"/>
            </w:tcBorders>
            <w:shd w:val="clear" w:color="auto" w:fill="FFFFFF" w:themeFill="background1"/>
          </w:tcPr>
          <w:p w:rsidR="00D27CDE" w:rsidRPr="00B37F10" w:rsidRDefault="00D27CDE" w:rsidP="00714C7B">
            <w:pPr>
              <w:pStyle w:val="Tabletextleft"/>
              <w:rPr>
                <w:rFonts w:ascii="Arial Narrow" w:hAnsi="Arial Narrow"/>
                <w:sz w:val="20"/>
              </w:rPr>
            </w:pPr>
            <w:r w:rsidRPr="00B37F10">
              <w:rPr>
                <w:rFonts w:ascii="Arial Narrow" w:hAnsi="Arial Narrow"/>
                <w:sz w:val="20"/>
              </w:rPr>
              <w:t>Annual rate of pulmonary exacerbations requiring IV antibiotics or inpatient stay</w:t>
            </w:r>
          </w:p>
        </w:tc>
        <w:tc>
          <w:tcPr>
            <w:tcW w:w="959" w:type="dxa"/>
            <w:tcBorders>
              <w:left w:val="single" w:sz="4" w:space="0" w:color="auto"/>
              <w:bottom w:val="single" w:sz="4" w:space="0" w:color="auto"/>
              <w:right w:val="single" w:sz="4" w:space="0" w:color="auto"/>
            </w:tcBorders>
            <w:shd w:val="clear" w:color="auto" w:fill="FFFFFF" w:themeFill="background1"/>
          </w:tcPr>
          <w:p w:rsidR="00D27CDE" w:rsidRPr="00B37F10" w:rsidRDefault="00D27CDE" w:rsidP="00714C7B">
            <w:pPr>
              <w:pStyle w:val="Tabletextcent"/>
              <w:rPr>
                <w:rFonts w:ascii="Arial Narrow" w:hAnsi="Arial Narrow"/>
                <w:sz w:val="20"/>
              </w:rPr>
            </w:pPr>
            <w:r w:rsidRPr="00B37F10">
              <w:rPr>
                <w:rFonts w:ascii="Arial Narrow" w:hAnsi="Arial Narrow"/>
                <w:sz w:val="20"/>
              </w:rPr>
              <w:t>≥ 2–11 years</w:t>
            </w:r>
          </w:p>
        </w:tc>
        <w:tc>
          <w:tcPr>
            <w:tcW w:w="2445" w:type="dxa"/>
            <w:gridSpan w:val="2"/>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4978B4" w:rsidP="00714C7B">
            <w:pPr>
              <w:pStyle w:val="Tabletextcent"/>
              <w:rPr>
                <w:rFonts w:ascii="Arial Narrow" w:hAnsi="Arial Narrow"/>
                <w:sz w:val="20"/>
                <w:lang w:eastAsia="en-US"/>
              </w:rPr>
            </w:pP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lang w:eastAsia="en-GB"/>
              </w:rPr>
              <w:t>'''</w:t>
            </w: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vertAlign w:val="superscript"/>
                <w:lang w:eastAsia="en-GB"/>
              </w:rPr>
              <w:t>''''''''</w:t>
            </w:r>
            <w:r>
              <w:rPr>
                <w:rFonts w:ascii="Arial Narrow" w:hAnsi="Arial Narrow"/>
                <w:noProof/>
                <w:color w:val="000000"/>
                <w:sz w:val="20"/>
                <w:highlight w:val="black"/>
                <w:vertAlign w:val="superscript"/>
                <w:lang w:eastAsia="en-GB"/>
              </w:rPr>
              <w:t>''''</w:t>
            </w:r>
          </w:p>
        </w:tc>
        <w:tc>
          <w:tcPr>
            <w:tcW w:w="4206" w:type="dxa"/>
            <w:gridSpan w:val="2"/>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4978B4" w:rsidRDefault="004978B4" w:rsidP="00714C7B">
            <w:pPr>
              <w:pStyle w:val="Tabletextcent"/>
              <w:rPr>
                <w:rFonts w:ascii="Arial Narrow" w:hAnsi="Arial Narrow"/>
                <w:sz w:val="20"/>
                <w:lang w:eastAsia="en-US"/>
              </w:rPr>
            </w:pP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lang w:eastAsia="en-GB"/>
              </w:rPr>
              <w:t>'''</w:t>
            </w: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vertAlign w:val="superscript"/>
                <w:lang w:eastAsia="en-GB"/>
              </w:rPr>
              <w:t>''''''''</w:t>
            </w:r>
            <w:r>
              <w:rPr>
                <w:rFonts w:ascii="Arial Narrow" w:hAnsi="Arial Narrow"/>
                <w:noProof/>
                <w:color w:val="000000"/>
                <w:sz w:val="20"/>
                <w:highlight w:val="black"/>
                <w:vertAlign w:val="superscript"/>
                <w:lang w:eastAsia="en-GB"/>
              </w:rPr>
              <w:t>''''' '''' '''''''''''</w:t>
            </w:r>
          </w:p>
        </w:tc>
      </w:tr>
      <w:tr w:rsidR="00D27CDE" w:rsidRPr="00D35336" w:rsidTr="007C02B9">
        <w:tc>
          <w:tcPr>
            <w:tcW w:w="1524" w:type="dxa"/>
            <w:vMerge/>
            <w:tcBorders>
              <w:left w:val="single" w:sz="4" w:space="0" w:color="auto"/>
              <w:right w:val="single" w:sz="4" w:space="0" w:color="auto"/>
            </w:tcBorders>
            <w:shd w:val="clear" w:color="auto" w:fill="FFFFFF" w:themeFill="background1"/>
          </w:tcPr>
          <w:p w:rsidR="00D27CDE" w:rsidRPr="00B37F10" w:rsidRDefault="00D27CDE" w:rsidP="00714C7B">
            <w:pPr>
              <w:rPr>
                <w:rFonts w:ascii="Arial Narrow" w:hAnsi="Arial Narrow"/>
                <w:sz w:val="20"/>
                <w:szCs w:val="20"/>
              </w:rPr>
            </w:pPr>
          </w:p>
        </w:tc>
        <w:tc>
          <w:tcPr>
            <w:tcW w:w="959" w:type="dxa"/>
            <w:tcBorders>
              <w:left w:val="single" w:sz="4" w:space="0" w:color="auto"/>
              <w:bottom w:val="single" w:sz="4" w:space="0" w:color="auto"/>
              <w:right w:val="single" w:sz="4" w:space="0" w:color="auto"/>
            </w:tcBorders>
            <w:shd w:val="clear" w:color="auto" w:fill="FFFFFF" w:themeFill="background1"/>
          </w:tcPr>
          <w:p w:rsidR="00D27CDE" w:rsidRPr="00B37F10" w:rsidRDefault="00D27CDE" w:rsidP="00714C7B">
            <w:pPr>
              <w:pStyle w:val="Tabletextcent"/>
              <w:rPr>
                <w:rFonts w:ascii="Arial Narrow" w:hAnsi="Arial Narrow"/>
                <w:sz w:val="20"/>
              </w:rPr>
            </w:pPr>
            <w:r w:rsidRPr="00B37F10">
              <w:rPr>
                <w:rFonts w:ascii="Arial Narrow" w:hAnsi="Arial Narrow"/>
                <w:sz w:val="20"/>
              </w:rPr>
              <w:t>≥ 12–17 years</w:t>
            </w:r>
          </w:p>
        </w:tc>
        <w:tc>
          <w:tcPr>
            <w:tcW w:w="2445" w:type="dxa"/>
            <w:gridSpan w:val="2"/>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B37F10" w:rsidRDefault="004978B4" w:rsidP="00714C7B">
            <w:pPr>
              <w:pStyle w:val="Tabletextcent"/>
              <w:rPr>
                <w:rFonts w:ascii="Arial Narrow" w:hAnsi="Arial Narrow"/>
                <w:sz w:val="20"/>
                <w:lang w:eastAsia="en-US"/>
              </w:rPr>
            </w:pP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lang w:eastAsia="en-GB"/>
              </w:rPr>
              <w:t>'''</w:t>
            </w: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vertAlign w:val="superscript"/>
                <w:lang w:eastAsia="en-GB"/>
              </w:rPr>
              <w:t>'''''''</w:t>
            </w:r>
            <w:r>
              <w:rPr>
                <w:rFonts w:ascii="Arial Narrow" w:hAnsi="Arial Narrow"/>
                <w:noProof/>
                <w:color w:val="000000"/>
                <w:sz w:val="20"/>
                <w:highlight w:val="black"/>
                <w:vertAlign w:val="superscript"/>
                <w:lang w:eastAsia="en-GB"/>
              </w:rPr>
              <w:t>'''</w:t>
            </w:r>
          </w:p>
        </w:tc>
        <w:tc>
          <w:tcPr>
            <w:tcW w:w="4206" w:type="dxa"/>
            <w:gridSpan w:val="2"/>
            <w:tcBorders>
              <w:left w:val="single" w:sz="4" w:space="0" w:color="auto"/>
              <w:bottom w:val="single" w:sz="4" w:space="0" w:color="auto"/>
              <w:right w:val="single" w:sz="4" w:space="0" w:color="auto"/>
            </w:tcBorders>
            <w:shd w:val="clear" w:color="auto" w:fill="FFFFFF" w:themeFill="background1"/>
            <w:tcMar>
              <w:left w:w="14" w:type="dxa"/>
              <w:right w:w="14" w:type="dxa"/>
            </w:tcMar>
          </w:tcPr>
          <w:p w:rsidR="00D27CDE" w:rsidRPr="004978B4" w:rsidRDefault="004978B4" w:rsidP="00714C7B">
            <w:pPr>
              <w:pStyle w:val="Tabletextcent"/>
              <w:rPr>
                <w:rFonts w:ascii="Arial Narrow" w:hAnsi="Arial Narrow"/>
                <w:sz w:val="20"/>
                <w:lang w:eastAsia="en-US"/>
              </w:rPr>
            </w:pP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lang w:eastAsia="en-GB"/>
              </w:rPr>
              <w:t>'''</w:t>
            </w: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vertAlign w:val="superscript"/>
                <w:lang w:eastAsia="en-GB"/>
              </w:rPr>
              <w:t>''''''''</w:t>
            </w:r>
            <w:r>
              <w:rPr>
                <w:rFonts w:ascii="Arial Narrow" w:hAnsi="Arial Narrow"/>
                <w:noProof/>
                <w:color w:val="000000"/>
                <w:sz w:val="20"/>
                <w:highlight w:val="black"/>
                <w:vertAlign w:val="superscript"/>
                <w:lang w:eastAsia="en-GB"/>
              </w:rPr>
              <w:t>'''' ''' ''''''''''''''</w:t>
            </w:r>
          </w:p>
        </w:tc>
      </w:tr>
      <w:tr w:rsidR="00D27CDE" w:rsidRPr="00D35336" w:rsidTr="007C02B9">
        <w:tc>
          <w:tcPr>
            <w:tcW w:w="1524" w:type="dxa"/>
            <w:vMerge/>
            <w:tcBorders>
              <w:left w:val="single" w:sz="4" w:space="0" w:color="auto"/>
              <w:bottom w:val="single" w:sz="4" w:space="0" w:color="auto"/>
              <w:right w:val="single" w:sz="4" w:space="0" w:color="auto"/>
            </w:tcBorders>
            <w:shd w:val="clear" w:color="auto" w:fill="FFFFFF" w:themeFill="background1"/>
          </w:tcPr>
          <w:p w:rsidR="00D27CDE" w:rsidRPr="00B37F10" w:rsidRDefault="00D27CDE" w:rsidP="00714C7B">
            <w:pPr>
              <w:rPr>
                <w:rFonts w:ascii="Arial Narrow" w:hAnsi="Arial Narrow"/>
                <w:sz w:val="20"/>
                <w:szCs w:val="20"/>
              </w:rPr>
            </w:pPr>
          </w:p>
        </w:tc>
        <w:tc>
          <w:tcPr>
            <w:tcW w:w="959" w:type="dxa"/>
            <w:tcBorders>
              <w:left w:val="single" w:sz="4" w:space="0" w:color="auto"/>
              <w:bottom w:val="single" w:sz="4" w:space="0" w:color="auto"/>
              <w:right w:val="single" w:sz="4" w:space="0" w:color="auto"/>
            </w:tcBorders>
            <w:shd w:val="clear" w:color="auto" w:fill="auto"/>
          </w:tcPr>
          <w:p w:rsidR="00D27CDE" w:rsidRPr="00B37F10" w:rsidRDefault="00D27CDE" w:rsidP="00714C7B">
            <w:pPr>
              <w:pStyle w:val="Tabletextcent"/>
              <w:rPr>
                <w:rFonts w:ascii="Arial Narrow" w:hAnsi="Arial Narrow"/>
                <w:sz w:val="20"/>
              </w:rPr>
            </w:pPr>
            <w:r w:rsidRPr="00B37F10">
              <w:rPr>
                <w:rFonts w:ascii="Arial Narrow" w:hAnsi="Arial Narrow"/>
                <w:sz w:val="20"/>
              </w:rPr>
              <w:t>≥ 18 years</w:t>
            </w:r>
          </w:p>
        </w:tc>
        <w:tc>
          <w:tcPr>
            <w:tcW w:w="2445" w:type="dxa"/>
            <w:gridSpan w:val="2"/>
            <w:tcBorders>
              <w:left w:val="single" w:sz="4" w:space="0" w:color="auto"/>
              <w:bottom w:val="single" w:sz="4" w:space="0" w:color="auto"/>
              <w:right w:val="single" w:sz="4" w:space="0" w:color="auto"/>
            </w:tcBorders>
            <w:shd w:val="clear" w:color="auto" w:fill="auto"/>
            <w:tcMar>
              <w:left w:w="14" w:type="dxa"/>
              <w:right w:w="14" w:type="dxa"/>
            </w:tcMar>
          </w:tcPr>
          <w:p w:rsidR="00D27CDE" w:rsidRPr="00B37F10" w:rsidRDefault="004978B4" w:rsidP="00714C7B">
            <w:pPr>
              <w:pStyle w:val="Tabletextcent"/>
              <w:rPr>
                <w:rFonts w:ascii="Arial Narrow" w:hAnsi="Arial Narrow" w:cs="Cambria Math"/>
                <w:sz w:val="20"/>
                <w:lang w:eastAsia="en-GB"/>
              </w:rPr>
            </w:pP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lang w:eastAsia="en-GB"/>
              </w:rPr>
              <w:t>'''</w:t>
            </w:r>
            <w:r>
              <w:rPr>
                <w:rFonts w:ascii="Arial Narrow" w:hAnsi="Arial Narrow" w:cs="Cambria Math"/>
                <w:noProof/>
                <w:color w:val="000000"/>
                <w:sz w:val="20"/>
                <w:highlight w:val="black"/>
                <w:lang w:eastAsia="en-GB"/>
              </w:rPr>
              <w:t xml:space="preserve"> ''''''''''''''''''' </w:t>
            </w:r>
            <w:r>
              <w:rPr>
                <w:rFonts w:ascii="Cambria Math" w:hAnsi="Cambria Math" w:cs="Cambria Math"/>
                <w:noProof/>
                <w:color w:val="000000"/>
                <w:sz w:val="20"/>
                <w:highlight w:val="black"/>
                <w:vertAlign w:val="superscript"/>
                <w:lang w:eastAsia="en-GB"/>
              </w:rPr>
              <w:t>''''''''</w:t>
            </w:r>
            <w:r>
              <w:rPr>
                <w:rFonts w:ascii="Arial Narrow" w:hAnsi="Arial Narrow"/>
                <w:noProof/>
                <w:color w:val="000000"/>
                <w:sz w:val="20"/>
                <w:highlight w:val="black"/>
                <w:vertAlign w:val="superscript"/>
                <w:lang w:eastAsia="en-GB"/>
              </w:rPr>
              <w:t>'''</w:t>
            </w:r>
          </w:p>
        </w:tc>
        <w:tc>
          <w:tcPr>
            <w:tcW w:w="4206" w:type="dxa"/>
            <w:gridSpan w:val="2"/>
            <w:tcBorders>
              <w:left w:val="single" w:sz="4" w:space="0" w:color="auto"/>
              <w:bottom w:val="single" w:sz="4" w:space="0" w:color="auto"/>
              <w:right w:val="single" w:sz="4" w:space="0" w:color="auto"/>
            </w:tcBorders>
            <w:shd w:val="clear" w:color="auto" w:fill="auto"/>
            <w:tcMar>
              <w:left w:w="14" w:type="dxa"/>
              <w:right w:w="14" w:type="dxa"/>
            </w:tcMar>
          </w:tcPr>
          <w:p w:rsidR="00D27CDE" w:rsidRPr="004978B4" w:rsidRDefault="004978B4" w:rsidP="00714C7B">
            <w:pPr>
              <w:pStyle w:val="Tabletextcent"/>
              <w:rPr>
                <w:rFonts w:ascii="Arial Narrow" w:hAnsi="Arial Narrow" w:cs="Cambria Math"/>
                <w:sz w:val="20"/>
                <w:lang w:eastAsia="en-GB"/>
              </w:rPr>
            </w:pP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lang w:eastAsia="en-GB"/>
              </w:rPr>
              <w:t>'''</w:t>
            </w:r>
            <w:r>
              <w:rPr>
                <w:rFonts w:ascii="Arial Narrow" w:hAnsi="Arial Narrow" w:cs="Cambria Math"/>
                <w:noProof/>
                <w:color w:val="000000"/>
                <w:sz w:val="20"/>
                <w:highlight w:val="black"/>
                <w:lang w:eastAsia="en-GB"/>
              </w:rPr>
              <w:t xml:space="preserve"> '''''''''''''''''''</w:t>
            </w:r>
            <w:r>
              <w:rPr>
                <w:rFonts w:ascii="Cambria Math" w:hAnsi="Cambria Math" w:cs="Cambria Math"/>
                <w:noProof/>
                <w:color w:val="000000"/>
                <w:sz w:val="20"/>
                <w:highlight w:val="black"/>
                <w:vertAlign w:val="superscript"/>
                <w:lang w:eastAsia="en-GB"/>
              </w:rPr>
              <w:t>'''''''</w:t>
            </w:r>
            <w:r>
              <w:rPr>
                <w:rFonts w:ascii="Arial Narrow" w:hAnsi="Arial Narrow"/>
                <w:noProof/>
                <w:color w:val="000000"/>
                <w:sz w:val="20"/>
                <w:highlight w:val="black"/>
                <w:vertAlign w:val="superscript"/>
                <w:lang w:eastAsia="en-GB"/>
              </w:rPr>
              <w:t>''''' '''' '''''''''''''</w:t>
            </w:r>
          </w:p>
        </w:tc>
      </w:tr>
    </w:tbl>
    <w:p w:rsidR="00D27CDE" w:rsidRPr="007C02B9" w:rsidRDefault="00D27CDE" w:rsidP="00F832AC">
      <w:pPr>
        <w:rPr>
          <w:rFonts w:ascii="Arial Narrow" w:hAnsi="Arial Narrow"/>
          <w:sz w:val="16"/>
          <w:szCs w:val="16"/>
        </w:rPr>
      </w:pPr>
      <w:r w:rsidRPr="007C02B9">
        <w:rPr>
          <w:rFonts w:ascii="Arial Narrow" w:hAnsi="Arial Narrow"/>
          <w:sz w:val="16"/>
          <w:szCs w:val="16"/>
        </w:rPr>
        <w:t>Abbreviations: BSC, best supportive care;</w:t>
      </w:r>
      <w:r w:rsidRPr="007C02B9">
        <w:rPr>
          <w:rFonts w:ascii="Arial Narrow" w:hAnsi="Arial Narrow"/>
          <w:sz w:val="16"/>
          <w:szCs w:val="16"/>
          <w:vertAlign w:val="superscript"/>
        </w:rPr>
        <w:t xml:space="preserve"> </w:t>
      </w:r>
      <w:r w:rsidRPr="007C02B9">
        <w:rPr>
          <w:rFonts w:ascii="Arial Narrow" w:hAnsi="Arial Narrow" w:cs="Calibri"/>
          <w:sz w:val="16"/>
          <w:szCs w:val="16"/>
        </w:rPr>
        <w:t>FEV</w:t>
      </w:r>
      <w:r w:rsidRPr="007C02B9">
        <w:rPr>
          <w:rFonts w:ascii="Arial Narrow" w:hAnsi="Arial Narrow" w:cs="Calibri"/>
          <w:sz w:val="16"/>
          <w:szCs w:val="16"/>
          <w:vertAlign w:val="subscript"/>
        </w:rPr>
        <w:t>1</w:t>
      </w:r>
      <w:r w:rsidRPr="007C02B9">
        <w:rPr>
          <w:rFonts w:ascii="Arial Narrow" w:hAnsi="Arial Narrow"/>
          <w:sz w:val="16"/>
          <w:szCs w:val="16"/>
          <w:vertAlign w:val="subscript"/>
        </w:rPr>
        <w:t>,</w:t>
      </w:r>
      <w:r w:rsidRPr="007C02B9">
        <w:rPr>
          <w:rFonts w:ascii="Arial Narrow" w:hAnsi="Arial Narrow"/>
          <w:sz w:val="16"/>
          <w:szCs w:val="16"/>
        </w:rPr>
        <w:t xml:space="preserve"> forced expiratory volume in 1 second; IV, intravenous. </w:t>
      </w:r>
      <w:r w:rsidRPr="007C02B9">
        <w:rPr>
          <w:rFonts w:ascii="Arial Narrow" w:hAnsi="Arial Narrow"/>
          <w:sz w:val="16"/>
          <w:szCs w:val="16"/>
          <w:vertAlign w:val="superscript"/>
        </w:rPr>
        <w:br/>
      </w:r>
      <w:r w:rsidR="00F832AC" w:rsidRPr="007C02B9">
        <w:rPr>
          <w:rFonts w:ascii="Arial Narrow" w:hAnsi="Arial Narrow"/>
          <w:sz w:val="16"/>
          <w:szCs w:val="16"/>
        </w:rPr>
        <w:t xml:space="preserve">Source Table 3.4.12 </w:t>
      </w:r>
      <w:proofErr w:type="spellStart"/>
      <w:r w:rsidR="00F832AC" w:rsidRPr="007C02B9">
        <w:rPr>
          <w:rFonts w:ascii="Arial Narrow" w:hAnsi="Arial Narrow"/>
          <w:sz w:val="16"/>
          <w:szCs w:val="16"/>
        </w:rPr>
        <w:t>Orkambi</w:t>
      </w:r>
      <w:proofErr w:type="spellEnd"/>
      <w:r w:rsidR="00F832AC" w:rsidRPr="007C02B9">
        <w:rPr>
          <w:rFonts w:ascii="Arial Narrow" w:hAnsi="Arial Narrow"/>
          <w:sz w:val="16"/>
          <w:szCs w:val="16"/>
        </w:rPr>
        <w:t xml:space="preserve"> 12+ submission to July 2018 PBAC, pp 47.</w:t>
      </w:r>
    </w:p>
    <w:p w:rsidR="00B37F10" w:rsidRDefault="00B37F10" w:rsidP="00F832AC">
      <w:pPr>
        <w:rPr>
          <w:sz w:val="16"/>
          <w:szCs w:val="16"/>
        </w:rPr>
      </w:pPr>
    </w:p>
    <w:p w:rsidR="00925EC3" w:rsidRPr="007C02B9" w:rsidRDefault="00925EC3"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The key components of the economic evaluation are presented in </w:t>
      </w:r>
      <w:r w:rsidR="0014569D">
        <w:rPr>
          <w:rFonts w:asciiTheme="minorHAnsi" w:hAnsiTheme="minorHAnsi"/>
          <w:sz w:val="24"/>
          <w:lang w:val="en-US"/>
        </w:rPr>
        <w:t xml:space="preserve">Table </w:t>
      </w:r>
      <w:r w:rsidR="00841412">
        <w:rPr>
          <w:rFonts w:asciiTheme="minorHAnsi" w:hAnsiTheme="minorHAnsi"/>
          <w:sz w:val="24"/>
          <w:lang w:val="en-US"/>
        </w:rPr>
        <w:t>10</w:t>
      </w:r>
      <w:r w:rsidRPr="007C02B9">
        <w:rPr>
          <w:rFonts w:asciiTheme="minorHAnsi" w:hAnsiTheme="minorHAnsi"/>
          <w:sz w:val="24"/>
          <w:lang w:val="en-US"/>
        </w:rPr>
        <w:t>.</w:t>
      </w:r>
    </w:p>
    <w:p w:rsidR="00925EC3" w:rsidRPr="001374A5" w:rsidRDefault="00925EC3" w:rsidP="0073784D">
      <w:pPr>
        <w:keepNext/>
        <w:keepLines/>
        <w:rPr>
          <w:rFonts w:ascii="Arial Narrow" w:hAnsi="Arial Narrow"/>
          <w:b/>
          <w:bCs/>
          <w:sz w:val="20"/>
          <w:szCs w:val="20"/>
        </w:rPr>
      </w:pPr>
      <w:bookmarkStart w:id="14" w:name="_Ref511049196"/>
      <w:r w:rsidRPr="001374A5">
        <w:rPr>
          <w:rFonts w:ascii="Arial Narrow" w:hAnsi="Arial Narrow"/>
          <w:b/>
          <w:bCs/>
          <w:sz w:val="20"/>
          <w:szCs w:val="20"/>
        </w:rPr>
        <w:lastRenderedPageBreak/>
        <w:t xml:space="preserve">Table </w:t>
      </w:r>
      <w:bookmarkEnd w:id="14"/>
      <w:r w:rsidR="00841412">
        <w:rPr>
          <w:rFonts w:ascii="Arial Narrow" w:hAnsi="Arial Narrow"/>
          <w:b/>
          <w:bCs/>
          <w:sz w:val="20"/>
          <w:szCs w:val="20"/>
        </w:rPr>
        <w:t>10</w:t>
      </w:r>
      <w:r w:rsidRPr="001374A5">
        <w:rPr>
          <w:rFonts w:ascii="Arial Narrow" w:hAnsi="Arial Narrow"/>
          <w:b/>
          <w:bCs/>
          <w:sz w:val="20"/>
          <w:szCs w:val="20"/>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6"/>
        <w:gridCol w:w="6546"/>
      </w:tblGrid>
      <w:tr w:rsidR="00925EC3" w:rsidRPr="001374A5" w:rsidTr="00714C7B">
        <w:trPr>
          <w:tblHeader/>
        </w:trPr>
        <w:tc>
          <w:tcPr>
            <w:tcW w:w="1396" w:type="pct"/>
            <w:shd w:val="clear" w:color="auto" w:fill="auto"/>
            <w:vAlign w:val="center"/>
          </w:tcPr>
          <w:p w:rsidR="00925EC3" w:rsidRPr="001374A5" w:rsidRDefault="00925EC3" w:rsidP="0073784D">
            <w:pPr>
              <w:keepNext/>
              <w:keepLines/>
              <w:rPr>
                <w:rFonts w:ascii="Arial Narrow" w:hAnsi="Arial Narrow"/>
                <w:b/>
                <w:sz w:val="20"/>
              </w:rPr>
            </w:pPr>
            <w:r w:rsidRPr="001374A5">
              <w:rPr>
                <w:rFonts w:ascii="Arial Narrow" w:hAnsi="Arial Narrow"/>
                <w:b/>
                <w:sz w:val="20"/>
              </w:rPr>
              <w:t>Component</w:t>
            </w:r>
          </w:p>
        </w:tc>
        <w:tc>
          <w:tcPr>
            <w:tcW w:w="3604" w:type="pct"/>
            <w:shd w:val="clear" w:color="auto" w:fill="auto"/>
            <w:vAlign w:val="center"/>
          </w:tcPr>
          <w:p w:rsidR="00925EC3" w:rsidRPr="001374A5" w:rsidRDefault="00925EC3" w:rsidP="0073784D">
            <w:pPr>
              <w:keepNext/>
              <w:keepLines/>
              <w:jc w:val="center"/>
              <w:rPr>
                <w:rFonts w:ascii="Arial Narrow" w:hAnsi="Arial Narrow"/>
                <w:b/>
                <w:sz w:val="20"/>
              </w:rPr>
            </w:pPr>
            <w:r w:rsidRPr="001374A5">
              <w:rPr>
                <w:rFonts w:ascii="Arial Narrow" w:hAnsi="Arial Narrow"/>
                <w:b/>
                <w:sz w:val="20"/>
              </w:rPr>
              <w:t>Summary</w:t>
            </w:r>
          </w:p>
        </w:tc>
      </w:tr>
      <w:tr w:rsidR="00925EC3" w:rsidRPr="001374A5" w:rsidTr="00714C7B">
        <w:tc>
          <w:tcPr>
            <w:tcW w:w="1396"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Time horizon</w:t>
            </w:r>
          </w:p>
        </w:tc>
        <w:tc>
          <w:tcPr>
            <w:tcW w:w="3604"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 xml:space="preserve">Lifetime in the modelled base case. </w:t>
            </w:r>
          </w:p>
          <w:p w:rsidR="00925EC3" w:rsidRPr="001374A5" w:rsidRDefault="00925EC3" w:rsidP="0073784D">
            <w:pPr>
              <w:keepNext/>
              <w:keepLines/>
              <w:rPr>
                <w:rFonts w:ascii="Arial Narrow" w:hAnsi="Arial Narrow"/>
                <w:sz w:val="20"/>
              </w:rPr>
            </w:pPr>
            <w:r w:rsidRPr="001374A5">
              <w:rPr>
                <w:rFonts w:ascii="Arial Narrow" w:hAnsi="Arial Narrow"/>
                <w:sz w:val="20"/>
              </w:rPr>
              <w:t>Patients aged ≥ 12 years: 24 weeks in TRAFFIC/TRANSPORT and PROGRESS (extension to 96 weeks). Patients aged 6-11 years: 24 weeks in Study 109.</w:t>
            </w:r>
          </w:p>
        </w:tc>
      </w:tr>
      <w:tr w:rsidR="00925EC3" w:rsidRPr="001374A5" w:rsidTr="00714C7B">
        <w:tc>
          <w:tcPr>
            <w:tcW w:w="1396"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Outcomes</w:t>
            </w:r>
          </w:p>
        </w:tc>
        <w:tc>
          <w:tcPr>
            <w:tcW w:w="3604"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Quality-adjusted life years.</w:t>
            </w:r>
          </w:p>
        </w:tc>
      </w:tr>
      <w:tr w:rsidR="00925EC3" w:rsidRPr="001374A5" w:rsidTr="00714C7B">
        <w:tc>
          <w:tcPr>
            <w:tcW w:w="1396"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Methods used to generate results</w:t>
            </w:r>
          </w:p>
        </w:tc>
        <w:tc>
          <w:tcPr>
            <w:tcW w:w="3604"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 xml:space="preserve">Individual patient microsimulation. </w:t>
            </w:r>
            <w:proofErr w:type="spellStart"/>
            <w:r w:rsidRPr="001374A5">
              <w:rPr>
                <w:rFonts w:ascii="Arial Narrow" w:hAnsi="Arial Narrow"/>
                <w:sz w:val="20"/>
              </w:rPr>
              <w:t>Liou</w:t>
            </w:r>
            <w:proofErr w:type="spellEnd"/>
            <w:r w:rsidRPr="001374A5">
              <w:rPr>
                <w:rFonts w:ascii="Arial Narrow" w:hAnsi="Arial Narrow"/>
                <w:sz w:val="20"/>
              </w:rPr>
              <w:t xml:space="preserve"> CPH model used to apply the effect of nine risk factors on the baseline hazard of mortality. </w:t>
            </w:r>
          </w:p>
        </w:tc>
      </w:tr>
      <w:tr w:rsidR="00925EC3" w:rsidRPr="001374A5" w:rsidTr="00714C7B">
        <w:tc>
          <w:tcPr>
            <w:tcW w:w="1396"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Health states</w:t>
            </w:r>
          </w:p>
        </w:tc>
        <w:tc>
          <w:tcPr>
            <w:tcW w:w="3604"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As a microsimulation, changes are recorded in the underlying risk factors (as above) for each patient. Utility values are applied to health states based on ppFEV</w:t>
            </w:r>
            <w:r w:rsidRPr="001374A5">
              <w:rPr>
                <w:rFonts w:ascii="Arial Narrow" w:hAnsi="Arial Narrow"/>
                <w:sz w:val="20"/>
                <w:vertAlign w:val="subscript"/>
              </w:rPr>
              <w:t>1</w:t>
            </w:r>
            <w:r w:rsidRPr="001374A5">
              <w:rPr>
                <w:rFonts w:ascii="Arial Narrow" w:hAnsi="Arial Narrow"/>
                <w:sz w:val="20"/>
              </w:rPr>
              <w:t xml:space="preserve"> status of normal (&gt;90%), mild (70-90%), moderate (40-70%) and severe (&lt;40%).</w:t>
            </w:r>
          </w:p>
        </w:tc>
      </w:tr>
      <w:tr w:rsidR="00925EC3" w:rsidRPr="001374A5" w:rsidTr="00714C7B">
        <w:tc>
          <w:tcPr>
            <w:tcW w:w="1396"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Cycle length</w:t>
            </w:r>
          </w:p>
        </w:tc>
        <w:tc>
          <w:tcPr>
            <w:tcW w:w="3604"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 xml:space="preserve">Four weekly </w:t>
            </w:r>
            <w:proofErr w:type="gramStart"/>
            <w:r w:rsidRPr="001374A5">
              <w:rPr>
                <w:rFonts w:ascii="Arial Narrow" w:hAnsi="Arial Narrow"/>
                <w:sz w:val="20"/>
              </w:rPr>
              <w:t>cycle</w:t>
            </w:r>
            <w:proofErr w:type="gramEnd"/>
            <w:r w:rsidRPr="001374A5">
              <w:rPr>
                <w:rFonts w:ascii="Arial Narrow" w:hAnsi="Arial Narrow"/>
                <w:sz w:val="20"/>
              </w:rPr>
              <w:t xml:space="preserve"> for the initial two years, annual thereafter.</w:t>
            </w:r>
          </w:p>
        </w:tc>
      </w:tr>
      <w:tr w:rsidR="00925EC3" w:rsidRPr="001374A5" w:rsidTr="00714C7B">
        <w:tc>
          <w:tcPr>
            <w:tcW w:w="1396"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Transition probabilities</w:t>
            </w:r>
          </w:p>
        </w:tc>
        <w:tc>
          <w:tcPr>
            <w:tcW w:w="3604" w:type="pct"/>
            <w:shd w:val="clear" w:color="auto" w:fill="auto"/>
            <w:vAlign w:val="center"/>
          </w:tcPr>
          <w:p w:rsidR="00925EC3" w:rsidRPr="001374A5" w:rsidRDefault="00925EC3" w:rsidP="0073784D">
            <w:pPr>
              <w:keepNext/>
              <w:keepLines/>
              <w:rPr>
                <w:rFonts w:ascii="Arial Narrow" w:hAnsi="Arial Narrow"/>
                <w:sz w:val="20"/>
              </w:rPr>
            </w:pPr>
            <w:r w:rsidRPr="001374A5">
              <w:rPr>
                <w:rFonts w:ascii="Arial Narrow" w:hAnsi="Arial Narrow"/>
                <w:sz w:val="20"/>
              </w:rPr>
              <w:t xml:space="preserve">Modelled survival using </w:t>
            </w:r>
            <w:proofErr w:type="spellStart"/>
            <w:r w:rsidRPr="001374A5">
              <w:rPr>
                <w:rFonts w:ascii="Arial Narrow" w:hAnsi="Arial Narrow"/>
                <w:sz w:val="20"/>
              </w:rPr>
              <w:t>Liou</w:t>
            </w:r>
            <w:proofErr w:type="spellEnd"/>
            <w:r w:rsidRPr="001374A5">
              <w:rPr>
                <w:rFonts w:ascii="Arial Narrow" w:hAnsi="Arial Narrow"/>
                <w:sz w:val="20"/>
              </w:rPr>
              <w:t xml:space="preserve"> CPH model. Treatment effects were based on Study 109 (ppFEV</w:t>
            </w:r>
            <w:r w:rsidRPr="001374A5">
              <w:rPr>
                <w:rFonts w:ascii="Arial Narrow" w:hAnsi="Arial Narrow"/>
                <w:sz w:val="20"/>
                <w:vertAlign w:val="subscript"/>
              </w:rPr>
              <w:t xml:space="preserve">1 </w:t>
            </w:r>
            <w:r w:rsidRPr="001374A5">
              <w:rPr>
                <w:rFonts w:ascii="Arial Narrow" w:hAnsi="Arial Narrow"/>
                <w:sz w:val="20"/>
              </w:rPr>
              <w:t>for patients aged 6-11 years) and TRAFFIC/TRANSPORT (weight-for-age z-score).</w:t>
            </w:r>
          </w:p>
          <w:p w:rsidR="00925EC3" w:rsidRPr="001374A5" w:rsidRDefault="00925EC3" w:rsidP="0073784D">
            <w:pPr>
              <w:keepNext/>
              <w:keepLines/>
              <w:rPr>
                <w:rFonts w:ascii="Arial Narrow" w:hAnsi="Arial Narrow"/>
                <w:sz w:val="20"/>
              </w:rPr>
            </w:pPr>
            <w:r w:rsidRPr="001374A5">
              <w:rPr>
                <w:rFonts w:ascii="Arial Narrow" w:hAnsi="Arial Narrow"/>
                <w:sz w:val="20"/>
              </w:rPr>
              <w:t>Changes in treatment effect and patient characteristics over time from PROGRESS (decline in ppFEV</w:t>
            </w:r>
            <w:r w:rsidRPr="001374A5">
              <w:rPr>
                <w:rFonts w:ascii="Arial Narrow" w:hAnsi="Arial Narrow"/>
                <w:sz w:val="20"/>
                <w:vertAlign w:val="subscript"/>
              </w:rPr>
              <w:t xml:space="preserve">1 </w:t>
            </w:r>
            <w:r w:rsidRPr="001374A5">
              <w:rPr>
                <w:rFonts w:ascii="Arial Narrow" w:hAnsi="Arial Narrow"/>
                <w:sz w:val="20"/>
              </w:rPr>
              <w:t>post 24 weeks) and change in weight-for-age z-score.</w:t>
            </w:r>
          </w:p>
          <w:p w:rsidR="00925EC3" w:rsidRPr="001374A5" w:rsidRDefault="00925EC3" w:rsidP="0073784D">
            <w:pPr>
              <w:keepNext/>
              <w:keepLines/>
              <w:rPr>
                <w:rFonts w:ascii="Arial Narrow" w:hAnsi="Arial Narrow"/>
                <w:sz w:val="20"/>
              </w:rPr>
            </w:pPr>
            <w:r w:rsidRPr="001374A5">
              <w:rPr>
                <w:rFonts w:ascii="Arial Narrow" w:hAnsi="Arial Narrow"/>
                <w:sz w:val="20"/>
              </w:rPr>
              <w:t xml:space="preserve">Baseline hazard function from Cystic Fibrosis Registry of Ireland 2013. </w:t>
            </w:r>
          </w:p>
        </w:tc>
      </w:tr>
    </w:tbl>
    <w:p w:rsidR="00925EC3" w:rsidRPr="007C02B9" w:rsidRDefault="00925EC3" w:rsidP="0073784D">
      <w:pPr>
        <w:keepNext/>
        <w:keepLines/>
        <w:rPr>
          <w:rFonts w:ascii="Arial Narrow" w:hAnsi="Arial Narrow"/>
          <w:sz w:val="16"/>
          <w:szCs w:val="16"/>
        </w:rPr>
      </w:pPr>
      <w:r w:rsidRPr="007C02B9">
        <w:rPr>
          <w:rFonts w:ascii="Arial Narrow" w:hAnsi="Arial Narrow"/>
          <w:sz w:val="16"/>
          <w:szCs w:val="16"/>
        </w:rPr>
        <w:t>Abbreviations: CPH = Cox Proportional Hazards; FEV</w:t>
      </w:r>
      <w:r w:rsidRPr="007C02B9">
        <w:rPr>
          <w:rFonts w:ascii="Arial Narrow" w:hAnsi="Arial Narrow"/>
          <w:sz w:val="16"/>
          <w:szCs w:val="16"/>
          <w:vertAlign w:val="subscript"/>
        </w:rPr>
        <w:t>1</w:t>
      </w:r>
      <w:r w:rsidRPr="007C02B9">
        <w:rPr>
          <w:rFonts w:ascii="Arial Narrow" w:hAnsi="Arial Narrow"/>
          <w:sz w:val="16"/>
          <w:szCs w:val="16"/>
        </w:rPr>
        <w:t xml:space="preserve"> =forced expiratory volume in one second; pp = percent predicted;  </w:t>
      </w:r>
    </w:p>
    <w:p w:rsidR="00925EC3" w:rsidRPr="007C02B9" w:rsidRDefault="00925EC3" w:rsidP="0073784D">
      <w:pPr>
        <w:keepNext/>
        <w:keepLines/>
        <w:rPr>
          <w:rFonts w:ascii="Arial Narrow" w:hAnsi="Arial Narrow"/>
          <w:sz w:val="16"/>
          <w:szCs w:val="16"/>
        </w:rPr>
      </w:pPr>
      <w:r w:rsidRPr="007C02B9">
        <w:rPr>
          <w:rFonts w:ascii="Arial Narrow" w:hAnsi="Arial Narrow"/>
          <w:sz w:val="16"/>
          <w:szCs w:val="16"/>
        </w:rPr>
        <w:t>Source: Table 3.1.1, p.151 of the submission</w:t>
      </w:r>
    </w:p>
    <w:p w:rsidR="00B37F10" w:rsidRDefault="00B37F10" w:rsidP="00925EC3">
      <w:pPr>
        <w:widowControl w:val="0"/>
        <w:spacing w:after="120"/>
        <w:jc w:val="both"/>
        <w:rPr>
          <w:sz w:val="16"/>
          <w:szCs w:val="16"/>
        </w:rPr>
      </w:pPr>
    </w:p>
    <w:p w:rsidR="00925EC3" w:rsidRPr="007C02B9" w:rsidRDefault="00925EC3"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The key drivers of the model are in</w:t>
      </w:r>
      <w:r w:rsidR="0014569D">
        <w:rPr>
          <w:rFonts w:asciiTheme="minorHAnsi" w:hAnsiTheme="minorHAnsi"/>
          <w:sz w:val="24"/>
          <w:lang w:val="en-US"/>
        </w:rPr>
        <w:t xml:space="preserve"> Table 1</w:t>
      </w:r>
      <w:r w:rsidR="00841412">
        <w:rPr>
          <w:rFonts w:asciiTheme="minorHAnsi" w:hAnsiTheme="minorHAnsi"/>
          <w:sz w:val="24"/>
          <w:lang w:val="en-US"/>
        </w:rPr>
        <w:t>1</w:t>
      </w:r>
      <w:r w:rsidRPr="007C02B9">
        <w:rPr>
          <w:rFonts w:asciiTheme="minorHAnsi" w:hAnsiTheme="minorHAnsi"/>
          <w:sz w:val="24"/>
          <w:lang w:val="en-US"/>
        </w:rPr>
        <w:t xml:space="preserve">. </w:t>
      </w:r>
    </w:p>
    <w:p w:rsidR="00B87FC5" w:rsidRPr="00925EC3" w:rsidRDefault="00B87FC5" w:rsidP="00B87FC5">
      <w:pPr>
        <w:keepNext/>
        <w:widowControl w:val="0"/>
        <w:rPr>
          <w:rFonts w:ascii="Arial Narrow" w:hAnsi="Arial Narrow" w:cs="Arial"/>
          <w:b/>
          <w:bCs/>
          <w:snapToGrid w:val="0"/>
          <w:sz w:val="20"/>
          <w:szCs w:val="20"/>
          <w:lang w:eastAsia="en-US"/>
        </w:rPr>
      </w:pPr>
      <w:bookmarkStart w:id="15" w:name="_Ref511210358"/>
      <w:r>
        <w:rPr>
          <w:rFonts w:ascii="Arial Narrow" w:hAnsi="Arial Narrow" w:cs="Arial"/>
          <w:b/>
          <w:bCs/>
          <w:snapToGrid w:val="0"/>
          <w:sz w:val="20"/>
          <w:szCs w:val="20"/>
          <w:lang w:eastAsia="en-US"/>
        </w:rPr>
        <w:t>Table 1</w:t>
      </w:r>
      <w:bookmarkEnd w:id="15"/>
      <w:r>
        <w:rPr>
          <w:rFonts w:ascii="Arial Narrow" w:hAnsi="Arial Narrow" w:cs="Arial"/>
          <w:b/>
          <w:bCs/>
          <w:snapToGrid w:val="0"/>
          <w:sz w:val="20"/>
          <w:szCs w:val="20"/>
          <w:lang w:eastAsia="en-US"/>
        </w:rPr>
        <w:t>1</w:t>
      </w:r>
      <w:r w:rsidRPr="00925EC3">
        <w:rPr>
          <w:rFonts w:ascii="Arial Narrow" w:eastAsiaTheme="minorHAnsi" w:hAnsi="Arial Narrow" w:cstheme="minorBidi"/>
          <w:b/>
          <w:bCs/>
          <w:sz w:val="20"/>
          <w:szCs w:val="20"/>
          <w:lang w:eastAsia="en-US"/>
        </w:rPr>
        <w:t>: Key drivers of the model</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65"/>
        <w:gridCol w:w="4374"/>
        <w:gridCol w:w="2158"/>
      </w:tblGrid>
      <w:tr w:rsidR="00925EC3" w:rsidRPr="00925EC3" w:rsidTr="00714C7B">
        <w:trPr>
          <w:trHeight w:val="20"/>
          <w:tblHeader/>
        </w:trPr>
        <w:tc>
          <w:tcPr>
            <w:tcW w:w="1409"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b/>
                <w:sz w:val="20"/>
                <w:szCs w:val="22"/>
                <w:lang w:eastAsia="en-US"/>
              </w:rPr>
            </w:pPr>
            <w:r w:rsidRPr="00925EC3">
              <w:rPr>
                <w:rFonts w:ascii="Arial Narrow" w:eastAsiaTheme="minorHAnsi" w:hAnsi="Arial Narrow" w:cstheme="minorBidi"/>
                <w:b/>
                <w:sz w:val="20"/>
                <w:szCs w:val="22"/>
                <w:lang w:eastAsia="en-US"/>
              </w:rPr>
              <w:t>Description</w:t>
            </w:r>
          </w:p>
        </w:tc>
        <w:tc>
          <w:tcPr>
            <w:tcW w:w="2404"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b/>
                <w:sz w:val="20"/>
                <w:szCs w:val="22"/>
                <w:lang w:eastAsia="en-US"/>
              </w:rPr>
            </w:pPr>
            <w:r w:rsidRPr="00925EC3">
              <w:rPr>
                <w:rFonts w:ascii="Arial Narrow" w:eastAsiaTheme="minorHAnsi" w:hAnsi="Arial Narrow" w:cstheme="minorBidi"/>
                <w:b/>
                <w:sz w:val="20"/>
                <w:szCs w:val="22"/>
                <w:lang w:eastAsia="en-US"/>
              </w:rPr>
              <w:t>Method/Value</w:t>
            </w:r>
          </w:p>
        </w:tc>
        <w:tc>
          <w:tcPr>
            <w:tcW w:w="1186"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b/>
                <w:sz w:val="20"/>
                <w:szCs w:val="22"/>
                <w:lang w:eastAsia="en-US"/>
              </w:rPr>
            </w:pPr>
            <w:r w:rsidRPr="00925EC3">
              <w:rPr>
                <w:rFonts w:ascii="Arial Narrow" w:eastAsiaTheme="minorHAnsi" w:hAnsi="Arial Narrow" w:cstheme="minorBidi"/>
                <w:b/>
                <w:sz w:val="20"/>
                <w:szCs w:val="22"/>
                <w:lang w:eastAsia="en-US"/>
              </w:rPr>
              <w:t>Impact</w:t>
            </w:r>
          </w:p>
        </w:tc>
      </w:tr>
      <w:tr w:rsidR="00925EC3" w:rsidRPr="00925EC3" w:rsidTr="00714C7B">
        <w:trPr>
          <w:trHeight w:val="20"/>
        </w:trPr>
        <w:tc>
          <w:tcPr>
            <w:tcW w:w="1409"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Proposed Financial Cap</w:t>
            </w:r>
          </w:p>
        </w:tc>
        <w:tc>
          <w:tcPr>
            <w:tcW w:w="2404" w:type="pct"/>
            <w:shd w:val="clear" w:color="auto" w:fill="auto"/>
            <w:vAlign w:val="center"/>
          </w:tcPr>
          <w:p w:rsidR="00925EC3" w:rsidRPr="00033D8D" w:rsidRDefault="00925EC3" w:rsidP="00925EC3">
            <w:pPr>
              <w:keepNext/>
              <w:spacing w:before="40" w:after="40"/>
              <w:rPr>
                <w:rFonts w:ascii="Arial Narrow" w:eastAsiaTheme="minorHAnsi" w:hAnsi="Arial Narrow" w:cstheme="minorBidi"/>
                <w:sz w:val="20"/>
                <w:szCs w:val="22"/>
                <w:lang w:val="en-US" w:eastAsia="en-US"/>
              </w:rPr>
            </w:pPr>
            <w:r w:rsidRPr="00033D8D">
              <w:rPr>
                <w:rFonts w:ascii="Arial Narrow" w:eastAsiaTheme="minorHAnsi" w:hAnsi="Arial Narrow" w:cstheme="minorBidi"/>
                <w:sz w:val="20"/>
                <w:szCs w:val="22"/>
                <w:lang w:val="en-US" w:eastAsia="en-US"/>
              </w:rPr>
              <w:t>Annual Cap of $</w:t>
            </w:r>
            <w:r w:rsidR="004978B4">
              <w:rPr>
                <w:rFonts w:ascii="Arial Narrow" w:eastAsiaTheme="minorHAnsi" w:hAnsi="Arial Narrow" w:cstheme="minorBidi"/>
                <w:noProof/>
                <w:color w:val="000000"/>
                <w:sz w:val="20"/>
                <w:szCs w:val="22"/>
                <w:highlight w:val="black"/>
                <w:lang w:val="en-US" w:eastAsia="en-US"/>
              </w:rPr>
              <w:t>'''''''' '''''''''</w:t>
            </w:r>
            <w:r w:rsidRPr="00033D8D">
              <w:rPr>
                <w:rFonts w:ascii="Arial Narrow" w:eastAsiaTheme="minorHAnsi" w:hAnsi="Arial Narrow" w:cstheme="minorBidi"/>
                <w:sz w:val="20"/>
                <w:szCs w:val="22"/>
                <w:lang w:val="en-US" w:eastAsia="en-US"/>
              </w:rPr>
              <w:t xml:space="preserve"> applied for </w:t>
            </w:r>
            <w:proofErr w:type="spellStart"/>
            <w:r w:rsidRPr="00033D8D">
              <w:rPr>
                <w:rFonts w:ascii="Arial Narrow" w:eastAsiaTheme="minorHAnsi" w:hAnsi="Arial Narrow" w:cstheme="minorBidi"/>
                <w:sz w:val="20"/>
                <w:szCs w:val="22"/>
                <w:lang w:val="en-US" w:eastAsia="en-US"/>
              </w:rPr>
              <w:t>lumacaftor</w:t>
            </w:r>
            <w:proofErr w:type="spellEnd"/>
            <w:r w:rsidRPr="00033D8D">
              <w:rPr>
                <w:rFonts w:ascii="Arial Narrow" w:eastAsiaTheme="minorHAnsi" w:hAnsi="Arial Narrow" w:cstheme="minorBidi"/>
                <w:sz w:val="20"/>
                <w:szCs w:val="22"/>
                <w:lang w:val="en-US" w:eastAsia="en-US"/>
              </w:rPr>
              <w:t>/</w:t>
            </w:r>
            <w:proofErr w:type="spellStart"/>
            <w:r w:rsidRPr="00033D8D">
              <w:rPr>
                <w:rFonts w:ascii="Arial Narrow" w:eastAsiaTheme="minorHAnsi" w:hAnsi="Arial Narrow" w:cstheme="minorBidi"/>
                <w:sz w:val="20"/>
                <w:szCs w:val="22"/>
                <w:lang w:val="en-US" w:eastAsia="en-US"/>
              </w:rPr>
              <w:t>ivacaftor</w:t>
            </w:r>
            <w:proofErr w:type="spellEnd"/>
            <w:r w:rsidRPr="00033D8D">
              <w:rPr>
                <w:rFonts w:ascii="Arial Narrow" w:eastAsiaTheme="minorHAnsi" w:hAnsi="Arial Narrow" w:cstheme="minorBidi"/>
                <w:sz w:val="20"/>
                <w:szCs w:val="22"/>
                <w:lang w:val="en-US" w:eastAsia="en-US"/>
              </w:rPr>
              <w:t xml:space="preserve"> drug cost</w:t>
            </w:r>
          </w:p>
        </w:tc>
        <w:tc>
          <w:tcPr>
            <w:tcW w:w="1186"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 xml:space="preserve">High, </w:t>
            </w:r>
            <w:r w:rsidRPr="00925EC3">
              <w:rPr>
                <w:rFonts w:ascii="Arial Narrow" w:eastAsiaTheme="minorHAnsi" w:hAnsi="Arial Narrow" w:cstheme="minorBidi"/>
                <w:sz w:val="20"/>
                <w:szCs w:val="22"/>
                <w:lang w:eastAsia="en-US"/>
              </w:rPr>
              <w:t>favours</w:t>
            </w:r>
            <w:r w:rsidRPr="00925EC3">
              <w:rPr>
                <w:rFonts w:ascii="Arial Narrow" w:eastAsiaTheme="minorHAnsi" w:hAnsi="Arial Narrow" w:cstheme="minorBidi"/>
                <w:sz w:val="20"/>
                <w:szCs w:val="22"/>
                <w:lang w:val="en-US" w:eastAsia="en-US"/>
              </w:rPr>
              <w:t xml:space="preserve"> </w:t>
            </w:r>
            <w:proofErr w:type="spellStart"/>
            <w:r w:rsidRPr="00925EC3">
              <w:rPr>
                <w:rFonts w:ascii="Arial Narrow" w:eastAsiaTheme="minorHAnsi" w:hAnsi="Arial Narrow" w:cstheme="minorBidi"/>
                <w:sz w:val="20"/>
                <w:szCs w:val="22"/>
                <w:lang w:val="en-US" w:eastAsia="en-US"/>
              </w:rPr>
              <w:t>lumacaftor</w:t>
            </w:r>
            <w:proofErr w:type="spellEnd"/>
            <w:r w:rsidRPr="00925EC3">
              <w:rPr>
                <w:rFonts w:ascii="Arial Narrow" w:eastAsiaTheme="minorHAnsi" w:hAnsi="Arial Narrow" w:cstheme="minorBidi"/>
                <w:sz w:val="20"/>
                <w:szCs w:val="22"/>
                <w:lang w:val="en-US" w:eastAsia="en-US"/>
              </w:rPr>
              <w:t>/</w:t>
            </w:r>
            <w:proofErr w:type="spellStart"/>
            <w:r w:rsidRPr="00925EC3">
              <w:rPr>
                <w:rFonts w:ascii="Arial Narrow" w:eastAsiaTheme="minorHAnsi" w:hAnsi="Arial Narrow" w:cstheme="minorBidi"/>
                <w:sz w:val="20"/>
                <w:szCs w:val="22"/>
                <w:lang w:val="en-US" w:eastAsia="en-US"/>
              </w:rPr>
              <w:t>ivacaftor</w:t>
            </w:r>
            <w:proofErr w:type="spellEnd"/>
            <w:r w:rsidRPr="00925EC3">
              <w:rPr>
                <w:rFonts w:ascii="Arial Narrow" w:eastAsiaTheme="minorHAnsi" w:hAnsi="Arial Narrow" w:cstheme="minorBidi"/>
                <w:sz w:val="20"/>
                <w:szCs w:val="22"/>
                <w:lang w:val="en-US" w:eastAsia="en-US"/>
              </w:rPr>
              <w:t xml:space="preserve"> </w:t>
            </w:r>
          </w:p>
        </w:tc>
      </w:tr>
      <w:tr w:rsidR="00925EC3" w:rsidRPr="00925EC3" w:rsidTr="00714C7B">
        <w:trPr>
          <w:trHeight w:val="20"/>
        </w:trPr>
        <w:tc>
          <w:tcPr>
            <w:tcW w:w="1409"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eastAsia="en-US"/>
              </w:rPr>
            </w:pPr>
            <w:r w:rsidRPr="00925EC3">
              <w:rPr>
                <w:rFonts w:ascii="Arial Narrow" w:eastAsiaTheme="minorHAnsi" w:hAnsi="Arial Narrow" w:cstheme="minorBidi"/>
                <w:sz w:val="20"/>
                <w:szCs w:val="22"/>
                <w:lang w:val="en-US" w:eastAsia="en-US"/>
              </w:rPr>
              <w:t>Modelled change in pp</w:t>
            </w:r>
            <w:r w:rsidRPr="00925EC3">
              <w:rPr>
                <w:rFonts w:ascii="Arial Narrow" w:eastAsiaTheme="minorHAnsi" w:hAnsi="Arial Narrow" w:cstheme="minorBidi"/>
                <w:sz w:val="20"/>
                <w:lang w:eastAsia="en-US"/>
              </w:rPr>
              <w:t>FEV</w:t>
            </w:r>
            <w:r w:rsidRPr="00925EC3">
              <w:rPr>
                <w:rFonts w:ascii="Arial Narrow" w:eastAsiaTheme="minorHAnsi" w:hAnsi="Arial Narrow" w:cstheme="minorBidi"/>
                <w:sz w:val="20"/>
                <w:vertAlign w:val="subscript"/>
                <w:lang w:eastAsia="en-US"/>
              </w:rPr>
              <w:t>1</w:t>
            </w:r>
            <w:r w:rsidRPr="00925EC3">
              <w:rPr>
                <w:rFonts w:ascii="Arial Narrow" w:eastAsiaTheme="minorHAnsi" w:hAnsi="Arial Narrow" w:cstheme="minorBidi"/>
                <w:sz w:val="20"/>
                <w:szCs w:val="22"/>
                <w:vertAlign w:val="subscript"/>
                <w:lang w:val="en-US" w:eastAsia="en-US"/>
              </w:rPr>
              <w:t xml:space="preserve"> </w:t>
            </w:r>
            <w:r w:rsidRPr="00925EC3">
              <w:rPr>
                <w:rFonts w:ascii="Arial Narrow" w:eastAsiaTheme="minorHAnsi" w:hAnsi="Arial Narrow" w:cstheme="minorBidi"/>
                <w:sz w:val="20"/>
                <w:szCs w:val="22"/>
                <w:lang w:val="en-US" w:eastAsia="en-US"/>
              </w:rPr>
              <w:t xml:space="preserve">in </w:t>
            </w:r>
            <w:proofErr w:type="spellStart"/>
            <w:r w:rsidRPr="00925EC3">
              <w:rPr>
                <w:rFonts w:ascii="Arial Narrow" w:eastAsiaTheme="minorHAnsi" w:hAnsi="Arial Narrow" w:cstheme="minorBidi"/>
                <w:sz w:val="20"/>
                <w:szCs w:val="22"/>
                <w:lang w:val="en-US" w:eastAsia="en-US"/>
              </w:rPr>
              <w:t>lumacaftor</w:t>
            </w:r>
            <w:proofErr w:type="spellEnd"/>
            <w:r w:rsidRPr="00925EC3">
              <w:rPr>
                <w:rFonts w:ascii="Arial Narrow" w:eastAsiaTheme="minorHAnsi" w:hAnsi="Arial Narrow" w:cstheme="minorBidi"/>
                <w:sz w:val="20"/>
                <w:szCs w:val="22"/>
                <w:lang w:val="en-US" w:eastAsia="en-US"/>
              </w:rPr>
              <w:t>/</w:t>
            </w:r>
            <w:proofErr w:type="spellStart"/>
            <w:r w:rsidRPr="00925EC3">
              <w:rPr>
                <w:rFonts w:ascii="Arial Narrow" w:eastAsiaTheme="minorHAnsi" w:hAnsi="Arial Narrow" w:cstheme="minorBidi"/>
                <w:sz w:val="20"/>
                <w:szCs w:val="22"/>
                <w:lang w:val="en-US" w:eastAsia="en-US"/>
              </w:rPr>
              <w:t>ivacaftor</w:t>
            </w:r>
            <w:proofErr w:type="spellEnd"/>
            <w:r w:rsidRPr="00925EC3">
              <w:rPr>
                <w:rFonts w:ascii="Arial Narrow" w:eastAsiaTheme="minorHAnsi" w:hAnsi="Arial Narrow" w:cstheme="minorBidi"/>
                <w:sz w:val="20"/>
                <w:szCs w:val="22"/>
                <w:lang w:val="en-US" w:eastAsia="en-US"/>
              </w:rPr>
              <w:t xml:space="preserve"> patients.</w:t>
            </w:r>
          </w:p>
        </w:tc>
        <w:tc>
          <w:tcPr>
            <w:tcW w:w="2404" w:type="pct"/>
            <w:shd w:val="clear" w:color="auto" w:fill="auto"/>
            <w:vAlign w:val="center"/>
          </w:tcPr>
          <w:p w:rsidR="00925EC3" w:rsidRPr="00033D8D" w:rsidRDefault="00925EC3" w:rsidP="00925EC3">
            <w:pPr>
              <w:keepNext/>
              <w:spacing w:before="40" w:after="40"/>
              <w:rPr>
                <w:rFonts w:ascii="Arial Narrow" w:eastAsiaTheme="minorHAnsi" w:hAnsi="Arial Narrow" w:cstheme="minorBidi"/>
                <w:sz w:val="20"/>
                <w:szCs w:val="22"/>
                <w:lang w:val="en-US" w:eastAsia="en-US"/>
              </w:rPr>
            </w:pPr>
            <w:r w:rsidRPr="00033D8D">
              <w:rPr>
                <w:rFonts w:ascii="Arial Narrow" w:eastAsiaTheme="minorHAnsi" w:hAnsi="Arial Narrow" w:cstheme="minorBidi"/>
                <w:sz w:val="20"/>
                <w:szCs w:val="22"/>
                <w:lang w:val="en-US" w:eastAsia="en-US"/>
              </w:rPr>
              <w:t xml:space="preserve">Treatment effect continued beyond 24 week trial period for life time. Updated data from extension trial PROGRESS were not included in the model. </w:t>
            </w:r>
          </w:p>
        </w:tc>
        <w:tc>
          <w:tcPr>
            <w:tcW w:w="1186"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 xml:space="preserve">High, favours </w:t>
            </w:r>
            <w:proofErr w:type="spellStart"/>
            <w:r w:rsidRPr="00925EC3">
              <w:rPr>
                <w:rFonts w:ascii="Arial Narrow" w:eastAsiaTheme="minorHAnsi" w:hAnsi="Arial Narrow" w:cstheme="minorBidi"/>
                <w:sz w:val="20"/>
                <w:szCs w:val="22"/>
                <w:lang w:val="en-US" w:eastAsia="en-US"/>
              </w:rPr>
              <w:t>lumacaftor</w:t>
            </w:r>
            <w:proofErr w:type="spellEnd"/>
            <w:r w:rsidRPr="00925EC3">
              <w:rPr>
                <w:rFonts w:ascii="Arial Narrow" w:eastAsiaTheme="minorHAnsi" w:hAnsi="Arial Narrow" w:cstheme="minorBidi"/>
                <w:sz w:val="20"/>
                <w:szCs w:val="22"/>
                <w:lang w:val="en-US" w:eastAsia="en-US"/>
              </w:rPr>
              <w:t>/</w:t>
            </w:r>
            <w:proofErr w:type="spellStart"/>
            <w:r w:rsidRPr="00925EC3">
              <w:rPr>
                <w:rFonts w:ascii="Arial Narrow" w:eastAsiaTheme="minorHAnsi" w:hAnsi="Arial Narrow" w:cstheme="minorBidi"/>
                <w:sz w:val="20"/>
                <w:szCs w:val="22"/>
                <w:lang w:val="en-US" w:eastAsia="en-US"/>
              </w:rPr>
              <w:t>ivacaftor</w:t>
            </w:r>
            <w:proofErr w:type="spellEnd"/>
          </w:p>
        </w:tc>
      </w:tr>
      <w:tr w:rsidR="00925EC3" w:rsidRPr="00925EC3" w:rsidTr="00714C7B">
        <w:trPr>
          <w:trHeight w:val="20"/>
        </w:trPr>
        <w:tc>
          <w:tcPr>
            <w:tcW w:w="1409"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Modelled change in pp</w:t>
            </w:r>
            <w:r w:rsidRPr="00925EC3">
              <w:rPr>
                <w:rFonts w:ascii="Arial Narrow" w:eastAsiaTheme="minorHAnsi" w:hAnsi="Arial Narrow" w:cstheme="minorBidi"/>
                <w:sz w:val="20"/>
                <w:lang w:eastAsia="en-US"/>
              </w:rPr>
              <w:t>FEV</w:t>
            </w:r>
            <w:r w:rsidRPr="00925EC3">
              <w:rPr>
                <w:rFonts w:ascii="Arial Narrow" w:eastAsiaTheme="minorHAnsi" w:hAnsi="Arial Narrow" w:cstheme="minorBidi"/>
                <w:sz w:val="20"/>
                <w:vertAlign w:val="subscript"/>
                <w:lang w:eastAsia="en-US"/>
              </w:rPr>
              <w:t>1</w:t>
            </w:r>
            <w:r w:rsidRPr="00925EC3">
              <w:rPr>
                <w:rFonts w:ascii="Arial Narrow" w:eastAsiaTheme="minorHAnsi" w:hAnsi="Arial Narrow" w:cstheme="minorBidi"/>
                <w:sz w:val="20"/>
                <w:szCs w:val="22"/>
                <w:vertAlign w:val="subscript"/>
                <w:lang w:val="en-US" w:eastAsia="en-US"/>
              </w:rPr>
              <w:t xml:space="preserve"> </w:t>
            </w:r>
            <w:r w:rsidRPr="00925EC3">
              <w:rPr>
                <w:rFonts w:ascii="Arial Narrow" w:eastAsiaTheme="minorHAnsi" w:hAnsi="Arial Narrow" w:cstheme="minorBidi"/>
                <w:sz w:val="20"/>
                <w:szCs w:val="22"/>
                <w:lang w:val="en-US" w:eastAsia="en-US"/>
              </w:rPr>
              <w:t>in BSC patients.</w:t>
            </w:r>
          </w:p>
        </w:tc>
        <w:tc>
          <w:tcPr>
            <w:tcW w:w="2404" w:type="pct"/>
            <w:shd w:val="clear" w:color="auto" w:fill="auto"/>
            <w:vAlign w:val="center"/>
          </w:tcPr>
          <w:p w:rsidR="00925EC3" w:rsidRPr="00033D8D" w:rsidRDefault="00925EC3" w:rsidP="00925EC3">
            <w:pPr>
              <w:keepNext/>
              <w:spacing w:before="40" w:after="40"/>
              <w:rPr>
                <w:rFonts w:ascii="Arial Narrow" w:eastAsiaTheme="minorHAnsi" w:hAnsi="Arial Narrow" w:cstheme="minorBidi"/>
                <w:sz w:val="20"/>
                <w:szCs w:val="22"/>
                <w:lang w:val="en-US" w:eastAsia="en-US"/>
              </w:rPr>
            </w:pPr>
            <w:r w:rsidRPr="00033D8D">
              <w:rPr>
                <w:rFonts w:ascii="Arial Narrow" w:eastAsiaTheme="minorHAnsi" w:hAnsi="Arial Narrow" w:cstheme="minorBidi"/>
                <w:sz w:val="20"/>
                <w:szCs w:val="22"/>
                <w:lang w:val="en-US" w:eastAsia="en-US"/>
              </w:rPr>
              <w:t>Annual decline in pp</w:t>
            </w:r>
            <w:r w:rsidRPr="00033D8D">
              <w:rPr>
                <w:rFonts w:ascii="Arial Narrow" w:eastAsiaTheme="minorHAnsi" w:hAnsi="Arial Narrow" w:cstheme="minorBidi"/>
                <w:sz w:val="20"/>
                <w:lang w:eastAsia="en-US"/>
              </w:rPr>
              <w:t>FEV</w:t>
            </w:r>
            <w:r w:rsidRPr="00033D8D">
              <w:rPr>
                <w:rFonts w:ascii="Arial Narrow" w:eastAsiaTheme="minorHAnsi" w:hAnsi="Arial Narrow" w:cstheme="minorBidi"/>
                <w:sz w:val="20"/>
                <w:vertAlign w:val="subscript"/>
                <w:lang w:eastAsia="en-US"/>
              </w:rPr>
              <w:t>1</w:t>
            </w:r>
            <w:r w:rsidRPr="00033D8D">
              <w:rPr>
                <w:rFonts w:ascii="Arial Narrow" w:eastAsiaTheme="minorHAnsi" w:hAnsi="Arial Narrow" w:cstheme="minorBidi"/>
                <w:sz w:val="20"/>
                <w:szCs w:val="22"/>
                <w:vertAlign w:val="subscript"/>
                <w:lang w:val="en-US" w:eastAsia="en-US"/>
              </w:rPr>
              <w:t xml:space="preserve"> </w:t>
            </w:r>
            <w:r w:rsidRPr="00033D8D">
              <w:rPr>
                <w:rFonts w:ascii="Arial Narrow" w:eastAsiaTheme="minorHAnsi" w:hAnsi="Arial Narrow" w:cstheme="minorBidi"/>
                <w:sz w:val="20"/>
                <w:szCs w:val="22"/>
                <w:lang w:val="en-US" w:eastAsia="en-US"/>
              </w:rPr>
              <w:t xml:space="preserve">after the first 24 weeks </w:t>
            </w:r>
          </w:p>
        </w:tc>
        <w:tc>
          <w:tcPr>
            <w:tcW w:w="1186"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 xml:space="preserve">High, favours </w:t>
            </w:r>
            <w:proofErr w:type="spellStart"/>
            <w:r w:rsidRPr="00925EC3">
              <w:rPr>
                <w:rFonts w:ascii="Arial Narrow" w:eastAsiaTheme="minorHAnsi" w:hAnsi="Arial Narrow" w:cstheme="minorBidi"/>
                <w:sz w:val="20"/>
                <w:szCs w:val="22"/>
                <w:lang w:val="en-US" w:eastAsia="en-US"/>
              </w:rPr>
              <w:t>lumacaftor</w:t>
            </w:r>
            <w:proofErr w:type="spellEnd"/>
            <w:r w:rsidRPr="00925EC3">
              <w:rPr>
                <w:rFonts w:ascii="Arial Narrow" w:eastAsiaTheme="minorHAnsi" w:hAnsi="Arial Narrow" w:cstheme="minorBidi"/>
                <w:sz w:val="20"/>
                <w:szCs w:val="22"/>
                <w:lang w:val="en-US" w:eastAsia="en-US"/>
              </w:rPr>
              <w:t>/</w:t>
            </w:r>
            <w:proofErr w:type="spellStart"/>
            <w:r w:rsidRPr="00925EC3">
              <w:rPr>
                <w:rFonts w:ascii="Arial Narrow" w:eastAsiaTheme="minorHAnsi" w:hAnsi="Arial Narrow" w:cstheme="minorBidi"/>
                <w:sz w:val="20"/>
                <w:szCs w:val="22"/>
                <w:lang w:val="en-US" w:eastAsia="en-US"/>
              </w:rPr>
              <w:t>ivacaftor</w:t>
            </w:r>
            <w:proofErr w:type="spellEnd"/>
          </w:p>
        </w:tc>
      </w:tr>
      <w:tr w:rsidR="00925EC3" w:rsidRPr="00925EC3" w:rsidTr="00714C7B">
        <w:trPr>
          <w:trHeight w:val="20"/>
        </w:trPr>
        <w:tc>
          <w:tcPr>
            <w:tcW w:w="1409"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 xml:space="preserve">Assumption of price reduction at patent expiry. </w:t>
            </w:r>
          </w:p>
        </w:tc>
        <w:tc>
          <w:tcPr>
            <w:tcW w:w="2404" w:type="pct"/>
            <w:shd w:val="clear" w:color="auto" w:fill="auto"/>
            <w:vAlign w:val="center"/>
          </w:tcPr>
          <w:p w:rsidR="00925EC3" w:rsidRPr="00033D8D" w:rsidRDefault="004978B4" w:rsidP="00925EC3">
            <w:pPr>
              <w:keepNext/>
              <w:spacing w:before="40" w:after="40"/>
              <w:rPr>
                <w:rFonts w:ascii="Arial Narrow" w:eastAsiaTheme="minorHAnsi" w:hAnsi="Arial Narrow" w:cstheme="minorBidi"/>
                <w:sz w:val="20"/>
                <w:szCs w:val="22"/>
                <w:lang w:val="en-US" w:eastAsia="en-US"/>
              </w:rPr>
            </w:pPr>
            <w:r>
              <w:rPr>
                <w:rFonts w:ascii="Arial Narrow" w:eastAsiaTheme="minorHAnsi" w:hAnsi="Arial Narrow" w:cstheme="minorBidi"/>
                <w:noProof/>
                <w:color w:val="000000"/>
                <w:sz w:val="20"/>
                <w:szCs w:val="22"/>
                <w:highlight w:val="black"/>
                <w:lang w:val="en-US" w:eastAsia="en-US"/>
              </w:rPr>
              <w:t>''''''</w:t>
            </w:r>
            <w:r w:rsidR="00925EC3" w:rsidRPr="00033D8D">
              <w:rPr>
                <w:rFonts w:ascii="Arial Narrow" w:eastAsiaTheme="minorHAnsi" w:hAnsi="Arial Narrow" w:cstheme="minorBidi"/>
                <w:sz w:val="20"/>
                <w:szCs w:val="22"/>
                <w:lang w:val="en-US" w:eastAsia="en-US"/>
              </w:rPr>
              <w:t xml:space="preserve">% price reduction at end of patent life </w:t>
            </w:r>
          </w:p>
        </w:tc>
        <w:tc>
          <w:tcPr>
            <w:tcW w:w="1186"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 xml:space="preserve">High, favours </w:t>
            </w:r>
            <w:proofErr w:type="spellStart"/>
            <w:r w:rsidRPr="00925EC3">
              <w:rPr>
                <w:rFonts w:ascii="Arial Narrow" w:eastAsiaTheme="minorHAnsi" w:hAnsi="Arial Narrow" w:cstheme="minorBidi"/>
                <w:sz w:val="20"/>
                <w:szCs w:val="22"/>
                <w:lang w:val="en-US" w:eastAsia="en-US"/>
              </w:rPr>
              <w:t>lumacaftor</w:t>
            </w:r>
            <w:proofErr w:type="spellEnd"/>
            <w:r w:rsidRPr="00925EC3">
              <w:rPr>
                <w:rFonts w:ascii="Arial Narrow" w:eastAsiaTheme="minorHAnsi" w:hAnsi="Arial Narrow" w:cstheme="minorBidi"/>
                <w:sz w:val="20"/>
                <w:szCs w:val="22"/>
                <w:lang w:val="en-US" w:eastAsia="en-US"/>
              </w:rPr>
              <w:t>/</w:t>
            </w:r>
            <w:proofErr w:type="spellStart"/>
            <w:r w:rsidRPr="00925EC3">
              <w:rPr>
                <w:rFonts w:ascii="Arial Narrow" w:eastAsiaTheme="minorHAnsi" w:hAnsi="Arial Narrow" w:cstheme="minorBidi"/>
                <w:sz w:val="20"/>
                <w:szCs w:val="22"/>
                <w:lang w:val="en-US" w:eastAsia="en-US"/>
              </w:rPr>
              <w:t>ivacaftor</w:t>
            </w:r>
            <w:proofErr w:type="spellEnd"/>
          </w:p>
        </w:tc>
      </w:tr>
      <w:tr w:rsidR="00925EC3" w:rsidRPr="00925EC3" w:rsidTr="00714C7B">
        <w:trPr>
          <w:trHeight w:val="20"/>
        </w:trPr>
        <w:tc>
          <w:tcPr>
            <w:tcW w:w="1409"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 xml:space="preserve">Assumption of reduction in PE-related hospitalisation costs for </w:t>
            </w:r>
            <w:proofErr w:type="spellStart"/>
            <w:r w:rsidRPr="00925EC3">
              <w:rPr>
                <w:rFonts w:ascii="Arial Narrow" w:eastAsiaTheme="minorHAnsi" w:hAnsi="Arial Narrow" w:cstheme="minorBidi"/>
                <w:sz w:val="20"/>
                <w:szCs w:val="22"/>
                <w:lang w:val="en-US" w:eastAsia="en-US"/>
              </w:rPr>
              <w:t>lumacaftor</w:t>
            </w:r>
            <w:proofErr w:type="spellEnd"/>
            <w:r w:rsidRPr="00925EC3">
              <w:rPr>
                <w:rFonts w:ascii="Arial Narrow" w:eastAsiaTheme="minorHAnsi" w:hAnsi="Arial Narrow" w:cstheme="minorBidi"/>
                <w:sz w:val="20"/>
                <w:szCs w:val="22"/>
                <w:lang w:val="en-US" w:eastAsia="en-US"/>
              </w:rPr>
              <w:t>/</w:t>
            </w:r>
            <w:proofErr w:type="spellStart"/>
            <w:r w:rsidRPr="00925EC3">
              <w:rPr>
                <w:rFonts w:ascii="Arial Narrow" w:eastAsiaTheme="minorHAnsi" w:hAnsi="Arial Narrow" w:cstheme="minorBidi"/>
                <w:sz w:val="20"/>
                <w:szCs w:val="22"/>
                <w:lang w:val="en-US" w:eastAsia="en-US"/>
              </w:rPr>
              <w:t>ivacaftor</w:t>
            </w:r>
            <w:proofErr w:type="spellEnd"/>
            <w:r w:rsidRPr="00925EC3">
              <w:rPr>
                <w:rFonts w:ascii="Arial Narrow" w:eastAsiaTheme="minorHAnsi" w:hAnsi="Arial Narrow" w:cstheme="minorBidi"/>
                <w:sz w:val="20"/>
                <w:szCs w:val="22"/>
                <w:lang w:val="en-US" w:eastAsia="en-US"/>
              </w:rPr>
              <w:t>.</w:t>
            </w:r>
          </w:p>
        </w:tc>
        <w:tc>
          <w:tcPr>
            <w:tcW w:w="2404" w:type="pct"/>
            <w:shd w:val="clear" w:color="auto" w:fill="auto"/>
            <w:vAlign w:val="center"/>
          </w:tcPr>
          <w:p w:rsidR="00925EC3" w:rsidRPr="00033D8D" w:rsidRDefault="00B87FC5" w:rsidP="00925EC3">
            <w:pPr>
              <w:keepNext/>
              <w:spacing w:before="40" w:after="40"/>
              <w:rPr>
                <w:rFonts w:ascii="Arial Narrow" w:eastAsiaTheme="minorHAnsi" w:hAnsi="Arial Narrow" w:cstheme="minorBidi"/>
                <w:i/>
                <w:sz w:val="20"/>
                <w:szCs w:val="22"/>
                <w:lang w:val="en-US" w:eastAsia="en-US"/>
              </w:rPr>
            </w:pPr>
            <w:r w:rsidRPr="00033D8D">
              <w:rPr>
                <w:rFonts w:ascii="Arial Narrow" w:eastAsiaTheme="minorHAnsi" w:hAnsi="Arial Narrow" w:cstheme="minorBidi"/>
                <w:sz w:val="20"/>
                <w:szCs w:val="22"/>
                <w:lang w:val="en-US" w:eastAsia="en-US"/>
              </w:rPr>
              <w:t>61</w:t>
            </w:r>
            <w:r w:rsidR="00925EC3" w:rsidRPr="00033D8D">
              <w:rPr>
                <w:rFonts w:ascii="Arial Narrow" w:eastAsiaTheme="minorHAnsi" w:hAnsi="Arial Narrow" w:cstheme="minorBidi"/>
                <w:sz w:val="20"/>
                <w:szCs w:val="22"/>
                <w:lang w:val="en-US" w:eastAsia="en-US"/>
              </w:rPr>
              <w:t xml:space="preserve">% reduction in PE-related </w:t>
            </w:r>
            <w:r w:rsidR="00925EC3" w:rsidRPr="00033D8D">
              <w:rPr>
                <w:rFonts w:ascii="Arial Narrow" w:eastAsiaTheme="minorHAnsi" w:hAnsi="Arial Narrow" w:cstheme="minorBidi"/>
                <w:sz w:val="20"/>
                <w:szCs w:val="22"/>
                <w:lang w:eastAsia="en-US"/>
              </w:rPr>
              <w:t>hospitalisation</w:t>
            </w:r>
            <w:r w:rsidR="00925EC3" w:rsidRPr="00033D8D">
              <w:rPr>
                <w:rFonts w:ascii="Arial Narrow" w:eastAsiaTheme="minorHAnsi" w:hAnsi="Arial Narrow" w:cstheme="minorBidi"/>
                <w:sz w:val="20"/>
                <w:szCs w:val="22"/>
                <w:lang w:val="en-US" w:eastAsia="en-US"/>
              </w:rPr>
              <w:t xml:space="preserve"> costs; estimated by multiplying </w:t>
            </w:r>
            <w:r w:rsidR="00925EC3" w:rsidRPr="00033D8D">
              <w:rPr>
                <w:rFonts w:ascii="Arial Narrow" w:eastAsiaTheme="minorHAnsi" w:hAnsi="Arial Narrow" w:cstheme="minorBidi"/>
                <w:sz w:val="20"/>
                <w:szCs w:val="22"/>
                <w:lang w:eastAsia="en-US"/>
              </w:rPr>
              <w:t>hospitalisation</w:t>
            </w:r>
            <w:r w:rsidR="00925EC3" w:rsidRPr="00033D8D">
              <w:rPr>
                <w:rFonts w:ascii="Arial Narrow" w:eastAsiaTheme="minorHAnsi" w:hAnsi="Arial Narrow" w:cstheme="minorBidi"/>
                <w:sz w:val="20"/>
                <w:szCs w:val="22"/>
                <w:lang w:val="en-US" w:eastAsia="en-US"/>
              </w:rPr>
              <w:t xml:space="preserve"> costs associated with BSC by 0.61. </w:t>
            </w:r>
          </w:p>
        </w:tc>
        <w:tc>
          <w:tcPr>
            <w:tcW w:w="1186"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 xml:space="preserve">Moderate, favours </w:t>
            </w:r>
            <w:proofErr w:type="spellStart"/>
            <w:r w:rsidRPr="00925EC3">
              <w:rPr>
                <w:rFonts w:ascii="Arial Narrow" w:eastAsiaTheme="minorHAnsi" w:hAnsi="Arial Narrow" w:cstheme="minorBidi"/>
                <w:sz w:val="20"/>
                <w:szCs w:val="22"/>
                <w:lang w:val="en-US" w:eastAsia="en-US"/>
              </w:rPr>
              <w:t>lumacaftor</w:t>
            </w:r>
            <w:proofErr w:type="spellEnd"/>
            <w:r w:rsidRPr="00925EC3">
              <w:rPr>
                <w:rFonts w:ascii="Arial Narrow" w:eastAsiaTheme="minorHAnsi" w:hAnsi="Arial Narrow" w:cstheme="minorBidi"/>
                <w:sz w:val="20"/>
                <w:szCs w:val="22"/>
                <w:lang w:val="en-US" w:eastAsia="en-US"/>
              </w:rPr>
              <w:t>/</w:t>
            </w:r>
            <w:proofErr w:type="spellStart"/>
            <w:r w:rsidRPr="00925EC3">
              <w:rPr>
                <w:rFonts w:ascii="Arial Narrow" w:eastAsiaTheme="minorHAnsi" w:hAnsi="Arial Narrow" w:cstheme="minorBidi"/>
                <w:sz w:val="20"/>
                <w:szCs w:val="22"/>
                <w:lang w:val="en-US" w:eastAsia="en-US"/>
              </w:rPr>
              <w:t>ivacaftor</w:t>
            </w:r>
            <w:proofErr w:type="spellEnd"/>
          </w:p>
        </w:tc>
      </w:tr>
      <w:tr w:rsidR="00925EC3" w:rsidRPr="00925EC3" w:rsidTr="00714C7B">
        <w:trPr>
          <w:trHeight w:val="20"/>
        </w:trPr>
        <w:tc>
          <w:tcPr>
            <w:tcW w:w="1409"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Extrapolation of survival</w:t>
            </w:r>
          </w:p>
        </w:tc>
        <w:tc>
          <w:tcPr>
            <w:tcW w:w="2404"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proofErr w:type="spellStart"/>
            <w:r w:rsidRPr="00925EC3">
              <w:rPr>
                <w:rFonts w:ascii="Arial Narrow" w:eastAsiaTheme="minorHAnsi" w:hAnsi="Arial Narrow" w:cstheme="minorBidi"/>
                <w:sz w:val="20"/>
                <w:szCs w:val="22"/>
                <w:lang w:val="en-US" w:eastAsia="en-US"/>
              </w:rPr>
              <w:t>Liou</w:t>
            </w:r>
            <w:proofErr w:type="spellEnd"/>
            <w:r w:rsidRPr="00925EC3">
              <w:rPr>
                <w:rFonts w:ascii="Arial Narrow" w:eastAsiaTheme="minorHAnsi" w:hAnsi="Arial Narrow" w:cstheme="minorBidi"/>
                <w:sz w:val="20"/>
                <w:szCs w:val="22"/>
                <w:lang w:val="en-US" w:eastAsia="en-US"/>
              </w:rPr>
              <w:t xml:space="preserve"> et al (2001), extrapolation of effect of intermediate outcomes on survival. </w:t>
            </w:r>
          </w:p>
        </w:tc>
        <w:tc>
          <w:tcPr>
            <w:tcW w:w="1186" w:type="pct"/>
            <w:shd w:val="clear" w:color="auto" w:fill="auto"/>
            <w:vAlign w:val="center"/>
          </w:tcPr>
          <w:p w:rsidR="00925EC3" w:rsidRPr="00925EC3" w:rsidRDefault="00925EC3" w:rsidP="00925EC3">
            <w:pPr>
              <w:keepNext/>
              <w:spacing w:before="40" w:after="40"/>
              <w:rPr>
                <w:rFonts w:ascii="Arial Narrow" w:eastAsiaTheme="minorHAnsi" w:hAnsi="Arial Narrow" w:cstheme="minorBidi"/>
                <w:sz w:val="20"/>
                <w:szCs w:val="22"/>
                <w:lang w:val="en-US" w:eastAsia="en-US"/>
              </w:rPr>
            </w:pPr>
            <w:r w:rsidRPr="00925EC3">
              <w:rPr>
                <w:rFonts w:ascii="Arial Narrow" w:eastAsiaTheme="minorHAnsi" w:hAnsi="Arial Narrow" w:cstheme="minorBidi"/>
                <w:sz w:val="20"/>
                <w:szCs w:val="22"/>
                <w:lang w:val="en-US" w:eastAsia="en-US"/>
              </w:rPr>
              <w:t xml:space="preserve">High, favours </w:t>
            </w:r>
            <w:proofErr w:type="spellStart"/>
            <w:r w:rsidRPr="00925EC3">
              <w:rPr>
                <w:rFonts w:ascii="Arial Narrow" w:eastAsiaTheme="minorHAnsi" w:hAnsi="Arial Narrow" w:cstheme="minorBidi"/>
                <w:sz w:val="20"/>
                <w:szCs w:val="22"/>
                <w:lang w:val="en-US" w:eastAsia="en-US"/>
              </w:rPr>
              <w:t>lumacaftor</w:t>
            </w:r>
            <w:proofErr w:type="spellEnd"/>
            <w:r w:rsidRPr="00925EC3">
              <w:rPr>
                <w:rFonts w:ascii="Arial Narrow" w:eastAsiaTheme="minorHAnsi" w:hAnsi="Arial Narrow" w:cstheme="minorBidi"/>
                <w:sz w:val="20"/>
                <w:szCs w:val="22"/>
                <w:lang w:val="en-US" w:eastAsia="en-US"/>
              </w:rPr>
              <w:t>/</w:t>
            </w:r>
            <w:proofErr w:type="spellStart"/>
            <w:r w:rsidRPr="00925EC3">
              <w:rPr>
                <w:rFonts w:ascii="Arial Narrow" w:eastAsiaTheme="minorHAnsi" w:hAnsi="Arial Narrow" w:cstheme="minorBidi"/>
                <w:sz w:val="20"/>
                <w:szCs w:val="22"/>
                <w:lang w:val="en-US" w:eastAsia="en-US"/>
              </w:rPr>
              <w:t>ivacaftor</w:t>
            </w:r>
            <w:proofErr w:type="spellEnd"/>
          </w:p>
        </w:tc>
      </w:tr>
    </w:tbl>
    <w:p w:rsidR="00925EC3" w:rsidRPr="00925EC3" w:rsidRDefault="00925EC3" w:rsidP="00925EC3">
      <w:pPr>
        <w:keepNext/>
        <w:rPr>
          <w:rFonts w:ascii="Arial Narrow" w:hAnsi="Arial Narrow" w:cs="Arial"/>
          <w:snapToGrid w:val="0"/>
          <w:sz w:val="16"/>
          <w:szCs w:val="16"/>
          <w:lang w:eastAsia="en-US"/>
        </w:rPr>
      </w:pPr>
      <w:r w:rsidRPr="00925EC3">
        <w:rPr>
          <w:rFonts w:ascii="Arial Narrow" w:hAnsi="Arial Narrow" w:cs="Arial"/>
          <w:snapToGrid w:val="0"/>
          <w:sz w:val="16"/>
          <w:szCs w:val="16"/>
          <w:lang w:eastAsia="en-US"/>
        </w:rPr>
        <w:t>Abbreviations: BSC = best supportive care; PE = pulmonary exacerbation; pp</w:t>
      </w:r>
      <w:r w:rsidRPr="00925EC3">
        <w:rPr>
          <w:rFonts w:ascii="Arial Narrow" w:hAnsi="Arial Narrow" w:cs="Arial"/>
          <w:snapToGrid w:val="0"/>
          <w:sz w:val="16"/>
          <w:lang w:eastAsia="en-US"/>
        </w:rPr>
        <w:t>FEV</w:t>
      </w:r>
      <w:r w:rsidRPr="00925EC3">
        <w:rPr>
          <w:rFonts w:ascii="Arial Narrow" w:hAnsi="Arial Narrow" w:cs="Arial"/>
          <w:snapToGrid w:val="0"/>
          <w:sz w:val="16"/>
          <w:vertAlign w:val="subscript"/>
          <w:lang w:eastAsia="en-US"/>
        </w:rPr>
        <w:t>1</w:t>
      </w:r>
      <w:r w:rsidRPr="00925EC3">
        <w:rPr>
          <w:rFonts w:ascii="Arial Narrow" w:hAnsi="Arial Narrow" w:cs="Arial"/>
          <w:snapToGrid w:val="0"/>
          <w:sz w:val="16"/>
          <w:szCs w:val="16"/>
          <w:lang w:eastAsia="en-US"/>
        </w:rPr>
        <w:t>= per cent predicted forced expiratory volume in one second.</w:t>
      </w:r>
    </w:p>
    <w:p w:rsidR="00925EC3" w:rsidRPr="00925EC3" w:rsidRDefault="00925EC3" w:rsidP="00925EC3">
      <w:pPr>
        <w:keepNext/>
        <w:rPr>
          <w:rFonts w:ascii="Arial Narrow" w:hAnsi="Arial Narrow" w:cs="Arial"/>
          <w:snapToGrid w:val="0"/>
          <w:sz w:val="16"/>
          <w:szCs w:val="16"/>
          <w:lang w:eastAsia="en-US"/>
        </w:rPr>
      </w:pPr>
      <w:r w:rsidRPr="00925EC3">
        <w:rPr>
          <w:rFonts w:ascii="Arial Narrow" w:hAnsi="Arial Narrow" w:cs="Arial"/>
          <w:snapToGrid w:val="0"/>
          <w:sz w:val="16"/>
          <w:szCs w:val="16"/>
          <w:lang w:eastAsia="en-US"/>
        </w:rPr>
        <w:t xml:space="preserve">Source: compiled during the evaluation. </w:t>
      </w:r>
    </w:p>
    <w:p w:rsidR="00925EC3" w:rsidRPr="007C02B9" w:rsidRDefault="00925EC3"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Results from the economic evaluation with a </w:t>
      </w:r>
      <w:proofErr w:type="spellStart"/>
      <w:r w:rsidRPr="007C02B9">
        <w:rPr>
          <w:rFonts w:asciiTheme="minorHAnsi" w:hAnsiTheme="minorHAnsi"/>
          <w:sz w:val="24"/>
          <w:lang w:val="en-US"/>
        </w:rPr>
        <w:t>respecified</w:t>
      </w:r>
      <w:proofErr w:type="spellEnd"/>
      <w:r w:rsidRPr="007C02B9">
        <w:rPr>
          <w:rFonts w:asciiTheme="minorHAnsi" w:hAnsiTheme="minorHAnsi"/>
          <w:sz w:val="24"/>
          <w:lang w:val="en-US"/>
        </w:rPr>
        <w:t xml:space="preserve"> base case (to reflect use only in those 12 and </w:t>
      </w:r>
      <w:r w:rsidR="002E4DCF" w:rsidRPr="007C02B9">
        <w:rPr>
          <w:rFonts w:asciiTheme="minorHAnsi" w:hAnsiTheme="minorHAnsi"/>
          <w:sz w:val="24"/>
          <w:lang w:val="en-US"/>
        </w:rPr>
        <w:t>o</w:t>
      </w:r>
      <w:r w:rsidR="002E4DCF">
        <w:rPr>
          <w:rFonts w:asciiTheme="minorHAnsi" w:hAnsiTheme="minorHAnsi"/>
          <w:sz w:val="24"/>
          <w:lang w:val="en-US"/>
        </w:rPr>
        <w:t>lder</w:t>
      </w:r>
      <w:r w:rsidRPr="007C02B9">
        <w:rPr>
          <w:rFonts w:asciiTheme="minorHAnsi" w:hAnsiTheme="minorHAnsi"/>
          <w:sz w:val="24"/>
          <w:lang w:val="en-US"/>
        </w:rPr>
        <w:t xml:space="preserve">) are presented in </w:t>
      </w:r>
      <w:r w:rsidR="0014569D">
        <w:rPr>
          <w:rFonts w:asciiTheme="minorHAnsi" w:hAnsiTheme="minorHAnsi"/>
          <w:sz w:val="24"/>
          <w:lang w:val="en-US"/>
        </w:rPr>
        <w:t>Table 1</w:t>
      </w:r>
      <w:r w:rsidR="00841412">
        <w:rPr>
          <w:rFonts w:asciiTheme="minorHAnsi" w:hAnsiTheme="minorHAnsi"/>
          <w:sz w:val="24"/>
          <w:lang w:val="en-US"/>
        </w:rPr>
        <w:t>2</w:t>
      </w:r>
      <w:r w:rsidRPr="007C02B9">
        <w:rPr>
          <w:rFonts w:asciiTheme="minorHAnsi" w:hAnsiTheme="minorHAnsi"/>
          <w:sz w:val="24"/>
          <w:lang w:val="en-US"/>
        </w:rPr>
        <w:t xml:space="preserve">. These results show that the cost per QALY gained for patients aged 12 years </w:t>
      </w:r>
      <w:r w:rsidR="002E4DCF">
        <w:rPr>
          <w:rFonts w:asciiTheme="minorHAnsi" w:hAnsiTheme="minorHAnsi"/>
          <w:sz w:val="24"/>
          <w:lang w:val="en-US"/>
        </w:rPr>
        <w:t xml:space="preserve">and older </w:t>
      </w:r>
      <w:r w:rsidRPr="007C02B9">
        <w:rPr>
          <w:rFonts w:asciiTheme="minorHAnsi" w:hAnsiTheme="minorHAnsi"/>
          <w:sz w:val="24"/>
          <w:lang w:val="en-US"/>
        </w:rPr>
        <w:t>was $</w:t>
      </w:r>
      <w:r w:rsidR="00E66AD4">
        <w:rPr>
          <w:rFonts w:asciiTheme="minorHAnsi" w:hAnsiTheme="minorHAnsi"/>
          <w:sz w:val="24"/>
          <w:lang w:val="en-US"/>
        </w:rPr>
        <w:t>105,000/QALY - $200,000/QALY</w:t>
      </w:r>
      <w:r w:rsidR="0073784D">
        <w:rPr>
          <w:rFonts w:asciiTheme="minorHAnsi" w:hAnsiTheme="minorHAnsi"/>
          <w:sz w:val="24"/>
          <w:lang w:val="en-US"/>
        </w:rPr>
        <w:t xml:space="preserve">. </w:t>
      </w:r>
      <w:r w:rsidRPr="007C02B9">
        <w:rPr>
          <w:rFonts w:asciiTheme="minorHAnsi" w:hAnsiTheme="minorHAnsi"/>
          <w:sz w:val="24"/>
          <w:lang w:val="en-US"/>
        </w:rPr>
        <w:t>Including the 6-11 year age group reduced the ICER to $</w:t>
      </w:r>
      <w:r w:rsidR="00E66AD4">
        <w:rPr>
          <w:rFonts w:asciiTheme="minorHAnsi" w:hAnsiTheme="minorHAnsi"/>
          <w:sz w:val="24"/>
          <w:lang w:val="en-US"/>
        </w:rPr>
        <w:t>105,000 - $200,000/QALY</w:t>
      </w:r>
      <w:bookmarkStart w:id="16" w:name="_Ref511217752"/>
      <w:bookmarkStart w:id="17" w:name="_Ref511217748"/>
      <w:r w:rsidR="0073784D">
        <w:rPr>
          <w:rFonts w:asciiTheme="minorHAnsi" w:hAnsiTheme="minorHAnsi"/>
          <w:sz w:val="24"/>
          <w:lang w:val="en-US"/>
        </w:rPr>
        <w:t>.</w:t>
      </w:r>
    </w:p>
    <w:p w:rsidR="00925EC3" w:rsidRPr="00925EC3" w:rsidRDefault="00925EC3" w:rsidP="0073784D">
      <w:pPr>
        <w:keepNext/>
        <w:keepLines/>
        <w:widowControl w:val="0"/>
        <w:ind w:left="709" w:hanging="709"/>
        <w:jc w:val="both"/>
        <w:rPr>
          <w:rFonts w:ascii="Arial Narrow" w:hAnsi="Arial Narrow" w:cs="Arial"/>
          <w:b/>
          <w:bCs/>
          <w:snapToGrid w:val="0"/>
          <w:sz w:val="20"/>
          <w:szCs w:val="20"/>
          <w:lang w:eastAsia="en-US"/>
        </w:rPr>
      </w:pPr>
      <w:r w:rsidRPr="00925EC3">
        <w:rPr>
          <w:rFonts w:ascii="Arial Narrow" w:hAnsi="Arial Narrow" w:cs="Arial"/>
          <w:b/>
          <w:bCs/>
          <w:snapToGrid w:val="0"/>
          <w:sz w:val="20"/>
          <w:szCs w:val="20"/>
          <w:lang w:eastAsia="en-US"/>
        </w:rPr>
        <w:lastRenderedPageBreak/>
        <w:t xml:space="preserve">Table </w:t>
      </w:r>
      <w:bookmarkEnd w:id="16"/>
      <w:r w:rsidR="0014569D">
        <w:rPr>
          <w:rFonts w:ascii="Arial Narrow" w:hAnsi="Arial Narrow" w:cs="Arial"/>
          <w:b/>
          <w:bCs/>
          <w:snapToGrid w:val="0"/>
          <w:sz w:val="20"/>
          <w:szCs w:val="20"/>
          <w:lang w:eastAsia="en-US"/>
        </w:rPr>
        <w:t>1</w:t>
      </w:r>
      <w:r w:rsidR="00841412">
        <w:rPr>
          <w:rFonts w:ascii="Arial Narrow" w:hAnsi="Arial Narrow" w:cs="Arial"/>
          <w:b/>
          <w:bCs/>
          <w:snapToGrid w:val="0"/>
          <w:sz w:val="20"/>
          <w:szCs w:val="20"/>
          <w:lang w:eastAsia="en-US"/>
        </w:rPr>
        <w:t>2</w:t>
      </w:r>
      <w:r w:rsidRPr="00925EC3">
        <w:rPr>
          <w:rFonts w:ascii="Arial Narrow" w:hAnsi="Arial Narrow" w:cs="Arial"/>
          <w:b/>
          <w:bCs/>
          <w:snapToGrid w:val="0"/>
          <w:sz w:val="20"/>
          <w:szCs w:val="20"/>
          <w:lang w:eastAsia="en-US"/>
        </w:rPr>
        <w:t>: Results of the economic evaluation</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8"/>
        <w:gridCol w:w="2314"/>
        <w:gridCol w:w="1522"/>
      </w:tblGrid>
      <w:tr w:rsidR="00925EC3" w:rsidRPr="00925EC3" w:rsidTr="00714C7B">
        <w:trPr>
          <w:tblHeader/>
        </w:trPr>
        <w:tc>
          <w:tcPr>
            <w:tcW w:w="1529" w:type="pct"/>
            <w:vAlign w:val="center"/>
          </w:tcPr>
          <w:p w:rsidR="00925EC3" w:rsidRPr="00925EC3" w:rsidRDefault="00925EC3" w:rsidP="0073784D">
            <w:pPr>
              <w:keepNext/>
              <w:keepLines/>
              <w:rPr>
                <w:rFonts w:ascii="Arial Narrow" w:hAnsi="Arial Narrow"/>
                <w:b/>
                <w:sz w:val="20"/>
                <w:szCs w:val="22"/>
                <w:lang w:eastAsia="en-US"/>
              </w:rPr>
            </w:pPr>
            <w:r w:rsidRPr="00925EC3">
              <w:rPr>
                <w:rFonts w:ascii="Arial Narrow" w:hAnsi="Arial Narrow"/>
                <w:b/>
                <w:sz w:val="20"/>
                <w:szCs w:val="22"/>
                <w:lang w:eastAsia="en-US"/>
              </w:rPr>
              <w:t>Step and component</w:t>
            </w:r>
          </w:p>
        </w:tc>
        <w:tc>
          <w:tcPr>
            <w:tcW w:w="1359" w:type="pct"/>
            <w:vAlign w:val="center"/>
          </w:tcPr>
          <w:p w:rsidR="00925EC3" w:rsidRPr="00925EC3" w:rsidRDefault="00925EC3" w:rsidP="0073784D">
            <w:pPr>
              <w:keepNext/>
              <w:keepLines/>
              <w:jc w:val="center"/>
              <w:rPr>
                <w:rFonts w:ascii="Arial Narrow" w:hAnsi="Arial Narrow"/>
                <w:b/>
                <w:sz w:val="20"/>
                <w:szCs w:val="22"/>
                <w:lang w:eastAsia="en-US"/>
              </w:rPr>
            </w:pPr>
            <w:proofErr w:type="spellStart"/>
            <w:r w:rsidRPr="00925EC3">
              <w:rPr>
                <w:rFonts w:ascii="Arial Narrow" w:hAnsi="Arial Narrow"/>
                <w:b/>
                <w:sz w:val="20"/>
                <w:szCs w:val="22"/>
                <w:lang w:eastAsia="en-US"/>
              </w:rPr>
              <w:t>Lumacaftor</w:t>
            </w:r>
            <w:proofErr w:type="spellEnd"/>
            <w:r w:rsidRPr="00925EC3">
              <w:rPr>
                <w:rFonts w:ascii="Arial Narrow" w:hAnsi="Arial Narrow"/>
                <w:b/>
                <w:sz w:val="20"/>
                <w:szCs w:val="22"/>
                <w:lang w:eastAsia="en-US"/>
              </w:rPr>
              <w:t>/</w:t>
            </w:r>
            <w:proofErr w:type="spellStart"/>
            <w:r w:rsidRPr="00925EC3">
              <w:rPr>
                <w:rFonts w:ascii="Arial Narrow" w:hAnsi="Arial Narrow"/>
                <w:b/>
                <w:sz w:val="20"/>
                <w:szCs w:val="22"/>
                <w:lang w:eastAsia="en-US"/>
              </w:rPr>
              <w:t>ivacaftor</w:t>
            </w:r>
            <w:proofErr w:type="spellEnd"/>
          </w:p>
        </w:tc>
        <w:tc>
          <w:tcPr>
            <w:tcW w:w="1274" w:type="pct"/>
            <w:vAlign w:val="center"/>
          </w:tcPr>
          <w:p w:rsidR="00925EC3" w:rsidRPr="00925EC3" w:rsidRDefault="00925EC3" w:rsidP="0073784D">
            <w:pPr>
              <w:keepNext/>
              <w:keepLines/>
              <w:jc w:val="center"/>
              <w:rPr>
                <w:rFonts w:ascii="Arial Narrow" w:hAnsi="Arial Narrow"/>
                <w:b/>
                <w:sz w:val="20"/>
                <w:szCs w:val="22"/>
                <w:lang w:eastAsia="en-US"/>
              </w:rPr>
            </w:pPr>
            <w:r w:rsidRPr="00925EC3">
              <w:rPr>
                <w:rFonts w:ascii="Arial Narrow" w:hAnsi="Arial Narrow"/>
                <w:b/>
                <w:sz w:val="20"/>
                <w:szCs w:val="22"/>
                <w:lang w:eastAsia="en-US"/>
              </w:rPr>
              <w:t>Best supportive care</w:t>
            </w:r>
          </w:p>
        </w:tc>
        <w:tc>
          <w:tcPr>
            <w:tcW w:w="838" w:type="pct"/>
            <w:vAlign w:val="center"/>
          </w:tcPr>
          <w:p w:rsidR="00925EC3" w:rsidRPr="00925EC3" w:rsidRDefault="00925EC3" w:rsidP="0073784D">
            <w:pPr>
              <w:keepNext/>
              <w:keepLines/>
              <w:jc w:val="center"/>
              <w:rPr>
                <w:rFonts w:ascii="Arial Narrow" w:hAnsi="Arial Narrow"/>
                <w:b/>
                <w:sz w:val="20"/>
                <w:szCs w:val="22"/>
                <w:lang w:eastAsia="en-US"/>
              </w:rPr>
            </w:pPr>
            <w:r w:rsidRPr="00925EC3">
              <w:rPr>
                <w:rFonts w:ascii="Arial Narrow" w:hAnsi="Arial Narrow"/>
                <w:b/>
                <w:sz w:val="20"/>
                <w:szCs w:val="22"/>
                <w:lang w:eastAsia="en-US"/>
              </w:rPr>
              <w:t>Increment</w:t>
            </w:r>
          </w:p>
        </w:tc>
      </w:tr>
      <w:tr w:rsidR="00925EC3" w:rsidRPr="00925EC3" w:rsidTr="00714C7B">
        <w:tc>
          <w:tcPr>
            <w:tcW w:w="5000" w:type="pct"/>
            <w:gridSpan w:val="4"/>
            <w:vAlign w:val="center"/>
          </w:tcPr>
          <w:p w:rsidR="00925EC3" w:rsidRPr="00925EC3" w:rsidRDefault="00925EC3" w:rsidP="0073784D">
            <w:pPr>
              <w:keepNext/>
              <w:keepLines/>
              <w:rPr>
                <w:rFonts w:ascii="Arial Narrow" w:hAnsi="Arial Narrow"/>
                <w:b/>
                <w:snapToGrid w:val="0"/>
                <w:sz w:val="20"/>
                <w:szCs w:val="22"/>
                <w:lang w:eastAsia="en-US"/>
              </w:rPr>
            </w:pPr>
            <w:r w:rsidRPr="00925EC3">
              <w:rPr>
                <w:rFonts w:ascii="Arial Narrow" w:hAnsi="Arial Narrow"/>
                <w:b/>
                <w:snapToGrid w:val="0"/>
                <w:sz w:val="20"/>
                <w:szCs w:val="22"/>
                <w:lang w:eastAsia="en-US"/>
              </w:rPr>
              <w:t>Patients aged 6 years and older, revised base case with cap</w:t>
            </w:r>
          </w:p>
        </w:tc>
      </w:tr>
      <w:tr w:rsidR="00925EC3" w:rsidRPr="00925EC3" w:rsidTr="00714C7B">
        <w:tc>
          <w:tcPr>
            <w:tcW w:w="1529" w:type="pct"/>
            <w:vAlign w:val="center"/>
          </w:tcPr>
          <w:p w:rsidR="00925EC3" w:rsidRPr="00925EC3" w:rsidRDefault="00925EC3" w:rsidP="0073784D">
            <w:pPr>
              <w:keepNext/>
              <w:keepLines/>
              <w:rPr>
                <w:rFonts w:ascii="Times" w:hAnsi="Times"/>
                <w:sz w:val="20"/>
                <w:szCs w:val="22"/>
                <w:lang w:eastAsia="en-US"/>
              </w:rPr>
            </w:pPr>
            <w:r w:rsidRPr="00925EC3">
              <w:rPr>
                <w:rFonts w:ascii="Arial Narrow" w:hAnsi="Arial Narrow"/>
                <w:sz w:val="20"/>
                <w:szCs w:val="22"/>
                <w:lang w:eastAsia="en-US"/>
              </w:rPr>
              <w:t>Costs</w:t>
            </w:r>
          </w:p>
        </w:tc>
        <w:tc>
          <w:tcPr>
            <w:tcW w:w="1359" w:type="pct"/>
          </w:tcPr>
          <w:p w:rsidR="00925EC3" w:rsidRPr="00925EC3" w:rsidRDefault="00925EC3" w:rsidP="0073784D">
            <w:pPr>
              <w:keepNext/>
              <w:keepLines/>
              <w:rPr>
                <w:rFonts w:ascii="Times" w:hAnsi="Times"/>
                <w:sz w:val="20"/>
                <w:szCs w:val="22"/>
                <w:lang w:eastAsia="en-US"/>
              </w:rPr>
            </w:pPr>
            <w:r w:rsidRPr="00925EC3">
              <w:rPr>
                <w:rFonts w:ascii="Arial Narrow" w:hAnsi="Arial Narrow"/>
                <w:sz w:val="20"/>
                <w:szCs w:val="22"/>
                <w:lang w:eastAsia="en-US"/>
              </w:rPr>
              <w:t>$</w:t>
            </w:r>
            <w:r w:rsidR="004978B4">
              <w:rPr>
                <w:rFonts w:ascii="Arial Narrow" w:hAnsi="Arial Narrow"/>
                <w:noProof/>
                <w:color w:val="000000"/>
                <w:sz w:val="20"/>
                <w:szCs w:val="22"/>
                <w:highlight w:val="black"/>
                <w:lang w:eastAsia="en-US"/>
              </w:rPr>
              <w:t>''''''''''''''''''''''</w:t>
            </w:r>
          </w:p>
        </w:tc>
        <w:tc>
          <w:tcPr>
            <w:tcW w:w="1274" w:type="pct"/>
          </w:tcPr>
          <w:p w:rsidR="00925EC3" w:rsidRPr="00925EC3" w:rsidRDefault="00925EC3" w:rsidP="0073784D">
            <w:pPr>
              <w:keepNext/>
              <w:keepLines/>
              <w:rPr>
                <w:rFonts w:ascii="Times" w:hAnsi="Times"/>
                <w:sz w:val="20"/>
                <w:szCs w:val="22"/>
                <w:lang w:eastAsia="en-US"/>
              </w:rPr>
            </w:pPr>
            <w:r w:rsidRPr="00925EC3">
              <w:rPr>
                <w:rFonts w:ascii="Arial Narrow" w:hAnsi="Arial Narrow"/>
                <w:sz w:val="20"/>
                <w:szCs w:val="22"/>
                <w:lang w:eastAsia="en-US"/>
              </w:rPr>
              <w:t>$</w:t>
            </w:r>
            <w:r w:rsidRPr="00A462FE">
              <w:rPr>
                <w:rFonts w:ascii="Arial Narrow" w:hAnsi="Arial Narrow"/>
                <w:sz w:val="20"/>
                <w:szCs w:val="22"/>
                <w:lang w:eastAsia="en-US"/>
              </w:rPr>
              <w:t>469,441</w:t>
            </w:r>
          </w:p>
        </w:tc>
        <w:tc>
          <w:tcPr>
            <w:tcW w:w="838" w:type="pct"/>
          </w:tcPr>
          <w:p w:rsidR="00925EC3" w:rsidRPr="00925EC3" w:rsidRDefault="00925EC3" w:rsidP="0073784D">
            <w:pPr>
              <w:keepNext/>
              <w:keepLines/>
              <w:jc w:val="center"/>
              <w:rPr>
                <w:rFonts w:ascii="Times" w:hAnsi="Times"/>
                <w:sz w:val="20"/>
                <w:szCs w:val="22"/>
                <w:highlight w:val="cyan"/>
                <w:lang w:eastAsia="en-US"/>
              </w:rPr>
            </w:pPr>
            <w:r w:rsidRPr="00925EC3">
              <w:rPr>
                <w:rFonts w:ascii="Arial Narrow" w:hAnsi="Arial Narrow"/>
                <w:sz w:val="20"/>
                <w:szCs w:val="22"/>
                <w:lang w:eastAsia="en-US"/>
              </w:rPr>
              <w:t>$</w:t>
            </w:r>
            <w:r w:rsidR="004978B4">
              <w:rPr>
                <w:rFonts w:ascii="Arial Narrow" w:hAnsi="Arial Narrow"/>
                <w:noProof/>
                <w:color w:val="000000"/>
                <w:sz w:val="20"/>
                <w:szCs w:val="22"/>
                <w:highlight w:val="black"/>
                <w:lang w:eastAsia="en-US"/>
              </w:rPr>
              <w:t>''''''''''''''''''''</w:t>
            </w:r>
          </w:p>
        </w:tc>
      </w:tr>
      <w:tr w:rsidR="00925EC3" w:rsidRPr="00925EC3" w:rsidTr="00714C7B">
        <w:tc>
          <w:tcPr>
            <w:tcW w:w="1529" w:type="pct"/>
            <w:vAlign w:val="center"/>
          </w:tcPr>
          <w:p w:rsidR="00925EC3" w:rsidRPr="00925EC3" w:rsidRDefault="00925EC3" w:rsidP="0073784D">
            <w:pPr>
              <w:keepNext/>
              <w:keepLines/>
              <w:rPr>
                <w:rFonts w:ascii="Times" w:hAnsi="Times"/>
                <w:sz w:val="20"/>
                <w:szCs w:val="22"/>
                <w:lang w:eastAsia="en-US"/>
              </w:rPr>
            </w:pPr>
            <w:r w:rsidRPr="00925EC3">
              <w:rPr>
                <w:rFonts w:ascii="Arial Narrow" w:hAnsi="Arial Narrow"/>
                <w:sz w:val="20"/>
                <w:szCs w:val="22"/>
                <w:lang w:eastAsia="en-US"/>
              </w:rPr>
              <w:t>QALYs</w:t>
            </w:r>
          </w:p>
        </w:tc>
        <w:tc>
          <w:tcPr>
            <w:tcW w:w="1359" w:type="pct"/>
          </w:tcPr>
          <w:p w:rsidR="00925EC3" w:rsidRPr="00925EC3" w:rsidRDefault="00925EC3" w:rsidP="0073784D">
            <w:pPr>
              <w:keepNext/>
              <w:keepLines/>
              <w:rPr>
                <w:rFonts w:ascii="Times" w:hAnsi="Times"/>
                <w:sz w:val="20"/>
                <w:szCs w:val="22"/>
                <w:lang w:eastAsia="en-US"/>
              </w:rPr>
            </w:pPr>
            <w:r w:rsidRPr="00925EC3">
              <w:rPr>
                <w:rFonts w:ascii="Arial Narrow" w:hAnsi="Arial Narrow"/>
                <w:sz w:val="20"/>
                <w:szCs w:val="20"/>
                <w:lang w:eastAsia="en-US"/>
              </w:rPr>
              <w:t>8.30</w:t>
            </w:r>
          </w:p>
        </w:tc>
        <w:tc>
          <w:tcPr>
            <w:tcW w:w="1274" w:type="pct"/>
          </w:tcPr>
          <w:p w:rsidR="00925EC3" w:rsidRPr="00925EC3" w:rsidRDefault="00925EC3" w:rsidP="0073784D">
            <w:pPr>
              <w:keepNext/>
              <w:keepLines/>
              <w:rPr>
                <w:rFonts w:ascii="Times" w:hAnsi="Times"/>
                <w:sz w:val="20"/>
                <w:szCs w:val="22"/>
                <w:lang w:eastAsia="en-US"/>
              </w:rPr>
            </w:pPr>
            <w:r w:rsidRPr="00925EC3">
              <w:rPr>
                <w:rFonts w:ascii="Arial Narrow" w:hAnsi="Arial Narrow"/>
                <w:sz w:val="20"/>
                <w:szCs w:val="20"/>
                <w:lang w:eastAsia="en-US"/>
              </w:rPr>
              <w:t>6.08</w:t>
            </w:r>
          </w:p>
        </w:tc>
        <w:tc>
          <w:tcPr>
            <w:tcW w:w="838" w:type="pct"/>
          </w:tcPr>
          <w:p w:rsidR="00925EC3" w:rsidRPr="00925EC3" w:rsidRDefault="00925EC3" w:rsidP="0073784D">
            <w:pPr>
              <w:keepNext/>
              <w:keepLines/>
              <w:jc w:val="center"/>
              <w:rPr>
                <w:rFonts w:ascii="Arial Narrow" w:hAnsi="Arial Narrow"/>
                <w:sz w:val="20"/>
                <w:szCs w:val="22"/>
                <w:highlight w:val="cyan"/>
                <w:lang w:eastAsia="en-US"/>
              </w:rPr>
            </w:pPr>
            <w:r w:rsidRPr="00925EC3">
              <w:rPr>
                <w:rFonts w:ascii="Arial Narrow" w:hAnsi="Arial Narrow"/>
                <w:sz w:val="20"/>
                <w:szCs w:val="20"/>
                <w:lang w:eastAsia="en-US"/>
              </w:rPr>
              <w:t>2.21</w:t>
            </w:r>
          </w:p>
        </w:tc>
      </w:tr>
      <w:tr w:rsidR="00925EC3" w:rsidRPr="00925EC3" w:rsidTr="00714C7B">
        <w:tc>
          <w:tcPr>
            <w:tcW w:w="4162" w:type="pct"/>
            <w:gridSpan w:val="3"/>
            <w:vAlign w:val="center"/>
          </w:tcPr>
          <w:p w:rsidR="00925EC3" w:rsidRPr="00925EC3" w:rsidRDefault="00925EC3" w:rsidP="0073784D">
            <w:pPr>
              <w:keepNext/>
              <w:keepLines/>
              <w:rPr>
                <w:rFonts w:ascii="Times" w:hAnsi="Times"/>
                <w:sz w:val="20"/>
                <w:szCs w:val="22"/>
                <w:lang w:eastAsia="en-US"/>
              </w:rPr>
            </w:pPr>
            <w:r w:rsidRPr="00925EC3">
              <w:rPr>
                <w:rFonts w:ascii="Arial Narrow" w:hAnsi="Arial Narrow"/>
                <w:sz w:val="20"/>
                <w:szCs w:val="22"/>
                <w:lang w:eastAsia="en-US"/>
              </w:rPr>
              <w:t xml:space="preserve">Incremental cost/extra QALY gained </w:t>
            </w:r>
          </w:p>
        </w:tc>
        <w:tc>
          <w:tcPr>
            <w:tcW w:w="838" w:type="pct"/>
            <w:vAlign w:val="center"/>
          </w:tcPr>
          <w:p w:rsidR="00925EC3" w:rsidRPr="00925EC3" w:rsidRDefault="00925EC3" w:rsidP="0073784D">
            <w:pPr>
              <w:keepNext/>
              <w:keepLines/>
              <w:jc w:val="center"/>
              <w:rPr>
                <w:rFonts w:ascii="Times" w:hAnsi="Times"/>
                <w:sz w:val="20"/>
                <w:szCs w:val="22"/>
                <w:lang w:eastAsia="en-US"/>
              </w:rPr>
            </w:pPr>
            <w:r w:rsidRPr="00925EC3">
              <w:rPr>
                <w:rFonts w:ascii="Arial Narrow" w:hAnsi="Arial Narrow"/>
                <w:sz w:val="20"/>
                <w:szCs w:val="22"/>
                <w:lang w:eastAsia="en-US"/>
              </w:rPr>
              <w:t>$</w:t>
            </w:r>
            <w:r w:rsidR="004978B4">
              <w:rPr>
                <w:rFonts w:ascii="Arial Narrow" w:hAnsi="Arial Narrow"/>
                <w:noProof/>
                <w:color w:val="000000"/>
                <w:sz w:val="20"/>
                <w:szCs w:val="22"/>
                <w:highlight w:val="black"/>
                <w:lang w:eastAsia="en-US"/>
              </w:rPr>
              <w:t>'''''''''''''''''''</w:t>
            </w:r>
          </w:p>
        </w:tc>
      </w:tr>
      <w:tr w:rsidR="00925EC3" w:rsidRPr="00925EC3" w:rsidTr="00714C7B">
        <w:tc>
          <w:tcPr>
            <w:tcW w:w="4162" w:type="pct"/>
            <w:gridSpan w:val="3"/>
            <w:vAlign w:val="center"/>
          </w:tcPr>
          <w:p w:rsidR="00925EC3" w:rsidRPr="00925EC3" w:rsidRDefault="00925EC3" w:rsidP="0073784D">
            <w:pPr>
              <w:keepNext/>
              <w:keepLines/>
              <w:rPr>
                <w:rFonts w:ascii="Arial Narrow" w:hAnsi="Arial Narrow"/>
                <w:snapToGrid w:val="0"/>
                <w:sz w:val="20"/>
                <w:szCs w:val="22"/>
                <w:lang w:eastAsia="en-US"/>
              </w:rPr>
            </w:pPr>
          </w:p>
        </w:tc>
        <w:tc>
          <w:tcPr>
            <w:tcW w:w="838" w:type="pct"/>
            <w:vAlign w:val="center"/>
          </w:tcPr>
          <w:p w:rsidR="00925EC3" w:rsidRPr="00925EC3" w:rsidRDefault="00925EC3" w:rsidP="0073784D">
            <w:pPr>
              <w:keepNext/>
              <w:keepLines/>
              <w:jc w:val="center"/>
              <w:rPr>
                <w:rFonts w:ascii="Arial Narrow" w:hAnsi="Arial Narrow"/>
                <w:sz w:val="20"/>
                <w:szCs w:val="22"/>
                <w:lang w:eastAsia="en-US"/>
              </w:rPr>
            </w:pPr>
          </w:p>
        </w:tc>
      </w:tr>
      <w:tr w:rsidR="00925EC3" w:rsidRPr="00925EC3" w:rsidTr="00714C7B">
        <w:tc>
          <w:tcPr>
            <w:tcW w:w="4162" w:type="pct"/>
            <w:gridSpan w:val="3"/>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b/>
                <w:snapToGrid w:val="0"/>
                <w:sz w:val="20"/>
                <w:szCs w:val="22"/>
                <w:lang w:eastAsia="en-US"/>
              </w:rPr>
              <w:t>Patients aged 12 years and older, scenario with cap</w:t>
            </w:r>
          </w:p>
        </w:tc>
        <w:tc>
          <w:tcPr>
            <w:tcW w:w="838" w:type="pct"/>
            <w:vAlign w:val="center"/>
          </w:tcPr>
          <w:p w:rsidR="00925EC3" w:rsidRPr="00925EC3" w:rsidRDefault="00925EC3" w:rsidP="0073784D">
            <w:pPr>
              <w:keepNext/>
              <w:keepLines/>
              <w:jc w:val="center"/>
              <w:rPr>
                <w:rFonts w:ascii="Arial Narrow" w:hAnsi="Arial Narrow"/>
                <w:sz w:val="20"/>
                <w:szCs w:val="22"/>
                <w:lang w:eastAsia="en-US"/>
              </w:rPr>
            </w:pPr>
          </w:p>
        </w:tc>
      </w:tr>
      <w:tr w:rsidR="00925EC3" w:rsidRPr="00925EC3" w:rsidTr="00714C7B">
        <w:tc>
          <w:tcPr>
            <w:tcW w:w="1529" w:type="pct"/>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Costs</w:t>
            </w:r>
          </w:p>
        </w:tc>
        <w:tc>
          <w:tcPr>
            <w:tcW w:w="1359" w:type="pct"/>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w:t>
            </w:r>
            <w:r w:rsidR="004978B4">
              <w:rPr>
                <w:rFonts w:ascii="Arial Narrow" w:hAnsi="Arial Narrow"/>
                <w:noProof/>
                <w:color w:val="000000"/>
                <w:sz w:val="20"/>
                <w:szCs w:val="22"/>
                <w:highlight w:val="black"/>
                <w:lang w:eastAsia="en-US"/>
              </w:rPr>
              <w:t>''''''''''''''''''</w:t>
            </w:r>
          </w:p>
        </w:tc>
        <w:tc>
          <w:tcPr>
            <w:tcW w:w="1274" w:type="pct"/>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w:t>
            </w:r>
            <w:r w:rsidRPr="00A462FE">
              <w:rPr>
                <w:rFonts w:ascii="Arial Narrow" w:hAnsi="Arial Narrow"/>
                <w:sz w:val="20"/>
                <w:szCs w:val="22"/>
                <w:lang w:eastAsia="en-US"/>
              </w:rPr>
              <w:t>437,044</w:t>
            </w:r>
          </w:p>
        </w:tc>
        <w:tc>
          <w:tcPr>
            <w:tcW w:w="838" w:type="pct"/>
          </w:tcPr>
          <w:p w:rsidR="00925EC3" w:rsidRPr="00925EC3" w:rsidRDefault="00925EC3" w:rsidP="0073784D">
            <w:pPr>
              <w:keepNext/>
              <w:keepLines/>
              <w:jc w:val="center"/>
              <w:rPr>
                <w:rFonts w:ascii="Arial Narrow" w:hAnsi="Arial Narrow"/>
                <w:sz w:val="20"/>
                <w:szCs w:val="22"/>
                <w:lang w:eastAsia="en-US"/>
              </w:rPr>
            </w:pPr>
            <w:r w:rsidRPr="00925EC3">
              <w:rPr>
                <w:rFonts w:ascii="Arial Narrow" w:hAnsi="Arial Narrow"/>
                <w:sz w:val="20"/>
                <w:szCs w:val="22"/>
                <w:lang w:eastAsia="en-US"/>
              </w:rPr>
              <w:t>$</w:t>
            </w:r>
            <w:r w:rsidR="004978B4">
              <w:rPr>
                <w:rFonts w:ascii="Arial Narrow" w:hAnsi="Arial Narrow"/>
                <w:noProof/>
                <w:color w:val="000000"/>
                <w:sz w:val="20"/>
                <w:szCs w:val="22"/>
                <w:highlight w:val="black"/>
                <w:lang w:eastAsia="en-US"/>
              </w:rPr>
              <w:t>'''''''''''''''''''''</w:t>
            </w:r>
          </w:p>
        </w:tc>
      </w:tr>
      <w:tr w:rsidR="00925EC3" w:rsidRPr="00925EC3" w:rsidTr="00714C7B">
        <w:tc>
          <w:tcPr>
            <w:tcW w:w="1529" w:type="pct"/>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QALYs</w:t>
            </w:r>
          </w:p>
        </w:tc>
        <w:tc>
          <w:tcPr>
            <w:tcW w:w="1359" w:type="pct"/>
            <w:tcBorders>
              <w:top w:val="single" w:sz="4" w:space="0" w:color="auto"/>
              <w:left w:val="nil"/>
              <w:bottom w:val="single" w:sz="4" w:space="0" w:color="auto"/>
              <w:right w:val="single" w:sz="4" w:space="0" w:color="auto"/>
            </w:tcBorders>
            <w:shd w:val="clear" w:color="auto" w:fill="auto"/>
            <w:vAlign w:val="bottom"/>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0"/>
                <w:lang w:eastAsia="en-US"/>
              </w:rPr>
              <w:t>6.91</w:t>
            </w:r>
          </w:p>
        </w:tc>
        <w:tc>
          <w:tcPr>
            <w:tcW w:w="1274" w:type="pct"/>
            <w:tcBorders>
              <w:top w:val="single" w:sz="4" w:space="0" w:color="auto"/>
              <w:left w:val="nil"/>
              <w:bottom w:val="single" w:sz="4" w:space="0" w:color="auto"/>
              <w:right w:val="single" w:sz="4" w:space="0" w:color="auto"/>
            </w:tcBorders>
            <w:shd w:val="clear" w:color="auto" w:fill="auto"/>
            <w:vAlign w:val="bottom"/>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0"/>
                <w:lang w:eastAsia="en-US"/>
              </w:rPr>
              <w:t>4.94</w:t>
            </w:r>
          </w:p>
        </w:tc>
        <w:tc>
          <w:tcPr>
            <w:tcW w:w="838" w:type="pct"/>
            <w:tcBorders>
              <w:top w:val="single" w:sz="4" w:space="0" w:color="auto"/>
              <w:left w:val="nil"/>
              <w:bottom w:val="single" w:sz="4" w:space="0" w:color="auto"/>
              <w:right w:val="single" w:sz="4" w:space="0" w:color="auto"/>
            </w:tcBorders>
            <w:shd w:val="clear" w:color="auto" w:fill="auto"/>
            <w:vAlign w:val="bottom"/>
          </w:tcPr>
          <w:p w:rsidR="00925EC3" w:rsidRPr="00925EC3" w:rsidRDefault="00925EC3" w:rsidP="0073784D">
            <w:pPr>
              <w:keepNext/>
              <w:keepLines/>
              <w:jc w:val="center"/>
              <w:rPr>
                <w:rFonts w:ascii="Arial Narrow" w:hAnsi="Arial Narrow"/>
                <w:sz w:val="20"/>
                <w:szCs w:val="22"/>
                <w:lang w:eastAsia="en-US"/>
              </w:rPr>
            </w:pPr>
            <w:r w:rsidRPr="00925EC3">
              <w:rPr>
                <w:rFonts w:ascii="Arial Narrow" w:hAnsi="Arial Narrow"/>
                <w:sz w:val="20"/>
                <w:szCs w:val="20"/>
                <w:lang w:eastAsia="en-US"/>
              </w:rPr>
              <w:t>1.97</w:t>
            </w:r>
          </w:p>
        </w:tc>
      </w:tr>
      <w:tr w:rsidR="00925EC3" w:rsidRPr="00925EC3" w:rsidTr="00714C7B">
        <w:tc>
          <w:tcPr>
            <w:tcW w:w="4162" w:type="pct"/>
            <w:gridSpan w:val="3"/>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Incremental cost/extra QALY gained</w:t>
            </w:r>
          </w:p>
        </w:tc>
        <w:tc>
          <w:tcPr>
            <w:tcW w:w="838" w:type="pct"/>
            <w:vAlign w:val="center"/>
          </w:tcPr>
          <w:p w:rsidR="00925EC3" w:rsidRPr="00925EC3" w:rsidRDefault="00925EC3" w:rsidP="0073784D">
            <w:pPr>
              <w:keepNext/>
              <w:keepLines/>
              <w:jc w:val="center"/>
              <w:rPr>
                <w:rFonts w:ascii="Arial Narrow" w:hAnsi="Arial Narrow"/>
                <w:sz w:val="20"/>
                <w:szCs w:val="22"/>
                <w:lang w:eastAsia="en-US"/>
              </w:rPr>
            </w:pPr>
            <w:r w:rsidRPr="00925EC3">
              <w:rPr>
                <w:rFonts w:ascii="Arial Narrow" w:hAnsi="Arial Narrow"/>
                <w:sz w:val="20"/>
                <w:szCs w:val="22"/>
                <w:lang w:eastAsia="en-US"/>
              </w:rPr>
              <w:t>$</w:t>
            </w:r>
            <w:r w:rsidR="004978B4">
              <w:rPr>
                <w:rFonts w:ascii="Arial Narrow" w:hAnsi="Arial Narrow"/>
                <w:noProof/>
                <w:color w:val="000000"/>
                <w:sz w:val="20"/>
                <w:szCs w:val="22"/>
                <w:highlight w:val="black"/>
                <w:lang w:eastAsia="en-US"/>
              </w:rPr>
              <w:t>'''''''''''''''''</w:t>
            </w:r>
          </w:p>
        </w:tc>
      </w:tr>
      <w:tr w:rsidR="00925EC3" w:rsidRPr="00925EC3" w:rsidTr="00714C7B">
        <w:tc>
          <w:tcPr>
            <w:tcW w:w="4162" w:type="pct"/>
            <w:gridSpan w:val="3"/>
            <w:vAlign w:val="center"/>
          </w:tcPr>
          <w:p w:rsidR="00925EC3" w:rsidRPr="00925EC3" w:rsidRDefault="00925EC3" w:rsidP="0073784D">
            <w:pPr>
              <w:keepNext/>
              <w:keepLines/>
              <w:rPr>
                <w:rFonts w:ascii="Arial Narrow" w:hAnsi="Arial Narrow"/>
                <w:b/>
                <w:sz w:val="20"/>
                <w:szCs w:val="22"/>
                <w:lang w:eastAsia="en-US"/>
              </w:rPr>
            </w:pPr>
            <w:r w:rsidRPr="00925EC3">
              <w:rPr>
                <w:rFonts w:ascii="Arial Narrow" w:hAnsi="Arial Narrow"/>
                <w:b/>
                <w:sz w:val="20"/>
                <w:szCs w:val="22"/>
                <w:lang w:eastAsia="en-US"/>
              </w:rPr>
              <w:t>Patients aged 12 years and older, scenario without cap</w:t>
            </w:r>
          </w:p>
        </w:tc>
        <w:tc>
          <w:tcPr>
            <w:tcW w:w="838" w:type="pct"/>
            <w:vAlign w:val="center"/>
          </w:tcPr>
          <w:p w:rsidR="00925EC3" w:rsidRPr="00925EC3" w:rsidRDefault="00925EC3" w:rsidP="0073784D">
            <w:pPr>
              <w:keepNext/>
              <w:keepLines/>
              <w:jc w:val="center"/>
              <w:rPr>
                <w:rFonts w:ascii="Arial Narrow" w:hAnsi="Arial Narrow"/>
                <w:sz w:val="20"/>
                <w:szCs w:val="22"/>
                <w:lang w:eastAsia="en-US"/>
              </w:rPr>
            </w:pPr>
          </w:p>
        </w:tc>
      </w:tr>
      <w:tr w:rsidR="00925EC3" w:rsidRPr="00925EC3" w:rsidTr="00714C7B">
        <w:tc>
          <w:tcPr>
            <w:tcW w:w="1529" w:type="pct"/>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Costs</w:t>
            </w:r>
          </w:p>
        </w:tc>
        <w:tc>
          <w:tcPr>
            <w:tcW w:w="1359" w:type="pct"/>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w:t>
            </w:r>
            <w:r w:rsidR="004978B4">
              <w:rPr>
                <w:rFonts w:ascii="Arial Narrow" w:hAnsi="Arial Narrow"/>
                <w:noProof/>
                <w:color w:val="000000"/>
                <w:sz w:val="20"/>
                <w:szCs w:val="22"/>
                <w:highlight w:val="black"/>
                <w:lang w:eastAsia="en-US"/>
              </w:rPr>
              <w:t>'''''''''''''''''''''''''</w:t>
            </w:r>
          </w:p>
        </w:tc>
        <w:tc>
          <w:tcPr>
            <w:tcW w:w="1274" w:type="pct"/>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w:t>
            </w:r>
            <w:r w:rsidRPr="00A462FE">
              <w:rPr>
                <w:rFonts w:ascii="Arial Narrow" w:hAnsi="Arial Narrow"/>
                <w:sz w:val="20"/>
                <w:szCs w:val="22"/>
                <w:lang w:eastAsia="en-US"/>
              </w:rPr>
              <w:t>437,044</w:t>
            </w:r>
          </w:p>
        </w:tc>
        <w:tc>
          <w:tcPr>
            <w:tcW w:w="838" w:type="pct"/>
            <w:vAlign w:val="center"/>
          </w:tcPr>
          <w:p w:rsidR="00925EC3" w:rsidRPr="00925EC3" w:rsidRDefault="00925EC3" w:rsidP="0073784D">
            <w:pPr>
              <w:keepNext/>
              <w:keepLines/>
              <w:jc w:val="center"/>
              <w:rPr>
                <w:rFonts w:ascii="Arial Narrow" w:hAnsi="Arial Narrow"/>
                <w:sz w:val="20"/>
                <w:szCs w:val="22"/>
                <w:lang w:eastAsia="en-US"/>
              </w:rPr>
            </w:pPr>
            <w:r w:rsidRPr="00925EC3">
              <w:rPr>
                <w:rFonts w:ascii="Arial Narrow" w:hAnsi="Arial Narrow"/>
                <w:sz w:val="20"/>
                <w:szCs w:val="22"/>
                <w:lang w:eastAsia="en-US"/>
              </w:rPr>
              <w:t>$</w:t>
            </w:r>
            <w:r w:rsidR="004978B4">
              <w:rPr>
                <w:rFonts w:ascii="Arial Narrow" w:hAnsi="Arial Narrow"/>
                <w:noProof/>
                <w:color w:val="000000"/>
                <w:sz w:val="20"/>
                <w:szCs w:val="22"/>
                <w:highlight w:val="black"/>
                <w:lang w:eastAsia="en-US"/>
              </w:rPr>
              <w:t>'''''''''''''''''''''''</w:t>
            </w:r>
          </w:p>
        </w:tc>
      </w:tr>
      <w:tr w:rsidR="00925EC3" w:rsidRPr="00925EC3" w:rsidTr="00714C7B">
        <w:tc>
          <w:tcPr>
            <w:tcW w:w="1529" w:type="pct"/>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QALY</w:t>
            </w:r>
          </w:p>
        </w:tc>
        <w:tc>
          <w:tcPr>
            <w:tcW w:w="1359" w:type="pct"/>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6.91</w:t>
            </w:r>
          </w:p>
        </w:tc>
        <w:tc>
          <w:tcPr>
            <w:tcW w:w="1274" w:type="pct"/>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4.94</w:t>
            </w:r>
          </w:p>
        </w:tc>
        <w:tc>
          <w:tcPr>
            <w:tcW w:w="838" w:type="pct"/>
            <w:vAlign w:val="center"/>
          </w:tcPr>
          <w:p w:rsidR="00925EC3" w:rsidRPr="00925EC3" w:rsidRDefault="00925EC3" w:rsidP="0073784D">
            <w:pPr>
              <w:keepNext/>
              <w:keepLines/>
              <w:jc w:val="center"/>
              <w:rPr>
                <w:rFonts w:ascii="Arial Narrow" w:hAnsi="Arial Narrow"/>
                <w:sz w:val="20"/>
                <w:szCs w:val="22"/>
                <w:lang w:eastAsia="en-US"/>
              </w:rPr>
            </w:pPr>
            <w:r w:rsidRPr="00925EC3">
              <w:rPr>
                <w:rFonts w:ascii="Arial Narrow" w:hAnsi="Arial Narrow"/>
                <w:sz w:val="20"/>
                <w:szCs w:val="22"/>
                <w:lang w:eastAsia="en-US"/>
              </w:rPr>
              <w:t>1.97</w:t>
            </w:r>
          </w:p>
        </w:tc>
      </w:tr>
      <w:tr w:rsidR="00925EC3" w:rsidRPr="00925EC3" w:rsidTr="00714C7B">
        <w:tc>
          <w:tcPr>
            <w:tcW w:w="4162" w:type="pct"/>
            <w:gridSpan w:val="3"/>
            <w:vAlign w:val="center"/>
          </w:tcPr>
          <w:p w:rsidR="00925EC3" w:rsidRPr="00925EC3" w:rsidRDefault="00925EC3" w:rsidP="0073784D">
            <w:pPr>
              <w:keepNext/>
              <w:keepLines/>
              <w:rPr>
                <w:rFonts w:ascii="Arial Narrow" w:hAnsi="Arial Narrow"/>
                <w:sz w:val="20"/>
                <w:szCs w:val="22"/>
                <w:lang w:eastAsia="en-US"/>
              </w:rPr>
            </w:pPr>
            <w:r w:rsidRPr="00925EC3">
              <w:rPr>
                <w:rFonts w:ascii="Arial Narrow" w:hAnsi="Arial Narrow"/>
                <w:sz w:val="20"/>
                <w:szCs w:val="22"/>
                <w:lang w:eastAsia="en-US"/>
              </w:rPr>
              <w:t>Incremental cost/extra QALY gained</w:t>
            </w:r>
          </w:p>
        </w:tc>
        <w:tc>
          <w:tcPr>
            <w:tcW w:w="838" w:type="pct"/>
            <w:vAlign w:val="center"/>
          </w:tcPr>
          <w:p w:rsidR="00925EC3" w:rsidRPr="00925EC3" w:rsidRDefault="00925EC3" w:rsidP="0073784D">
            <w:pPr>
              <w:keepNext/>
              <w:keepLines/>
              <w:jc w:val="center"/>
              <w:rPr>
                <w:rFonts w:ascii="Arial Narrow" w:hAnsi="Arial Narrow"/>
                <w:sz w:val="20"/>
                <w:szCs w:val="22"/>
                <w:lang w:eastAsia="en-US"/>
              </w:rPr>
            </w:pPr>
            <w:r w:rsidRPr="00925EC3">
              <w:rPr>
                <w:rFonts w:ascii="Arial Narrow" w:hAnsi="Arial Narrow"/>
                <w:sz w:val="20"/>
                <w:szCs w:val="22"/>
                <w:lang w:eastAsia="en-US"/>
              </w:rPr>
              <w:t>$</w:t>
            </w:r>
            <w:r w:rsidR="004978B4">
              <w:rPr>
                <w:rFonts w:ascii="Arial Narrow" w:hAnsi="Arial Narrow"/>
                <w:noProof/>
                <w:color w:val="000000"/>
                <w:sz w:val="20"/>
                <w:szCs w:val="22"/>
                <w:highlight w:val="black"/>
                <w:lang w:eastAsia="en-US"/>
              </w:rPr>
              <w:t>''''''''''''''''''</w:t>
            </w:r>
          </w:p>
        </w:tc>
      </w:tr>
    </w:tbl>
    <w:p w:rsidR="00925EC3" w:rsidRPr="007C02B9" w:rsidRDefault="00925EC3" w:rsidP="0073784D">
      <w:pPr>
        <w:keepNext/>
        <w:keepLines/>
        <w:widowControl w:val="0"/>
        <w:jc w:val="both"/>
        <w:rPr>
          <w:rFonts w:ascii="Arial Narrow" w:hAnsi="Arial Narrow" w:cs="Arial"/>
          <w:snapToGrid w:val="0"/>
          <w:sz w:val="16"/>
          <w:szCs w:val="16"/>
          <w:lang w:eastAsia="en-US"/>
        </w:rPr>
      </w:pPr>
      <w:r w:rsidRPr="007C02B9">
        <w:rPr>
          <w:rFonts w:ascii="Arial Narrow" w:hAnsi="Arial Narrow" w:cs="Arial"/>
          <w:snapToGrid w:val="0"/>
          <w:sz w:val="16"/>
          <w:szCs w:val="16"/>
          <w:lang w:eastAsia="en-US"/>
        </w:rPr>
        <w:t>Abbreviations: QALY=quality adjusted life year.</w:t>
      </w:r>
    </w:p>
    <w:p w:rsidR="00925EC3" w:rsidRPr="007C02B9" w:rsidRDefault="00925EC3" w:rsidP="0073784D">
      <w:pPr>
        <w:keepNext/>
        <w:keepLines/>
        <w:widowControl w:val="0"/>
        <w:jc w:val="both"/>
        <w:rPr>
          <w:rFonts w:ascii="Arial Narrow" w:hAnsi="Arial Narrow" w:cs="Arial"/>
          <w:snapToGrid w:val="0"/>
          <w:sz w:val="16"/>
          <w:szCs w:val="16"/>
          <w:lang w:eastAsia="en-US"/>
        </w:rPr>
      </w:pPr>
      <w:r w:rsidRPr="007C02B9">
        <w:rPr>
          <w:rFonts w:ascii="Arial Narrow" w:hAnsi="Arial Narrow" w:cs="Arial"/>
          <w:snapToGrid w:val="0"/>
          <w:sz w:val="16"/>
          <w:szCs w:val="16"/>
          <w:lang w:eastAsia="en-US"/>
        </w:rPr>
        <w:t>Note: Base case ICER from the submission of patients aged 2 years and older is $</w:t>
      </w:r>
      <w:r w:rsidR="00033D8D">
        <w:rPr>
          <w:rFonts w:ascii="Arial Narrow" w:hAnsi="Arial Narrow" w:cs="Arial"/>
          <w:snapToGrid w:val="0"/>
          <w:sz w:val="16"/>
          <w:szCs w:val="16"/>
          <w:lang w:eastAsia="en-US"/>
        </w:rPr>
        <w:t xml:space="preserve">105,000 </w:t>
      </w:r>
      <w:r w:rsidR="00E873CD">
        <w:rPr>
          <w:rFonts w:ascii="Arial Narrow" w:hAnsi="Arial Narrow" w:cs="Arial"/>
          <w:snapToGrid w:val="0"/>
          <w:sz w:val="16"/>
          <w:szCs w:val="16"/>
          <w:lang w:eastAsia="en-US"/>
        </w:rPr>
        <w:t>QALY - $200,000/QALY</w:t>
      </w:r>
      <w:r w:rsidRPr="007C02B9">
        <w:rPr>
          <w:rFonts w:ascii="Arial Narrow" w:hAnsi="Arial Narrow" w:cs="Arial"/>
          <w:snapToGrid w:val="0"/>
          <w:sz w:val="16"/>
          <w:szCs w:val="16"/>
          <w:lang w:eastAsia="en-US"/>
        </w:rPr>
        <w:t xml:space="preserve"> with incremental cost of $</w:t>
      </w:r>
      <w:r w:rsidR="004978B4">
        <w:rPr>
          <w:rFonts w:ascii="Arial Narrow" w:hAnsi="Arial Narrow" w:cs="Arial"/>
          <w:noProof/>
          <w:snapToGrid w:val="0"/>
          <w:color w:val="000000"/>
          <w:sz w:val="16"/>
          <w:szCs w:val="16"/>
          <w:highlight w:val="black"/>
          <w:lang w:eastAsia="en-US"/>
        </w:rPr>
        <w:t>'''''''''''''''''''''</w:t>
      </w:r>
      <w:r w:rsidRPr="007C02B9">
        <w:rPr>
          <w:rFonts w:ascii="Arial Narrow" w:hAnsi="Arial Narrow" w:cs="Arial"/>
          <w:snapToGrid w:val="0"/>
          <w:sz w:val="16"/>
          <w:szCs w:val="16"/>
          <w:lang w:eastAsia="en-US"/>
        </w:rPr>
        <w:t xml:space="preserve"> and incremental QALY of 2.29.</w:t>
      </w:r>
    </w:p>
    <w:p w:rsidR="00925EC3" w:rsidRPr="007C02B9" w:rsidRDefault="00925EC3" w:rsidP="0073784D">
      <w:pPr>
        <w:keepNext/>
        <w:keepLines/>
        <w:widowControl w:val="0"/>
        <w:jc w:val="both"/>
        <w:rPr>
          <w:rFonts w:ascii="Arial Narrow" w:hAnsi="Arial Narrow" w:cs="Arial"/>
          <w:snapToGrid w:val="0"/>
          <w:sz w:val="16"/>
          <w:szCs w:val="16"/>
          <w:lang w:eastAsia="en-US"/>
        </w:rPr>
      </w:pPr>
      <w:r w:rsidRPr="007C02B9">
        <w:rPr>
          <w:rFonts w:ascii="Arial Narrow" w:hAnsi="Arial Narrow" w:cs="Arial"/>
          <w:snapToGrid w:val="0"/>
          <w:sz w:val="16"/>
          <w:szCs w:val="16"/>
          <w:lang w:eastAsia="en-US"/>
        </w:rPr>
        <w:t>Source: Compiled during the evaluation setting the patient filter to patients aged 6 years and older. Excel spreadsheet “</w:t>
      </w:r>
      <w:proofErr w:type="spellStart"/>
      <w:r w:rsidRPr="007C02B9">
        <w:rPr>
          <w:rFonts w:ascii="Arial Narrow" w:hAnsi="Arial Narrow" w:cs="Arial"/>
          <w:snapToGrid w:val="0"/>
          <w:sz w:val="16"/>
          <w:szCs w:val="16"/>
          <w:lang w:eastAsia="en-US"/>
        </w:rPr>
        <w:t>Orkambi</w:t>
      </w:r>
      <w:proofErr w:type="spellEnd"/>
      <w:r w:rsidRPr="007C02B9">
        <w:rPr>
          <w:rFonts w:ascii="Arial Narrow" w:hAnsi="Arial Narrow" w:cs="Arial"/>
          <w:snapToGrid w:val="0"/>
          <w:sz w:val="16"/>
          <w:szCs w:val="16"/>
          <w:lang w:eastAsia="en-US"/>
        </w:rPr>
        <w:t xml:space="preserve"> 2+ cost effectiveness model March 2018 FINAL’, sheet ‘Results’.</w:t>
      </w:r>
    </w:p>
    <w:p w:rsidR="00925EC3" w:rsidRDefault="00925EC3" w:rsidP="0073784D">
      <w:pPr>
        <w:keepNext/>
        <w:keepLines/>
        <w:widowControl w:val="0"/>
        <w:spacing w:after="120"/>
        <w:jc w:val="both"/>
        <w:rPr>
          <w:sz w:val="16"/>
          <w:szCs w:val="16"/>
        </w:rPr>
      </w:pPr>
    </w:p>
    <w:p w:rsidR="00714C7B" w:rsidRPr="00033D8D" w:rsidRDefault="00714C7B"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The model</w:t>
      </w:r>
      <w:r w:rsidR="00AD4F42">
        <w:rPr>
          <w:rFonts w:asciiTheme="minorHAnsi" w:hAnsiTheme="minorHAnsi"/>
          <w:sz w:val="24"/>
          <w:lang w:val="en-US"/>
        </w:rPr>
        <w:t xml:space="preserve"> initially provided with the July 2018 submission</w:t>
      </w:r>
      <w:r w:rsidRPr="007C02B9">
        <w:rPr>
          <w:rFonts w:asciiTheme="minorHAnsi" w:hAnsiTheme="minorHAnsi"/>
          <w:sz w:val="24"/>
          <w:lang w:val="en-US"/>
        </w:rPr>
        <w:t xml:space="preserve"> incorporated a decline in ppFEV1 in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patients beyond the 24 weeks trial period to life time at a rate of </w:t>
      </w:r>
      <w:r w:rsidR="004978B4">
        <w:rPr>
          <w:rFonts w:asciiTheme="minorHAnsi" w:hAnsiTheme="minorHAnsi"/>
          <w:noProof/>
          <w:color w:val="000000"/>
          <w:sz w:val="24"/>
          <w:highlight w:val="black"/>
          <w:lang w:val="en-US"/>
        </w:rPr>
        <w:t>'''''</w:t>
      </w:r>
      <w:r w:rsidRPr="007C02B9">
        <w:rPr>
          <w:rFonts w:asciiTheme="minorHAnsi" w:hAnsiTheme="minorHAnsi"/>
          <w:sz w:val="24"/>
          <w:lang w:val="en-US"/>
        </w:rPr>
        <w:t>% of BSC decline</w:t>
      </w:r>
      <w:r w:rsidR="002931FF" w:rsidRPr="007C02B9">
        <w:rPr>
          <w:rFonts w:asciiTheme="minorHAnsi" w:hAnsiTheme="minorHAnsi"/>
          <w:sz w:val="24"/>
          <w:lang w:val="en-US"/>
        </w:rPr>
        <w:t xml:space="preserve">. </w:t>
      </w:r>
      <w:r w:rsidRPr="007C02B9">
        <w:rPr>
          <w:rFonts w:asciiTheme="minorHAnsi" w:hAnsiTheme="minorHAnsi"/>
          <w:sz w:val="24"/>
          <w:lang w:val="en-US"/>
        </w:rPr>
        <w:t xml:space="preserve">This decline was informed by the longer term ppFEV1 data from the extension trial PROGRESS, which showed that patients on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had a decline in FEV that was 58% that of </w:t>
      </w:r>
      <w:r w:rsidR="005B3F11" w:rsidRPr="007C02B9">
        <w:rPr>
          <w:rFonts w:asciiTheme="minorHAnsi" w:hAnsiTheme="minorHAnsi"/>
          <w:sz w:val="24"/>
          <w:lang w:val="en-US"/>
        </w:rPr>
        <w:t xml:space="preserve">a </w:t>
      </w:r>
      <w:r w:rsidRPr="007C02B9">
        <w:rPr>
          <w:rFonts w:asciiTheme="minorHAnsi" w:hAnsiTheme="minorHAnsi"/>
          <w:sz w:val="24"/>
          <w:lang w:val="en-US"/>
        </w:rPr>
        <w:t xml:space="preserve">matched control group in follow up to 96 weeks. This differs from the July 2017 resubmission of </w:t>
      </w:r>
      <w:proofErr w:type="spellStart"/>
      <w:r w:rsidRPr="00033D8D">
        <w:rPr>
          <w:rFonts w:asciiTheme="minorHAnsi" w:hAnsiTheme="minorHAnsi"/>
          <w:sz w:val="24"/>
          <w:lang w:val="en-US"/>
        </w:rPr>
        <w:t>lumacaftor</w:t>
      </w:r>
      <w:proofErr w:type="spellEnd"/>
      <w:r w:rsidRPr="00033D8D">
        <w:rPr>
          <w:rFonts w:asciiTheme="minorHAnsi" w:hAnsiTheme="minorHAnsi"/>
          <w:sz w:val="24"/>
          <w:lang w:val="en-US"/>
        </w:rPr>
        <w:t>/</w:t>
      </w:r>
      <w:proofErr w:type="spellStart"/>
      <w:r w:rsidRPr="00033D8D">
        <w:rPr>
          <w:rFonts w:asciiTheme="minorHAnsi" w:hAnsiTheme="minorHAnsi"/>
          <w:sz w:val="24"/>
          <w:lang w:val="en-US"/>
        </w:rPr>
        <w:t>ivacaftor</w:t>
      </w:r>
      <w:proofErr w:type="spellEnd"/>
      <w:r w:rsidRPr="00033D8D">
        <w:rPr>
          <w:rFonts w:asciiTheme="minorHAnsi" w:hAnsiTheme="minorHAnsi"/>
          <w:sz w:val="24"/>
          <w:lang w:val="en-US"/>
        </w:rPr>
        <w:t xml:space="preserve"> in patients aged 12 years and older as previously it was assumed that there was no decline in ppFEV1 post 24 weeks in the </w:t>
      </w:r>
      <w:proofErr w:type="spellStart"/>
      <w:r w:rsidRPr="00033D8D">
        <w:rPr>
          <w:rFonts w:asciiTheme="minorHAnsi" w:hAnsiTheme="minorHAnsi"/>
          <w:sz w:val="24"/>
          <w:lang w:val="en-US"/>
        </w:rPr>
        <w:t>lumacaftor</w:t>
      </w:r>
      <w:proofErr w:type="spellEnd"/>
      <w:r w:rsidRPr="00033D8D">
        <w:rPr>
          <w:rFonts w:asciiTheme="minorHAnsi" w:hAnsiTheme="minorHAnsi"/>
          <w:sz w:val="24"/>
          <w:lang w:val="en-US"/>
        </w:rPr>
        <w:t>/</w:t>
      </w:r>
      <w:proofErr w:type="spellStart"/>
      <w:r w:rsidRPr="00033D8D">
        <w:rPr>
          <w:rFonts w:asciiTheme="minorHAnsi" w:hAnsiTheme="minorHAnsi"/>
          <w:sz w:val="24"/>
          <w:lang w:val="en-US"/>
        </w:rPr>
        <w:t>ivacaftor</w:t>
      </w:r>
      <w:proofErr w:type="spellEnd"/>
      <w:r w:rsidRPr="00033D8D">
        <w:rPr>
          <w:rFonts w:asciiTheme="minorHAnsi" w:hAnsiTheme="minorHAnsi"/>
          <w:sz w:val="24"/>
          <w:lang w:val="en-US"/>
        </w:rPr>
        <w:t xml:space="preserve"> treated patients. Sensitivity analyses setting the </w:t>
      </w:r>
      <w:r w:rsidR="00CE7DFC" w:rsidRPr="00033D8D">
        <w:rPr>
          <w:rFonts w:asciiTheme="minorHAnsi" w:hAnsiTheme="minorHAnsi"/>
          <w:sz w:val="24"/>
          <w:lang w:val="en-US"/>
        </w:rPr>
        <w:t xml:space="preserve">rate of </w:t>
      </w:r>
      <w:r w:rsidRPr="00033D8D">
        <w:rPr>
          <w:rFonts w:asciiTheme="minorHAnsi" w:hAnsiTheme="minorHAnsi"/>
          <w:sz w:val="24"/>
          <w:lang w:val="en-US"/>
        </w:rPr>
        <w:t xml:space="preserve">decline to </w:t>
      </w:r>
      <w:r w:rsidR="00B87FC5" w:rsidRPr="00033D8D">
        <w:rPr>
          <w:rFonts w:asciiTheme="minorHAnsi" w:hAnsiTheme="minorHAnsi"/>
          <w:sz w:val="24"/>
          <w:lang w:val="en-US"/>
        </w:rPr>
        <w:t>42</w:t>
      </w:r>
      <w:r w:rsidRPr="00033D8D">
        <w:rPr>
          <w:rFonts w:asciiTheme="minorHAnsi" w:hAnsiTheme="minorHAnsi"/>
          <w:sz w:val="24"/>
          <w:lang w:val="en-US"/>
        </w:rPr>
        <w:t xml:space="preserve">% (as per the PROGRESS study) and 100% of BSC (see Table </w:t>
      </w:r>
      <w:r w:rsidR="0014569D" w:rsidRPr="00033D8D">
        <w:rPr>
          <w:rFonts w:asciiTheme="minorHAnsi" w:hAnsiTheme="minorHAnsi"/>
          <w:sz w:val="24"/>
          <w:lang w:val="en-US"/>
        </w:rPr>
        <w:t>1</w:t>
      </w:r>
      <w:r w:rsidR="00841412" w:rsidRPr="00033D8D">
        <w:rPr>
          <w:rFonts w:asciiTheme="minorHAnsi" w:hAnsiTheme="minorHAnsi"/>
          <w:sz w:val="24"/>
          <w:lang w:val="en-US"/>
        </w:rPr>
        <w:t>3</w:t>
      </w:r>
      <w:r w:rsidRPr="00033D8D">
        <w:rPr>
          <w:rFonts w:asciiTheme="minorHAnsi" w:hAnsiTheme="minorHAnsi"/>
          <w:sz w:val="24"/>
          <w:lang w:val="en-US"/>
        </w:rPr>
        <w:t xml:space="preserve">) resulted in ICERs of </w:t>
      </w:r>
      <w:r w:rsidR="005E0124" w:rsidRPr="00033D8D">
        <w:rPr>
          <w:rFonts w:asciiTheme="minorHAnsi" w:hAnsiTheme="minorHAnsi"/>
          <w:sz w:val="24"/>
          <w:lang w:val="en-US"/>
        </w:rPr>
        <w:t>$</w:t>
      </w:r>
      <w:r w:rsidR="00FB6C72" w:rsidRPr="00033D8D">
        <w:rPr>
          <w:rFonts w:asciiTheme="minorHAnsi" w:hAnsiTheme="minorHAnsi"/>
          <w:sz w:val="24"/>
          <w:lang w:val="en-US"/>
        </w:rPr>
        <w:t>105,000/QALY - $200,000/QALY</w:t>
      </w:r>
      <w:r w:rsidR="005E0124" w:rsidRPr="00033D8D">
        <w:rPr>
          <w:rFonts w:asciiTheme="minorHAnsi" w:hAnsiTheme="minorHAnsi"/>
          <w:sz w:val="24"/>
          <w:lang w:val="en-US"/>
        </w:rPr>
        <w:t xml:space="preserve"> </w:t>
      </w:r>
      <w:r w:rsidRPr="00033D8D">
        <w:rPr>
          <w:rFonts w:asciiTheme="minorHAnsi" w:hAnsiTheme="minorHAnsi"/>
          <w:sz w:val="24"/>
          <w:lang w:val="en-US"/>
        </w:rPr>
        <w:t>and</w:t>
      </w:r>
      <w:r w:rsidR="00E66AD4" w:rsidRPr="00033D8D">
        <w:rPr>
          <w:rFonts w:asciiTheme="minorHAnsi" w:hAnsiTheme="minorHAnsi"/>
          <w:sz w:val="24"/>
          <w:lang w:val="en-US"/>
        </w:rPr>
        <w:t xml:space="preserve"> more than</w:t>
      </w:r>
      <w:r w:rsidRPr="00033D8D">
        <w:rPr>
          <w:rFonts w:asciiTheme="minorHAnsi" w:hAnsiTheme="minorHAnsi"/>
          <w:sz w:val="24"/>
          <w:lang w:val="en-US"/>
        </w:rPr>
        <w:t xml:space="preserve"> $</w:t>
      </w:r>
      <w:r w:rsidR="00E66AD4" w:rsidRPr="00033D8D">
        <w:rPr>
          <w:rFonts w:asciiTheme="minorHAnsi" w:hAnsiTheme="minorHAnsi"/>
          <w:sz w:val="24"/>
          <w:lang w:val="en-US"/>
        </w:rPr>
        <w:t>200,000/QALY</w:t>
      </w:r>
      <w:r w:rsidRPr="00033D8D">
        <w:rPr>
          <w:rFonts w:asciiTheme="minorHAnsi" w:hAnsiTheme="minorHAnsi"/>
          <w:sz w:val="24"/>
          <w:lang w:val="en-US"/>
        </w:rPr>
        <w:t>.</w:t>
      </w:r>
    </w:p>
    <w:p w:rsidR="005E0124" w:rsidRPr="00033D8D" w:rsidRDefault="005E0124" w:rsidP="007C02B9">
      <w:pPr>
        <w:widowControl w:val="0"/>
        <w:spacing w:after="20"/>
        <w:jc w:val="both"/>
        <w:rPr>
          <w:rFonts w:ascii="Arial Narrow" w:hAnsi="Arial Narrow"/>
          <w:b/>
          <w:sz w:val="20"/>
          <w:szCs w:val="20"/>
        </w:rPr>
      </w:pPr>
      <w:r w:rsidRPr="00033D8D">
        <w:rPr>
          <w:rFonts w:ascii="Arial Narrow" w:hAnsi="Arial Narrow"/>
          <w:b/>
          <w:sz w:val="20"/>
          <w:szCs w:val="20"/>
        </w:rPr>
        <w:t xml:space="preserve">Table </w:t>
      </w:r>
      <w:r w:rsidR="0014569D" w:rsidRPr="00033D8D">
        <w:rPr>
          <w:rFonts w:ascii="Arial Narrow" w:hAnsi="Arial Narrow"/>
          <w:b/>
          <w:sz w:val="20"/>
          <w:szCs w:val="20"/>
        </w:rPr>
        <w:t>1</w:t>
      </w:r>
      <w:r w:rsidR="00841412" w:rsidRPr="00033D8D">
        <w:rPr>
          <w:rFonts w:ascii="Arial Narrow" w:hAnsi="Arial Narrow"/>
          <w:b/>
          <w:sz w:val="20"/>
          <w:szCs w:val="20"/>
        </w:rPr>
        <w:t>3</w:t>
      </w:r>
      <w:r w:rsidR="0094281E" w:rsidRPr="00033D8D">
        <w:rPr>
          <w:rFonts w:ascii="Arial Narrow" w:hAnsi="Arial Narrow"/>
          <w:b/>
          <w:sz w:val="20"/>
          <w:szCs w:val="20"/>
        </w:rPr>
        <w:t>:</w:t>
      </w:r>
      <w:r w:rsidRPr="00033D8D">
        <w:rPr>
          <w:rFonts w:ascii="Arial Narrow" w:hAnsi="Arial Narrow"/>
          <w:b/>
          <w:sz w:val="20"/>
          <w:szCs w:val="20"/>
        </w:rPr>
        <w:t xml:space="preserve"> Sensitivity analysis with varying </w:t>
      </w:r>
      <w:r w:rsidR="00CE7DFC" w:rsidRPr="00033D8D">
        <w:rPr>
          <w:rFonts w:ascii="Arial Narrow" w:hAnsi="Arial Narrow"/>
          <w:b/>
          <w:sz w:val="20"/>
          <w:szCs w:val="20"/>
        </w:rPr>
        <w:t xml:space="preserve">rate of </w:t>
      </w:r>
      <w:r w:rsidRPr="00033D8D">
        <w:rPr>
          <w:rFonts w:ascii="Arial Narrow" w:hAnsi="Arial Narrow"/>
          <w:b/>
          <w:sz w:val="20"/>
          <w:szCs w:val="20"/>
        </w:rPr>
        <w:t>FEV1 decline</w:t>
      </w:r>
    </w:p>
    <w:tbl>
      <w:tblPr>
        <w:tblStyle w:val="TableGrid"/>
        <w:tblW w:w="0" w:type="auto"/>
        <w:tblInd w:w="108" w:type="dxa"/>
        <w:tblLook w:val="04A0" w:firstRow="1" w:lastRow="0" w:firstColumn="1" w:lastColumn="0" w:noHBand="0" w:noVBand="1"/>
        <w:tblCaption w:val="Table 13: Sensitivity analysis with varying rate of FEV1 decline"/>
      </w:tblPr>
      <w:tblGrid>
        <w:gridCol w:w="1786"/>
        <w:gridCol w:w="1786"/>
        <w:gridCol w:w="1786"/>
        <w:gridCol w:w="1786"/>
        <w:gridCol w:w="1787"/>
      </w:tblGrid>
      <w:tr w:rsidR="005E0124" w:rsidRPr="00033D8D" w:rsidTr="002D6558">
        <w:trPr>
          <w:tblHeader/>
        </w:trPr>
        <w:tc>
          <w:tcPr>
            <w:tcW w:w="1786" w:type="dxa"/>
          </w:tcPr>
          <w:p w:rsidR="005E0124" w:rsidRPr="00033D8D" w:rsidRDefault="005E0124" w:rsidP="00C65937">
            <w:pPr>
              <w:rPr>
                <w:rFonts w:ascii="Arial Narrow" w:hAnsi="Arial Narrow"/>
                <w:b/>
                <w:sz w:val="20"/>
                <w:szCs w:val="20"/>
              </w:rPr>
            </w:pPr>
            <w:r w:rsidRPr="00033D8D">
              <w:rPr>
                <w:rFonts w:ascii="Arial Narrow" w:hAnsi="Arial Narrow"/>
                <w:b/>
                <w:sz w:val="20"/>
                <w:szCs w:val="20"/>
              </w:rPr>
              <w:t>Submission and Price</w:t>
            </w:r>
          </w:p>
        </w:tc>
        <w:tc>
          <w:tcPr>
            <w:tcW w:w="1786" w:type="dxa"/>
          </w:tcPr>
          <w:p w:rsidR="005E0124" w:rsidRPr="00033D8D" w:rsidRDefault="005E0124" w:rsidP="00C65937">
            <w:pPr>
              <w:rPr>
                <w:rFonts w:ascii="Arial Narrow" w:hAnsi="Arial Narrow"/>
                <w:b/>
                <w:sz w:val="20"/>
                <w:szCs w:val="20"/>
              </w:rPr>
            </w:pPr>
            <w:r w:rsidRPr="00033D8D">
              <w:rPr>
                <w:rFonts w:ascii="Arial Narrow" w:hAnsi="Arial Narrow"/>
                <w:b/>
                <w:sz w:val="20"/>
                <w:szCs w:val="20"/>
              </w:rPr>
              <w:t>Age Cohort</w:t>
            </w:r>
          </w:p>
        </w:tc>
        <w:tc>
          <w:tcPr>
            <w:tcW w:w="1786" w:type="dxa"/>
          </w:tcPr>
          <w:p w:rsidR="005E0124" w:rsidRPr="00033D8D" w:rsidRDefault="005E0124" w:rsidP="00C65937">
            <w:pPr>
              <w:rPr>
                <w:rFonts w:ascii="Arial Narrow" w:hAnsi="Arial Narrow"/>
                <w:b/>
                <w:sz w:val="20"/>
                <w:szCs w:val="20"/>
              </w:rPr>
            </w:pPr>
            <w:r w:rsidRPr="00033D8D">
              <w:rPr>
                <w:rFonts w:ascii="Arial Narrow" w:hAnsi="Arial Narrow"/>
                <w:b/>
                <w:sz w:val="20"/>
                <w:szCs w:val="20"/>
              </w:rPr>
              <w:t>FEV1</w:t>
            </w:r>
            <w:r w:rsidR="00CE7DFC" w:rsidRPr="00033D8D">
              <w:rPr>
                <w:rFonts w:ascii="Arial Narrow" w:hAnsi="Arial Narrow"/>
                <w:b/>
                <w:sz w:val="20"/>
                <w:szCs w:val="20"/>
              </w:rPr>
              <w:t xml:space="preserve"> rate of</w:t>
            </w:r>
            <w:r w:rsidRPr="00033D8D">
              <w:rPr>
                <w:rFonts w:ascii="Arial Narrow" w:hAnsi="Arial Narrow"/>
                <w:b/>
                <w:sz w:val="20"/>
                <w:szCs w:val="20"/>
              </w:rPr>
              <w:t xml:space="preserve"> decline versus baseline</w:t>
            </w:r>
          </w:p>
        </w:tc>
        <w:tc>
          <w:tcPr>
            <w:tcW w:w="1786" w:type="dxa"/>
          </w:tcPr>
          <w:p w:rsidR="005E0124" w:rsidRPr="00033D8D" w:rsidRDefault="005E0124" w:rsidP="00C65937">
            <w:pPr>
              <w:rPr>
                <w:rFonts w:ascii="Arial Narrow" w:hAnsi="Arial Narrow"/>
                <w:b/>
                <w:sz w:val="20"/>
                <w:szCs w:val="20"/>
              </w:rPr>
            </w:pPr>
            <w:r w:rsidRPr="00033D8D">
              <w:rPr>
                <w:rFonts w:ascii="Arial Narrow" w:hAnsi="Arial Narrow"/>
                <w:b/>
                <w:sz w:val="20"/>
                <w:szCs w:val="20"/>
              </w:rPr>
              <w:t xml:space="preserve">5% and </w:t>
            </w:r>
            <w:r w:rsidR="004978B4">
              <w:rPr>
                <w:rFonts w:ascii="Arial Narrow" w:hAnsi="Arial Narrow"/>
                <w:b/>
                <w:noProof/>
                <w:color w:val="000000"/>
                <w:sz w:val="20"/>
                <w:szCs w:val="20"/>
                <w:highlight w:val="black"/>
              </w:rPr>
              <w:t>'''''</w:t>
            </w:r>
            <w:r w:rsidRPr="00033D8D">
              <w:rPr>
                <w:rFonts w:ascii="Arial Narrow" w:hAnsi="Arial Narrow"/>
                <w:b/>
                <w:sz w:val="20"/>
                <w:szCs w:val="20"/>
              </w:rPr>
              <w:t>% price reduction</w:t>
            </w:r>
          </w:p>
        </w:tc>
        <w:tc>
          <w:tcPr>
            <w:tcW w:w="1787" w:type="dxa"/>
          </w:tcPr>
          <w:p w:rsidR="005E0124" w:rsidRPr="00033D8D" w:rsidRDefault="005E0124" w:rsidP="00C65937">
            <w:pPr>
              <w:rPr>
                <w:rFonts w:ascii="Arial Narrow" w:hAnsi="Arial Narrow"/>
                <w:b/>
                <w:sz w:val="20"/>
                <w:szCs w:val="20"/>
              </w:rPr>
            </w:pPr>
            <w:r w:rsidRPr="00033D8D">
              <w:rPr>
                <w:rFonts w:ascii="Arial Narrow" w:hAnsi="Arial Narrow"/>
                <w:b/>
                <w:sz w:val="20"/>
                <w:szCs w:val="20"/>
              </w:rPr>
              <w:t>ICER</w:t>
            </w:r>
          </w:p>
        </w:tc>
      </w:tr>
      <w:tr w:rsidR="005E0124" w:rsidRPr="00033D8D" w:rsidTr="007C02B9">
        <w:tc>
          <w:tcPr>
            <w:tcW w:w="1786" w:type="dxa"/>
            <w:vMerge w:val="restart"/>
          </w:tcPr>
          <w:p w:rsidR="005E0124" w:rsidRPr="00033D8D" w:rsidRDefault="005E0124" w:rsidP="00C65937">
            <w:pPr>
              <w:rPr>
                <w:rFonts w:ascii="Arial Narrow" w:hAnsi="Arial Narrow"/>
                <w:sz w:val="20"/>
                <w:szCs w:val="20"/>
              </w:rPr>
            </w:pPr>
            <w:r w:rsidRPr="00033D8D">
              <w:rPr>
                <w:rFonts w:ascii="Arial Narrow" w:hAnsi="Arial Narrow"/>
                <w:sz w:val="20"/>
                <w:szCs w:val="20"/>
              </w:rPr>
              <w:t>July 18</w:t>
            </w:r>
          </w:p>
          <w:p w:rsidR="00834EE6" w:rsidRPr="00033D8D" w:rsidRDefault="00834EE6" w:rsidP="00834EE6">
            <w:pPr>
              <w:rPr>
                <w:rFonts w:ascii="Arial Narrow" w:hAnsi="Arial Narrow"/>
                <w:sz w:val="20"/>
                <w:szCs w:val="20"/>
              </w:rPr>
            </w:pPr>
            <w:r w:rsidRPr="00033D8D">
              <w:rPr>
                <w:rFonts w:ascii="Arial Narrow" w:hAnsi="Arial Narrow"/>
                <w:sz w:val="20"/>
                <w:szCs w:val="20"/>
              </w:rPr>
              <w:t>Vertex</w:t>
            </w:r>
          </w:p>
          <w:p w:rsidR="005E0124" w:rsidRPr="00033D8D" w:rsidRDefault="005E0124" w:rsidP="00C65937">
            <w:pPr>
              <w:rPr>
                <w:rFonts w:ascii="Arial Narrow" w:hAnsi="Arial Narrow"/>
                <w:sz w:val="20"/>
                <w:szCs w:val="20"/>
              </w:rPr>
            </w:pPr>
            <w:r w:rsidRPr="00033D8D">
              <w:rPr>
                <w:rFonts w:ascii="Arial Narrow" w:hAnsi="Arial Narrow"/>
                <w:sz w:val="20"/>
                <w:szCs w:val="20"/>
              </w:rPr>
              <w:t>$</w:t>
            </w:r>
            <w:r w:rsidR="004978B4">
              <w:rPr>
                <w:rFonts w:ascii="Arial Narrow" w:hAnsi="Arial Narrow"/>
                <w:noProof/>
                <w:color w:val="000000"/>
                <w:sz w:val="20"/>
                <w:szCs w:val="20"/>
                <w:highlight w:val="black"/>
              </w:rPr>
              <w:t>''''''''''''''''</w:t>
            </w:r>
          </w:p>
        </w:tc>
        <w:tc>
          <w:tcPr>
            <w:tcW w:w="1786" w:type="dxa"/>
          </w:tcPr>
          <w:p w:rsidR="005E0124" w:rsidRPr="00033D8D" w:rsidRDefault="005E0124" w:rsidP="00C65937">
            <w:pPr>
              <w:rPr>
                <w:rFonts w:ascii="Arial Narrow" w:hAnsi="Arial Narrow"/>
                <w:sz w:val="20"/>
                <w:szCs w:val="20"/>
              </w:rPr>
            </w:pPr>
            <w:r w:rsidRPr="00033D8D">
              <w:rPr>
                <w:rFonts w:ascii="Arial Narrow" w:hAnsi="Arial Narrow"/>
                <w:sz w:val="20"/>
                <w:szCs w:val="20"/>
              </w:rPr>
              <w:t>6+</w:t>
            </w:r>
          </w:p>
        </w:tc>
        <w:tc>
          <w:tcPr>
            <w:tcW w:w="1786" w:type="dxa"/>
          </w:tcPr>
          <w:p w:rsidR="005E0124" w:rsidRPr="00033D8D" w:rsidRDefault="00CE7DFC" w:rsidP="00C65937">
            <w:pPr>
              <w:rPr>
                <w:rFonts w:ascii="Arial Narrow" w:hAnsi="Arial Narrow"/>
                <w:sz w:val="20"/>
                <w:szCs w:val="20"/>
              </w:rPr>
            </w:pPr>
            <w:r w:rsidRPr="00033D8D">
              <w:rPr>
                <w:rFonts w:ascii="Arial Narrow" w:hAnsi="Arial Narrow"/>
                <w:sz w:val="20"/>
                <w:szCs w:val="20"/>
              </w:rPr>
              <w:t>42</w:t>
            </w:r>
            <w:r w:rsidR="005E0124" w:rsidRPr="00033D8D">
              <w:rPr>
                <w:rFonts w:ascii="Arial Narrow" w:hAnsi="Arial Narrow"/>
                <w:sz w:val="20"/>
                <w:szCs w:val="20"/>
              </w:rPr>
              <w:t>%</w:t>
            </w:r>
          </w:p>
        </w:tc>
        <w:tc>
          <w:tcPr>
            <w:tcW w:w="1786" w:type="dxa"/>
          </w:tcPr>
          <w:p w:rsidR="005E0124" w:rsidRPr="00033D8D" w:rsidRDefault="005E0124" w:rsidP="00C65937">
            <w:pPr>
              <w:rPr>
                <w:rFonts w:ascii="Arial Narrow" w:hAnsi="Arial Narrow"/>
                <w:sz w:val="20"/>
                <w:szCs w:val="20"/>
              </w:rPr>
            </w:pPr>
            <w:r w:rsidRPr="00033D8D">
              <w:rPr>
                <w:rFonts w:ascii="Arial Narrow" w:hAnsi="Arial Narrow"/>
                <w:sz w:val="20"/>
                <w:szCs w:val="20"/>
              </w:rPr>
              <w:t>Yes</w:t>
            </w:r>
          </w:p>
        </w:tc>
        <w:tc>
          <w:tcPr>
            <w:tcW w:w="1787" w:type="dxa"/>
          </w:tcPr>
          <w:p w:rsidR="005E0124" w:rsidRPr="00033D8D" w:rsidRDefault="005E0124" w:rsidP="00C65937">
            <w:pPr>
              <w:rPr>
                <w:rFonts w:ascii="Arial Narrow" w:hAnsi="Arial Narrow"/>
                <w:sz w:val="20"/>
                <w:szCs w:val="20"/>
              </w:rPr>
            </w:pPr>
            <w:r w:rsidRPr="00033D8D">
              <w:rPr>
                <w:rFonts w:ascii="Arial Narrow" w:hAnsi="Arial Narrow"/>
                <w:sz w:val="20"/>
                <w:szCs w:val="20"/>
              </w:rPr>
              <w:t>$</w:t>
            </w:r>
            <w:r w:rsidR="004978B4">
              <w:rPr>
                <w:rFonts w:ascii="Arial Narrow" w:hAnsi="Arial Narrow"/>
                <w:noProof/>
                <w:color w:val="000000"/>
                <w:sz w:val="20"/>
                <w:szCs w:val="20"/>
                <w:highlight w:val="black"/>
              </w:rPr>
              <w:t>''''''''''''''''''</w:t>
            </w:r>
          </w:p>
        </w:tc>
      </w:tr>
      <w:tr w:rsidR="005E0124" w:rsidRPr="00033D8D" w:rsidTr="007C02B9">
        <w:tc>
          <w:tcPr>
            <w:tcW w:w="1786" w:type="dxa"/>
            <w:vMerge/>
          </w:tcPr>
          <w:p w:rsidR="005E0124" w:rsidRPr="00033D8D" w:rsidRDefault="005E0124" w:rsidP="00C65937">
            <w:pPr>
              <w:rPr>
                <w:rFonts w:ascii="Arial Narrow" w:hAnsi="Arial Narrow"/>
                <w:sz w:val="20"/>
                <w:szCs w:val="20"/>
              </w:rPr>
            </w:pPr>
          </w:p>
        </w:tc>
        <w:tc>
          <w:tcPr>
            <w:tcW w:w="1786" w:type="dxa"/>
          </w:tcPr>
          <w:p w:rsidR="005E0124" w:rsidRPr="00033D8D" w:rsidRDefault="005E0124" w:rsidP="00C65937">
            <w:pPr>
              <w:rPr>
                <w:rFonts w:ascii="Arial Narrow" w:hAnsi="Arial Narrow"/>
                <w:sz w:val="20"/>
                <w:szCs w:val="20"/>
              </w:rPr>
            </w:pPr>
            <w:r w:rsidRPr="00033D8D">
              <w:rPr>
                <w:rFonts w:ascii="Arial Narrow" w:hAnsi="Arial Narrow"/>
                <w:sz w:val="20"/>
                <w:szCs w:val="20"/>
              </w:rPr>
              <w:t>12+</w:t>
            </w:r>
          </w:p>
        </w:tc>
        <w:tc>
          <w:tcPr>
            <w:tcW w:w="1786" w:type="dxa"/>
          </w:tcPr>
          <w:p w:rsidR="005E0124" w:rsidRPr="00033D8D" w:rsidRDefault="00CE7DFC" w:rsidP="00CE7DFC">
            <w:pPr>
              <w:rPr>
                <w:rFonts w:ascii="Arial Narrow" w:hAnsi="Arial Narrow"/>
                <w:sz w:val="20"/>
                <w:szCs w:val="20"/>
              </w:rPr>
            </w:pPr>
            <w:r w:rsidRPr="00033D8D">
              <w:rPr>
                <w:rFonts w:ascii="Arial Narrow" w:hAnsi="Arial Narrow"/>
                <w:sz w:val="20"/>
                <w:szCs w:val="20"/>
              </w:rPr>
              <w:t>42</w:t>
            </w:r>
            <w:r w:rsidR="005E0124" w:rsidRPr="00033D8D">
              <w:rPr>
                <w:rFonts w:ascii="Arial Narrow" w:hAnsi="Arial Narrow"/>
                <w:sz w:val="20"/>
                <w:szCs w:val="20"/>
              </w:rPr>
              <w:t>%</w:t>
            </w:r>
          </w:p>
        </w:tc>
        <w:tc>
          <w:tcPr>
            <w:tcW w:w="1786" w:type="dxa"/>
          </w:tcPr>
          <w:p w:rsidR="005E0124" w:rsidRPr="00033D8D" w:rsidRDefault="005E0124" w:rsidP="00C65937">
            <w:pPr>
              <w:rPr>
                <w:rFonts w:ascii="Arial Narrow" w:hAnsi="Arial Narrow"/>
                <w:sz w:val="20"/>
                <w:szCs w:val="20"/>
              </w:rPr>
            </w:pPr>
            <w:r w:rsidRPr="00033D8D">
              <w:rPr>
                <w:rFonts w:ascii="Arial Narrow" w:hAnsi="Arial Narrow"/>
                <w:sz w:val="20"/>
                <w:szCs w:val="20"/>
              </w:rPr>
              <w:t>Yes</w:t>
            </w:r>
          </w:p>
        </w:tc>
        <w:tc>
          <w:tcPr>
            <w:tcW w:w="1787" w:type="dxa"/>
          </w:tcPr>
          <w:p w:rsidR="005E0124" w:rsidRPr="00033D8D" w:rsidRDefault="005E0124" w:rsidP="00C65937">
            <w:pPr>
              <w:rPr>
                <w:rFonts w:ascii="Arial Narrow" w:hAnsi="Arial Narrow"/>
                <w:sz w:val="20"/>
                <w:szCs w:val="20"/>
              </w:rPr>
            </w:pPr>
            <w:r w:rsidRPr="00033D8D">
              <w:rPr>
                <w:rFonts w:ascii="Arial Narrow" w:hAnsi="Arial Narrow"/>
                <w:sz w:val="20"/>
                <w:szCs w:val="20"/>
              </w:rPr>
              <w:t>$</w:t>
            </w:r>
            <w:r w:rsidR="004978B4">
              <w:rPr>
                <w:rFonts w:ascii="Arial Narrow" w:hAnsi="Arial Narrow"/>
                <w:noProof/>
                <w:color w:val="000000"/>
                <w:sz w:val="20"/>
                <w:szCs w:val="20"/>
                <w:highlight w:val="black"/>
              </w:rPr>
              <w:t>''''''''''''''''''''''</w:t>
            </w:r>
          </w:p>
        </w:tc>
      </w:tr>
      <w:tr w:rsidR="005E0124" w:rsidRPr="00033D8D" w:rsidTr="007C02B9">
        <w:tc>
          <w:tcPr>
            <w:tcW w:w="1786" w:type="dxa"/>
            <w:vMerge/>
          </w:tcPr>
          <w:p w:rsidR="005E0124" w:rsidRPr="00033D8D" w:rsidRDefault="005E0124" w:rsidP="00C65937">
            <w:pPr>
              <w:rPr>
                <w:rFonts w:ascii="Arial Narrow" w:hAnsi="Arial Narrow"/>
                <w:sz w:val="20"/>
                <w:szCs w:val="20"/>
              </w:rPr>
            </w:pPr>
          </w:p>
        </w:tc>
        <w:tc>
          <w:tcPr>
            <w:tcW w:w="1786" w:type="dxa"/>
          </w:tcPr>
          <w:p w:rsidR="005E0124" w:rsidRPr="00033D8D" w:rsidRDefault="005E0124" w:rsidP="00C65937">
            <w:pPr>
              <w:rPr>
                <w:rFonts w:ascii="Arial Narrow" w:hAnsi="Arial Narrow"/>
                <w:sz w:val="20"/>
                <w:szCs w:val="20"/>
              </w:rPr>
            </w:pPr>
            <w:r w:rsidRPr="00033D8D">
              <w:rPr>
                <w:rFonts w:ascii="Arial Narrow" w:hAnsi="Arial Narrow"/>
                <w:sz w:val="20"/>
                <w:szCs w:val="20"/>
              </w:rPr>
              <w:t>6+</w:t>
            </w:r>
          </w:p>
        </w:tc>
        <w:tc>
          <w:tcPr>
            <w:tcW w:w="1786" w:type="dxa"/>
          </w:tcPr>
          <w:p w:rsidR="005E0124" w:rsidRPr="00033D8D" w:rsidRDefault="005E0124" w:rsidP="00C65937">
            <w:pPr>
              <w:rPr>
                <w:rFonts w:ascii="Arial Narrow" w:hAnsi="Arial Narrow"/>
                <w:sz w:val="20"/>
                <w:szCs w:val="20"/>
              </w:rPr>
            </w:pPr>
            <w:r w:rsidRPr="00033D8D">
              <w:rPr>
                <w:rFonts w:ascii="Arial Narrow" w:hAnsi="Arial Narrow"/>
                <w:sz w:val="20"/>
                <w:szCs w:val="20"/>
              </w:rPr>
              <w:t>100%</w:t>
            </w:r>
          </w:p>
        </w:tc>
        <w:tc>
          <w:tcPr>
            <w:tcW w:w="1786" w:type="dxa"/>
          </w:tcPr>
          <w:p w:rsidR="005E0124" w:rsidRPr="00033D8D" w:rsidRDefault="005E0124" w:rsidP="00C65937">
            <w:pPr>
              <w:rPr>
                <w:rFonts w:ascii="Arial Narrow" w:hAnsi="Arial Narrow"/>
                <w:sz w:val="20"/>
                <w:szCs w:val="20"/>
              </w:rPr>
            </w:pPr>
            <w:r w:rsidRPr="00033D8D">
              <w:rPr>
                <w:rFonts w:ascii="Arial Narrow" w:hAnsi="Arial Narrow"/>
                <w:sz w:val="20"/>
                <w:szCs w:val="20"/>
              </w:rPr>
              <w:t>Yes</w:t>
            </w:r>
          </w:p>
        </w:tc>
        <w:tc>
          <w:tcPr>
            <w:tcW w:w="1787" w:type="dxa"/>
          </w:tcPr>
          <w:p w:rsidR="005E0124" w:rsidRPr="00033D8D" w:rsidRDefault="005E0124" w:rsidP="00C65937">
            <w:pPr>
              <w:rPr>
                <w:rFonts w:ascii="Arial Narrow" w:hAnsi="Arial Narrow"/>
                <w:sz w:val="20"/>
                <w:szCs w:val="20"/>
              </w:rPr>
            </w:pPr>
            <w:r w:rsidRPr="00033D8D">
              <w:rPr>
                <w:rFonts w:ascii="Arial Narrow" w:hAnsi="Arial Narrow"/>
                <w:sz w:val="20"/>
                <w:szCs w:val="20"/>
              </w:rPr>
              <w:t>$</w:t>
            </w:r>
            <w:r w:rsidR="004978B4">
              <w:rPr>
                <w:rFonts w:ascii="Arial Narrow" w:hAnsi="Arial Narrow"/>
                <w:noProof/>
                <w:color w:val="000000"/>
                <w:sz w:val="20"/>
                <w:szCs w:val="20"/>
                <w:highlight w:val="black"/>
              </w:rPr>
              <w:t>''''''''''''''''''''</w:t>
            </w:r>
          </w:p>
        </w:tc>
      </w:tr>
    </w:tbl>
    <w:p w:rsidR="0094281E" w:rsidRPr="00033D8D" w:rsidRDefault="0094281E" w:rsidP="007C02B9">
      <w:pPr>
        <w:pStyle w:val="TableFooter"/>
      </w:pPr>
      <w:r w:rsidRPr="00033D8D">
        <w:t>Abbreviation: FEV</w:t>
      </w:r>
      <w:r w:rsidRPr="00033D8D">
        <w:rPr>
          <w:vertAlign w:val="subscript"/>
        </w:rPr>
        <w:t>1</w:t>
      </w:r>
      <w:r w:rsidRPr="00033D8D">
        <w:t xml:space="preserve">=forced expiratory volume in one second; </w:t>
      </w:r>
    </w:p>
    <w:p w:rsidR="0094281E" w:rsidRPr="00033D8D" w:rsidRDefault="0094281E" w:rsidP="007C02B9">
      <w:pPr>
        <w:pStyle w:val="TableFooter"/>
        <w:rPr>
          <w:i/>
        </w:rPr>
      </w:pPr>
      <w:r w:rsidRPr="00033D8D">
        <w:t xml:space="preserve">Source: </w:t>
      </w:r>
      <w:r w:rsidRPr="00033D8D">
        <w:rPr>
          <w:i/>
        </w:rPr>
        <w:t>Compiled during the evaluation setting the patient filter to patients aged 6 years and older Excel spreadsheet “</w:t>
      </w:r>
      <w:proofErr w:type="spellStart"/>
      <w:r w:rsidRPr="00033D8D">
        <w:rPr>
          <w:i/>
        </w:rPr>
        <w:t>Orkambi</w:t>
      </w:r>
      <w:proofErr w:type="spellEnd"/>
      <w:r w:rsidRPr="00033D8D">
        <w:rPr>
          <w:i/>
        </w:rPr>
        <w:t xml:space="preserve"> 2+ cost effectiveness model March 2018 FINAL’, sheet ‘Results’.</w:t>
      </w:r>
    </w:p>
    <w:p w:rsidR="00C21F80" w:rsidRPr="00033D8D" w:rsidRDefault="00C21F80" w:rsidP="00C21F80">
      <w:pPr>
        <w:widowControl w:val="0"/>
        <w:spacing w:after="160"/>
        <w:ind w:left="720"/>
        <w:jc w:val="both"/>
        <w:rPr>
          <w:rFonts w:asciiTheme="minorHAnsi" w:hAnsiTheme="minorHAnsi"/>
          <w:sz w:val="16"/>
          <w:szCs w:val="16"/>
        </w:rPr>
      </w:pPr>
    </w:p>
    <w:p w:rsidR="002165F3" w:rsidRPr="00033D8D" w:rsidRDefault="00993A49" w:rsidP="00EB15BB">
      <w:pPr>
        <w:pStyle w:val="ListParagraph"/>
        <w:widowControl/>
        <w:numPr>
          <w:ilvl w:val="1"/>
          <w:numId w:val="3"/>
        </w:numPr>
        <w:spacing w:before="120" w:after="160"/>
        <w:contextualSpacing w:val="0"/>
        <w:rPr>
          <w:rFonts w:ascii="Arial Narrow" w:hAnsi="Arial Narrow"/>
          <w:b/>
          <w:sz w:val="20"/>
        </w:rPr>
      </w:pPr>
      <w:r w:rsidRPr="00033D8D">
        <w:rPr>
          <w:rFonts w:asciiTheme="minorHAnsi" w:hAnsiTheme="minorHAnsi"/>
          <w:sz w:val="24"/>
          <w:lang w:val="en-US"/>
        </w:rPr>
        <w:t xml:space="preserve">In the pre-PBAC Response </w:t>
      </w:r>
      <w:r w:rsidR="00A360B2" w:rsidRPr="00033D8D">
        <w:rPr>
          <w:rFonts w:asciiTheme="minorHAnsi" w:hAnsiTheme="minorHAnsi"/>
          <w:sz w:val="24"/>
          <w:lang w:val="en-US"/>
        </w:rPr>
        <w:t>the sponsor offered a reduction in the effective price to $</w:t>
      </w:r>
      <w:r w:rsidR="004978B4">
        <w:rPr>
          <w:rFonts w:asciiTheme="minorHAnsi" w:hAnsiTheme="minorHAnsi"/>
          <w:noProof/>
          <w:color w:val="000000"/>
          <w:sz w:val="24"/>
          <w:highlight w:val="black"/>
          <w:lang w:val="en-US"/>
        </w:rPr>
        <w:t>'''''''''''''</w:t>
      </w:r>
      <w:r w:rsidR="00A360B2" w:rsidRPr="00033D8D">
        <w:rPr>
          <w:rFonts w:asciiTheme="minorHAnsi" w:hAnsiTheme="minorHAnsi"/>
          <w:sz w:val="24"/>
          <w:lang w:val="en-US"/>
        </w:rPr>
        <w:t xml:space="preserve"> per patient</w:t>
      </w:r>
      <w:r w:rsidR="00A024D6" w:rsidRPr="00033D8D">
        <w:rPr>
          <w:rFonts w:asciiTheme="minorHAnsi" w:hAnsiTheme="minorHAnsi"/>
          <w:sz w:val="24"/>
          <w:lang w:val="en-US"/>
        </w:rPr>
        <w:t xml:space="preserve"> per year and revised the</w:t>
      </w:r>
      <w:r w:rsidR="00CE7DFC" w:rsidRPr="00033D8D">
        <w:rPr>
          <w:rFonts w:asciiTheme="minorHAnsi" w:hAnsiTheme="minorHAnsi"/>
          <w:sz w:val="24"/>
          <w:lang w:val="en-US"/>
        </w:rPr>
        <w:t xml:space="preserve"> rate of </w:t>
      </w:r>
      <w:r w:rsidR="00A024D6" w:rsidRPr="00033D8D">
        <w:rPr>
          <w:rFonts w:asciiTheme="minorHAnsi" w:hAnsiTheme="minorHAnsi"/>
          <w:sz w:val="24"/>
          <w:lang w:val="en-US"/>
        </w:rPr>
        <w:t>decline for the on treatment group in the</w:t>
      </w:r>
      <w:r w:rsidR="00CE7DFC" w:rsidRPr="00033D8D">
        <w:rPr>
          <w:rFonts w:asciiTheme="minorHAnsi" w:hAnsiTheme="minorHAnsi"/>
          <w:sz w:val="24"/>
          <w:lang w:val="en-US"/>
        </w:rPr>
        <w:t xml:space="preserve"> economic model to </w:t>
      </w:r>
      <w:r w:rsidR="00834EE6" w:rsidRPr="00033D8D">
        <w:rPr>
          <w:rFonts w:asciiTheme="minorHAnsi" w:hAnsiTheme="minorHAnsi"/>
          <w:sz w:val="24"/>
          <w:lang w:val="en-US"/>
        </w:rPr>
        <w:t>42</w:t>
      </w:r>
      <w:r w:rsidR="00CE7DFC" w:rsidRPr="00033D8D">
        <w:rPr>
          <w:rFonts w:asciiTheme="minorHAnsi" w:hAnsiTheme="minorHAnsi"/>
          <w:sz w:val="24"/>
          <w:lang w:val="en-US"/>
        </w:rPr>
        <w:t>%</w:t>
      </w:r>
      <w:r w:rsidR="00A360B2" w:rsidRPr="00033D8D">
        <w:rPr>
          <w:rFonts w:asciiTheme="minorHAnsi" w:hAnsiTheme="minorHAnsi"/>
          <w:sz w:val="24"/>
          <w:lang w:val="en-US"/>
        </w:rPr>
        <w:t>. Th</w:t>
      </w:r>
      <w:r w:rsidR="00CE7DFC" w:rsidRPr="00033D8D">
        <w:rPr>
          <w:rFonts w:asciiTheme="minorHAnsi" w:hAnsiTheme="minorHAnsi"/>
          <w:sz w:val="24"/>
          <w:lang w:val="en-US"/>
        </w:rPr>
        <w:t>ese</w:t>
      </w:r>
      <w:r w:rsidR="00A360B2" w:rsidRPr="00033D8D">
        <w:rPr>
          <w:rFonts w:asciiTheme="minorHAnsi" w:hAnsiTheme="minorHAnsi"/>
          <w:sz w:val="24"/>
          <w:lang w:val="en-US"/>
        </w:rPr>
        <w:t xml:space="preserve"> </w:t>
      </w:r>
      <w:r w:rsidR="00CE7DFC" w:rsidRPr="00033D8D">
        <w:rPr>
          <w:rFonts w:asciiTheme="minorHAnsi" w:hAnsiTheme="minorHAnsi"/>
          <w:sz w:val="24"/>
          <w:lang w:val="en-US"/>
        </w:rPr>
        <w:t xml:space="preserve">changes </w:t>
      </w:r>
      <w:r w:rsidR="00A360B2" w:rsidRPr="00033D8D">
        <w:rPr>
          <w:rFonts w:asciiTheme="minorHAnsi" w:hAnsiTheme="minorHAnsi"/>
          <w:sz w:val="24"/>
          <w:lang w:val="en-US"/>
        </w:rPr>
        <w:t>result</w:t>
      </w:r>
      <w:r w:rsidR="004B0487" w:rsidRPr="00033D8D">
        <w:rPr>
          <w:rFonts w:asciiTheme="minorHAnsi" w:hAnsiTheme="minorHAnsi"/>
          <w:sz w:val="24"/>
          <w:lang w:val="en-US"/>
        </w:rPr>
        <w:t>ed</w:t>
      </w:r>
      <w:r w:rsidR="00A360B2" w:rsidRPr="00033D8D">
        <w:rPr>
          <w:rFonts w:asciiTheme="minorHAnsi" w:hAnsiTheme="minorHAnsi"/>
          <w:sz w:val="24"/>
          <w:lang w:val="en-US"/>
        </w:rPr>
        <w:t xml:space="preserve"> in revised ICER</w:t>
      </w:r>
      <w:r w:rsidR="00A024D6" w:rsidRPr="00033D8D">
        <w:rPr>
          <w:rFonts w:asciiTheme="minorHAnsi" w:hAnsiTheme="minorHAnsi"/>
          <w:sz w:val="24"/>
          <w:lang w:val="en-US"/>
        </w:rPr>
        <w:t>s</w:t>
      </w:r>
      <w:r w:rsidR="00A360B2" w:rsidRPr="00033D8D">
        <w:rPr>
          <w:rFonts w:asciiTheme="minorHAnsi" w:hAnsiTheme="minorHAnsi"/>
          <w:sz w:val="24"/>
          <w:lang w:val="en-US"/>
        </w:rPr>
        <w:t xml:space="preserve"> of $</w:t>
      </w:r>
      <w:r w:rsidR="00EB15BB" w:rsidRPr="00033D8D">
        <w:rPr>
          <w:rFonts w:asciiTheme="minorHAnsi" w:hAnsiTheme="minorHAnsi"/>
          <w:sz w:val="24"/>
          <w:lang w:val="en-US"/>
        </w:rPr>
        <w:t>105,000/QALY - $200,000/QALY</w:t>
      </w:r>
      <w:r w:rsidR="00A360B2" w:rsidRPr="00033D8D">
        <w:rPr>
          <w:rFonts w:asciiTheme="minorHAnsi" w:hAnsiTheme="minorHAnsi"/>
          <w:sz w:val="24"/>
          <w:lang w:val="en-US"/>
        </w:rPr>
        <w:t xml:space="preserve"> (see Table 14)</w:t>
      </w:r>
      <w:r w:rsidR="00A024D6" w:rsidRPr="00033D8D">
        <w:rPr>
          <w:rFonts w:asciiTheme="minorHAnsi" w:hAnsiTheme="minorHAnsi"/>
          <w:sz w:val="24"/>
          <w:lang w:val="en-US"/>
        </w:rPr>
        <w:t xml:space="preserve"> for the 2+ population,</w:t>
      </w:r>
      <w:r w:rsidR="002165F3" w:rsidRPr="00033D8D">
        <w:t xml:space="preserve"> </w:t>
      </w:r>
      <w:r w:rsidR="002165F3" w:rsidRPr="00033D8D">
        <w:rPr>
          <w:rFonts w:asciiTheme="minorHAnsi" w:hAnsiTheme="minorHAnsi"/>
          <w:sz w:val="24"/>
          <w:lang w:val="en-US"/>
        </w:rPr>
        <w:t>$</w:t>
      </w:r>
      <w:r w:rsidR="00EB15BB" w:rsidRPr="00033D8D">
        <w:rPr>
          <w:rFonts w:asciiTheme="minorHAnsi" w:hAnsiTheme="minorHAnsi"/>
          <w:sz w:val="24"/>
          <w:lang w:val="en-US"/>
        </w:rPr>
        <w:t>105,000/QALY - $200,000/QALY</w:t>
      </w:r>
      <w:r w:rsidR="00EB15BB" w:rsidRPr="00033D8D" w:rsidDel="00EB15BB">
        <w:rPr>
          <w:rFonts w:asciiTheme="minorHAnsi" w:hAnsiTheme="minorHAnsi"/>
          <w:sz w:val="24"/>
          <w:lang w:val="en-US"/>
        </w:rPr>
        <w:t xml:space="preserve"> </w:t>
      </w:r>
      <w:r w:rsidR="00A024D6" w:rsidRPr="00033D8D">
        <w:rPr>
          <w:rFonts w:asciiTheme="minorHAnsi" w:hAnsiTheme="minorHAnsi"/>
          <w:sz w:val="24"/>
          <w:lang w:val="en-US"/>
        </w:rPr>
        <w:t xml:space="preserve">for the </w:t>
      </w:r>
      <w:r w:rsidR="002165F3" w:rsidRPr="00033D8D">
        <w:rPr>
          <w:rFonts w:asciiTheme="minorHAnsi" w:hAnsiTheme="minorHAnsi"/>
          <w:sz w:val="24"/>
          <w:lang w:val="en-US"/>
        </w:rPr>
        <w:t xml:space="preserve">6+ </w:t>
      </w:r>
      <w:proofErr w:type="gramStart"/>
      <w:r w:rsidR="002165F3" w:rsidRPr="00033D8D">
        <w:rPr>
          <w:rFonts w:asciiTheme="minorHAnsi" w:hAnsiTheme="minorHAnsi"/>
          <w:sz w:val="24"/>
          <w:lang w:val="en-US"/>
        </w:rPr>
        <w:t>population</w:t>
      </w:r>
      <w:proofErr w:type="gramEnd"/>
      <w:r w:rsidR="002165F3" w:rsidRPr="00033D8D">
        <w:rPr>
          <w:rFonts w:asciiTheme="minorHAnsi" w:hAnsiTheme="minorHAnsi"/>
          <w:sz w:val="24"/>
          <w:lang w:val="en-US"/>
        </w:rPr>
        <w:t>, and $</w:t>
      </w:r>
      <w:r w:rsidR="00EB15BB" w:rsidRPr="00033D8D">
        <w:rPr>
          <w:rFonts w:asciiTheme="minorHAnsi" w:hAnsiTheme="minorHAnsi"/>
          <w:sz w:val="24"/>
          <w:lang w:val="en-US"/>
        </w:rPr>
        <w:t>105,000/QALY - $200,000/QALY</w:t>
      </w:r>
      <w:r w:rsidR="00EB15BB" w:rsidRPr="00033D8D" w:rsidDel="00EB15BB">
        <w:rPr>
          <w:rFonts w:asciiTheme="minorHAnsi" w:hAnsiTheme="minorHAnsi"/>
          <w:sz w:val="24"/>
          <w:lang w:val="en-US"/>
        </w:rPr>
        <w:t xml:space="preserve"> </w:t>
      </w:r>
      <w:r w:rsidR="002165F3" w:rsidRPr="00033D8D">
        <w:rPr>
          <w:rFonts w:asciiTheme="minorHAnsi" w:hAnsiTheme="minorHAnsi"/>
          <w:sz w:val="24"/>
          <w:lang w:val="en-US"/>
        </w:rPr>
        <w:t>for the 12+ population</w:t>
      </w:r>
      <w:r w:rsidR="00A360B2" w:rsidRPr="00033D8D">
        <w:rPr>
          <w:rFonts w:asciiTheme="minorHAnsi" w:hAnsiTheme="minorHAnsi"/>
          <w:sz w:val="24"/>
          <w:lang w:val="en-US"/>
        </w:rPr>
        <w:t>.</w:t>
      </w:r>
    </w:p>
    <w:p w:rsidR="002165F3" w:rsidRPr="00033D8D" w:rsidRDefault="002165F3" w:rsidP="00D261D9">
      <w:pPr>
        <w:pStyle w:val="ListParagraph"/>
        <w:widowControl/>
        <w:numPr>
          <w:ilvl w:val="1"/>
          <w:numId w:val="3"/>
        </w:numPr>
        <w:spacing w:before="120" w:after="160"/>
        <w:contextualSpacing w:val="0"/>
        <w:rPr>
          <w:rFonts w:ascii="Arial Narrow" w:hAnsi="Arial Narrow"/>
          <w:sz w:val="20"/>
        </w:rPr>
      </w:pPr>
      <w:r w:rsidRPr="00033D8D">
        <w:rPr>
          <w:rFonts w:asciiTheme="minorHAnsi" w:hAnsiTheme="minorHAnsi"/>
          <w:sz w:val="24"/>
          <w:lang w:val="en-US"/>
        </w:rPr>
        <w:t>The pre-PBAC response estimated that the total gross cost of listing</w:t>
      </w:r>
      <w:r w:rsidR="004B0487" w:rsidRPr="00033D8D">
        <w:rPr>
          <w:rFonts w:asciiTheme="minorHAnsi" w:hAnsiTheme="minorHAnsi"/>
          <w:sz w:val="24"/>
          <w:lang w:val="en-US"/>
        </w:rPr>
        <w:t xml:space="preserve"> </w:t>
      </w:r>
      <w:proofErr w:type="spellStart"/>
      <w:r w:rsidR="004B0487" w:rsidRPr="00033D8D">
        <w:rPr>
          <w:rFonts w:asciiTheme="minorHAnsi" w:hAnsiTheme="minorHAnsi"/>
          <w:sz w:val="24"/>
          <w:lang w:val="en-US"/>
        </w:rPr>
        <w:t>lumacaftor</w:t>
      </w:r>
      <w:proofErr w:type="spellEnd"/>
      <w:r w:rsidR="004B0487" w:rsidRPr="00033D8D">
        <w:rPr>
          <w:rFonts w:asciiTheme="minorHAnsi" w:hAnsiTheme="minorHAnsi"/>
          <w:sz w:val="24"/>
          <w:lang w:val="en-US"/>
        </w:rPr>
        <w:t>/</w:t>
      </w:r>
      <w:proofErr w:type="spellStart"/>
      <w:r w:rsidRPr="00033D8D">
        <w:rPr>
          <w:rFonts w:asciiTheme="minorHAnsi" w:hAnsiTheme="minorHAnsi"/>
          <w:sz w:val="24"/>
          <w:lang w:val="en-US"/>
        </w:rPr>
        <w:t>ivacaftor</w:t>
      </w:r>
      <w:proofErr w:type="spellEnd"/>
      <w:r w:rsidRPr="00033D8D">
        <w:rPr>
          <w:rFonts w:asciiTheme="minorHAnsi" w:hAnsiTheme="minorHAnsi"/>
          <w:sz w:val="24"/>
          <w:lang w:val="en-US"/>
        </w:rPr>
        <w:t xml:space="preserve"> over the first four years for the entire 2+ population with the </w:t>
      </w:r>
      <w:r w:rsidRPr="00033D8D">
        <w:rPr>
          <w:rFonts w:asciiTheme="minorHAnsi" w:hAnsiTheme="minorHAnsi"/>
          <w:sz w:val="24"/>
          <w:lang w:val="en-US"/>
        </w:rPr>
        <w:lastRenderedPageBreak/>
        <w:t xml:space="preserve">revised price proposal of </w:t>
      </w:r>
      <w:r w:rsidR="004978B4">
        <w:rPr>
          <w:rFonts w:asciiTheme="minorHAnsi" w:hAnsiTheme="minorHAnsi"/>
          <w:noProof/>
          <w:color w:val="000000"/>
          <w:sz w:val="24"/>
          <w:highlight w:val="black"/>
          <w:lang w:val="en-US"/>
        </w:rPr>
        <w:t>'''''''''''''</w:t>
      </w:r>
      <w:r w:rsidRPr="00033D8D">
        <w:rPr>
          <w:rFonts w:asciiTheme="minorHAnsi" w:hAnsiTheme="minorHAnsi"/>
          <w:sz w:val="24"/>
          <w:lang w:val="en-US"/>
        </w:rPr>
        <w:t xml:space="preserve"> per patient per year and with adjustments for uptake, dose adjustment and compliance to be</w:t>
      </w:r>
      <w:r w:rsidR="00EB15BB" w:rsidRPr="00033D8D">
        <w:rPr>
          <w:rFonts w:asciiTheme="minorHAnsi" w:hAnsiTheme="minorHAnsi"/>
          <w:sz w:val="24"/>
          <w:lang w:val="en-US"/>
        </w:rPr>
        <w:t xml:space="preserve"> more </w:t>
      </w:r>
      <w:proofErr w:type="gramStart"/>
      <w:r w:rsidR="00EB15BB" w:rsidRPr="00033D8D">
        <w:rPr>
          <w:rFonts w:asciiTheme="minorHAnsi" w:hAnsiTheme="minorHAnsi"/>
          <w:sz w:val="24"/>
          <w:lang w:val="en-US"/>
        </w:rPr>
        <w:t xml:space="preserve">than </w:t>
      </w:r>
      <w:r w:rsidRPr="00033D8D">
        <w:rPr>
          <w:rFonts w:asciiTheme="minorHAnsi" w:hAnsiTheme="minorHAnsi"/>
          <w:sz w:val="24"/>
          <w:lang w:val="en-US"/>
        </w:rPr>
        <w:t xml:space="preserve"> $</w:t>
      </w:r>
      <w:proofErr w:type="gramEnd"/>
      <w:r w:rsidR="00EB15BB" w:rsidRPr="00033D8D">
        <w:rPr>
          <w:rFonts w:asciiTheme="minorHAnsi" w:hAnsiTheme="minorHAnsi"/>
          <w:sz w:val="24"/>
          <w:lang w:val="en-US"/>
        </w:rPr>
        <w:t>100 million</w:t>
      </w:r>
      <w:r w:rsidRPr="00033D8D">
        <w:rPr>
          <w:rFonts w:asciiTheme="minorHAnsi" w:hAnsiTheme="minorHAnsi"/>
          <w:sz w:val="24"/>
          <w:lang w:val="en-US"/>
        </w:rPr>
        <w:t xml:space="preserve"> (compared </w:t>
      </w:r>
      <w:r w:rsidR="004B0487" w:rsidRPr="00033D8D">
        <w:rPr>
          <w:rFonts w:asciiTheme="minorHAnsi" w:hAnsiTheme="minorHAnsi"/>
          <w:sz w:val="24"/>
          <w:lang w:val="en-US"/>
        </w:rPr>
        <w:t xml:space="preserve">with </w:t>
      </w:r>
      <w:r w:rsidRPr="00033D8D">
        <w:rPr>
          <w:rFonts w:asciiTheme="minorHAnsi" w:hAnsiTheme="minorHAnsi"/>
          <w:sz w:val="24"/>
          <w:lang w:val="en-US"/>
        </w:rPr>
        <w:t>the</w:t>
      </w:r>
      <w:r w:rsidR="00EB15BB" w:rsidRPr="00033D8D">
        <w:rPr>
          <w:rFonts w:asciiTheme="minorHAnsi" w:hAnsiTheme="minorHAnsi"/>
          <w:sz w:val="24"/>
          <w:lang w:val="en-US"/>
        </w:rPr>
        <w:t xml:space="preserve"> more than</w:t>
      </w:r>
      <w:r w:rsidR="00171842" w:rsidRPr="00033D8D">
        <w:rPr>
          <w:rFonts w:asciiTheme="minorHAnsi" w:hAnsiTheme="minorHAnsi"/>
          <w:sz w:val="24"/>
          <w:lang w:val="en-US"/>
        </w:rPr>
        <w:t xml:space="preserve"> </w:t>
      </w:r>
      <w:r w:rsidRPr="00033D8D">
        <w:rPr>
          <w:rFonts w:asciiTheme="minorHAnsi" w:hAnsiTheme="minorHAnsi"/>
          <w:sz w:val="24"/>
          <w:lang w:val="en-US"/>
        </w:rPr>
        <w:t>$</w:t>
      </w:r>
      <w:r w:rsidR="00EB15BB" w:rsidRPr="00033D8D">
        <w:rPr>
          <w:rFonts w:asciiTheme="minorHAnsi" w:hAnsiTheme="minorHAnsi"/>
          <w:sz w:val="24"/>
          <w:lang w:val="en-US"/>
        </w:rPr>
        <w:t>100 million</w:t>
      </w:r>
      <w:r w:rsidRPr="00033D8D">
        <w:rPr>
          <w:rFonts w:asciiTheme="minorHAnsi" w:hAnsiTheme="minorHAnsi"/>
          <w:sz w:val="24"/>
          <w:lang w:val="en-US"/>
        </w:rPr>
        <w:t xml:space="preserve"> initially estimated in the July 2018 submission</w:t>
      </w:r>
      <w:r w:rsidR="00171842" w:rsidRPr="00033D8D">
        <w:rPr>
          <w:rFonts w:asciiTheme="minorHAnsi" w:hAnsiTheme="minorHAnsi"/>
          <w:sz w:val="24"/>
          <w:lang w:val="en-US"/>
        </w:rPr>
        <w:t>)</w:t>
      </w:r>
      <w:r w:rsidRPr="00033D8D">
        <w:rPr>
          <w:rFonts w:asciiTheme="minorHAnsi" w:hAnsiTheme="minorHAnsi"/>
          <w:sz w:val="24"/>
          <w:lang w:val="en-US"/>
        </w:rPr>
        <w:t xml:space="preserve">. </w:t>
      </w:r>
    </w:p>
    <w:p w:rsidR="00A360B2" w:rsidRPr="00D261D9" w:rsidRDefault="00A360B2" w:rsidP="00C4077F">
      <w:pPr>
        <w:spacing w:before="120"/>
        <w:rPr>
          <w:rFonts w:ascii="Arial Narrow" w:hAnsi="Arial Narrow"/>
          <w:b/>
          <w:sz w:val="20"/>
        </w:rPr>
      </w:pPr>
      <w:r w:rsidRPr="00033D8D">
        <w:rPr>
          <w:rFonts w:ascii="Arial Narrow" w:hAnsi="Arial Narrow"/>
          <w:b/>
          <w:sz w:val="20"/>
        </w:rPr>
        <w:t>Table 14:</w:t>
      </w:r>
      <w:r w:rsidRPr="00033D8D">
        <w:rPr>
          <w:rFonts w:ascii="Arial Narrow" w:hAnsi="Arial Narrow"/>
          <w:b/>
          <w:sz w:val="20"/>
        </w:rPr>
        <w:tab/>
        <w:t xml:space="preserve"> </w:t>
      </w:r>
      <w:r w:rsidR="002165F3" w:rsidRPr="00033D8D">
        <w:rPr>
          <w:rFonts w:ascii="Arial Narrow" w:hAnsi="Arial Narrow"/>
          <w:b/>
          <w:sz w:val="20"/>
        </w:rPr>
        <w:t>Estimated ICER at effective price of $</w:t>
      </w:r>
      <w:r w:rsidR="004978B4">
        <w:rPr>
          <w:rFonts w:ascii="Arial Narrow" w:hAnsi="Arial Narrow"/>
          <w:b/>
          <w:noProof/>
          <w:color w:val="000000"/>
          <w:sz w:val="20"/>
          <w:highlight w:val="black"/>
        </w:rPr>
        <w:t>''''''''''''''</w:t>
      </w:r>
      <w:r w:rsidR="002165F3" w:rsidRPr="00033D8D">
        <w:rPr>
          <w:rFonts w:ascii="Arial Narrow" w:hAnsi="Arial Narrow"/>
          <w:b/>
          <w:sz w:val="20"/>
        </w:rPr>
        <w:t xml:space="preserve"> per patient per year</w:t>
      </w:r>
      <w:r w:rsidR="00D261D9" w:rsidRPr="00033D8D">
        <w:rPr>
          <w:rFonts w:ascii="Arial Narrow" w:hAnsi="Arial Narrow"/>
          <w:b/>
          <w:sz w:val="20"/>
        </w:rPr>
        <w:t xml:space="preserve"> and with rate of decline </w:t>
      </w:r>
      <w:r w:rsidR="00834EE6" w:rsidRPr="00033D8D">
        <w:rPr>
          <w:rFonts w:ascii="Arial Narrow" w:hAnsi="Arial Narrow"/>
          <w:b/>
          <w:sz w:val="20"/>
        </w:rPr>
        <w:t>42</w:t>
      </w:r>
      <w:r w:rsidR="00D261D9" w:rsidRPr="00033D8D">
        <w:rPr>
          <w:rFonts w:ascii="Arial Narrow" w:hAnsi="Arial Narrow"/>
          <w:b/>
          <w:sz w:val="20"/>
        </w:rPr>
        <w:t>% of BSC</w:t>
      </w:r>
    </w:p>
    <w:tbl>
      <w:tblPr>
        <w:tblStyle w:val="OPTUMTableNormal"/>
        <w:tblW w:w="4602" w:type="pct"/>
        <w:tblInd w:w="108" w:type="dxa"/>
        <w:tblLook w:val="04A0" w:firstRow="1" w:lastRow="0" w:firstColumn="1" w:lastColumn="0" w:noHBand="0" w:noVBand="1"/>
        <w:tblCaption w:val="Table 14:  Estimated ICER at effective price of $'''''''''''''' per patient per year and with rate of decline 42% of BSC"/>
      </w:tblPr>
      <w:tblGrid>
        <w:gridCol w:w="3118"/>
        <w:gridCol w:w="5388"/>
      </w:tblGrid>
      <w:tr w:rsidR="00D261D9" w:rsidRPr="00A360B2" w:rsidTr="002D6558">
        <w:trPr>
          <w:cnfStyle w:val="100000000000" w:firstRow="1" w:lastRow="0" w:firstColumn="0" w:lastColumn="0" w:oddVBand="0" w:evenVBand="0" w:oddHBand="0" w:evenHBand="0" w:firstRowFirstColumn="0" w:firstRowLastColumn="0" w:lastRowFirstColumn="0" w:lastRowLastColumn="0"/>
          <w:tblHeader/>
        </w:trPr>
        <w:tc>
          <w:tcPr>
            <w:tcW w:w="1833" w:type="pct"/>
            <w:shd w:val="clear" w:color="auto" w:fill="D9D9D9" w:themeFill="background1" w:themeFillShade="D9"/>
          </w:tcPr>
          <w:p w:rsidR="00D261D9" w:rsidRPr="00A360B2" w:rsidRDefault="00D261D9" w:rsidP="00224EB1">
            <w:pPr>
              <w:pStyle w:val="TableH1"/>
              <w:jc w:val="center"/>
              <w:rPr>
                <w:rFonts w:ascii="Arial Narrow" w:hAnsi="Arial Narrow"/>
                <w:sz w:val="20"/>
                <w:szCs w:val="20"/>
                <w:highlight w:val="green"/>
              </w:rPr>
            </w:pPr>
            <w:r>
              <w:rPr>
                <w:rFonts w:ascii="Arial Narrow" w:hAnsi="Arial Narrow"/>
                <w:sz w:val="20"/>
                <w:szCs w:val="20"/>
              </w:rPr>
              <w:t>Patient cohort (years)</w:t>
            </w:r>
          </w:p>
        </w:tc>
        <w:tc>
          <w:tcPr>
            <w:tcW w:w="3167" w:type="pct"/>
            <w:shd w:val="clear" w:color="auto" w:fill="D9D9D9" w:themeFill="background1" w:themeFillShade="D9"/>
          </w:tcPr>
          <w:p w:rsidR="00D261D9" w:rsidRPr="00A360B2" w:rsidRDefault="00D261D9" w:rsidP="00D261D9">
            <w:pPr>
              <w:pStyle w:val="TableH1"/>
              <w:jc w:val="center"/>
              <w:rPr>
                <w:rFonts w:ascii="Arial Narrow" w:hAnsi="Arial Narrow"/>
                <w:sz w:val="20"/>
                <w:szCs w:val="20"/>
              </w:rPr>
            </w:pPr>
            <w:r w:rsidRPr="00A360B2">
              <w:rPr>
                <w:rFonts w:ascii="Arial Narrow" w:hAnsi="Arial Narrow"/>
                <w:sz w:val="20"/>
                <w:szCs w:val="20"/>
              </w:rPr>
              <w:t xml:space="preserve">ICER </w:t>
            </w:r>
          </w:p>
        </w:tc>
      </w:tr>
      <w:tr w:rsidR="00D261D9" w:rsidRPr="00A360B2" w:rsidTr="00D261D9">
        <w:tc>
          <w:tcPr>
            <w:tcW w:w="1833" w:type="pct"/>
          </w:tcPr>
          <w:p w:rsidR="00D261D9" w:rsidRPr="00D261D9" w:rsidRDefault="00D261D9" w:rsidP="00224EB1">
            <w:pPr>
              <w:pStyle w:val="Tabletext"/>
              <w:jc w:val="center"/>
              <w:rPr>
                <w:rFonts w:ascii="Arial Narrow" w:hAnsi="Arial Narrow"/>
              </w:rPr>
            </w:pPr>
            <w:r w:rsidRPr="00D261D9">
              <w:rPr>
                <w:rFonts w:ascii="Arial Narrow" w:hAnsi="Arial Narrow"/>
              </w:rPr>
              <w:t xml:space="preserve">≥ 2 </w:t>
            </w:r>
          </w:p>
        </w:tc>
        <w:tc>
          <w:tcPr>
            <w:tcW w:w="3167" w:type="pct"/>
          </w:tcPr>
          <w:p w:rsidR="00D261D9" w:rsidRPr="00A360B2" w:rsidRDefault="00D261D9" w:rsidP="00224EB1">
            <w:pPr>
              <w:pStyle w:val="Tabletext"/>
              <w:jc w:val="center"/>
              <w:rPr>
                <w:rFonts w:ascii="Arial Narrow" w:hAnsi="Arial Narrow"/>
              </w:rPr>
            </w:pPr>
            <w:r w:rsidRPr="00D261D9">
              <w:rPr>
                <w:rFonts w:ascii="Arial Narrow" w:hAnsi="Arial Narrow"/>
              </w:rPr>
              <w:t>$</w:t>
            </w:r>
            <w:r w:rsidR="004978B4">
              <w:rPr>
                <w:rFonts w:ascii="Arial Narrow" w:hAnsi="Arial Narrow"/>
                <w:noProof/>
                <w:color w:val="000000"/>
                <w:highlight w:val="black"/>
              </w:rPr>
              <w:t>'''''''''''''''''</w:t>
            </w:r>
          </w:p>
        </w:tc>
      </w:tr>
      <w:tr w:rsidR="00D261D9" w:rsidRPr="00A360B2" w:rsidTr="00D261D9">
        <w:tc>
          <w:tcPr>
            <w:tcW w:w="1833" w:type="pct"/>
          </w:tcPr>
          <w:p w:rsidR="00D261D9" w:rsidRPr="00D261D9" w:rsidRDefault="00D261D9" w:rsidP="00224EB1">
            <w:pPr>
              <w:pStyle w:val="Tabletext"/>
              <w:jc w:val="center"/>
              <w:rPr>
                <w:rFonts w:ascii="Arial Narrow" w:hAnsi="Arial Narrow"/>
              </w:rPr>
            </w:pPr>
            <w:r w:rsidRPr="00D261D9">
              <w:rPr>
                <w:rFonts w:ascii="Arial Narrow" w:hAnsi="Arial Narrow"/>
              </w:rPr>
              <w:t>≥ 6</w:t>
            </w:r>
          </w:p>
        </w:tc>
        <w:tc>
          <w:tcPr>
            <w:tcW w:w="3167" w:type="pct"/>
          </w:tcPr>
          <w:p w:rsidR="00D261D9" w:rsidRPr="00A360B2" w:rsidRDefault="00D261D9" w:rsidP="00224EB1">
            <w:pPr>
              <w:pStyle w:val="Tabletext"/>
              <w:jc w:val="center"/>
              <w:rPr>
                <w:rFonts w:ascii="Arial Narrow" w:hAnsi="Arial Narrow"/>
              </w:rPr>
            </w:pPr>
            <w:r w:rsidRPr="00D261D9">
              <w:rPr>
                <w:rFonts w:ascii="Arial Narrow" w:hAnsi="Arial Narrow"/>
              </w:rPr>
              <w:t>$</w:t>
            </w:r>
            <w:r w:rsidR="004978B4">
              <w:rPr>
                <w:rFonts w:ascii="Arial Narrow" w:hAnsi="Arial Narrow"/>
                <w:noProof/>
                <w:color w:val="000000"/>
                <w:highlight w:val="black"/>
              </w:rPr>
              <w:t>''''''''''''''''''''</w:t>
            </w:r>
          </w:p>
        </w:tc>
      </w:tr>
      <w:tr w:rsidR="00D261D9" w:rsidRPr="00A360B2" w:rsidTr="00D261D9">
        <w:tc>
          <w:tcPr>
            <w:tcW w:w="1833" w:type="pct"/>
          </w:tcPr>
          <w:p w:rsidR="00D261D9" w:rsidRPr="00D261D9" w:rsidRDefault="00D261D9" w:rsidP="00224EB1">
            <w:pPr>
              <w:pStyle w:val="Tabletext"/>
              <w:jc w:val="center"/>
              <w:rPr>
                <w:rFonts w:ascii="Arial Narrow" w:hAnsi="Arial Narrow"/>
              </w:rPr>
            </w:pPr>
            <w:r w:rsidRPr="00D261D9">
              <w:rPr>
                <w:rFonts w:ascii="Arial Narrow" w:hAnsi="Arial Narrow"/>
              </w:rPr>
              <w:t>≥ 12</w:t>
            </w:r>
          </w:p>
        </w:tc>
        <w:tc>
          <w:tcPr>
            <w:tcW w:w="3167" w:type="pct"/>
          </w:tcPr>
          <w:p w:rsidR="00D261D9" w:rsidRPr="00A360B2" w:rsidRDefault="00D261D9" w:rsidP="00224EB1">
            <w:pPr>
              <w:pStyle w:val="Tabletext"/>
              <w:jc w:val="center"/>
              <w:rPr>
                <w:rFonts w:ascii="Arial Narrow" w:hAnsi="Arial Narrow"/>
              </w:rPr>
            </w:pPr>
            <w:r w:rsidRPr="00D261D9">
              <w:rPr>
                <w:rFonts w:ascii="Arial Narrow" w:hAnsi="Arial Narrow"/>
              </w:rPr>
              <w:t>$</w:t>
            </w:r>
            <w:r w:rsidR="004978B4">
              <w:rPr>
                <w:rFonts w:ascii="Arial Narrow" w:hAnsi="Arial Narrow"/>
                <w:noProof/>
                <w:color w:val="000000"/>
                <w:highlight w:val="black"/>
              </w:rPr>
              <w:t>'''''''''''''''''''</w:t>
            </w:r>
          </w:p>
        </w:tc>
      </w:tr>
    </w:tbl>
    <w:p w:rsidR="00044548" w:rsidRPr="00044548" w:rsidRDefault="00044548" w:rsidP="00044548">
      <w:pPr>
        <w:spacing w:before="120" w:after="160"/>
        <w:rPr>
          <w:rFonts w:asciiTheme="minorHAnsi" w:hAnsiTheme="minorHAnsi"/>
          <w:lang w:val="en-US"/>
        </w:rPr>
      </w:pPr>
      <w:r>
        <w:rPr>
          <w:rFonts w:asciiTheme="minorHAnsi" w:hAnsiTheme="minorHAnsi"/>
          <w:lang w:val="en-US"/>
        </w:rPr>
        <w:t xml:space="preserve">The redacted table shows ICERs in the range of $105,000/QALY - $200,000/QALY. </w:t>
      </w:r>
    </w:p>
    <w:p w:rsidR="00B9096D" w:rsidRPr="007C02B9" w:rsidRDefault="005E0124"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Further sensitivity analyses are presented in the ESC advice for item 5.08 </w:t>
      </w:r>
      <w:proofErr w:type="spellStart"/>
      <w:r w:rsidRPr="007C02B9">
        <w:rPr>
          <w:rFonts w:asciiTheme="minorHAnsi" w:hAnsiTheme="minorHAnsi"/>
          <w:sz w:val="24"/>
          <w:lang w:val="en-US"/>
        </w:rPr>
        <w:t>lumacaftor</w:t>
      </w:r>
      <w:proofErr w:type="spellEnd"/>
      <w:r w:rsidRPr="007C02B9">
        <w:rPr>
          <w:rFonts w:asciiTheme="minorHAnsi" w:hAnsiTheme="minorHAnsi"/>
          <w:sz w:val="24"/>
          <w:lang w:val="en-US"/>
        </w:rPr>
        <w:t xml:space="preserve"> with </w:t>
      </w:r>
      <w:proofErr w:type="spellStart"/>
      <w:r w:rsidRPr="007C02B9">
        <w:rPr>
          <w:rFonts w:asciiTheme="minorHAnsi" w:hAnsiTheme="minorHAnsi"/>
          <w:sz w:val="24"/>
          <w:lang w:val="en-US"/>
        </w:rPr>
        <w:t>ivacaftor</w:t>
      </w:r>
      <w:proofErr w:type="spellEnd"/>
      <w:r w:rsidRPr="007C02B9">
        <w:rPr>
          <w:rFonts w:asciiTheme="minorHAnsi" w:hAnsiTheme="minorHAnsi"/>
          <w:sz w:val="24"/>
          <w:lang w:val="en-US"/>
        </w:rPr>
        <w:t xml:space="preserve"> </w:t>
      </w:r>
      <w:r w:rsidR="00EF1CD7" w:rsidRPr="007C02B9">
        <w:rPr>
          <w:rFonts w:asciiTheme="minorHAnsi" w:hAnsiTheme="minorHAnsi"/>
          <w:sz w:val="24"/>
          <w:lang w:val="en-US"/>
        </w:rPr>
        <w:t xml:space="preserve">for </w:t>
      </w:r>
      <w:r w:rsidRPr="007C02B9">
        <w:rPr>
          <w:rFonts w:asciiTheme="minorHAnsi" w:hAnsiTheme="minorHAnsi"/>
          <w:sz w:val="24"/>
          <w:lang w:val="en-US"/>
        </w:rPr>
        <w:t>6 – 11 year olds.</w:t>
      </w:r>
    </w:p>
    <w:p w:rsidR="003C2FB5" w:rsidRPr="008306F3" w:rsidRDefault="00A55FEE"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Drug cost/patient/year:</w:t>
      </w:r>
      <w:r w:rsidR="00026848">
        <w:rPr>
          <w:rFonts w:asciiTheme="minorHAnsi" w:eastAsiaTheme="majorEastAsia" w:hAnsiTheme="minorHAnsi" w:cstheme="majorBidi"/>
          <w:sz w:val="28"/>
          <w:szCs w:val="28"/>
          <w:lang w:eastAsia="en-US"/>
        </w:rPr>
        <w:t xml:space="preserve"> $</w:t>
      </w:r>
      <w:r w:rsidR="004978B4">
        <w:rPr>
          <w:rFonts w:asciiTheme="minorHAnsi" w:eastAsiaTheme="majorEastAsia" w:hAnsiTheme="minorHAnsi" w:cstheme="majorBidi"/>
          <w:noProof/>
          <w:color w:val="000000"/>
          <w:sz w:val="28"/>
          <w:szCs w:val="28"/>
          <w:highlight w:val="black"/>
          <w:lang w:eastAsia="en-US"/>
        </w:rPr>
        <w:t>'''''''''''</w:t>
      </w:r>
    </w:p>
    <w:p w:rsidR="00A55FEE" w:rsidRPr="007C02B9" w:rsidRDefault="00026848"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The </w:t>
      </w:r>
      <w:r w:rsidR="00D261D9">
        <w:rPr>
          <w:rFonts w:asciiTheme="minorHAnsi" w:hAnsiTheme="minorHAnsi"/>
          <w:sz w:val="24"/>
          <w:lang w:val="en-US"/>
        </w:rPr>
        <w:t>pre-PBAC response</w:t>
      </w:r>
      <w:r w:rsidR="00D261D9" w:rsidRPr="007C02B9">
        <w:rPr>
          <w:rFonts w:asciiTheme="minorHAnsi" w:hAnsiTheme="minorHAnsi"/>
          <w:sz w:val="24"/>
          <w:lang w:val="en-US"/>
        </w:rPr>
        <w:t xml:space="preserve"> </w:t>
      </w:r>
      <w:r w:rsidRPr="007C02B9">
        <w:rPr>
          <w:rFonts w:asciiTheme="minorHAnsi" w:hAnsiTheme="minorHAnsi"/>
          <w:sz w:val="24"/>
          <w:lang w:val="en-US"/>
        </w:rPr>
        <w:t>offers a total expenditure cap which it states will deliver a cost per patient of $</w:t>
      </w:r>
      <w:r w:rsidR="004978B4">
        <w:rPr>
          <w:rFonts w:asciiTheme="minorHAnsi" w:hAnsiTheme="minorHAnsi"/>
          <w:noProof/>
          <w:color w:val="000000"/>
          <w:sz w:val="24"/>
          <w:highlight w:val="black"/>
          <w:lang w:val="en-US"/>
        </w:rPr>
        <w:t>'''''''''''''</w:t>
      </w:r>
      <w:r w:rsidRPr="007C02B9">
        <w:rPr>
          <w:rFonts w:asciiTheme="minorHAnsi" w:hAnsiTheme="minorHAnsi"/>
          <w:sz w:val="24"/>
          <w:lang w:val="en-US"/>
        </w:rPr>
        <w:t xml:space="preserve"> per year vis-à-vis a list price of $18,750 per 28 days treatment</w:t>
      </w:r>
      <w:r w:rsidR="00714C7B" w:rsidRPr="007C02B9">
        <w:rPr>
          <w:rFonts w:asciiTheme="minorHAnsi" w:hAnsiTheme="minorHAnsi"/>
          <w:sz w:val="24"/>
          <w:lang w:val="en-US"/>
        </w:rPr>
        <w:t xml:space="preserve"> (</w:t>
      </w:r>
      <w:proofErr w:type="spellStart"/>
      <w:r w:rsidR="00714C7B" w:rsidRPr="007C02B9">
        <w:rPr>
          <w:rFonts w:asciiTheme="minorHAnsi" w:hAnsiTheme="minorHAnsi"/>
          <w:sz w:val="24"/>
          <w:lang w:val="en-US"/>
        </w:rPr>
        <w:t>approx</w:t>
      </w:r>
      <w:proofErr w:type="spellEnd"/>
      <w:r w:rsidR="00714C7B" w:rsidRPr="007C02B9">
        <w:rPr>
          <w:rFonts w:asciiTheme="minorHAnsi" w:hAnsiTheme="minorHAnsi"/>
          <w:sz w:val="24"/>
          <w:lang w:val="en-US"/>
        </w:rPr>
        <w:t xml:space="preserve"> $</w:t>
      </w:r>
      <w:r w:rsidR="00714C7B" w:rsidRPr="006626DB">
        <w:rPr>
          <w:rFonts w:asciiTheme="minorHAnsi" w:hAnsiTheme="minorHAnsi"/>
          <w:sz w:val="24"/>
          <w:lang w:val="en-US"/>
        </w:rPr>
        <w:t>244,000</w:t>
      </w:r>
      <w:r w:rsidR="00714C7B" w:rsidRPr="007C02B9">
        <w:rPr>
          <w:rFonts w:asciiTheme="minorHAnsi" w:hAnsiTheme="minorHAnsi"/>
          <w:sz w:val="24"/>
          <w:lang w:val="en-US"/>
        </w:rPr>
        <w:t xml:space="preserve"> per year)</w:t>
      </w:r>
      <w:r w:rsidRPr="007C02B9">
        <w:rPr>
          <w:rFonts w:asciiTheme="minorHAnsi" w:hAnsiTheme="minorHAnsi"/>
          <w:sz w:val="24"/>
          <w:lang w:val="en-US"/>
        </w:rPr>
        <w:t>.</w:t>
      </w:r>
    </w:p>
    <w:p w:rsidR="00026848" w:rsidRPr="007C02B9" w:rsidRDefault="00026848"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However, the submission bases </w:t>
      </w:r>
      <w:r w:rsidR="00FF23F4" w:rsidRPr="007C02B9">
        <w:rPr>
          <w:rFonts w:asciiTheme="minorHAnsi" w:hAnsiTheme="minorHAnsi"/>
          <w:sz w:val="24"/>
          <w:lang w:val="en-US"/>
        </w:rPr>
        <w:t xml:space="preserve">its </w:t>
      </w:r>
      <w:r w:rsidRPr="007C02B9">
        <w:rPr>
          <w:rFonts w:asciiTheme="minorHAnsi" w:hAnsiTheme="minorHAnsi"/>
          <w:sz w:val="24"/>
          <w:lang w:val="en-US"/>
        </w:rPr>
        <w:t>calculation</w:t>
      </w:r>
      <w:r w:rsidR="00FF23F4" w:rsidRPr="007C02B9">
        <w:rPr>
          <w:rFonts w:asciiTheme="minorHAnsi" w:hAnsiTheme="minorHAnsi"/>
          <w:sz w:val="24"/>
          <w:lang w:val="en-US"/>
        </w:rPr>
        <w:t xml:space="preserve"> of the cost per patient</w:t>
      </w:r>
      <w:r w:rsidRPr="007C02B9">
        <w:rPr>
          <w:rFonts w:asciiTheme="minorHAnsi" w:hAnsiTheme="minorHAnsi"/>
          <w:sz w:val="24"/>
          <w:lang w:val="en-US"/>
        </w:rPr>
        <w:t xml:space="preserve"> on the average number of patients who initiate treatment in each of the first 4 years of listing.  </w:t>
      </w:r>
      <w:r w:rsidR="00FF23F4" w:rsidRPr="007C02B9">
        <w:rPr>
          <w:rFonts w:asciiTheme="minorHAnsi" w:hAnsiTheme="minorHAnsi"/>
          <w:sz w:val="24"/>
          <w:lang w:val="en-US"/>
        </w:rPr>
        <w:t>As not all patients will commence treatment on the first day of their first year and some patients will discontinue treatment, this overestimates total usage and underestimates the rebate required to achieve a cost per patient per year of $</w:t>
      </w:r>
      <w:r w:rsidR="004978B4">
        <w:rPr>
          <w:rFonts w:asciiTheme="minorHAnsi" w:hAnsiTheme="minorHAnsi"/>
          <w:noProof/>
          <w:color w:val="000000"/>
          <w:sz w:val="24"/>
          <w:highlight w:val="black"/>
          <w:lang w:val="en-US"/>
        </w:rPr>
        <w:t>'''''''''''''</w:t>
      </w:r>
      <w:r w:rsidR="00FF23F4" w:rsidRPr="007C02B9">
        <w:rPr>
          <w:rFonts w:asciiTheme="minorHAnsi" w:hAnsiTheme="minorHAnsi"/>
          <w:sz w:val="24"/>
          <w:lang w:val="en-US"/>
        </w:rPr>
        <w:t>.</w:t>
      </w:r>
    </w:p>
    <w:p w:rsidR="00FF23F4" w:rsidRPr="00EF1CD7" w:rsidRDefault="00FF23F4" w:rsidP="00C4077F">
      <w:pPr>
        <w:rPr>
          <w:rFonts w:ascii="Arial Narrow" w:hAnsi="Arial Narrow" w:cs="Calibri"/>
          <w:b/>
          <w:sz w:val="20"/>
          <w:lang w:val="en-US"/>
        </w:rPr>
      </w:pPr>
      <w:r w:rsidRPr="00EF1CD7">
        <w:rPr>
          <w:rFonts w:ascii="Arial Narrow" w:hAnsi="Arial Narrow" w:cs="Calibri"/>
          <w:b/>
          <w:sz w:val="20"/>
          <w:lang w:val="en-US"/>
        </w:rPr>
        <w:t xml:space="preserve">Table </w:t>
      </w:r>
      <w:r w:rsidR="0014569D">
        <w:rPr>
          <w:rFonts w:ascii="Arial Narrow" w:hAnsi="Arial Narrow" w:cs="Calibri"/>
          <w:b/>
          <w:sz w:val="20"/>
          <w:lang w:val="en-US"/>
        </w:rPr>
        <w:t>1</w:t>
      </w:r>
      <w:r w:rsidR="00841412">
        <w:rPr>
          <w:rFonts w:ascii="Arial Narrow" w:hAnsi="Arial Narrow" w:cs="Calibri"/>
          <w:b/>
          <w:sz w:val="20"/>
          <w:lang w:val="en-US"/>
        </w:rPr>
        <w:t>5</w:t>
      </w:r>
      <w:r w:rsidRPr="00EF1CD7">
        <w:rPr>
          <w:rFonts w:ascii="Arial Narrow" w:hAnsi="Arial Narrow" w:cs="Calibri"/>
          <w:b/>
          <w:sz w:val="20"/>
          <w:lang w:val="en-US"/>
        </w:rPr>
        <w:t>: Rebate calculations</w:t>
      </w:r>
    </w:p>
    <w:tbl>
      <w:tblPr>
        <w:tblStyle w:val="TableGrid"/>
        <w:tblW w:w="0" w:type="auto"/>
        <w:tblInd w:w="108" w:type="dxa"/>
        <w:tblLook w:val="04A0" w:firstRow="1" w:lastRow="0" w:firstColumn="1" w:lastColumn="0" w:noHBand="0" w:noVBand="1"/>
        <w:tblCaption w:val="Table 15: Rebate calculations"/>
      </w:tblPr>
      <w:tblGrid>
        <w:gridCol w:w="5245"/>
        <w:gridCol w:w="3827"/>
      </w:tblGrid>
      <w:tr w:rsidR="00FF23F4" w:rsidRPr="003B20DC" w:rsidTr="002D6558">
        <w:trPr>
          <w:trHeight w:val="300"/>
          <w:tblHeader/>
        </w:trPr>
        <w:tc>
          <w:tcPr>
            <w:tcW w:w="9072" w:type="dxa"/>
            <w:gridSpan w:val="2"/>
            <w:noWrap/>
            <w:hideMark/>
          </w:tcPr>
          <w:p w:rsidR="00FF23F4" w:rsidRPr="00FF23F4" w:rsidRDefault="00FF23F4" w:rsidP="00FF23F4">
            <w:pPr>
              <w:spacing w:before="20" w:after="20"/>
              <w:rPr>
                <w:rFonts w:ascii="Arial Narrow" w:hAnsi="Arial Narrow"/>
                <w:b/>
                <w:sz w:val="20"/>
                <w:szCs w:val="20"/>
              </w:rPr>
            </w:pPr>
            <w:r w:rsidRPr="00FF23F4">
              <w:rPr>
                <w:rFonts w:ascii="Arial Narrow" w:hAnsi="Arial Narrow"/>
                <w:b/>
                <w:sz w:val="20"/>
                <w:szCs w:val="20"/>
              </w:rPr>
              <w:t>Cost per patient </w:t>
            </w:r>
          </w:p>
        </w:tc>
      </w:tr>
      <w:tr w:rsidR="00FF23F4" w:rsidRPr="003B20DC" w:rsidTr="007C02B9">
        <w:trPr>
          <w:trHeight w:val="300"/>
        </w:trPr>
        <w:tc>
          <w:tcPr>
            <w:tcW w:w="5245" w:type="dxa"/>
            <w:noWrap/>
            <w:hideMark/>
          </w:tcPr>
          <w:p w:rsidR="00FF23F4" w:rsidRPr="00FF23F4" w:rsidRDefault="00FF23F4" w:rsidP="00FF23F4">
            <w:pPr>
              <w:spacing w:before="20" w:after="20"/>
              <w:rPr>
                <w:rFonts w:ascii="Arial Narrow" w:hAnsi="Arial Narrow"/>
                <w:sz w:val="20"/>
                <w:szCs w:val="20"/>
              </w:rPr>
            </w:pPr>
            <w:r w:rsidRPr="00FF23F4">
              <w:rPr>
                <w:rFonts w:ascii="Arial Narrow" w:hAnsi="Arial Narrow"/>
                <w:sz w:val="20"/>
                <w:szCs w:val="20"/>
              </w:rPr>
              <w:t>DPMQ</w:t>
            </w:r>
          </w:p>
        </w:tc>
        <w:tc>
          <w:tcPr>
            <w:tcW w:w="3827" w:type="dxa"/>
            <w:noWrap/>
            <w:hideMark/>
          </w:tcPr>
          <w:p w:rsidR="00FF23F4" w:rsidRPr="00FF23F4" w:rsidRDefault="00FF23F4" w:rsidP="00FF23F4">
            <w:pPr>
              <w:spacing w:before="20" w:after="20"/>
              <w:rPr>
                <w:rFonts w:ascii="Arial Narrow" w:hAnsi="Arial Narrow"/>
                <w:sz w:val="20"/>
                <w:szCs w:val="20"/>
              </w:rPr>
            </w:pPr>
            <w:r w:rsidRPr="00FF23F4">
              <w:rPr>
                <w:rFonts w:ascii="Arial Narrow" w:hAnsi="Arial Narrow"/>
                <w:sz w:val="20"/>
                <w:szCs w:val="20"/>
              </w:rPr>
              <w:t>$18,750</w:t>
            </w:r>
          </w:p>
        </w:tc>
      </w:tr>
      <w:tr w:rsidR="00FF23F4" w:rsidRPr="003B20DC" w:rsidTr="007C02B9">
        <w:trPr>
          <w:trHeight w:val="300"/>
        </w:trPr>
        <w:tc>
          <w:tcPr>
            <w:tcW w:w="5245" w:type="dxa"/>
            <w:noWrap/>
            <w:hideMark/>
          </w:tcPr>
          <w:p w:rsidR="00FF23F4" w:rsidRPr="00FF23F4" w:rsidRDefault="00FF23F4" w:rsidP="00FF23F4">
            <w:pPr>
              <w:spacing w:before="20" w:after="20"/>
              <w:rPr>
                <w:rFonts w:ascii="Arial Narrow" w:hAnsi="Arial Narrow"/>
                <w:sz w:val="20"/>
                <w:szCs w:val="20"/>
              </w:rPr>
            </w:pPr>
            <w:r w:rsidRPr="00FF23F4">
              <w:rPr>
                <w:rFonts w:ascii="Arial Narrow" w:hAnsi="Arial Narrow"/>
                <w:sz w:val="20"/>
                <w:szCs w:val="20"/>
              </w:rPr>
              <w:t>Annual cost</w:t>
            </w:r>
          </w:p>
        </w:tc>
        <w:tc>
          <w:tcPr>
            <w:tcW w:w="3827" w:type="dxa"/>
            <w:noWrap/>
            <w:hideMark/>
          </w:tcPr>
          <w:p w:rsidR="00FF23F4" w:rsidRPr="00FF23F4" w:rsidRDefault="00FF23F4" w:rsidP="00FF23F4">
            <w:pPr>
              <w:spacing w:before="20" w:after="20"/>
              <w:rPr>
                <w:rFonts w:ascii="Arial Narrow" w:hAnsi="Arial Narrow"/>
                <w:sz w:val="20"/>
                <w:szCs w:val="20"/>
              </w:rPr>
            </w:pPr>
            <w:r w:rsidRPr="00FF23F4">
              <w:rPr>
                <w:rFonts w:ascii="Arial Narrow" w:hAnsi="Arial Narrow"/>
                <w:sz w:val="20"/>
                <w:szCs w:val="20"/>
              </w:rPr>
              <w:t>$</w:t>
            </w:r>
            <w:r w:rsidR="004978B4">
              <w:rPr>
                <w:rFonts w:ascii="Arial Narrow" w:hAnsi="Arial Narrow"/>
                <w:noProof/>
                <w:color w:val="000000"/>
                <w:sz w:val="20"/>
                <w:szCs w:val="20"/>
                <w:highlight w:val="black"/>
              </w:rPr>
              <w:t>'''''''''''''''''''</w:t>
            </w:r>
          </w:p>
        </w:tc>
      </w:tr>
      <w:tr w:rsidR="00FF23F4" w:rsidRPr="003B20DC" w:rsidTr="007C02B9">
        <w:trPr>
          <w:trHeight w:val="300"/>
        </w:trPr>
        <w:tc>
          <w:tcPr>
            <w:tcW w:w="5245" w:type="dxa"/>
            <w:noWrap/>
            <w:hideMark/>
          </w:tcPr>
          <w:p w:rsidR="00FF23F4" w:rsidRPr="00FF23F4" w:rsidRDefault="00FF23F4" w:rsidP="00FF23F4">
            <w:pPr>
              <w:spacing w:before="20" w:after="20"/>
              <w:rPr>
                <w:rFonts w:ascii="Arial Narrow" w:hAnsi="Arial Narrow"/>
                <w:sz w:val="20"/>
                <w:szCs w:val="20"/>
              </w:rPr>
            </w:pPr>
            <w:r w:rsidRPr="00FF23F4">
              <w:rPr>
                <w:rFonts w:ascii="Arial Narrow" w:hAnsi="Arial Narrow"/>
                <w:sz w:val="20"/>
                <w:szCs w:val="20"/>
              </w:rPr>
              <w:t>Dose reduction for liver impairment adjustment 5.73%</w:t>
            </w:r>
          </w:p>
        </w:tc>
        <w:tc>
          <w:tcPr>
            <w:tcW w:w="3827" w:type="dxa"/>
            <w:noWrap/>
            <w:hideMark/>
          </w:tcPr>
          <w:p w:rsidR="00FF23F4" w:rsidRPr="00FF23F4" w:rsidRDefault="00FF23F4" w:rsidP="00FF23F4">
            <w:pPr>
              <w:spacing w:before="20" w:after="20"/>
              <w:rPr>
                <w:rFonts w:ascii="Arial Narrow" w:hAnsi="Arial Narrow"/>
                <w:sz w:val="20"/>
                <w:szCs w:val="20"/>
              </w:rPr>
            </w:pPr>
            <w:r w:rsidRPr="00FF23F4">
              <w:rPr>
                <w:rFonts w:ascii="Arial Narrow" w:hAnsi="Arial Narrow"/>
                <w:sz w:val="20"/>
                <w:szCs w:val="20"/>
              </w:rPr>
              <w:t>$</w:t>
            </w:r>
            <w:r w:rsidR="004978B4">
              <w:rPr>
                <w:rFonts w:ascii="Arial Narrow" w:hAnsi="Arial Narrow"/>
                <w:noProof/>
                <w:color w:val="000000"/>
                <w:sz w:val="20"/>
                <w:szCs w:val="20"/>
                <w:highlight w:val="black"/>
              </w:rPr>
              <w:t>''''''''''''''''''''''</w:t>
            </w:r>
          </w:p>
        </w:tc>
      </w:tr>
      <w:tr w:rsidR="00FF23F4" w:rsidRPr="003B20DC" w:rsidTr="007C02B9">
        <w:trPr>
          <w:trHeight w:val="300"/>
        </w:trPr>
        <w:tc>
          <w:tcPr>
            <w:tcW w:w="5245" w:type="dxa"/>
            <w:noWrap/>
            <w:hideMark/>
          </w:tcPr>
          <w:p w:rsidR="00FF23F4" w:rsidRPr="00FF23F4" w:rsidRDefault="00FF23F4" w:rsidP="00FF23F4">
            <w:pPr>
              <w:spacing w:before="20" w:after="20"/>
              <w:rPr>
                <w:rFonts w:ascii="Arial Narrow" w:hAnsi="Arial Narrow"/>
                <w:sz w:val="20"/>
                <w:szCs w:val="20"/>
              </w:rPr>
            </w:pPr>
            <w:r w:rsidRPr="00FF23F4">
              <w:rPr>
                <w:rFonts w:ascii="Arial Narrow" w:hAnsi="Arial Narrow"/>
                <w:sz w:val="20"/>
                <w:szCs w:val="20"/>
              </w:rPr>
              <w:t>Compliance adjustment 90%</w:t>
            </w:r>
          </w:p>
        </w:tc>
        <w:tc>
          <w:tcPr>
            <w:tcW w:w="3827" w:type="dxa"/>
            <w:noWrap/>
            <w:hideMark/>
          </w:tcPr>
          <w:p w:rsidR="00FF23F4" w:rsidRPr="00FF23F4" w:rsidRDefault="00FF23F4" w:rsidP="00FF23F4">
            <w:pPr>
              <w:spacing w:before="20" w:after="20"/>
              <w:rPr>
                <w:rFonts w:ascii="Arial Narrow" w:hAnsi="Arial Narrow"/>
                <w:sz w:val="20"/>
                <w:szCs w:val="20"/>
              </w:rPr>
            </w:pPr>
            <w:r w:rsidRPr="00FF23F4">
              <w:rPr>
                <w:rFonts w:ascii="Arial Narrow" w:hAnsi="Arial Narrow"/>
                <w:sz w:val="20"/>
                <w:szCs w:val="20"/>
              </w:rPr>
              <w:t>$</w:t>
            </w:r>
            <w:r w:rsidR="004978B4">
              <w:rPr>
                <w:rFonts w:ascii="Arial Narrow" w:hAnsi="Arial Narrow"/>
                <w:noProof/>
                <w:color w:val="000000"/>
                <w:sz w:val="20"/>
                <w:szCs w:val="20"/>
                <w:highlight w:val="black"/>
              </w:rPr>
              <w:t>''''''''''''''''''''</w:t>
            </w:r>
          </w:p>
        </w:tc>
      </w:tr>
      <w:tr w:rsidR="00FF23F4" w:rsidRPr="003B20DC" w:rsidTr="007C02B9">
        <w:trPr>
          <w:trHeight w:val="300"/>
        </w:trPr>
        <w:tc>
          <w:tcPr>
            <w:tcW w:w="9072" w:type="dxa"/>
            <w:gridSpan w:val="2"/>
            <w:noWrap/>
          </w:tcPr>
          <w:p w:rsidR="00FF23F4" w:rsidRPr="00FF23F4" w:rsidRDefault="00FF23F4" w:rsidP="00FF23F4">
            <w:pPr>
              <w:spacing w:before="20" w:after="20"/>
              <w:rPr>
                <w:rFonts w:ascii="Arial Narrow" w:hAnsi="Arial Narrow"/>
                <w:sz w:val="20"/>
                <w:szCs w:val="20"/>
              </w:rPr>
            </w:pPr>
          </w:p>
        </w:tc>
      </w:tr>
      <w:tr w:rsidR="00FF23F4" w:rsidRPr="003B20DC" w:rsidTr="007C02B9">
        <w:trPr>
          <w:trHeight w:val="300"/>
        </w:trPr>
        <w:tc>
          <w:tcPr>
            <w:tcW w:w="5245" w:type="dxa"/>
            <w:noWrap/>
          </w:tcPr>
          <w:p w:rsidR="00FF23F4" w:rsidRPr="00FF23F4" w:rsidRDefault="00FF23F4" w:rsidP="00D261D9">
            <w:pPr>
              <w:spacing w:before="20" w:after="20"/>
              <w:rPr>
                <w:rFonts w:ascii="Arial Narrow" w:hAnsi="Arial Narrow"/>
                <w:sz w:val="20"/>
                <w:szCs w:val="20"/>
              </w:rPr>
            </w:pPr>
            <w:r w:rsidRPr="00FF23F4">
              <w:rPr>
                <w:rFonts w:ascii="Arial Narrow" w:hAnsi="Arial Narrow"/>
                <w:sz w:val="20"/>
                <w:szCs w:val="20"/>
              </w:rPr>
              <w:t>Rebate need to achieve $</w:t>
            </w:r>
            <w:r w:rsidR="004978B4">
              <w:rPr>
                <w:rFonts w:ascii="Arial Narrow" w:hAnsi="Arial Narrow"/>
                <w:noProof/>
                <w:color w:val="000000"/>
                <w:sz w:val="20"/>
                <w:szCs w:val="20"/>
                <w:highlight w:val="black"/>
              </w:rPr>
              <w:t>''''''''''''''''</w:t>
            </w:r>
            <w:r w:rsidRPr="00FF23F4">
              <w:rPr>
                <w:rFonts w:ascii="Arial Narrow" w:hAnsi="Arial Narrow"/>
                <w:sz w:val="20"/>
                <w:szCs w:val="20"/>
              </w:rPr>
              <w:t xml:space="preserve"> price</w:t>
            </w:r>
          </w:p>
        </w:tc>
        <w:tc>
          <w:tcPr>
            <w:tcW w:w="3827" w:type="dxa"/>
            <w:noWrap/>
          </w:tcPr>
          <w:p w:rsidR="00FF23F4" w:rsidRPr="00FF23F4" w:rsidRDefault="004978B4">
            <w:pPr>
              <w:spacing w:before="20" w:after="20"/>
              <w:rPr>
                <w:rFonts w:ascii="Arial Narrow" w:hAnsi="Arial Narrow"/>
                <w:sz w:val="20"/>
                <w:szCs w:val="20"/>
              </w:rPr>
            </w:pPr>
            <w:r>
              <w:rPr>
                <w:rFonts w:ascii="Arial Narrow" w:hAnsi="Arial Narrow"/>
                <w:noProof/>
                <w:color w:val="000000"/>
                <w:sz w:val="20"/>
                <w:szCs w:val="20"/>
                <w:highlight w:val="black"/>
              </w:rPr>
              <w:t>''''''''''''''</w:t>
            </w:r>
            <w:r w:rsidR="00FF23F4" w:rsidRPr="00FF23F4">
              <w:rPr>
                <w:rFonts w:ascii="Arial Narrow" w:hAnsi="Arial Narrow"/>
                <w:sz w:val="20"/>
                <w:szCs w:val="20"/>
              </w:rPr>
              <w:t>%</w:t>
            </w:r>
          </w:p>
        </w:tc>
      </w:tr>
    </w:tbl>
    <w:p w:rsidR="00FF23F4" w:rsidRPr="00EF1CD7" w:rsidRDefault="00EF1CD7" w:rsidP="00D261D9">
      <w:pPr>
        <w:pStyle w:val="ListParagraph"/>
        <w:widowControl/>
        <w:spacing w:after="120"/>
        <w:ind w:hanging="578"/>
        <w:contextualSpacing w:val="0"/>
        <w:rPr>
          <w:rFonts w:ascii="Arial Narrow" w:eastAsiaTheme="minorHAnsi" w:hAnsi="Arial Narrow" w:cstheme="minorBidi"/>
          <w:snapToGrid/>
          <w:sz w:val="18"/>
          <w:szCs w:val="18"/>
        </w:rPr>
      </w:pPr>
      <w:r w:rsidRPr="00EF1CD7">
        <w:rPr>
          <w:rFonts w:ascii="Arial Narrow" w:hAnsi="Arial Narrow"/>
          <w:sz w:val="18"/>
          <w:szCs w:val="18"/>
        </w:rPr>
        <w:t>Source: Compiled by the secretariat</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w:t>
      </w:r>
      <w:r w:rsidR="00026848">
        <w:rPr>
          <w:rFonts w:asciiTheme="minorHAnsi" w:eastAsiaTheme="majorEastAsia" w:hAnsiTheme="minorHAnsi" w:cstheme="majorBidi"/>
          <w:sz w:val="28"/>
          <w:szCs w:val="28"/>
          <w:lang w:eastAsia="en-US"/>
        </w:rPr>
        <w:t>,</w:t>
      </w:r>
      <w:r w:rsidRPr="003C2FB5">
        <w:rPr>
          <w:rFonts w:asciiTheme="minorHAnsi" w:eastAsiaTheme="majorEastAsia" w:hAnsiTheme="minorHAnsi" w:cstheme="majorBidi"/>
          <w:sz w:val="28"/>
          <w:szCs w:val="28"/>
          <w:lang w:eastAsia="en-US"/>
        </w:rPr>
        <w:t xml:space="preserve"> financial implications</w:t>
      </w:r>
      <w:r w:rsidR="00026848">
        <w:rPr>
          <w:rFonts w:asciiTheme="minorHAnsi" w:eastAsiaTheme="majorEastAsia" w:hAnsiTheme="minorHAnsi" w:cstheme="majorBidi"/>
          <w:sz w:val="28"/>
          <w:szCs w:val="28"/>
          <w:lang w:eastAsia="en-US"/>
        </w:rPr>
        <w:t xml:space="preserve"> &amp; risk share arrangements</w:t>
      </w:r>
    </w:p>
    <w:p w:rsidR="00D06D64" w:rsidRPr="0073784D" w:rsidRDefault="007C02F3" w:rsidP="008B03CC">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The </w:t>
      </w:r>
      <w:r w:rsidR="002A1DB5">
        <w:rPr>
          <w:rFonts w:asciiTheme="minorHAnsi" w:hAnsiTheme="minorHAnsi"/>
          <w:sz w:val="24"/>
          <w:lang w:val="en-US"/>
        </w:rPr>
        <w:t>sponsor</w:t>
      </w:r>
      <w:r w:rsidR="00092A5D">
        <w:rPr>
          <w:rFonts w:asciiTheme="minorHAnsi" w:hAnsiTheme="minorHAnsi"/>
          <w:sz w:val="24"/>
          <w:lang w:val="en-US"/>
        </w:rPr>
        <w:t>’</w:t>
      </w:r>
      <w:r w:rsidR="002A1DB5">
        <w:rPr>
          <w:rFonts w:asciiTheme="minorHAnsi" w:hAnsiTheme="minorHAnsi"/>
          <w:sz w:val="24"/>
          <w:lang w:val="en-US"/>
        </w:rPr>
        <w:t xml:space="preserve">s </w:t>
      </w:r>
      <w:r w:rsidR="003230EF">
        <w:rPr>
          <w:rFonts w:asciiTheme="minorHAnsi" w:hAnsiTheme="minorHAnsi"/>
          <w:sz w:val="24"/>
          <w:lang w:val="en-US"/>
        </w:rPr>
        <w:t>pre-PBAC revised</w:t>
      </w:r>
      <w:r w:rsidR="003230EF" w:rsidRPr="007C02B9">
        <w:rPr>
          <w:rFonts w:asciiTheme="minorHAnsi" w:hAnsiTheme="minorHAnsi"/>
          <w:sz w:val="24"/>
          <w:lang w:val="en-US"/>
        </w:rPr>
        <w:t xml:space="preserve"> </w:t>
      </w:r>
      <w:r w:rsidRPr="007C02B9">
        <w:rPr>
          <w:rFonts w:asciiTheme="minorHAnsi" w:hAnsiTheme="minorHAnsi"/>
          <w:sz w:val="24"/>
          <w:lang w:val="en-US"/>
        </w:rPr>
        <w:t xml:space="preserve">estimates for patients </w:t>
      </w:r>
      <w:r w:rsidR="003230EF">
        <w:rPr>
          <w:rFonts w:asciiTheme="minorHAnsi" w:hAnsiTheme="minorHAnsi"/>
          <w:sz w:val="24"/>
          <w:lang w:val="en-US"/>
        </w:rPr>
        <w:t>2+</w:t>
      </w:r>
      <w:r w:rsidR="004A0F5A" w:rsidRPr="007C02B9">
        <w:rPr>
          <w:rFonts w:asciiTheme="minorHAnsi" w:hAnsiTheme="minorHAnsi"/>
          <w:sz w:val="24"/>
          <w:lang w:val="en-US"/>
        </w:rPr>
        <w:t xml:space="preserve"> </w:t>
      </w:r>
      <w:r w:rsidRPr="007C02B9">
        <w:rPr>
          <w:rFonts w:asciiTheme="minorHAnsi" w:hAnsiTheme="minorHAnsi"/>
          <w:sz w:val="24"/>
          <w:lang w:val="en-US"/>
        </w:rPr>
        <w:t xml:space="preserve">and older are presented in Table </w:t>
      </w:r>
      <w:r w:rsidR="0014569D">
        <w:rPr>
          <w:rFonts w:asciiTheme="minorHAnsi" w:hAnsiTheme="minorHAnsi"/>
          <w:sz w:val="24"/>
          <w:lang w:val="en-US"/>
        </w:rPr>
        <w:t>1</w:t>
      </w:r>
      <w:r w:rsidR="00841412">
        <w:rPr>
          <w:rFonts w:asciiTheme="minorHAnsi" w:hAnsiTheme="minorHAnsi"/>
          <w:sz w:val="24"/>
          <w:lang w:val="en-US"/>
        </w:rPr>
        <w:t>6</w:t>
      </w:r>
      <w:r w:rsidR="00EF1CD7" w:rsidRPr="007C02B9">
        <w:rPr>
          <w:rFonts w:asciiTheme="minorHAnsi" w:hAnsiTheme="minorHAnsi"/>
          <w:sz w:val="24"/>
          <w:lang w:val="en-US"/>
        </w:rPr>
        <w:t xml:space="preserve"> </w:t>
      </w:r>
      <w:r w:rsidR="00F74546" w:rsidRPr="007C02B9">
        <w:rPr>
          <w:rFonts w:asciiTheme="minorHAnsi" w:hAnsiTheme="minorHAnsi"/>
          <w:sz w:val="24"/>
          <w:lang w:val="en-US"/>
        </w:rPr>
        <w:t xml:space="preserve">(See also ESC advice </w:t>
      </w:r>
      <w:r w:rsidR="00EF1CD7" w:rsidRPr="007C02B9">
        <w:rPr>
          <w:rFonts w:asciiTheme="minorHAnsi" w:hAnsiTheme="minorHAnsi"/>
          <w:sz w:val="24"/>
          <w:lang w:val="en-US"/>
        </w:rPr>
        <w:t xml:space="preserve">item 5.08 </w:t>
      </w:r>
      <w:r w:rsidR="00F74546" w:rsidRPr="007C02B9">
        <w:rPr>
          <w:rFonts w:asciiTheme="minorHAnsi" w:hAnsiTheme="minorHAnsi"/>
          <w:sz w:val="24"/>
          <w:lang w:val="en-US"/>
        </w:rPr>
        <w:t>July 2018 meeting)</w:t>
      </w:r>
      <w:r w:rsidRPr="007C02B9">
        <w:rPr>
          <w:rFonts w:asciiTheme="minorHAnsi" w:hAnsiTheme="minorHAnsi"/>
          <w:sz w:val="24"/>
          <w:lang w:val="en-US"/>
        </w:rPr>
        <w:t>.</w:t>
      </w:r>
    </w:p>
    <w:p w:rsidR="007C02F3" w:rsidRDefault="007C02F3" w:rsidP="0073784D">
      <w:pPr>
        <w:keepNext/>
        <w:keepLines/>
        <w:rPr>
          <w:rFonts w:ascii="Arial Narrow" w:hAnsi="Arial Narrow" w:cs="Arial"/>
          <w:b/>
          <w:bCs/>
          <w:snapToGrid w:val="0"/>
          <w:sz w:val="20"/>
          <w:szCs w:val="20"/>
        </w:rPr>
      </w:pPr>
      <w:bookmarkStart w:id="18" w:name="_Ref511208023"/>
      <w:r w:rsidRPr="000531DC">
        <w:rPr>
          <w:rFonts w:ascii="Arial Narrow" w:hAnsi="Arial Narrow" w:cs="Arial"/>
          <w:b/>
          <w:bCs/>
          <w:snapToGrid w:val="0"/>
          <w:sz w:val="20"/>
          <w:szCs w:val="20"/>
        </w:rPr>
        <w:lastRenderedPageBreak/>
        <w:t xml:space="preserve">Table </w:t>
      </w:r>
      <w:r w:rsidR="00EF1CD7">
        <w:rPr>
          <w:rFonts w:ascii="Arial Narrow" w:hAnsi="Arial Narrow" w:cs="Arial"/>
          <w:b/>
          <w:bCs/>
          <w:snapToGrid w:val="0"/>
          <w:sz w:val="20"/>
          <w:szCs w:val="20"/>
        </w:rPr>
        <w:t>1</w:t>
      </w:r>
      <w:bookmarkEnd w:id="18"/>
      <w:r w:rsidR="00841412">
        <w:rPr>
          <w:rFonts w:ascii="Arial Narrow" w:hAnsi="Arial Narrow" w:cs="Arial"/>
          <w:b/>
          <w:bCs/>
          <w:snapToGrid w:val="0"/>
          <w:sz w:val="20"/>
          <w:szCs w:val="20"/>
        </w:rPr>
        <w:t>6</w:t>
      </w:r>
      <w:r w:rsidRPr="000531DC">
        <w:rPr>
          <w:rFonts w:ascii="Arial Narrow" w:hAnsi="Arial Narrow" w:cs="Arial"/>
          <w:b/>
          <w:bCs/>
          <w:snapToGrid w:val="0"/>
          <w:sz w:val="20"/>
          <w:szCs w:val="20"/>
        </w:rPr>
        <w:t xml:space="preserve">: </w:t>
      </w:r>
      <w:r w:rsidR="000531DC" w:rsidRPr="000531DC">
        <w:rPr>
          <w:rFonts w:ascii="Arial Narrow" w:hAnsi="Arial Narrow" w:cs="Arial"/>
          <w:b/>
          <w:bCs/>
          <w:snapToGrid w:val="0"/>
          <w:sz w:val="20"/>
          <w:szCs w:val="20"/>
        </w:rPr>
        <w:t>Submission</w:t>
      </w:r>
      <w:r w:rsidR="002A1DB5">
        <w:rPr>
          <w:rFonts w:ascii="Arial Narrow" w:hAnsi="Arial Narrow" w:cs="Arial"/>
          <w:b/>
          <w:bCs/>
          <w:snapToGrid w:val="0"/>
          <w:sz w:val="20"/>
          <w:szCs w:val="20"/>
        </w:rPr>
        <w:t xml:space="preserve">’s </w:t>
      </w:r>
      <w:proofErr w:type="spellStart"/>
      <w:r w:rsidR="002A1DB5">
        <w:rPr>
          <w:rFonts w:ascii="Arial Narrow" w:hAnsi="Arial Narrow" w:cs="Arial"/>
          <w:b/>
          <w:bCs/>
          <w:snapToGrid w:val="0"/>
          <w:sz w:val="20"/>
          <w:szCs w:val="20"/>
        </w:rPr>
        <w:t>prePBAC</w:t>
      </w:r>
      <w:proofErr w:type="spellEnd"/>
      <w:r w:rsidR="002A1DB5">
        <w:rPr>
          <w:rFonts w:ascii="Arial Narrow" w:hAnsi="Arial Narrow" w:cs="Arial"/>
          <w:b/>
          <w:bCs/>
          <w:snapToGrid w:val="0"/>
          <w:sz w:val="20"/>
          <w:szCs w:val="20"/>
        </w:rPr>
        <w:t xml:space="preserve"> </w:t>
      </w:r>
      <w:r w:rsidR="006A3504">
        <w:rPr>
          <w:rFonts w:ascii="Arial Narrow" w:hAnsi="Arial Narrow" w:cs="Arial"/>
          <w:b/>
          <w:bCs/>
          <w:snapToGrid w:val="0"/>
          <w:sz w:val="20"/>
          <w:szCs w:val="20"/>
        </w:rPr>
        <w:t>e</w:t>
      </w:r>
      <w:r w:rsidRPr="000531DC">
        <w:rPr>
          <w:rFonts w:ascii="Arial Narrow" w:hAnsi="Arial Narrow" w:cs="Arial"/>
          <w:b/>
          <w:bCs/>
          <w:snapToGrid w:val="0"/>
          <w:sz w:val="20"/>
          <w:szCs w:val="20"/>
        </w:rPr>
        <w:t xml:space="preserve">stimated use and financial implications, patients aged </w:t>
      </w:r>
      <w:r w:rsidR="002A1DB5">
        <w:rPr>
          <w:rFonts w:ascii="Arial Narrow" w:hAnsi="Arial Narrow" w:cs="Arial"/>
          <w:b/>
          <w:bCs/>
          <w:snapToGrid w:val="0"/>
          <w:sz w:val="20"/>
          <w:szCs w:val="20"/>
        </w:rPr>
        <w:t xml:space="preserve">2 </w:t>
      </w:r>
      <w:r w:rsidRPr="000531DC">
        <w:rPr>
          <w:rFonts w:ascii="Arial Narrow" w:hAnsi="Arial Narrow" w:cs="Arial"/>
          <w:b/>
          <w:bCs/>
          <w:snapToGrid w:val="0"/>
          <w:sz w:val="20"/>
          <w:szCs w:val="20"/>
        </w:rPr>
        <w:t>years and older</w:t>
      </w:r>
    </w:p>
    <w:tbl>
      <w:tblPr>
        <w:tblStyle w:val="OPTUMTableNormal1"/>
        <w:tblW w:w="9464" w:type="dxa"/>
        <w:tblLayout w:type="fixed"/>
        <w:tblLook w:val="04A0" w:firstRow="1" w:lastRow="0" w:firstColumn="1" w:lastColumn="0" w:noHBand="0" w:noVBand="1"/>
        <w:tblCaption w:val="Table 16: Submission’s prePBAC estimated use and financial implications, patients aged 2 years and older"/>
      </w:tblPr>
      <w:tblGrid>
        <w:gridCol w:w="959"/>
        <w:gridCol w:w="1417"/>
        <w:gridCol w:w="1418"/>
        <w:gridCol w:w="1417"/>
        <w:gridCol w:w="1418"/>
        <w:gridCol w:w="1417"/>
        <w:gridCol w:w="1418"/>
      </w:tblGrid>
      <w:tr w:rsidR="00D74824" w:rsidRPr="002A1DB5" w:rsidTr="002D6558">
        <w:trPr>
          <w:cnfStyle w:val="100000000000" w:firstRow="1" w:lastRow="0" w:firstColumn="0" w:lastColumn="0" w:oddVBand="0" w:evenVBand="0" w:oddHBand="0" w:evenHBand="0" w:firstRowFirstColumn="0" w:firstRowLastColumn="0" w:lastRowFirstColumn="0" w:lastRowLastColumn="0"/>
          <w:tblHeader/>
        </w:trPr>
        <w:tc>
          <w:tcPr>
            <w:tcW w:w="959" w:type="dxa"/>
            <w:shd w:val="clear" w:color="auto" w:fill="D9D9D9" w:themeFill="background1" w:themeFillShade="D9"/>
          </w:tcPr>
          <w:p w:rsidR="002A1DB5" w:rsidRPr="002A1DB5" w:rsidRDefault="002A1DB5" w:rsidP="0073784D">
            <w:pPr>
              <w:keepNext/>
              <w:keepLines/>
              <w:tabs>
                <w:tab w:val="left" w:pos="416"/>
                <w:tab w:val="left" w:pos="582"/>
                <w:tab w:val="left" w:pos="1134"/>
              </w:tabs>
              <w:spacing w:before="0"/>
              <w:jc w:val="center"/>
              <w:rPr>
                <w:b/>
                <w:sz w:val="20"/>
                <w:szCs w:val="20"/>
                <w:lang w:val="en-US"/>
              </w:rPr>
            </w:pPr>
          </w:p>
        </w:tc>
        <w:tc>
          <w:tcPr>
            <w:tcW w:w="1417" w:type="dxa"/>
            <w:shd w:val="clear" w:color="auto" w:fill="D9D9D9" w:themeFill="background1" w:themeFillShade="D9"/>
          </w:tcPr>
          <w:p w:rsidR="002A1DB5" w:rsidRPr="002A1DB5" w:rsidRDefault="002A1DB5" w:rsidP="0073784D">
            <w:pPr>
              <w:keepNext/>
              <w:keepLines/>
              <w:tabs>
                <w:tab w:val="left" w:pos="416"/>
                <w:tab w:val="left" w:pos="582"/>
                <w:tab w:val="left" w:pos="1134"/>
              </w:tabs>
              <w:spacing w:before="0"/>
              <w:rPr>
                <w:b/>
                <w:sz w:val="20"/>
                <w:szCs w:val="20"/>
                <w:lang w:val="en-US"/>
              </w:rPr>
            </w:pPr>
            <w:r w:rsidRPr="002A1DB5">
              <w:rPr>
                <w:b/>
                <w:sz w:val="20"/>
                <w:szCs w:val="20"/>
                <w:lang w:val="en-US"/>
              </w:rPr>
              <w:t>Source</w:t>
            </w:r>
          </w:p>
        </w:tc>
        <w:tc>
          <w:tcPr>
            <w:tcW w:w="1418" w:type="dxa"/>
            <w:shd w:val="clear" w:color="auto" w:fill="D9D9D9" w:themeFill="background1" w:themeFillShade="D9"/>
          </w:tcPr>
          <w:p w:rsidR="002A1DB5" w:rsidRPr="002A1DB5" w:rsidRDefault="002A1DB5" w:rsidP="0073784D">
            <w:pPr>
              <w:keepNext/>
              <w:keepLines/>
              <w:tabs>
                <w:tab w:val="left" w:pos="416"/>
                <w:tab w:val="left" w:pos="582"/>
                <w:tab w:val="left" w:pos="1134"/>
              </w:tabs>
              <w:spacing w:before="0"/>
              <w:jc w:val="center"/>
              <w:rPr>
                <w:b/>
                <w:sz w:val="20"/>
                <w:szCs w:val="20"/>
                <w:lang w:val="en-US"/>
              </w:rPr>
            </w:pPr>
            <w:r w:rsidRPr="002A1DB5">
              <w:rPr>
                <w:b/>
                <w:sz w:val="20"/>
                <w:szCs w:val="20"/>
                <w:lang w:val="en-US"/>
              </w:rPr>
              <w:t>Year 1</w:t>
            </w:r>
          </w:p>
        </w:tc>
        <w:tc>
          <w:tcPr>
            <w:tcW w:w="1417" w:type="dxa"/>
            <w:shd w:val="clear" w:color="auto" w:fill="D9D9D9" w:themeFill="background1" w:themeFillShade="D9"/>
          </w:tcPr>
          <w:p w:rsidR="002A1DB5" w:rsidRPr="002A1DB5" w:rsidRDefault="002A1DB5" w:rsidP="0073784D">
            <w:pPr>
              <w:keepNext/>
              <w:keepLines/>
              <w:tabs>
                <w:tab w:val="left" w:pos="416"/>
                <w:tab w:val="left" w:pos="582"/>
                <w:tab w:val="left" w:pos="1134"/>
              </w:tabs>
              <w:spacing w:before="0"/>
              <w:jc w:val="center"/>
              <w:rPr>
                <w:b/>
                <w:sz w:val="20"/>
                <w:szCs w:val="20"/>
                <w:lang w:val="en-US"/>
              </w:rPr>
            </w:pPr>
            <w:r w:rsidRPr="002A1DB5">
              <w:rPr>
                <w:b/>
                <w:sz w:val="20"/>
                <w:szCs w:val="20"/>
                <w:lang w:val="en-US"/>
              </w:rPr>
              <w:t>Year 2</w:t>
            </w:r>
          </w:p>
        </w:tc>
        <w:tc>
          <w:tcPr>
            <w:tcW w:w="1418" w:type="dxa"/>
            <w:shd w:val="clear" w:color="auto" w:fill="D9D9D9" w:themeFill="background1" w:themeFillShade="D9"/>
          </w:tcPr>
          <w:p w:rsidR="002A1DB5" w:rsidRPr="002A1DB5" w:rsidRDefault="002A1DB5" w:rsidP="0073784D">
            <w:pPr>
              <w:keepNext/>
              <w:keepLines/>
              <w:tabs>
                <w:tab w:val="left" w:pos="416"/>
                <w:tab w:val="left" w:pos="582"/>
                <w:tab w:val="left" w:pos="1134"/>
              </w:tabs>
              <w:spacing w:before="0"/>
              <w:jc w:val="center"/>
              <w:rPr>
                <w:b/>
                <w:sz w:val="20"/>
                <w:szCs w:val="20"/>
                <w:lang w:val="en-US"/>
              </w:rPr>
            </w:pPr>
            <w:r w:rsidRPr="002A1DB5">
              <w:rPr>
                <w:b/>
                <w:sz w:val="20"/>
                <w:szCs w:val="20"/>
                <w:lang w:val="en-US"/>
              </w:rPr>
              <w:t>Year 3</w:t>
            </w:r>
          </w:p>
        </w:tc>
        <w:tc>
          <w:tcPr>
            <w:tcW w:w="1417" w:type="dxa"/>
            <w:shd w:val="clear" w:color="auto" w:fill="D9D9D9" w:themeFill="background1" w:themeFillShade="D9"/>
          </w:tcPr>
          <w:p w:rsidR="002A1DB5" w:rsidRPr="002A1DB5" w:rsidRDefault="002A1DB5" w:rsidP="0073784D">
            <w:pPr>
              <w:keepNext/>
              <w:keepLines/>
              <w:tabs>
                <w:tab w:val="left" w:pos="416"/>
                <w:tab w:val="left" w:pos="582"/>
                <w:tab w:val="left" w:pos="1134"/>
              </w:tabs>
              <w:spacing w:before="0"/>
              <w:jc w:val="center"/>
              <w:rPr>
                <w:b/>
                <w:sz w:val="20"/>
                <w:szCs w:val="20"/>
                <w:lang w:val="en-US"/>
              </w:rPr>
            </w:pPr>
            <w:r w:rsidRPr="002A1DB5">
              <w:rPr>
                <w:b/>
                <w:sz w:val="20"/>
                <w:szCs w:val="20"/>
                <w:lang w:val="en-US"/>
              </w:rPr>
              <w:t>Year 4</w:t>
            </w:r>
          </w:p>
        </w:tc>
        <w:tc>
          <w:tcPr>
            <w:tcW w:w="1418" w:type="dxa"/>
            <w:shd w:val="clear" w:color="auto" w:fill="D9D9D9" w:themeFill="background1" w:themeFillShade="D9"/>
          </w:tcPr>
          <w:p w:rsidR="002A1DB5" w:rsidRPr="002A1DB5" w:rsidRDefault="002A1DB5" w:rsidP="0073784D">
            <w:pPr>
              <w:keepNext/>
              <w:keepLines/>
              <w:tabs>
                <w:tab w:val="left" w:pos="416"/>
                <w:tab w:val="left" w:pos="582"/>
                <w:tab w:val="left" w:pos="1134"/>
              </w:tabs>
              <w:spacing w:before="0"/>
              <w:jc w:val="center"/>
              <w:rPr>
                <w:b/>
                <w:sz w:val="20"/>
                <w:szCs w:val="20"/>
                <w:lang w:val="en-US"/>
              </w:rPr>
            </w:pPr>
            <w:r w:rsidRPr="002A1DB5">
              <w:rPr>
                <w:b/>
                <w:sz w:val="20"/>
                <w:szCs w:val="20"/>
                <w:lang w:val="en-US"/>
              </w:rPr>
              <w:t>Average/ Total</w:t>
            </w:r>
          </w:p>
        </w:tc>
      </w:tr>
      <w:tr w:rsidR="002A1DB5" w:rsidRPr="002A1DB5" w:rsidTr="00C4077F">
        <w:tc>
          <w:tcPr>
            <w:tcW w:w="959" w:type="dxa"/>
          </w:tcPr>
          <w:p w:rsidR="002A1DB5" w:rsidRPr="002A1DB5" w:rsidRDefault="002A1DB5" w:rsidP="0073784D">
            <w:pPr>
              <w:keepNext/>
              <w:keepLines/>
              <w:tabs>
                <w:tab w:val="left" w:pos="416"/>
                <w:tab w:val="left" w:pos="582"/>
              </w:tabs>
              <w:spacing w:before="20"/>
              <w:rPr>
                <w:sz w:val="18"/>
                <w:szCs w:val="18"/>
              </w:rPr>
            </w:pPr>
            <w:r w:rsidRPr="002A1DB5">
              <w:rPr>
                <w:sz w:val="18"/>
                <w:szCs w:val="18"/>
              </w:rPr>
              <w:t>Treated patients</w:t>
            </w:r>
          </w:p>
        </w:tc>
        <w:tc>
          <w:tcPr>
            <w:tcW w:w="1417" w:type="dxa"/>
          </w:tcPr>
          <w:p w:rsidR="002A1DB5" w:rsidRPr="002A1DB5" w:rsidRDefault="002A1DB5" w:rsidP="0073784D">
            <w:pPr>
              <w:keepNext/>
              <w:keepLines/>
              <w:tabs>
                <w:tab w:val="left" w:pos="416"/>
                <w:tab w:val="left" w:pos="582"/>
              </w:tabs>
              <w:spacing w:before="20"/>
              <w:rPr>
                <w:sz w:val="18"/>
                <w:szCs w:val="18"/>
              </w:rPr>
            </w:pPr>
            <w:r w:rsidRPr="002A1DB5">
              <w:rPr>
                <w:sz w:val="18"/>
                <w:szCs w:val="18"/>
              </w:rPr>
              <w:t xml:space="preserve">Section 4 spreadsheet, </w:t>
            </w:r>
            <w:r w:rsidRPr="002A1DB5">
              <w:rPr>
                <w:sz w:val="18"/>
                <w:szCs w:val="18"/>
              </w:rPr>
              <w:br/>
              <w:t xml:space="preserve">Cost to </w:t>
            </w:r>
            <w:proofErr w:type="spellStart"/>
            <w:r w:rsidRPr="002A1DB5">
              <w:rPr>
                <w:sz w:val="18"/>
                <w:szCs w:val="18"/>
              </w:rPr>
              <w:t>Govt</w:t>
            </w:r>
            <w:proofErr w:type="spellEnd"/>
            <w:r w:rsidRPr="002A1DB5">
              <w:rPr>
                <w:sz w:val="18"/>
                <w:szCs w:val="18"/>
              </w:rPr>
              <w:t xml:space="preserve"> PBS, row 5</w:t>
            </w:r>
          </w:p>
        </w:tc>
        <w:tc>
          <w:tcPr>
            <w:tcW w:w="1418" w:type="dxa"/>
          </w:tcPr>
          <w:p w:rsidR="002A1DB5" w:rsidRPr="004978B4" w:rsidRDefault="004978B4" w:rsidP="0073784D">
            <w:pPr>
              <w:keepNext/>
              <w:keepLines/>
              <w:tabs>
                <w:tab w:val="left" w:pos="416"/>
                <w:tab w:val="left" w:pos="582"/>
              </w:tabs>
              <w:spacing w:before="20"/>
              <w:jc w:val="center"/>
              <w:rPr>
                <w:sz w:val="18"/>
                <w:szCs w:val="18"/>
                <w:highlight w:val="black"/>
              </w:rPr>
            </w:pPr>
            <w:r>
              <w:rPr>
                <w:noProof/>
                <w:color w:val="000000"/>
                <w:sz w:val="18"/>
                <w:szCs w:val="18"/>
                <w:highlight w:val="black"/>
              </w:rPr>
              <w:t>'''''''''''</w:t>
            </w:r>
          </w:p>
        </w:tc>
        <w:tc>
          <w:tcPr>
            <w:tcW w:w="1417" w:type="dxa"/>
          </w:tcPr>
          <w:p w:rsidR="002A1DB5" w:rsidRPr="004978B4" w:rsidRDefault="004978B4" w:rsidP="0073784D">
            <w:pPr>
              <w:keepNext/>
              <w:keepLines/>
              <w:tabs>
                <w:tab w:val="left" w:pos="416"/>
                <w:tab w:val="left" w:pos="582"/>
              </w:tabs>
              <w:spacing w:before="20"/>
              <w:jc w:val="center"/>
              <w:rPr>
                <w:sz w:val="18"/>
                <w:szCs w:val="18"/>
                <w:highlight w:val="black"/>
              </w:rPr>
            </w:pPr>
            <w:r>
              <w:rPr>
                <w:noProof/>
                <w:color w:val="000000"/>
                <w:sz w:val="18"/>
                <w:szCs w:val="18"/>
                <w:highlight w:val="black"/>
              </w:rPr>
              <w:t>'''''''''</w:t>
            </w:r>
          </w:p>
        </w:tc>
        <w:tc>
          <w:tcPr>
            <w:tcW w:w="1418" w:type="dxa"/>
          </w:tcPr>
          <w:p w:rsidR="002A1DB5" w:rsidRPr="004978B4" w:rsidRDefault="004978B4" w:rsidP="0073784D">
            <w:pPr>
              <w:keepNext/>
              <w:keepLines/>
              <w:tabs>
                <w:tab w:val="left" w:pos="416"/>
                <w:tab w:val="left" w:pos="582"/>
              </w:tabs>
              <w:spacing w:before="20"/>
              <w:jc w:val="center"/>
              <w:rPr>
                <w:sz w:val="18"/>
                <w:szCs w:val="18"/>
                <w:highlight w:val="black"/>
              </w:rPr>
            </w:pPr>
            <w:r>
              <w:rPr>
                <w:noProof/>
                <w:color w:val="000000"/>
                <w:sz w:val="18"/>
                <w:szCs w:val="18"/>
                <w:highlight w:val="black"/>
              </w:rPr>
              <w:t>''''''''''</w:t>
            </w:r>
          </w:p>
        </w:tc>
        <w:tc>
          <w:tcPr>
            <w:tcW w:w="1417" w:type="dxa"/>
          </w:tcPr>
          <w:p w:rsidR="002A1DB5" w:rsidRPr="004978B4" w:rsidRDefault="004978B4" w:rsidP="0073784D">
            <w:pPr>
              <w:keepNext/>
              <w:keepLines/>
              <w:tabs>
                <w:tab w:val="left" w:pos="416"/>
                <w:tab w:val="left" w:pos="582"/>
              </w:tabs>
              <w:spacing w:before="20"/>
              <w:jc w:val="center"/>
              <w:rPr>
                <w:sz w:val="18"/>
                <w:szCs w:val="18"/>
                <w:highlight w:val="black"/>
              </w:rPr>
            </w:pPr>
            <w:r>
              <w:rPr>
                <w:noProof/>
                <w:color w:val="000000"/>
                <w:sz w:val="18"/>
                <w:szCs w:val="18"/>
                <w:highlight w:val="black"/>
              </w:rPr>
              <w:t>'''''''''''</w:t>
            </w:r>
          </w:p>
        </w:tc>
        <w:tc>
          <w:tcPr>
            <w:tcW w:w="1418" w:type="dxa"/>
          </w:tcPr>
          <w:p w:rsidR="002A1DB5" w:rsidRPr="002A1DB5" w:rsidRDefault="002A1DB5" w:rsidP="0073784D">
            <w:pPr>
              <w:keepNext/>
              <w:keepLines/>
              <w:tabs>
                <w:tab w:val="left" w:pos="416"/>
                <w:tab w:val="left" w:pos="582"/>
              </w:tabs>
              <w:spacing w:before="20"/>
              <w:jc w:val="center"/>
              <w:rPr>
                <w:sz w:val="18"/>
                <w:szCs w:val="18"/>
              </w:rPr>
            </w:pPr>
            <w:r w:rsidRPr="002A1DB5">
              <w:rPr>
                <w:sz w:val="18"/>
                <w:szCs w:val="18"/>
              </w:rPr>
              <w:t xml:space="preserve">Average: </w:t>
            </w:r>
            <w:r w:rsidR="004978B4">
              <w:rPr>
                <w:noProof/>
                <w:color w:val="000000"/>
                <w:sz w:val="18"/>
                <w:szCs w:val="18"/>
                <w:highlight w:val="black"/>
              </w:rPr>
              <w:t>'''''''''</w:t>
            </w:r>
          </w:p>
        </w:tc>
      </w:tr>
      <w:tr w:rsidR="002A1DB5" w:rsidRPr="002A1DB5" w:rsidTr="00C4077F">
        <w:tc>
          <w:tcPr>
            <w:tcW w:w="959" w:type="dxa"/>
          </w:tcPr>
          <w:p w:rsidR="002A1DB5" w:rsidRPr="002A1DB5" w:rsidRDefault="002A1DB5" w:rsidP="0073784D">
            <w:pPr>
              <w:keepNext/>
              <w:keepLines/>
              <w:tabs>
                <w:tab w:val="left" w:pos="416"/>
                <w:tab w:val="left" w:pos="582"/>
              </w:tabs>
              <w:spacing w:before="20"/>
              <w:rPr>
                <w:sz w:val="18"/>
                <w:szCs w:val="18"/>
                <w:highlight w:val="green"/>
              </w:rPr>
            </w:pPr>
            <w:r w:rsidRPr="002A1DB5">
              <w:rPr>
                <w:sz w:val="18"/>
                <w:szCs w:val="18"/>
              </w:rPr>
              <w:t>Proposed Financial Cap</w:t>
            </w:r>
          </w:p>
        </w:tc>
        <w:tc>
          <w:tcPr>
            <w:tcW w:w="1417" w:type="dxa"/>
          </w:tcPr>
          <w:p w:rsidR="002A1DB5" w:rsidRPr="002A1DB5" w:rsidRDefault="002A1DB5" w:rsidP="0073784D">
            <w:pPr>
              <w:keepNext/>
              <w:keepLines/>
              <w:tabs>
                <w:tab w:val="left" w:pos="416"/>
                <w:tab w:val="left" w:pos="582"/>
              </w:tabs>
              <w:spacing w:before="20"/>
              <w:rPr>
                <w:sz w:val="18"/>
                <w:szCs w:val="18"/>
                <w:highlight w:val="green"/>
              </w:rPr>
            </w:pPr>
            <w:r w:rsidRPr="002A1DB5">
              <w:rPr>
                <w:sz w:val="18"/>
                <w:szCs w:val="18"/>
              </w:rPr>
              <w:t>Suggested distribution</w:t>
            </w:r>
          </w:p>
        </w:tc>
        <w:tc>
          <w:tcPr>
            <w:tcW w:w="1418" w:type="dxa"/>
          </w:tcPr>
          <w:p w:rsidR="002A1DB5" w:rsidRPr="002A1DB5" w:rsidRDefault="002A1DB5" w:rsidP="0073784D">
            <w:pPr>
              <w:keepNext/>
              <w:keepLines/>
              <w:tabs>
                <w:tab w:val="left" w:pos="416"/>
                <w:tab w:val="left" w:pos="582"/>
              </w:tabs>
              <w:spacing w:before="20"/>
              <w:jc w:val="center"/>
              <w:rPr>
                <w:sz w:val="18"/>
                <w:szCs w:val="18"/>
                <w:highlight w:val="yellow"/>
              </w:rPr>
            </w:pPr>
            <w:r w:rsidRPr="002A1DB5">
              <w:rPr>
                <w:sz w:val="18"/>
                <w:szCs w:val="18"/>
              </w:rPr>
              <w:t>$</w:t>
            </w:r>
            <w:r w:rsidR="004978B4">
              <w:rPr>
                <w:noProof/>
                <w:color w:val="000000"/>
                <w:sz w:val="18"/>
                <w:szCs w:val="18"/>
                <w:highlight w:val="black"/>
              </w:rPr>
              <w:t>''''''''''''''''''''</w:t>
            </w:r>
          </w:p>
        </w:tc>
        <w:tc>
          <w:tcPr>
            <w:tcW w:w="1417" w:type="dxa"/>
          </w:tcPr>
          <w:p w:rsidR="002A1DB5" w:rsidRPr="002A1DB5" w:rsidRDefault="002A1DB5" w:rsidP="0073784D">
            <w:pPr>
              <w:keepNext/>
              <w:keepLines/>
              <w:tabs>
                <w:tab w:val="left" w:pos="416"/>
                <w:tab w:val="left" w:pos="582"/>
              </w:tabs>
              <w:spacing w:before="20"/>
              <w:jc w:val="center"/>
              <w:rPr>
                <w:sz w:val="18"/>
                <w:szCs w:val="18"/>
                <w:highlight w:val="yellow"/>
              </w:rPr>
            </w:pPr>
            <w:r w:rsidRPr="002A1DB5">
              <w:rPr>
                <w:sz w:val="18"/>
                <w:szCs w:val="18"/>
              </w:rPr>
              <w:t>$</w:t>
            </w:r>
            <w:r w:rsidR="004978B4">
              <w:rPr>
                <w:noProof/>
                <w:color w:val="000000"/>
                <w:sz w:val="18"/>
                <w:szCs w:val="18"/>
                <w:highlight w:val="black"/>
              </w:rPr>
              <w:t>'''''''''''''''''''''''''</w:t>
            </w:r>
          </w:p>
        </w:tc>
        <w:tc>
          <w:tcPr>
            <w:tcW w:w="1418" w:type="dxa"/>
          </w:tcPr>
          <w:p w:rsidR="002A1DB5" w:rsidRPr="002A1DB5" w:rsidRDefault="002A1DB5" w:rsidP="0073784D">
            <w:pPr>
              <w:keepNext/>
              <w:keepLines/>
              <w:tabs>
                <w:tab w:val="left" w:pos="416"/>
                <w:tab w:val="left" w:pos="582"/>
              </w:tabs>
              <w:spacing w:before="20"/>
              <w:jc w:val="center"/>
              <w:rPr>
                <w:sz w:val="18"/>
                <w:szCs w:val="18"/>
                <w:highlight w:val="yellow"/>
              </w:rPr>
            </w:pPr>
            <w:r w:rsidRPr="002A1DB5">
              <w:rPr>
                <w:sz w:val="18"/>
                <w:szCs w:val="18"/>
              </w:rPr>
              <w:t>$</w:t>
            </w:r>
            <w:r w:rsidR="004978B4">
              <w:rPr>
                <w:noProof/>
                <w:color w:val="000000"/>
                <w:sz w:val="18"/>
                <w:szCs w:val="18"/>
                <w:highlight w:val="black"/>
              </w:rPr>
              <w:t>'''''''''''''''''''''</w:t>
            </w:r>
          </w:p>
        </w:tc>
        <w:tc>
          <w:tcPr>
            <w:tcW w:w="1417" w:type="dxa"/>
          </w:tcPr>
          <w:p w:rsidR="002A1DB5" w:rsidRPr="002A1DB5" w:rsidRDefault="002A1DB5" w:rsidP="0073784D">
            <w:pPr>
              <w:keepNext/>
              <w:keepLines/>
              <w:tabs>
                <w:tab w:val="left" w:pos="416"/>
                <w:tab w:val="left" w:pos="582"/>
              </w:tabs>
              <w:spacing w:before="20"/>
              <w:jc w:val="center"/>
              <w:rPr>
                <w:sz w:val="18"/>
                <w:szCs w:val="18"/>
                <w:highlight w:val="yellow"/>
              </w:rPr>
            </w:pPr>
            <w:r w:rsidRPr="002A1DB5">
              <w:rPr>
                <w:sz w:val="18"/>
                <w:szCs w:val="18"/>
              </w:rPr>
              <w:t>$</w:t>
            </w:r>
            <w:r w:rsidR="004978B4">
              <w:rPr>
                <w:noProof/>
                <w:color w:val="000000"/>
                <w:sz w:val="18"/>
                <w:szCs w:val="18"/>
                <w:highlight w:val="black"/>
              </w:rPr>
              <w:t>''''''''''''''''''''''''</w:t>
            </w:r>
          </w:p>
        </w:tc>
        <w:tc>
          <w:tcPr>
            <w:tcW w:w="1418" w:type="dxa"/>
          </w:tcPr>
          <w:p w:rsidR="002A1DB5" w:rsidRPr="002A1DB5" w:rsidRDefault="002A1DB5" w:rsidP="0073784D">
            <w:pPr>
              <w:keepNext/>
              <w:keepLines/>
              <w:tabs>
                <w:tab w:val="left" w:pos="416"/>
                <w:tab w:val="left" w:pos="582"/>
              </w:tabs>
              <w:spacing w:before="20"/>
              <w:jc w:val="center"/>
              <w:rPr>
                <w:sz w:val="18"/>
                <w:szCs w:val="18"/>
                <w:highlight w:val="green"/>
              </w:rPr>
            </w:pPr>
            <w:r w:rsidRPr="002A1DB5">
              <w:rPr>
                <w:sz w:val="18"/>
                <w:szCs w:val="18"/>
              </w:rPr>
              <w:t>Total: $</w:t>
            </w:r>
            <w:r w:rsidR="004978B4">
              <w:rPr>
                <w:noProof/>
                <w:color w:val="000000"/>
                <w:sz w:val="18"/>
                <w:szCs w:val="18"/>
                <w:highlight w:val="black"/>
              </w:rPr>
              <w:t>''''''''''''''''''''''</w:t>
            </w:r>
          </w:p>
        </w:tc>
      </w:tr>
    </w:tbl>
    <w:p w:rsidR="002A1DB5" w:rsidRPr="008B03CC" w:rsidRDefault="002A1DB5" w:rsidP="0073784D">
      <w:pPr>
        <w:keepNext/>
        <w:keepLines/>
        <w:rPr>
          <w:rFonts w:ascii="Arial Narrow" w:hAnsi="Arial Narrow" w:cs="Tahoma"/>
          <w:color w:val="000000"/>
          <w:sz w:val="16"/>
          <w:szCs w:val="18"/>
        </w:rPr>
      </w:pPr>
      <w:r w:rsidRPr="008B03CC">
        <w:rPr>
          <w:rFonts w:ascii="Arial Narrow" w:hAnsi="Arial Narrow" w:cs="Tahoma"/>
          <w:color w:val="000000"/>
          <w:sz w:val="16"/>
          <w:szCs w:val="18"/>
        </w:rPr>
        <w:t xml:space="preserve">Source: Table 3 of </w:t>
      </w:r>
      <w:proofErr w:type="spellStart"/>
      <w:r w:rsidRPr="008B03CC">
        <w:rPr>
          <w:rFonts w:ascii="Arial Narrow" w:hAnsi="Arial Narrow" w:cs="Tahoma"/>
          <w:color w:val="000000"/>
          <w:sz w:val="16"/>
          <w:szCs w:val="18"/>
        </w:rPr>
        <w:t>prePBAC</w:t>
      </w:r>
      <w:proofErr w:type="spellEnd"/>
      <w:r w:rsidRPr="008B03CC">
        <w:rPr>
          <w:rFonts w:ascii="Arial Narrow" w:hAnsi="Arial Narrow" w:cs="Tahoma"/>
          <w:color w:val="000000"/>
          <w:sz w:val="16"/>
          <w:szCs w:val="18"/>
        </w:rPr>
        <w:t xml:space="preserve"> response, item 7.10 July 2018 </w:t>
      </w:r>
    </w:p>
    <w:p w:rsidR="0097053C" w:rsidRPr="0097053C" w:rsidRDefault="0097053C" w:rsidP="0097053C">
      <w:pPr>
        <w:spacing w:before="120" w:after="160"/>
        <w:rPr>
          <w:rFonts w:asciiTheme="minorHAnsi" w:hAnsiTheme="minorHAnsi"/>
          <w:lang w:val="en-US"/>
        </w:rPr>
      </w:pPr>
      <w:r>
        <w:rPr>
          <w:rFonts w:asciiTheme="minorHAnsi" w:hAnsiTheme="minorHAnsi"/>
          <w:lang w:val="en-US"/>
        </w:rPr>
        <w:t xml:space="preserve">The redacted table shows that at Year 4, the estimated number of patients was less than 10,000. </w:t>
      </w:r>
    </w:p>
    <w:p w:rsidR="007C02F3" w:rsidRPr="007C02B9" w:rsidRDefault="00F74546"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The PBAC  consider</w:t>
      </w:r>
      <w:r w:rsidR="00D74824">
        <w:rPr>
          <w:rFonts w:asciiTheme="minorHAnsi" w:hAnsiTheme="minorHAnsi"/>
          <w:sz w:val="24"/>
          <w:lang w:val="en-US"/>
        </w:rPr>
        <w:t>ed</w:t>
      </w:r>
      <w:r w:rsidRPr="007C02B9">
        <w:rPr>
          <w:rFonts w:asciiTheme="minorHAnsi" w:hAnsiTheme="minorHAnsi"/>
          <w:sz w:val="24"/>
          <w:lang w:val="en-US"/>
        </w:rPr>
        <w:t xml:space="preserve"> the submission’s estimates</w:t>
      </w:r>
      <w:r w:rsidR="00D74824">
        <w:rPr>
          <w:rFonts w:asciiTheme="minorHAnsi" w:hAnsiTheme="minorHAnsi"/>
          <w:sz w:val="24"/>
          <w:lang w:val="en-US"/>
        </w:rPr>
        <w:t xml:space="preserve"> for the 12+ group to be </w:t>
      </w:r>
      <w:r w:rsidRPr="007C02B9">
        <w:rPr>
          <w:rFonts w:asciiTheme="minorHAnsi" w:hAnsiTheme="minorHAnsi"/>
          <w:sz w:val="24"/>
          <w:lang w:val="en-US"/>
        </w:rPr>
        <w:t>too high for the following reasons</w:t>
      </w:r>
      <w:r w:rsidR="00FC30A0">
        <w:rPr>
          <w:rFonts w:asciiTheme="minorHAnsi" w:hAnsiTheme="minorHAnsi"/>
          <w:sz w:val="24"/>
          <w:lang w:val="en-US"/>
        </w:rPr>
        <w:t xml:space="preserve"> as documented in the Overview</w:t>
      </w:r>
      <w:r w:rsidRPr="007C02B9">
        <w:rPr>
          <w:rFonts w:asciiTheme="minorHAnsi" w:hAnsiTheme="minorHAnsi"/>
          <w:sz w:val="24"/>
          <w:lang w:val="en-US"/>
        </w:rPr>
        <w:t>:</w:t>
      </w:r>
    </w:p>
    <w:p w:rsidR="00026848" w:rsidRDefault="00F74546" w:rsidP="0073784D">
      <w:pPr>
        <w:pStyle w:val="ListParagraph"/>
        <w:numPr>
          <w:ilvl w:val="0"/>
          <w:numId w:val="4"/>
        </w:numPr>
        <w:ind w:left="1134" w:hanging="425"/>
        <w:rPr>
          <w:rFonts w:asciiTheme="minorHAnsi" w:eastAsiaTheme="minorHAnsi" w:hAnsiTheme="minorHAnsi" w:cstheme="minorBidi"/>
          <w:sz w:val="24"/>
          <w:szCs w:val="24"/>
        </w:rPr>
      </w:pPr>
      <w:r w:rsidRPr="00C7726A">
        <w:rPr>
          <w:rFonts w:asciiTheme="minorHAnsi" w:eastAsiaTheme="minorHAnsi" w:hAnsiTheme="minorHAnsi" w:cstheme="minorBidi"/>
          <w:sz w:val="24"/>
          <w:szCs w:val="24"/>
        </w:rPr>
        <w:t xml:space="preserve">The submission </w:t>
      </w:r>
      <w:r w:rsidR="00FC30A0" w:rsidRPr="00C7726A">
        <w:rPr>
          <w:rFonts w:asciiTheme="minorHAnsi" w:eastAsiaTheme="minorHAnsi" w:hAnsiTheme="minorHAnsi" w:cstheme="minorBidi"/>
          <w:sz w:val="24"/>
          <w:szCs w:val="24"/>
        </w:rPr>
        <w:t>assume</w:t>
      </w:r>
      <w:r w:rsidR="00FC30A0">
        <w:rPr>
          <w:rFonts w:asciiTheme="minorHAnsi" w:eastAsiaTheme="minorHAnsi" w:hAnsiTheme="minorHAnsi" w:cstheme="minorBidi"/>
          <w:sz w:val="24"/>
          <w:szCs w:val="24"/>
        </w:rPr>
        <w:t>d</w:t>
      </w:r>
      <w:r w:rsidR="00FC30A0" w:rsidRPr="00C7726A">
        <w:rPr>
          <w:rFonts w:asciiTheme="minorHAnsi" w:eastAsiaTheme="minorHAnsi" w:hAnsiTheme="minorHAnsi" w:cstheme="minorBidi"/>
          <w:sz w:val="24"/>
          <w:szCs w:val="24"/>
        </w:rPr>
        <w:t xml:space="preserve"> </w:t>
      </w:r>
      <w:r w:rsidRPr="00C7726A">
        <w:rPr>
          <w:rFonts w:asciiTheme="minorHAnsi" w:eastAsiaTheme="minorHAnsi" w:hAnsiTheme="minorHAnsi" w:cstheme="minorBidi"/>
          <w:sz w:val="24"/>
          <w:szCs w:val="24"/>
        </w:rPr>
        <w:t xml:space="preserve">that patients could only discontinue therapy in the first year. This </w:t>
      </w:r>
      <w:r w:rsidR="00C7726A">
        <w:rPr>
          <w:rFonts w:asciiTheme="minorHAnsi" w:eastAsiaTheme="minorHAnsi" w:hAnsiTheme="minorHAnsi" w:cstheme="minorBidi"/>
          <w:sz w:val="24"/>
          <w:szCs w:val="24"/>
        </w:rPr>
        <w:t>i</w:t>
      </w:r>
      <w:r w:rsidRPr="00C7726A">
        <w:rPr>
          <w:rFonts w:asciiTheme="minorHAnsi" w:eastAsiaTheme="minorHAnsi" w:hAnsiTheme="minorHAnsi" w:cstheme="minorBidi"/>
          <w:sz w:val="24"/>
          <w:szCs w:val="24"/>
        </w:rPr>
        <w:t>s based on the pooled discontinuation rates from TRAFFIC and TRANSPORT (</w:t>
      </w:r>
      <w:r w:rsidR="00EF1CD7">
        <w:rPr>
          <w:rFonts w:asciiTheme="minorHAnsi" w:eastAsiaTheme="minorHAnsi" w:hAnsiTheme="minorHAnsi" w:cstheme="minorBidi"/>
          <w:sz w:val="24"/>
          <w:szCs w:val="24"/>
        </w:rPr>
        <w:t xml:space="preserve">6.8% </w:t>
      </w:r>
      <w:r w:rsidRPr="00C7726A">
        <w:rPr>
          <w:rFonts w:asciiTheme="minorHAnsi" w:eastAsiaTheme="minorHAnsi" w:hAnsiTheme="minorHAnsi" w:cstheme="minorBidi"/>
          <w:sz w:val="24"/>
          <w:szCs w:val="24"/>
        </w:rPr>
        <w:t>applied to patients aged 6 years and older).   The final PROGRESS study report indicate</w:t>
      </w:r>
      <w:r w:rsidR="00C7726A">
        <w:rPr>
          <w:rFonts w:asciiTheme="minorHAnsi" w:eastAsiaTheme="minorHAnsi" w:hAnsiTheme="minorHAnsi" w:cstheme="minorBidi"/>
          <w:sz w:val="24"/>
          <w:szCs w:val="24"/>
        </w:rPr>
        <w:t>s</w:t>
      </w:r>
      <w:r w:rsidRPr="00C7726A">
        <w:rPr>
          <w:rFonts w:asciiTheme="minorHAnsi" w:eastAsiaTheme="minorHAnsi" w:hAnsiTheme="minorHAnsi" w:cstheme="minorBidi"/>
          <w:sz w:val="24"/>
          <w:szCs w:val="24"/>
        </w:rPr>
        <w:t xml:space="preserve"> that 14.9% of the </w:t>
      </w:r>
      <w:r w:rsidR="00476642" w:rsidRPr="00C7726A">
        <w:rPr>
          <w:rFonts w:asciiTheme="minorHAnsi" w:eastAsiaTheme="minorHAnsi" w:hAnsiTheme="minorHAnsi" w:cstheme="minorBidi"/>
          <w:sz w:val="24"/>
          <w:szCs w:val="24"/>
        </w:rPr>
        <w:t>Final Analysis Set</w:t>
      </w:r>
      <w:r w:rsidR="00C7726A">
        <w:rPr>
          <w:rFonts w:asciiTheme="minorHAnsi" w:eastAsiaTheme="minorHAnsi" w:hAnsiTheme="minorHAnsi" w:cstheme="minorBidi"/>
          <w:sz w:val="24"/>
          <w:szCs w:val="24"/>
        </w:rPr>
        <w:t xml:space="preserve"> for this study</w:t>
      </w:r>
      <w:r w:rsidR="00476642" w:rsidRPr="00C7726A">
        <w:rPr>
          <w:rFonts w:asciiTheme="minorHAnsi" w:eastAsiaTheme="minorHAnsi" w:hAnsiTheme="minorHAnsi" w:cstheme="minorBidi"/>
          <w:sz w:val="24"/>
          <w:szCs w:val="24"/>
        </w:rPr>
        <w:t xml:space="preserve"> discontinued study treatment because of an “adverse event” or “subject refused further dosing</w:t>
      </w:r>
      <w:r w:rsidR="00EF1CD7">
        <w:rPr>
          <w:rFonts w:asciiTheme="minorHAnsi" w:eastAsiaTheme="minorHAnsi" w:hAnsiTheme="minorHAnsi" w:cstheme="minorBidi"/>
          <w:sz w:val="24"/>
          <w:szCs w:val="24"/>
        </w:rPr>
        <w:t>”</w:t>
      </w:r>
      <w:r w:rsidR="00476642" w:rsidRPr="00C7726A">
        <w:rPr>
          <w:rFonts w:asciiTheme="minorHAnsi" w:eastAsiaTheme="minorHAnsi" w:hAnsiTheme="minorHAnsi" w:cstheme="minorBidi"/>
          <w:sz w:val="24"/>
          <w:szCs w:val="24"/>
        </w:rPr>
        <w:t xml:space="preserve"> (</w:t>
      </w:r>
      <w:r w:rsidR="00204651">
        <w:rPr>
          <w:rFonts w:asciiTheme="minorHAnsi" w:eastAsiaTheme="minorHAnsi" w:hAnsiTheme="minorHAnsi" w:cstheme="minorBidi"/>
          <w:sz w:val="24"/>
          <w:szCs w:val="24"/>
        </w:rPr>
        <w:t>PROGRESS study report Version 1.</w:t>
      </w:r>
      <w:r w:rsidR="00476642" w:rsidRPr="00C7726A">
        <w:rPr>
          <w:rFonts w:asciiTheme="minorHAnsi" w:eastAsiaTheme="minorHAnsi" w:hAnsiTheme="minorHAnsi" w:cstheme="minorBidi"/>
          <w:sz w:val="24"/>
          <w:szCs w:val="24"/>
        </w:rPr>
        <w:t>0, 25 October 2016, pp 78)</w:t>
      </w:r>
      <w:r w:rsidR="002D6558">
        <w:rPr>
          <w:rFonts w:asciiTheme="minorHAnsi" w:eastAsiaTheme="minorHAnsi" w:hAnsiTheme="minorHAnsi" w:cstheme="minorBidi"/>
          <w:sz w:val="24"/>
          <w:szCs w:val="24"/>
        </w:rPr>
        <w:t>.</w:t>
      </w:r>
    </w:p>
    <w:p w:rsidR="0073784D" w:rsidRPr="0073784D" w:rsidRDefault="0073784D" w:rsidP="0073784D">
      <w:pPr>
        <w:ind w:left="709"/>
        <w:rPr>
          <w:rFonts w:asciiTheme="minorHAnsi" w:eastAsiaTheme="minorHAnsi" w:hAnsiTheme="minorHAnsi" w:cstheme="minorBidi"/>
        </w:rPr>
      </w:pPr>
    </w:p>
    <w:p w:rsidR="00476642" w:rsidRDefault="00C7726A" w:rsidP="00D54DEF">
      <w:pPr>
        <w:pStyle w:val="ListParagraph"/>
        <w:ind w:left="1134"/>
        <w:rPr>
          <w:rFonts w:asciiTheme="minorHAnsi" w:eastAsiaTheme="minorHAnsi" w:hAnsiTheme="minorHAnsi" w:cstheme="minorBidi"/>
          <w:sz w:val="24"/>
          <w:szCs w:val="24"/>
        </w:rPr>
      </w:pPr>
      <w:r w:rsidRPr="00C7726A">
        <w:rPr>
          <w:rFonts w:asciiTheme="minorHAnsi" w:eastAsiaTheme="minorHAnsi" w:hAnsiTheme="minorHAnsi" w:cstheme="minorBidi"/>
          <w:sz w:val="24"/>
          <w:szCs w:val="24"/>
        </w:rPr>
        <w:t>Note: The final PROGRESS study report indicates “Other” was the most frequent reason for treatment discontinuation (36.1% of overall subjects), and the vast majority of these discontinuations were because subjects transitioned from study drug to the commercially available supply of drug (PROGRESS study report Version 1.0, 25 October 2016, pp 77).  This overview does not propose that the discontinuations result</w:t>
      </w:r>
      <w:r w:rsidR="00EF1CD7">
        <w:rPr>
          <w:rFonts w:asciiTheme="minorHAnsi" w:eastAsiaTheme="minorHAnsi" w:hAnsiTheme="minorHAnsi" w:cstheme="minorBidi"/>
          <w:sz w:val="24"/>
          <w:szCs w:val="24"/>
        </w:rPr>
        <w:t>ing</w:t>
      </w:r>
      <w:r w:rsidRPr="00C7726A">
        <w:rPr>
          <w:rFonts w:asciiTheme="minorHAnsi" w:eastAsiaTheme="minorHAnsi" w:hAnsiTheme="minorHAnsi" w:cstheme="minorBidi"/>
          <w:sz w:val="24"/>
          <w:szCs w:val="24"/>
        </w:rPr>
        <w:t xml:space="preserve"> from patients moving to commercially available drug be taken account for in adjusting the submission’s estimates.</w:t>
      </w:r>
    </w:p>
    <w:p w:rsidR="008F72A8" w:rsidRDefault="008F72A8" w:rsidP="00D54DEF">
      <w:pPr>
        <w:pStyle w:val="ListParagraph"/>
        <w:ind w:left="1134" w:hanging="425"/>
        <w:rPr>
          <w:rFonts w:asciiTheme="minorHAnsi" w:eastAsiaTheme="minorHAnsi" w:hAnsiTheme="minorHAnsi" w:cstheme="minorBidi"/>
          <w:sz w:val="24"/>
          <w:szCs w:val="24"/>
        </w:rPr>
      </w:pPr>
    </w:p>
    <w:p w:rsidR="00D54DEF" w:rsidRPr="007C02B9" w:rsidRDefault="008F72A8" w:rsidP="007C02B9">
      <w:pPr>
        <w:pStyle w:val="ListParagraph"/>
        <w:ind w:left="1134"/>
        <w:rPr>
          <w:rFonts w:asciiTheme="minorHAnsi" w:eastAsiaTheme="minorHAnsi" w:hAnsiTheme="minorHAnsi" w:cstheme="minorBidi"/>
          <w:sz w:val="24"/>
          <w:szCs w:val="24"/>
        </w:rPr>
      </w:pPr>
      <w:r>
        <w:rPr>
          <w:rFonts w:asciiTheme="minorHAnsi" w:eastAsiaTheme="minorHAnsi" w:hAnsiTheme="minorHAnsi" w:cstheme="minorBidi"/>
          <w:sz w:val="24"/>
          <w:szCs w:val="24"/>
        </w:rPr>
        <w:t>The assumption</w:t>
      </w:r>
      <w:r w:rsidRPr="008F72A8">
        <w:rPr>
          <w:rFonts w:asciiTheme="minorHAnsi" w:eastAsiaTheme="minorHAnsi" w:hAnsiTheme="minorHAnsi" w:cstheme="minorBidi"/>
          <w:sz w:val="24"/>
          <w:szCs w:val="24"/>
        </w:rPr>
        <w:t xml:space="preserve"> </w:t>
      </w:r>
      <w:r w:rsidR="006A3504">
        <w:rPr>
          <w:rFonts w:asciiTheme="minorHAnsi" w:eastAsiaTheme="minorHAnsi" w:hAnsiTheme="minorHAnsi" w:cstheme="minorBidi"/>
          <w:sz w:val="24"/>
          <w:szCs w:val="24"/>
        </w:rPr>
        <w:t xml:space="preserve">made is </w:t>
      </w:r>
      <w:r w:rsidRPr="008F72A8">
        <w:rPr>
          <w:rFonts w:asciiTheme="minorHAnsi" w:eastAsiaTheme="minorHAnsi" w:hAnsiTheme="minorHAnsi" w:cstheme="minorBidi"/>
          <w:sz w:val="24"/>
          <w:szCs w:val="24"/>
        </w:rPr>
        <w:t xml:space="preserve">that </w:t>
      </w:r>
      <w:r>
        <w:rPr>
          <w:rFonts w:asciiTheme="minorHAnsi" w:eastAsiaTheme="minorHAnsi" w:hAnsiTheme="minorHAnsi" w:cstheme="minorBidi"/>
          <w:sz w:val="24"/>
          <w:szCs w:val="24"/>
        </w:rPr>
        <w:t xml:space="preserve">discontinuing </w:t>
      </w:r>
      <w:r w:rsidRPr="008F72A8">
        <w:rPr>
          <w:rFonts w:asciiTheme="minorHAnsi" w:eastAsiaTheme="minorHAnsi" w:hAnsiTheme="minorHAnsi" w:cstheme="minorBidi"/>
          <w:sz w:val="24"/>
          <w:szCs w:val="24"/>
        </w:rPr>
        <w:t xml:space="preserve">patients will </w:t>
      </w:r>
      <w:r>
        <w:rPr>
          <w:rFonts w:asciiTheme="minorHAnsi" w:eastAsiaTheme="minorHAnsi" w:hAnsiTheme="minorHAnsi" w:cstheme="minorBidi"/>
          <w:sz w:val="24"/>
          <w:szCs w:val="24"/>
        </w:rPr>
        <w:t xml:space="preserve">discontinue </w:t>
      </w:r>
      <w:r w:rsidRPr="008F72A8">
        <w:rPr>
          <w:rFonts w:asciiTheme="minorHAnsi" w:eastAsiaTheme="minorHAnsi" w:hAnsiTheme="minorHAnsi" w:cstheme="minorBidi"/>
          <w:sz w:val="24"/>
          <w:szCs w:val="24"/>
        </w:rPr>
        <w:t>treatment throughout the year, so that on average each patient receives the equivalent of half of a year’s supply in</w:t>
      </w:r>
      <w:r>
        <w:rPr>
          <w:rFonts w:asciiTheme="minorHAnsi" w:eastAsiaTheme="minorHAnsi" w:hAnsiTheme="minorHAnsi" w:cstheme="minorBidi"/>
          <w:sz w:val="24"/>
          <w:szCs w:val="24"/>
        </w:rPr>
        <w:t xml:space="preserve"> the year in which they discontinue</w:t>
      </w:r>
      <w:r w:rsidRPr="008F72A8">
        <w:rPr>
          <w:rFonts w:asciiTheme="minorHAnsi" w:eastAsiaTheme="minorHAnsi" w:hAnsiTheme="minorHAnsi" w:cstheme="minorBidi"/>
          <w:sz w:val="24"/>
          <w:szCs w:val="24"/>
        </w:rPr>
        <w:t xml:space="preserve"> treatment</w:t>
      </w:r>
      <w:r>
        <w:rPr>
          <w:rFonts w:asciiTheme="minorHAnsi" w:eastAsiaTheme="minorHAnsi" w:hAnsiTheme="minorHAnsi" w:cstheme="minorBidi"/>
          <w:sz w:val="24"/>
          <w:szCs w:val="24"/>
        </w:rPr>
        <w:t xml:space="preserve"> may be reasonable.</w:t>
      </w:r>
    </w:p>
    <w:p w:rsidR="00C65937" w:rsidRPr="0073784D" w:rsidRDefault="00C65937" w:rsidP="0073784D">
      <w:pPr>
        <w:rPr>
          <w:rFonts w:asciiTheme="minorHAnsi" w:eastAsiaTheme="minorHAnsi" w:hAnsiTheme="minorHAnsi" w:cstheme="minorBidi"/>
        </w:rPr>
      </w:pPr>
    </w:p>
    <w:p w:rsidR="00FC30A0" w:rsidRDefault="001B3BDA" w:rsidP="00FC30A0">
      <w:pPr>
        <w:pStyle w:val="ListParagraph"/>
        <w:numPr>
          <w:ilvl w:val="0"/>
          <w:numId w:val="4"/>
        </w:numPr>
        <w:tabs>
          <w:tab w:val="left" w:pos="1134"/>
        </w:tabs>
        <w:ind w:left="1134" w:hanging="425"/>
        <w:rPr>
          <w:rFonts w:asciiTheme="minorHAnsi" w:eastAsiaTheme="minorHAnsi" w:hAnsiTheme="minorHAnsi" w:cstheme="minorBidi"/>
          <w:sz w:val="24"/>
          <w:szCs w:val="24"/>
        </w:rPr>
      </w:pPr>
      <w:r w:rsidRPr="001B3BDA">
        <w:rPr>
          <w:rFonts w:asciiTheme="minorHAnsi" w:eastAsiaTheme="minorHAnsi" w:hAnsiTheme="minorHAnsi" w:cstheme="minorBidi"/>
          <w:sz w:val="24"/>
          <w:szCs w:val="24"/>
        </w:rPr>
        <w:t xml:space="preserve">The submission </w:t>
      </w:r>
      <w:r w:rsidR="004B0487" w:rsidRPr="001B3BDA">
        <w:rPr>
          <w:rFonts w:asciiTheme="minorHAnsi" w:eastAsiaTheme="minorHAnsi" w:hAnsiTheme="minorHAnsi" w:cstheme="minorBidi"/>
          <w:sz w:val="24"/>
          <w:szCs w:val="24"/>
        </w:rPr>
        <w:t>assume</w:t>
      </w:r>
      <w:r w:rsidR="004B0487">
        <w:rPr>
          <w:rFonts w:asciiTheme="minorHAnsi" w:eastAsiaTheme="minorHAnsi" w:hAnsiTheme="minorHAnsi" w:cstheme="minorBidi"/>
          <w:sz w:val="24"/>
          <w:szCs w:val="24"/>
        </w:rPr>
        <w:t>d</w:t>
      </w:r>
      <w:r w:rsidR="004B0487" w:rsidRPr="001B3BDA">
        <w:rPr>
          <w:rFonts w:asciiTheme="minorHAnsi" w:eastAsiaTheme="minorHAnsi" w:hAnsiTheme="minorHAnsi" w:cstheme="minorBidi"/>
          <w:sz w:val="24"/>
          <w:szCs w:val="24"/>
        </w:rPr>
        <w:t xml:space="preserve"> </w:t>
      </w:r>
      <w:r w:rsidRPr="001B3BDA">
        <w:rPr>
          <w:rFonts w:asciiTheme="minorHAnsi" w:eastAsiaTheme="minorHAnsi" w:hAnsiTheme="minorHAnsi" w:cstheme="minorBidi"/>
          <w:sz w:val="24"/>
          <w:szCs w:val="24"/>
        </w:rPr>
        <w:t>that patients who become eligible for treatment each year receive a full year of treatment. A more reasonable assumption is that initiating patients will commence treatment throughout the year, so that on average each patient receives the equivalent of half of a year’s supply in the year in which they commence treatment.</w:t>
      </w:r>
    </w:p>
    <w:p w:rsidR="000531DC" w:rsidRDefault="005065B3" w:rsidP="007C02B9">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The </w:t>
      </w:r>
      <w:r w:rsidR="00ED4CA4">
        <w:rPr>
          <w:rFonts w:asciiTheme="minorHAnsi" w:hAnsiTheme="minorHAnsi"/>
          <w:sz w:val="24"/>
          <w:lang w:val="en-US"/>
        </w:rPr>
        <w:t>PBAC noted the revised</w:t>
      </w:r>
      <w:r w:rsidRPr="007C02B9">
        <w:rPr>
          <w:rFonts w:asciiTheme="minorHAnsi" w:hAnsiTheme="minorHAnsi"/>
          <w:sz w:val="24"/>
          <w:lang w:val="en-US"/>
        </w:rPr>
        <w:t xml:space="preserve"> financial impact of listing </w:t>
      </w:r>
      <w:proofErr w:type="spellStart"/>
      <w:r w:rsidRPr="007C02B9">
        <w:rPr>
          <w:rFonts w:asciiTheme="minorHAnsi" w:hAnsiTheme="minorHAnsi"/>
          <w:sz w:val="24"/>
          <w:lang w:val="en-US"/>
        </w:rPr>
        <w:t>lumacaftor</w:t>
      </w:r>
      <w:proofErr w:type="spellEnd"/>
      <w:r w:rsidR="008F72A8" w:rsidRPr="007C02B9">
        <w:rPr>
          <w:rFonts w:asciiTheme="minorHAnsi" w:hAnsiTheme="minorHAnsi"/>
          <w:sz w:val="24"/>
          <w:lang w:val="en-US"/>
        </w:rPr>
        <w:t>/</w:t>
      </w:r>
      <w:proofErr w:type="spellStart"/>
      <w:r w:rsidRPr="007C02B9">
        <w:rPr>
          <w:rFonts w:asciiTheme="minorHAnsi" w:hAnsiTheme="minorHAnsi"/>
          <w:sz w:val="24"/>
          <w:lang w:val="en-US"/>
        </w:rPr>
        <w:t>iv</w:t>
      </w:r>
      <w:r w:rsidR="000531DC" w:rsidRPr="007C02B9">
        <w:rPr>
          <w:rFonts w:asciiTheme="minorHAnsi" w:hAnsiTheme="minorHAnsi"/>
          <w:sz w:val="24"/>
          <w:lang w:val="en-US"/>
        </w:rPr>
        <w:t>acaftor</w:t>
      </w:r>
      <w:proofErr w:type="spellEnd"/>
      <w:r w:rsidR="000531DC" w:rsidRPr="007C02B9">
        <w:rPr>
          <w:rFonts w:asciiTheme="minorHAnsi" w:hAnsiTheme="minorHAnsi"/>
          <w:sz w:val="24"/>
          <w:lang w:val="en-US"/>
        </w:rPr>
        <w:t xml:space="preserve"> tak</w:t>
      </w:r>
      <w:r w:rsidR="00ED4CA4">
        <w:rPr>
          <w:rFonts w:asciiTheme="minorHAnsi" w:hAnsiTheme="minorHAnsi"/>
          <w:sz w:val="24"/>
          <w:lang w:val="en-US"/>
        </w:rPr>
        <w:t>ing</w:t>
      </w:r>
      <w:r w:rsidR="000531DC" w:rsidRPr="007C02B9">
        <w:rPr>
          <w:rFonts w:asciiTheme="minorHAnsi" w:hAnsiTheme="minorHAnsi"/>
          <w:sz w:val="24"/>
          <w:lang w:val="en-US"/>
        </w:rPr>
        <w:t xml:space="preserve"> into account these issues</w:t>
      </w:r>
      <w:r w:rsidR="006A3504">
        <w:rPr>
          <w:rFonts w:asciiTheme="minorHAnsi" w:hAnsiTheme="minorHAnsi"/>
          <w:sz w:val="24"/>
          <w:lang w:val="en-US"/>
        </w:rPr>
        <w:t xml:space="preserve"> </w:t>
      </w:r>
      <w:r w:rsidR="00ED4CA4">
        <w:rPr>
          <w:rFonts w:asciiTheme="minorHAnsi" w:hAnsiTheme="minorHAnsi"/>
          <w:sz w:val="24"/>
          <w:lang w:val="en-US"/>
        </w:rPr>
        <w:t>as reported in</w:t>
      </w:r>
      <w:r w:rsidR="000531DC" w:rsidRPr="007C02B9">
        <w:rPr>
          <w:rFonts w:asciiTheme="minorHAnsi" w:hAnsiTheme="minorHAnsi"/>
          <w:sz w:val="24"/>
          <w:lang w:val="en-US"/>
        </w:rPr>
        <w:t xml:space="preserve"> Table </w:t>
      </w:r>
      <w:r w:rsidR="0014569D">
        <w:rPr>
          <w:rFonts w:asciiTheme="minorHAnsi" w:hAnsiTheme="minorHAnsi"/>
          <w:sz w:val="24"/>
          <w:lang w:val="en-US"/>
        </w:rPr>
        <w:t>1</w:t>
      </w:r>
      <w:r w:rsidR="00841412">
        <w:rPr>
          <w:rFonts w:asciiTheme="minorHAnsi" w:hAnsiTheme="minorHAnsi"/>
          <w:sz w:val="24"/>
          <w:lang w:val="en-US"/>
        </w:rPr>
        <w:t>7</w:t>
      </w:r>
      <w:r w:rsidR="000531DC" w:rsidRPr="007C02B9">
        <w:rPr>
          <w:rFonts w:asciiTheme="minorHAnsi" w:hAnsiTheme="minorHAnsi"/>
          <w:sz w:val="24"/>
          <w:lang w:val="en-US"/>
        </w:rPr>
        <w:t>.</w:t>
      </w:r>
    </w:p>
    <w:p w:rsidR="008155BB" w:rsidRDefault="008155BB">
      <w:pPr>
        <w:spacing w:beforeLines="20" w:before="48" w:afterLines="20" w:after="48"/>
        <w:contextualSpacing/>
        <w:rPr>
          <w:rFonts w:asciiTheme="minorHAnsi" w:eastAsiaTheme="minorHAnsi" w:hAnsiTheme="minorHAnsi" w:cstheme="minorBidi"/>
        </w:rPr>
      </w:pPr>
    </w:p>
    <w:p w:rsidR="008155BB" w:rsidRDefault="008155BB">
      <w:pPr>
        <w:spacing w:beforeLines="20" w:before="48" w:afterLines="20" w:after="48"/>
        <w:contextualSpacing/>
        <w:rPr>
          <w:rFonts w:ascii="Arial Narrow" w:hAnsi="Arial Narrow"/>
          <w:sz w:val="16"/>
          <w:szCs w:val="16"/>
        </w:rPr>
      </w:pPr>
    </w:p>
    <w:p w:rsidR="000531DC" w:rsidRPr="007C02B9" w:rsidRDefault="000531DC">
      <w:pPr>
        <w:spacing w:beforeLines="20" w:before="48" w:afterLines="20" w:after="48"/>
        <w:contextualSpacing/>
        <w:rPr>
          <w:rFonts w:ascii="Arial Narrow" w:hAnsi="Arial Narrow"/>
          <w:b/>
          <w:sz w:val="20"/>
          <w:szCs w:val="20"/>
          <w:lang w:eastAsia="en-US"/>
        </w:rPr>
      </w:pPr>
      <w:r w:rsidRPr="007C02B9">
        <w:rPr>
          <w:rFonts w:ascii="Arial Narrow" w:hAnsi="Arial Narrow"/>
          <w:b/>
          <w:sz w:val="20"/>
          <w:szCs w:val="20"/>
          <w:lang w:eastAsia="en-US"/>
        </w:rPr>
        <w:t xml:space="preserve">Table </w:t>
      </w:r>
      <w:r w:rsidR="0014569D">
        <w:rPr>
          <w:rFonts w:ascii="Arial Narrow" w:hAnsi="Arial Narrow"/>
          <w:b/>
          <w:sz w:val="20"/>
          <w:szCs w:val="20"/>
          <w:lang w:eastAsia="en-US"/>
        </w:rPr>
        <w:t>1</w:t>
      </w:r>
      <w:r w:rsidR="006A3504">
        <w:rPr>
          <w:rFonts w:ascii="Arial Narrow" w:hAnsi="Arial Narrow"/>
          <w:b/>
          <w:sz w:val="20"/>
          <w:szCs w:val="20"/>
          <w:lang w:eastAsia="en-US"/>
        </w:rPr>
        <w:t>7</w:t>
      </w:r>
      <w:r w:rsidRPr="007C02B9">
        <w:rPr>
          <w:rFonts w:ascii="Arial Narrow" w:hAnsi="Arial Narrow"/>
          <w:b/>
          <w:sz w:val="20"/>
          <w:szCs w:val="20"/>
          <w:lang w:eastAsia="en-US"/>
        </w:rPr>
        <w:t xml:space="preserve">: </w:t>
      </w:r>
      <w:r w:rsidR="00ED4CA4">
        <w:rPr>
          <w:rFonts w:ascii="Arial Narrow" w:hAnsi="Arial Narrow"/>
          <w:b/>
          <w:sz w:val="20"/>
          <w:szCs w:val="20"/>
          <w:lang w:eastAsia="en-US"/>
        </w:rPr>
        <w:t>E</w:t>
      </w:r>
      <w:r w:rsidRPr="007C02B9">
        <w:rPr>
          <w:rFonts w:ascii="Arial Narrow" w:hAnsi="Arial Narrow"/>
          <w:b/>
          <w:sz w:val="20"/>
          <w:szCs w:val="20"/>
          <w:lang w:eastAsia="en-US"/>
        </w:rPr>
        <w:t>stimated use and financial implications, patients aged 12 years and older</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2"/>
        <w:gridCol w:w="1391"/>
        <w:gridCol w:w="1391"/>
        <w:gridCol w:w="1391"/>
        <w:gridCol w:w="1391"/>
        <w:gridCol w:w="1389"/>
      </w:tblGrid>
      <w:tr w:rsidR="00B04489" w:rsidRPr="007C02B9" w:rsidTr="00E76202">
        <w:trPr>
          <w:tblHeader/>
        </w:trPr>
        <w:tc>
          <w:tcPr>
            <w:tcW w:w="1161" w:type="pct"/>
            <w:shd w:val="clear" w:color="auto" w:fill="auto"/>
            <w:vAlign w:val="center"/>
          </w:tcPr>
          <w:p w:rsidR="00B04489" w:rsidRPr="00AA37D5" w:rsidRDefault="00B04489" w:rsidP="00DE3662">
            <w:pPr>
              <w:spacing w:beforeLines="20" w:before="48" w:afterLines="20" w:after="48"/>
              <w:rPr>
                <w:rFonts w:ascii="Arial Narrow" w:hAnsi="Arial Narrow"/>
                <w:i/>
                <w:sz w:val="20"/>
                <w:szCs w:val="20"/>
                <w:lang w:eastAsia="en-US"/>
              </w:rPr>
            </w:pPr>
          </w:p>
        </w:tc>
        <w:tc>
          <w:tcPr>
            <w:tcW w:w="768" w:type="pct"/>
            <w:shd w:val="clear" w:color="auto" w:fill="auto"/>
            <w:vAlign w:val="center"/>
          </w:tcPr>
          <w:p w:rsidR="00B04489" w:rsidRPr="00AA37D5" w:rsidRDefault="00B04489" w:rsidP="00DE3662">
            <w:pPr>
              <w:spacing w:beforeLines="20" w:before="48" w:afterLines="20" w:after="48"/>
              <w:jc w:val="center"/>
              <w:rPr>
                <w:rFonts w:ascii="Arial Narrow" w:hAnsi="Arial Narrow"/>
                <w:b/>
                <w:i/>
                <w:sz w:val="20"/>
                <w:szCs w:val="20"/>
                <w:lang w:eastAsia="en-US"/>
              </w:rPr>
            </w:pPr>
            <w:r w:rsidRPr="00AA37D5">
              <w:rPr>
                <w:rFonts w:ascii="Arial Narrow" w:hAnsi="Arial Narrow"/>
                <w:b/>
                <w:i/>
                <w:sz w:val="20"/>
                <w:szCs w:val="20"/>
                <w:lang w:eastAsia="en-US"/>
              </w:rPr>
              <w:t>Year 1</w:t>
            </w:r>
          </w:p>
        </w:tc>
        <w:tc>
          <w:tcPr>
            <w:tcW w:w="768" w:type="pct"/>
            <w:shd w:val="clear" w:color="auto" w:fill="auto"/>
            <w:vAlign w:val="center"/>
          </w:tcPr>
          <w:p w:rsidR="00B04489" w:rsidRPr="00AA37D5" w:rsidRDefault="00B04489" w:rsidP="00DE3662">
            <w:pPr>
              <w:spacing w:beforeLines="20" w:before="48" w:afterLines="20" w:after="48"/>
              <w:jc w:val="center"/>
              <w:rPr>
                <w:rFonts w:ascii="Arial Narrow" w:hAnsi="Arial Narrow"/>
                <w:b/>
                <w:i/>
                <w:sz w:val="20"/>
                <w:szCs w:val="20"/>
                <w:lang w:eastAsia="en-US"/>
              </w:rPr>
            </w:pPr>
            <w:r w:rsidRPr="00AA37D5">
              <w:rPr>
                <w:rFonts w:ascii="Arial Narrow" w:hAnsi="Arial Narrow"/>
                <w:b/>
                <w:i/>
                <w:sz w:val="20"/>
                <w:szCs w:val="20"/>
                <w:lang w:eastAsia="en-US"/>
              </w:rPr>
              <w:t>Year 2</w:t>
            </w:r>
          </w:p>
        </w:tc>
        <w:tc>
          <w:tcPr>
            <w:tcW w:w="768" w:type="pct"/>
            <w:shd w:val="clear" w:color="auto" w:fill="auto"/>
            <w:vAlign w:val="center"/>
          </w:tcPr>
          <w:p w:rsidR="00B04489" w:rsidRPr="00AA37D5" w:rsidRDefault="00B04489" w:rsidP="00DE3662">
            <w:pPr>
              <w:spacing w:beforeLines="20" w:before="48" w:afterLines="20" w:after="48"/>
              <w:jc w:val="center"/>
              <w:rPr>
                <w:rFonts w:ascii="Arial Narrow" w:hAnsi="Arial Narrow"/>
                <w:b/>
                <w:i/>
                <w:sz w:val="20"/>
                <w:szCs w:val="20"/>
                <w:lang w:eastAsia="en-US"/>
              </w:rPr>
            </w:pPr>
            <w:r w:rsidRPr="00AA37D5">
              <w:rPr>
                <w:rFonts w:ascii="Arial Narrow" w:hAnsi="Arial Narrow"/>
                <w:b/>
                <w:i/>
                <w:sz w:val="20"/>
                <w:szCs w:val="20"/>
                <w:lang w:eastAsia="en-US"/>
              </w:rPr>
              <w:t>Year 3</w:t>
            </w:r>
          </w:p>
        </w:tc>
        <w:tc>
          <w:tcPr>
            <w:tcW w:w="768" w:type="pct"/>
            <w:shd w:val="clear" w:color="auto" w:fill="auto"/>
            <w:vAlign w:val="center"/>
          </w:tcPr>
          <w:p w:rsidR="00B04489" w:rsidRPr="00AA37D5" w:rsidRDefault="00B04489" w:rsidP="00DE3662">
            <w:pPr>
              <w:spacing w:beforeLines="20" w:before="48" w:afterLines="20" w:after="48"/>
              <w:jc w:val="center"/>
              <w:rPr>
                <w:rFonts w:ascii="Arial Narrow" w:hAnsi="Arial Narrow"/>
                <w:b/>
                <w:i/>
                <w:sz w:val="20"/>
                <w:szCs w:val="20"/>
                <w:lang w:eastAsia="en-US"/>
              </w:rPr>
            </w:pPr>
            <w:r w:rsidRPr="00AA37D5">
              <w:rPr>
                <w:rFonts w:ascii="Arial Narrow" w:hAnsi="Arial Narrow"/>
                <w:b/>
                <w:i/>
                <w:sz w:val="20"/>
                <w:szCs w:val="20"/>
                <w:lang w:eastAsia="en-US"/>
              </w:rPr>
              <w:t>Year 4</w:t>
            </w:r>
          </w:p>
        </w:tc>
        <w:tc>
          <w:tcPr>
            <w:tcW w:w="767" w:type="pct"/>
            <w:shd w:val="clear" w:color="auto" w:fill="auto"/>
            <w:vAlign w:val="center"/>
          </w:tcPr>
          <w:p w:rsidR="00B04489" w:rsidRPr="00AA37D5" w:rsidRDefault="00B04489" w:rsidP="00DE3662">
            <w:pPr>
              <w:spacing w:beforeLines="20" w:before="48" w:afterLines="20" w:after="48"/>
              <w:jc w:val="center"/>
              <w:rPr>
                <w:rFonts w:ascii="Arial Narrow" w:hAnsi="Arial Narrow"/>
                <w:b/>
                <w:i/>
                <w:sz w:val="20"/>
                <w:szCs w:val="20"/>
                <w:lang w:eastAsia="en-US"/>
              </w:rPr>
            </w:pPr>
            <w:r w:rsidRPr="00AA37D5">
              <w:rPr>
                <w:rFonts w:ascii="Arial Narrow" w:hAnsi="Arial Narrow"/>
                <w:b/>
                <w:i/>
                <w:sz w:val="20"/>
                <w:szCs w:val="20"/>
                <w:lang w:eastAsia="en-US"/>
              </w:rPr>
              <w:t>Year 5</w:t>
            </w:r>
          </w:p>
        </w:tc>
      </w:tr>
      <w:tr w:rsidR="00902A63" w:rsidRPr="007C02B9" w:rsidTr="00E76202">
        <w:tc>
          <w:tcPr>
            <w:tcW w:w="1161" w:type="pct"/>
            <w:shd w:val="clear" w:color="auto" w:fill="auto"/>
            <w:vAlign w:val="center"/>
          </w:tcPr>
          <w:p w:rsidR="00902A63" w:rsidRPr="00AA37D5" w:rsidRDefault="00902A63" w:rsidP="00DE3662">
            <w:pPr>
              <w:spacing w:beforeLines="20" w:before="48" w:afterLines="20" w:after="48"/>
              <w:rPr>
                <w:rFonts w:ascii="Arial Narrow" w:hAnsi="Arial Narrow"/>
                <w:i/>
                <w:sz w:val="20"/>
                <w:szCs w:val="20"/>
                <w:lang w:eastAsia="en-US"/>
              </w:rPr>
            </w:pPr>
            <w:r w:rsidRPr="00AA37D5">
              <w:rPr>
                <w:rFonts w:ascii="Arial Narrow" w:hAnsi="Arial Narrow"/>
                <w:i/>
                <w:sz w:val="20"/>
                <w:szCs w:val="20"/>
                <w:lang w:eastAsia="en-US"/>
              </w:rPr>
              <w:t>Number of patients treated</w:t>
            </w:r>
            <w:r w:rsidR="00AA37D5" w:rsidRPr="00AA37D5">
              <w:rPr>
                <w:rFonts w:ascii="Arial Narrow" w:hAnsi="Arial Narrow"/>
                <w:i/>
                <w:sz w:val="20"/>
                <w:szCs w:val="20"/>
                <w:lang w:eastAsia="en-US"/>
              </w:rPr>
              <w:t>*</w:t>
            </w:r>
          </w:p>
        </w:tc>
        <w:tc>
          <w:tcPr>
            <w:tcW w:w="768" w:type="pct"/>
            <w:shd w:val="clear" w:color="auto" w:fill="auto"/>
          </w:tcPr>
          <w:p w:rsidR="00902A63" w:rsidRPr="004978B4" w:rsidRDefault="004978B4" w:rsidP="00DE3662">
            <w:pPr>
              <w:spacing w:beforeLines="20" w:before="48" w:afterLines="20" w:after="48"/>
              <w:rPr>
                <w:rFonts w:ascii="Arial Narrow" w:hAnsi="Arial Narrow"/>
                <w:i/>
                <w:sz w:val="20"/>
                <w:szCs w:val="20"/>
                <w:highlight w:val="black"/>
                <w:lang w:eastAsia="en-US"/>
              </w:rPr>
            </w:pPr>
            <w:r>
              <w:rPr>
                <w:rFonts w:ascii="Arial Narrow" w:hAnsi="Arial Narrow"/>
                <w:noProof/>
                <w:color w:val="000000"/>
                <w:sz w:val="20"/>
                <w:szCs w:val="20"/>
                <w:highlight w:val="black"/>
              </w:rPr>
              <w:t>'''''''''</w:t>
            </w:r>
          </w:p>
        </w:tc>
        <w:tc>
          <w:tcPr>
            <w:tcW w:w="768" w:type="pct"/>
            <w:shd w:val="clear" w:color="auto" w:fill="auto"/>
          </w:tcPr>
          <w:p w:rsidR="00902A63" w:rsidRPr="004978B4" w:rsidRDefault="004978B4" w:rsidP="00DE3662">
            <w:pPr>
              <w:spacing w:beforeLines="20" w:before="48" w:afterLines="20" w:after="48"/>
              <w:rPr>
                <w:rFonts w:ascii="Arial Narrow" w:hAnsi="Arial Narrow"/>
                <w:i/>
                <w:sz w:val="20"/>
                <w:szCs w:val="20"/>
                <w:highlight w:val="black"/>
                <w:lang w:eastAsia="en-US"/>
              </w:rPr>
            </w:pPr>
            <w:r>
              <w:rPr>
                <w:rFonts w:ascii="Arial Narrow" w:hAnsi="Arial Narrow"/>
                <w:noProof/>
                <w:color w:val="000000"/>
                <w:sz w:val="20"/>
                <w:szCs w:val="20"/>
                <w:highlight w:val="black"/>
              </w:rPr>
              <w:t>'''''''''</w:t>
            </w:r>
          </w:p>
        </w:tc>
        <w:tc>
          <w:tcPr>
            <w:tcW w:w="768" w:type="pct"/>
            <w:shd w:val="clear" w:color="auto" w:fill="auto"/>
          </w:tcPr>
          <w:p w:rsidR="00902A63" w:rsidRPr="004978B4" w:rsidRDefault="004978B4" w:rsidP="00DE3662">
            <w:pPr>
              <w:spacing w:beforeLines="20" w:before="48" w:afterLines="20" w:after="48"/>
              <w:rPr>
                <w:rFonts w:ascii="Arial Narrow" w:hAnsi="Arial Narrow"/>
                <w:i/>
                <w:sz w:val="20"/>
                <w:szCs w:val="20"/>
                <w:highlight w:val="black"/>
                <w:lang w:eastAsia="en-US"/>
              </w:rPr>
            </w:pPr>
            <w:r>
              <w:rPr>
                <w:rFonts w:ascii="Arial Narrow" w:hAnsi="Arial Narrow"/>
                <w:noProof/>
                <w:color w:val="000000"/>
                <w:sz w:val="20"/>
                <w:szCs w:val="20"/>
                <w:highlight w:val="black"/>
              </w:rPr>
              <w:t>''''''''''</w:t>
            </w:r>
          </w:p>
        </w:tc>
        <w:tc>
          <w:tcPr>
            <w:tcW w:w="768" w:type="pct"/>
            <w:shd w:val="clear" w:color="auto" w:fill="auto"/>
          </w:tcPr>
          <w:p w:rsidR="00902A63" w:rsidRPr="004978B4" w:rsidRDefault="004978B4" w:rsidP="00DE3662">
            <w:pPr>
              <w:spacing w:beforeLines="20" w:before="48" w:afterLines="20" w:after="48"/>
              <w:rPr>
                <w:rFonts w:ascii="Arial Narrow" w:hAnsi="Arial Narrow"/>
                <w:i/>
                <w:sz w:val="20"/>
                <w:szCs w:val="20"/>
                <w:highlight w:val="black"/>
                <w:lang w:eastAsia="en-US"/>
              </w:rPr>
            </w:pPr>
            <w:r>
              <w:rPr>
                <w:rFonts w:ascii="Arial Narrow" w:hAnsi="Arial Narrow"/>
                <w:noProof/>
                <w:color w:val="000000"/>
                <w:sz w:val="20"/>
                <w:szCs w:val="20"/>
                <w:highlight w:val="black"/>
              </w:rPr>
              <w:t>''''''''''</w:t>
            </w:r>
          </w:p>
        </w:tc>
        <w:tc>
          <w:tcPr>
            <w:tcW w:w="767" w:type="pct"/>
            <w:shd w:val="clear" w:color="auto" w:fill="auto"/>
          </w:tcPr>
          <w:p w:rsidR="00902A63" w:rsidRPr="004978B4" w:rsidRDefault="004978B4" w:rsidP="00DE3662">
            <w:pPr>
              <w:spacing w:beforeLines="20" w:before="48" w:afterLines="20" w:after="48"/>
              <w:rPr>
                <w:rFonts w:ascii="Arial Narrow" w:hAnsi="Arial Narrow"/>
                <w:i/>
                <w:sz w:val="20"/>
                <w:szCs w:val="20"/>
                <w:highlight w:val="black"/>
                <w:lang w:eastAsia="en-US"/>
              </w:rPr>
            </w:pPr>
            <w:r>
              <w:rPr>
                <w:rFonts w:ascii="Arial Narrow" w:hAnsi="Arial Narrow"/>
                <w:noProof/>
                <w:color w:val="000000"/>
                <w:sz w:val="20"/>
                <w:szCs w:val="20"/>
                <w:highlight w:val="black"/>
              </w:rPr>
              <w:t>''''''''''</w:t>
            </w:r>
          </w:p>
        </w:tc>
      </w:tr>
      <w:tr w:rsidR="00AA37D5" w:rsidRPr="007C02B9" w:rsidTr="00E76202">
        <w:tc>
          <w:tcPr>
            <w:tcW w:w="1161" w:type="pct"/>
            <w:shd w:val="clear" w:color="auto" w:fill="auto"/>
            <w:vAlign w:val="center"/>
          </w:tcPr>
          <w:p w:rsidR="00AA37D5" w:rsidRPr="00AA37D5" w:rsidRDefault="00AA37D5" w:rsidP="00DE3662">
            <w:pPr>
              <w:spacing w:beforeLines="20" w:before="48" w:afterLines="20" w:after="48"/>
              <w:rPr>
                <w:rFonts w:ascii="Arial Narrow" w:hAnsi="Arial Narrow"/>
                <w:i/>
                <w:sz w:val="20"/>
                <w:szCs w:val="20"/>
                <w:lang w:eastAsia="en-US"/>
              </w:rPr>
            </w:pPr>
            <w:r w:rsidRPr="00AA37D5">
              <w:rPr>
                <w:rFonts w:ascii="Arial Narrow" w:hAnsi="Arial Narrow"/>
                <w:i/>
                <w:sz w:val="20"/>
                <w:szCs w:val="20"/>
                <w:lang w:eastAsia="en-US"/>
              </w:rPr>
              <w:t>Number of scripts dispensed</w:t>
            </w:r>
          </w:p>
        </w:tc>
        <w:tc>
          <w:tcPr>
            <w:tcW w:w="768" w:type="pct"/>
            <w:shd w:val="clear" w:color="auto" w:fill="auto"/>
          </w:tcPr>
          <w:p w:rsidR="00AA37D5" w:rsidRPr="004978B4" w:rsidRDefault="004978B4" w:rsidP="00DE3662">
            <w:pPr>
              <w:spacing w:beforeLines="20" w:before="48" w:afterLines="20" w:after="48"/>
              <w:rPr>
                <w:rFonts w:ascii="Arial Narrow" w:hAnsi="Arial Narrow"/>
                <w:i/>
                <w:sz w:val="20"/>
                <w:szCs w:val="20"/>
                <w:highlight w:val="black"/>
                <w:lang w:eastAsia="en-US"/>
              </w:rPr>
            </w:pPr>
            <w:r>
              <w:rPr>
                <w:rFonts w:ascii="Arial Narrow" w:hAnsi="Arial Narrow"/>
                <w:noProof/>
                <w:color w:val="000000"/>
                <w:sz w:val="20"/>
                <w:szCs w:val="20"/>
                <w:highlight w:val="black"/>
              </w:rPr>
              <w:t>''''''''''''</w:t>
            </w:r>
          </w:p>
        </w:tc>
        <w:tc>
          <w:tcPr>
            <w:tcW w:w="768" w:type="pct"/>
            <w:shd w:val="clear" w:color="auto" w:fill="auto"/>
          </w:tcPr>
          <w:p w:rsidR="00AA37D5" w:rsidRPr="004978B4" w:rsidRDefault="004978B4" w:rsidP="00DE3662">
            <w:pPr>
              <w:spacing w:beforeLines="20" w:before="48" w:afterLines="20" w:after="48"/>
              <w:rPr>
                <w:rFonts w:ascii="Arial Narrow" w:hAnsi="Arial Narrow"/>
                <w:i/>
                <w:sz w:val="20"/>
                <w:szCs w:val="20"/>
                <w:highlight w:val="black"/>
                <w:lang w:eastAsia="en-US"/>
              </w:rPr>
            </w:pPr>
            <w:r>
              <w:rPr>
                <w:rFonts w:ascii="Arial Narrow" w:hAnsi="Arial Narrow"/>
                <w:noProof/>
                <w:color w:val="000000"/>
                <w:sz w:val="20"/>
                <w:szCs w:val="20"/>
                <w:highlight w:val="black"/>
              </w:rPr>
              <w:t>''''''''''''''</w:t>
            </w:r>
          </w:p>
        </w:tc>
        <w:tc>
          <w:tcPr>
            <w:tcW w:w="768" w:type="pct"/>
            <w:shd w:val="clear" w:color="auto" w:fill="auto"/>
          </w:tcPr>
          <w:p w:rsidR="00AA37D5" w:rsidRPr="004978B4" w:rsidRDefault="004978B4" w:rsidP="00DE3662">
            <w:pPr>
              <w:spacing w:beforeLines="20" w:before="48" w:afterLines="20" w:after="48"/>
              <w:rPr>
                <w:rFonts w:ascii="Arial Narrow" w:hAnsi="Arial Narrow"/>
                <w:i/>
                <w:sz w:val="20"/>
                <w:szCs w:val="20"/>
                <w:highlight w:val="black"/>
                <w:lang w:eastAsia="en-US"/>
              </w:rPr>
            </w:pPr>
            <w:r>
              <w:rPr>
                <w:rFonts w:ascii="Arial Narrow" w:hAnsi="Arial Narrow"/>
                <w:noProof/>
                <w:color w:val="000000"/>
                <w:sz w:val="20"/>
                <w:szCs w:val="20"/>
                <w:highlight w:val="black"/>
              </w:rPr>
              <w:t>''''''''''''''''</w:t>
            </w:r>
          </w:p>
        </w:tc>
        <w:tc>
          <w:tcPr>
            <w:tcW w:w="768" w:type="pct"/>
            <w:shd w:val="clear" w:color="auto" w:fill="auto"/>
          </w:tcPr>
          <w:p w:rsidR="00AA37D5" w:rsidRPr="004978B4" w:rsidRDefault="004978B4" w:rsidP="00DE3662">
            <w:pPr>
              <w:spacing w:beforeLines="20" w:before="48" w:afterLines="20" w:after="48"/>
              <w:rPr>
                <w:rFonts w:ascii="Arial Narrow" w:hAnsi="Arial Narrow"/>
                <w:i/>
                <w:sz w:val="20"/>
                <w:szCs w:val="20"/>
                <w:highlight w:val="black"/>
                <w:lang w:eastAsia="en-US"/>
              </w:rPr>
            </w:pPr>
            <w:r>
              <w:rPr>
                <w:rFonts w:ascii="Arial Narrow" w:hAnsi="Arial Narrow"/>
                <w:noProof/>
                <w:color w:val="000000"/>
                <w:sz w:val="20"/>
                <w:szCs w:val="20"/>
                <w:highlight w:val="black"/>
              </w:rPr>
              <w:t>'''''''''''''</w:t>
            </w:r>
          </w:p>
        </w:tc>
        <w:tc>
          <w:tcPr>
            <w:tcW w:w="767" w:type="pct"/>
            <w:shd w:val="clear" w:color="auto" w:fill="auto"/>
          </w:tcPr>
          <w:p w:rsidR="00AA37D5" w:rsidRPr="004978B4" w:rsidRDefault="004978B4" w:rsidP="00DE3662">
            <w:pPr>
              <w:spacing w:beforeLines="20" w:before="48" w:afterLines="20" w:after="48"/>
              <w:rPr>
                <w:rFonts w:ascii="Arial Narrow" w:hAnsi="Arial Narrow"/>
                <w:i/>
                <w:sz w:val="20"/>
                <w:szCs w:val="20"/>
                <w:highlight w:val="black"/>
                <w:lang w:eastAsia="en-US"/>
              </w:rPr>
            </w:pPr>
            <w:r>
              <w:rPr>
                <w:rFonts w:ascii="Arial Narrow" w:hAnsi="Arial Narrow"/>
                <w:noProof/>
                <w:color w:val="000000"/>
                <w:sz w:val="20"/>
                <w:szCs w:val="20"/>
                <w:highlight w:val="black"/>
              </w:rPr>
              <w:t>''''''''''''''''</w:t>
            </w:r>
          </w:p>
        </w:tc>
      </w:tr>
      <w:tr w:rsidR="00AA37D5" w:rsidRPr="007C02B9" w:rsidTr="00E76202">
        <w:tc>
          <w:tcPr>
            <w:tcW w:w="1161" w:type="pct"/>
            <w:shd w:val="clear" w:color="auto" w:fill="auto"/>
            <w:vAlign w:val="center"/>
          </w:tcPr>
          <w:p w:rsidR="00AA37D5" w:rsidRPr="00AA37D5" w:rsidRDefault="00AA37D5" w:rsidP="00DE3662">
            <w:pPr>
              <w:spacing w:beforeLines="20" w:before="48" w:afterLines="20" w:after="48"/>
              <w:rPr>
                <w:rFonts w:ascii="Arial Narrow" w:hAnsi="Arial Narrow"/>
                <w:i/>
                <w:sz w:val="20"/>
                <w:szCs w:val="20"/>
                <w:lang w:eastAsia="en-US"/>
              </w:rPr>
            </w:pPr>
            <w:r w:rsidRPr="00AA37D5">
              <w:rPr>
                <w:rFonts w:ascii="Arial Narrow" w:hAnsi="Arial Narrow"/>
                <w:i/>
                <w:sz w:val="20"/>
                <w:szCs w:val="20"/>
                <w:lang w:eastAsia="en-US"/>
              </w:rPr>
              <w:t>Gross cost to PBS/RPBS</w:t>
            </w:r>
          </w:p>
        </w:tc>
        <w:tc>
          <w:tcPr>
            <w:tcW w:w="768" w:type="pct"/>
            <w:shd w:val="clear" w:color="auto" w:fill="auto"/>
          </w:tcPr>
          <w:p w:rsidR="00AA37D5" w:rsidRPr="00AA37D5" w:rsidRDefault="00AA37D5" w:rsidP="00DE3662">
            <w:pPr>
              <w:spacing w:beforeLines="20" w:before="48" w:afterLines="20" w:after="48"/>
              <w:rPr>
                <w:rFonts w:ascii="Arial Narrow" w:hAnsi="Arial Narrow"/>
                <w:i/>
                <w:sz w:val="20"/>
                <w:szCs w:val="20"/>
                <w:lang w:eastAsia="en-US"/>
              </w:rPr>
            </w:pPr>
            <w:r w:rsidRPr="00AA37D5">
              <w:rPr>
                <w:rFonts w:ascii="Arial Narrow" w:hAnsi="Arial Narrow"/>
                <w:sz w:val="20"/>
                <w:szCs w:val="20"/>
              </w:rPr>
              <w:t>$</w:t>
            </w:r>
            <w:r w:rsidR="004978B4">
              <w:rPr>
                <w:rFonts w:ascii="Arial Narrow" w:hAnsi="Arial Narrow"/>
                <w:noProof/>
                <w:color w:val="000000"/>
                <w:sz w:val="20"/>
                <w:szCs w:val="20"/>
                <w:highlight w:val="black"/>
              </w:rPr>
              <w:t>'''''''''''''''''''''''''''''</w:t>
            </w:r>
          </w:p>
        </w:tc>
        <w:tc>
          <w:tcPr>
            <w:tcW w:w="768" w:type="pct"/>
            <w:shd w:val="clear" w:color="auto" w:fill="auto"/>
          </w:tcPr>
          <w:p w:rsidR="00AA37D5" w:rsidRPr="00AA37D5" w:rsidRDefault="00AA37D5" w:rsidP="00DE3662">
            <w:pPr>
              <w:spacing w:beforeLines="20" w:before="48" w:afterLines="20" w:after="48"/>
              <w:rPr>
                <w:rFonts w:ascii="Arial Narrow" w:hAnsi="Arial Narrow"/>
                <w:i/>
                <w:sz w:val="20"/>
                <w:szCs w:val="20"/>
                <w:lang w:eastAsia="en-US"/>
              </w:rPr>
            </w:pPr>
            <w:r w:rsidRPr="00AA37D5">
              <w:rPr>
                <w:rFonts w:ascii="Arial Narrow" w:hAnsi="Arial Narrow"/>
                <w:sz w:val="20"/>
                <w:szCs w:val="20"/>
              </w:rPr>
              <w:t>$</w:t>
            </w:r>
            <w:r w:rsidR="004978B4">
              <w:rPr>
                <w:rFonts w:ascii="Arial Narrow" w:hAnsi="Arial Narrow"/>
                <w:noProof/>
                <w:color w:val="000000"/>
                <w:sz w:val="20"/>
                <w:szCs w:val="20"/>
                <w:highlight w:val="black"/>
              </w:rPr>
              <w:t>'''''''''''''''''''''''''''</w:t>
            </w:r>
          </w:p>
        </w:tc>
        <w:tc>
          <w:tcPr>
            <w:tcW w:w="768" w:type="pct"/>
            <w:shd w:val="clear" w:color="auto" w:fill="auto"/>
          </w:tcPr>
          <w:p w:rsidR="00AA37D5" w:rsidRPr="00AA37D5" w:rsidRDefault="00AA37D5" w:rsidP="00DE3662">
            <w:pPr>
              <w:spacing w:beforeLines="20" w:before="48" w:afterLines="20" w:after="48"/>
              <w:rPr>
                <w:rFonts w:ascii="Arial Narrow" w:hAnsi="Arial Narrow"/>
                <w:i/>
                <w:sz w:val="20"/>
                <w:szCs w:val="20"/>
                <w:lang w:eastAsia="en-US"/>
              </w:rPr>
            </w:pPr>
            <w:r w:rsidRPr="00AA37D5">
              <w:rPr>
                <w:rFonts w:ascii="Arial Narrow" w:hAnsi="Arial Narrow"/>
                <w:sz w:val="20"/>
                <w:szCs w:val="20"/>
              </w:rPr>
              <w:t>$</w:t>
            </w:r>
            <w:r w:rsidR="004978B4">
              <w:rPr>
                <w:rFonts w:ascii="Arial Narrow" w:hAnsi="Arial Narrow"/>
                <w:noProof/>
                <w:color w:val="000000"/>
                <w:sz w:val="20"/>
                <w:szCs w:val="20"/>
                <w:highlight w:val="black"/>
              </w:rPr>
              <w:t>'''''''''''''''''''''''''''''</w:t>
            </w:r>
          </w:p>
        </w:tc>
        <w:tc>
          <w:tcPr>
            <w:tcW w:w="768" w:type="pct"/>
            <w:shd w:val="clear" w:color="auto" w:fill="auto"/>
          </w:tcPr>
          <w:p w:rsidR="00AA37D5" w:rsidRPr="00AA37D5" w:rsidRDefault="00AA37D5" w:rsidP="00DE3662">
            <w:pPr>
              <w:spacing w:beforeLines="20" w:before="48" w:afterLines="20" w:after="48"/>
              <w:rPr>
                <w:rFonts w:ascii="Arial Narrow" w:hAnsi="Arial Narrow"/>
                <w:i/>
                <w:sz w:val="20"/>
                <w:szCs w:val="20"/>
                <w:lang w:eastAsia="en-US"/>
              </w:rPr>
            </w:pPr>
            <w:r w:rsidRPr="00AA37D5">
              <w:rPr>
                <w:rFonts w:ascii="Arial Narrow" w:hAnsi="Arial Narrow"/>
                <w:sz w:val="20"/>
                <w:szCs w:val="20"/>
              </w:rPr>
              <w:t>$</w:t>
            </w:r>
            <w:r w:rsidR="004978B4">
              <w:rPr>
                <w:rFonts w:ascii="Arial Narrow" w:hAnsi="Arial Narrow"/>
                <w:noProof/>
                <w:color w:val="000000"/>
                <w:sz w:val="20"/>
                <w:szCs w:val="20"/>
                <w:highlight w:val="black"/>
              </w:rPr>
              <w:t>''''''''''''''''''''''''''''''''</w:t>
            </w:r>
          </w:p>
        </w:tc>
        <w:tc>
          <w:tcPr>
            <w:tcW w:w="767" w:type="pct"/>
            <w:shd w:val="clear" w:color="auto" w:fill="auto"/>
          </w:tcPr>
          <w:p w:rsidR="00AA37D5" w:rsidRPr="00AA37D5" w:rsidRDefault="00AA37D5" w:rsidP="00DE3662">
            <w:pPr>
              <w:spacing w:beforeLines="20" w:before="48" w:afterLines="20" w:after="48"/>
              <w:rPr>
                <w:rFonts w:ascii="Arial Narrow" w:hAnsi="Arial Narrow"/>
                <w:i/>
                <w:sz w:val="20"/>
                <w:szCs w:val="20"/>
                <w:lang w:eastAsia="en-US"/>
              </w:rPr>
            </w:pPr>
            <w:r w:rsidRPr="00AA37D5">
              <w:rPr>
                <w:rFonts w:ascii="Arial Narrow" w:hAnsi="Arial Narrow"/>
                <w:sz w:val="20"/>
                <w:szCs w:val="20"/>
              </w:rPr>
              <w:t>$</w:t>
            </w:r>
            <w:r w:rsidR="004978B4">
              <w:rPr>
                <w:rFonts w:ascii="Arial Narrow" w:hAnsi="Arial Narrow"/>
                <w:noProof/>
                <w:color w:val="000000"/>
                <w:sz w:val="20"/>
                <w:szCs w:val="20"/>
                <w:highlight w:val="black"/>
              </w:rPr>
              <w:t>'''''''''''''''''''''''''''</w:t>
            </w:r>
          </w:p>
        </w:tc>
      </w:tr>
      <w:tr w:rsidR="00B04489" w:rsidRPr="007C02B9" w:rsidTr="007C02B9">
        <w:tc>
          <w:tcPr>
            <w:tcW w:w="5000" w:type="pct"/>
            <w:gridSpan w:val="6"/>
            <w:shd w:val="clear" w:color="auto" w:fill="auto"/>
            <w:vAlign w:val="center"/>
          </w:tcPr>
          <w:p w:rsidR="00B04489" w:rsidRPr="00AA37D5" w:rsidRDefault="00B04489" w:rsidP="00DE3662">
            <w:pPr>
              <w:spacing w:beforeLines="20" w:before="48" w:afterLines="20" w:after="48"/>
              <w:rPr>
                <w:rFonts w:ascii="Arial Narrow" w:hAnsi="Arial Narrow"/>
                <w:bCs/>
                <w:i/>
                <w:color w:val="000000"/>
                <w:sz w:val="20"/>
                <w:szCs w:val="20"/>
                <w:lang w:eastAsia="en-US"/>
              </w:rPr>
            </w:pPr>
            <w:r w:rsidRPr="00AA37D5">
              <w:rPr>
                <w:rFonts w:ascii="Arial Narrow" w:hAnsi="Arial Narrow"/>
                <w:b/>
                <w:i/>
                <w:sz w:val="20"/>
                <w:szCs w:val="20"/>
                <w:lang w:eastAsia="en-US"/>
              </w:rPr>
              <w:t>With rebate applied</w:t>
            </w:r>
          </w:p>
        </w:tc>
      </w:tr>
      <w:tr w:rsidR="00E76202" w:rsidRPr="007C02B9" w:rsidTr="00E76202">
        <w:tc>
          <w:tcPr>
            <w:tcW w:w="1161" w:type="pct"/>
            <w:shd w:val="clear" w:color="auto" w:fill="auto"/>
            <w:vAlign w:val="center"/>
          </w:tcPr>
          <w:p w:rsidR="00E76202" w:rsidRPr="00AA37D5" w:rsidRDefault="00E76202">
            <w:pPr>
              <w:spacing w:beforeLines="20" w:before="48" w:afterLines="20" w:after="48"/>
              <w:rPr>
                <w:rFonts w:ascii="Arial Narrow" w:hAnsi="Arial Narrow"/>
                <w:i/>
                <w:sz w:val="20"/>
                <w:szCs w:val="20"/>
                <w:lang w:eastAsia="en-US"/>
              </w:rPr>
            </w:pPr>
            <w:r w:rsidRPr="00AA37D5">
              <w:rPr>
                <w:rFonts w:ascii="Arial Narrow" w:hAnsi="Arial Narrow"/>
                <w:i/>
                <w:sz w:val="20"/>
                <w:szCs w:val="20"/>
                <w:lang w:eastAsia="en-US"/>
              </w:rPr>
              <w:t xml:space="preserve">With </w:t>
            </w:r>
            <w:r w:rsidR="004978B4">
              <w:rPr>
                <w:rFonts w:ascii="Arial Narrow" w:hAnsi="Arial Narrow"/>
                <w:i/>
                <w:noProof/>
                <w:color w:val="000000"/>
                <w:sz w:val="20"/>
                <w:szCs w:val="20"/>
                <w:highlight w:val="black"/>
                <w:lang w:eastAsia="en-US"/>
              </w:rPr>
              <w:t>''''''''''''''</w:t>
            </w:r>
            <w:r w:rsidRPr="00AA37D5">
              <w:rPr>
                <w:rFonts w:ascii="Arial Narrow" w:hAnsi="Arial Narrow"/>
                <w:i/>
                <w:sz w:val="20"/>
                <w:szCs w:val="20"/>
                <w:lang w:eastAsia="en-US"/>
              </w:rPr>
              <w:t>% rebate ($</w:t>
            </w:r>
            <w:r w:rsidR="004978B4">
              <w:rPr>
                <w:rFonts w:ascii="Arial Narrow" w:hAnsi="Arial Narrow"/>
                <w:i/>
                <w:noProof/>
                <w:color w:val="000000"/>
                <w:sz w:val="20"/>
                <w:szCs w:val="20"/>
                <w:highlight w:val="black"/>
                <w:lang w:eastAsia="en-US"/>
              </w:rPr>
              <w:t>''''''''''''''''</w:t>
            </w:r>
            <w:r w:rsidRPr="00AA37D5">
              <w:rPr>
                <w:rFonts w:ascii="Arial Narrow" w:hAnsi="Arial Narrow"/>
                <w:i/>
                <w:sz w:val="20"/>
                <w:szCs w:val="20"/>
                <w:lang w:eastAsia="en-US"/>
              </w:rPr>
              <w:t xml:space="preserve"> per patient per year)</w:t>
            </w:r>
          </w:p>
        </w:tc>
        <w:tc>
          <w:tcPr>
            <w:tcW w:w="768" w:type="pct"/>
            <w:shd w:val="clear" w:color="auto" w:fill="auto"/>
            <w:vAlign w:val="bottom"/>
          </w:tcPr>
          <w:p w:rsidR="00E76202" w:rsidRPr="00AA37D5" w:rsidRDefault="00E76202" w:rsidP="00AA37D5">
            <w:pPr>
              <w:spacing w:beforeLines="20" w:before="48" w:afterLines="20" w:after="48"/>
              <w:rPr>
                <w:rFonts w:ascii="Arial Narrow" w:hAnsi="Arial Narrow"/>
                <w:i/>
                <w:sz w:val="20"/>
                <w:szCs w:val="20"/>
                <w:lang w:eastAsia="en-US"/>
              </w:rPr>
            </w:pPr>
            <w:r w:rsidRPr="00AA37D5">
              <w:rPr>
                <w:rFonts w:ascii="Arial Narrow" w:hAnsi="Arial Narrow" w:cs="Calibri"/>
                <w:color w:val="000000"/>
                <w:sz w:val="20"/>
                <w:szCs w:val="20"/>
              </w:rPr>
              <w:t xml:space="preserve"> $</w:t>
            </w:r>
            <w:r w:rsidR="004978B4">
              <w:rPr>
                <w:rFonts w:ascii="Arial Narrow" w:hAnsi="Arial Narrow" w:cs="Calibri"/>
                <w:noProof/>
                <w:color w:val="000000"/>
                <w:sz w:val="20"/>
                <w:szCs w:val="20"/>
                <w:highlight w:val="black"/>
              </w:rPr>
              <w:t>''''''''''''''''''''''''</w:t>
            </w:r>
            <w:r w:rsidRPr="00AA37D5">
              <w:rPr>
                <w:rFonts w:ascii="Arial Narrow" w:hAnsi="Arial Narrow" w:cs="Calibri"/>
                <w:color w:val="000000"/>
                <w:sz w:val="20"/>
                <w:szCs w:val="20"/>
              </w:rPr>
              <w:t xml:space="preserve"> </w:t>
            </w:r>
          </w:p>
        </w:tc>
        <w:tc>
          <w:tcPr>
            <w:tcW w:w="768" w:type="pct"/>
            <w:shd w:val="clear" w:color="auto" w:fill="auto"/>
            <w:vAlign w:val="bottom"/>
          </w:tcPr>
          <w:p w:rsidR="00E76202" w:rsidRPr="00AA37D5" w:rsidRDefault="00E76202" w:rsidP="006A3504">
            <w:pPr>
              <w:spacing w:beforeLines="20" w:before="48" w:afterLines="20" w:after="48"/>
              <w:rPr>
                <w:rFonts w:ascii="Arial Narrow" w:hAnsi="Arial Narrow"/>
                <w:i/>
                <w:sz w:val="20"/>
                <w:szCs w:val="20"/>
                <w:lang w:eastAsia="en-US"/>
              </w:rPr>
            </w:pPr>
            <w:r w:rsidRPr="00AA37D5">
              <w:rPr>
                <w:rFonts w:ascii="Arial Narrow" w:hAnsi="Arial Narrow" w:cs="Calibri"/>
                <w:color w:val="000000"/>
                <w:sz w:val="20"/>
                <w:szCs w:val="20"/>
              </w:rPr>
              <w:t xml:space="preserve"> $</w:t>
            </w:r>
            <w:r w:rsidR="004978B4">
              <w:rPr>
                <w:rFonts w:ascii="Arial Narrow" w:hAnsi="Arial Narrow" w:cs="Calibri"/>
                <w:noProof/>
                <w:color w:val="000000"/>
                <w:sz w:val="20"/>
                <w:szCs w:val="20"/>
                <w:highlight w:val="black"/>
              </w:rPr>
              <w:t>''''''''''''''''''''''''''</w:t>
            </w:r>
            <w:r w:rsidRPr="00AA37D5">
              <w:rPr>
                <w:rFonts w:ascii="Arial Narrow" w:hAnsi="Arial Narrow" w:cs="Calibri"/>
                <w:color w:val="000000"/>
                <w:sz w:val="20"/>
                <w:szCs w:val="20"/>
              </w:rPr>
              <w:t xml:space="preserve"> </w:t>
            </w:r>
          </w:p>
        </w:tc>
        <w:tc>
          <w:tcPr>
            <w:tcW w:w="768" w:type="pct"/>
            <w:shd w:val="clear" w:color="auto" w:fill="auto"/>
            <w:vAlign w:val="bottom"/>
          </w:tcPr>
          <w:p w:rsidR="00E76202" w:rsidRPr="00AA37D5" w:rsidRDefault="00E76202" w:rsidP="006A3504">
            <w:pPr>
              <w:spacing w:beforeLines="20" w:before="48" w:afterLines="20" w:after="48"/>
              <w:rPr>
                <w:rFonts w:ascii="Arial Narrow" w:hAnsi="Arial Narrow"/>
                <w:i/>
                <w:sz w:val="20"/>
                <w:szCs w:val="20"/>
                <w:lang w:eastAsia="en-US"/>
              </w:rPr>
            </w:pPr>
            <w:r w:rsidRPr="00AA37D5">
              <w:rPr>
                <w:rFonts w:ascii="Arial Narrow" w:hAnsi="Arial Narrow" w:cs="Calibri"/>
                <w:color w:val="000000"/>
                <w:sz w:val="20"/>
                <w:szCs w:val="20"/>
              </w:rPr>
              <w:t xml:space="preserve"> $</w:t>
            </w:r>
            <w:r w:rsidR="004978B4">
              <w:rPr>
                <w:rFonts w:ascii="Arial Narrow" w:hAnsi="Arial Narrow" w:cs="Calibri"/>
                <w:noProof/>
                <w:color w:val="000000"/>
                <w:sz w:val="20"/>
                <w:szCs w:val="20"/>
                <w:highlight w:val="black"/>
              </w:rPr>
              <w:t>'''''''''''''''''''''''''''''</w:t>
            </w:r>
            <w:r w:rsidRPr="00AA37D5">
              <w:rPr>
                <w:rFonts w:ascii="Arial Narrow" w:hAnsi="Arial Narrow" w:cs="Calibri"/>
                <w:color w:val="000000"/>
                <w:sz w:val="20"/>
                <w:szCs w:val="20"/>
              </w:rPr>
              <w:t xml:space="preserve"> </w:t>
            </w:r>
          </w:p>
        </w:tc>
        <w:tc>
          <w:tcPr>
            <w:tcW w:w="768" w:type="pct"/>
            <w:shd w:val="clear" w:color="auto" w:fill="auto"/>
            <w:vAlign w:val="bottom"/>
          </w:tcPr>
          <w:p w:rsidR="00E76202" w:rsidRPr="00AA37D5" w:rsidRDefault="00E76202">
            <w:pPr>
              <w:spacing w:beforeLines="20" w:before="48" w:afterLines="20" w:after="48"/>
              <w:rPr>
                <w:rFonts w:ascii="Arial Narrow" w:hAnsi="Arial Narrow"/>
                <w:i/>
                <w:sz w:val="20"/>
                <w:szCs w:val="20"/>
                <w:lang w:eastAsia="en-US"/>
              </w:rPr>
            </w:pPr>
            <w:r w:rsidRPr="00AA37D5">
              <w:rPr>
                <w:rFonts w:ascii="Arial Narrow" w:hAnsi="Arial Narrow" w:cs="Calibri"/>
                <w:color w:val="000000"/>
                <w:sz w:val="20"/>
                <w:szCs w:val="20"/>
              </w:rPr>
              <w:t xml:space="preserve"> $</w:t>
            </w:r>
            <w:r w:rsidR="004978B4">
              <w:rPr>
                <w:rFonts w:ascii="Arial Narrow" w:hAnsi="Arial Narrow" w:cs="Calibri"/>
                <w:noProof/>
                <w:color w:val="000000"/>
                <w:sz w:val="20"/>
                <w:szCs w:val="20"/>
                <w:highlight w:val="black"/>
              </w:rPr>
              <w:t>''''''''''''''''''''''''''''</w:t>
            </w:r>
            <w:r w:rsidRPr="00AA37D5">
              <w:rPr>
                <w:rFonts w:ascii="Arial Narrow" w:hAnsi="Arial Narrow" w:cs="Calibri"/>
                <w:color w:val="000000"/>
                <w:sz w:val="20"/>
                <w:szCs w:val="20"/>
              </w:rPr>
              <w:t xml:space="preserve"> </w:t>
            </w:r>
          </w:p>
        </w:tc>
        <w:tc>
          <w:tcPr>
            <w:tcW w:w="767" w:type="pct"/>
            <w:shd w:val="clear" w:color="auto" w:fill="auto"/>
            <w:vAlign w:val="bottom"/>
          </w:tcPr>
          <w:p w:rsidR="00E76202" w:rsidRPr="00AA37D5" w:rsidRDefault="00E76202">
            <w:pPr>
              <w:spacing w:beforeLines="20" w:before="48" w:afterLines="20" w:after="48"/>
              <w:rPr>
                <w:rFonts w:ascii="Arial Narrow" w:hAnsi="Arial Narrow"/>
                <w:i/>
                <w:sz w:val="20"/>
                <w:szCs w:val="20"/>
                <w:lang w:eastAsia="en-US"/>
              </w:rPr>
            </w:pPr>
            <w:r w:rsidRPr="00AA37D5">
              <w:rPr>
                <w:rFonts w:ascii="Arial Narrow" w:hAnsi="Arial Narrow" w:cs="Calibri"/>
                <w:color w:val="000000"/>
                <w:sz w:val="20"/>
                <w:szCs w:val="20"/>
              </w:rPr>
              <w:t xml:space="preserve"> $</w:t>
            </w:r>
            <w:r w:rsidR="004978B4">
              <w:rPr>
                <w:rFonts w:ascii="Arial Narrow" w:hAnsi="Arial Narrow" w:cs="Calibri"/>
                <w:noProof/>
                <w:color w:val="000000"/>
                <w:sz w:val="20"/>
                <w:szCs w:val="20"/>
                <w:highlight w:val="black"/>
              </w:rPr>
              <w:t>'''''''''''''''''''''''''''</w:t>
            </w:r>
            <w:r w:rsidRPr="00AA37D5">
              <w:rPr>
                <w:rFonts w:ascii="Arial Narrow" w:hAnsi="Arial Narrow" w:cs="Calibri"/>
                <w:color w:val="000000"/>
                <w:sz w:val="20"/>
                <w:szCs w:val="20"/>
              </w:rPr>
              <w:t xml:space="preserve"> </w:t>
            </w:r>
          </w:p>
        </w:tc>
      </w:tr>
    </w:tbl>
    <w:p w:rsidR="00D06D64" w:rsidRDefault="00AA37D5" w:rsidP="00C4077F">
      <w:pPr>
        <w:rPr>
          <w:rFonts w:ascii="Arial Narrow" w:hAnsi="Arial Narrow"/>
          <w:sz w:val="16"/>
          <w:szCs w:val="16"/>
        </w:rPr>
      </w:pPr>
      <w:r>
        <w:rPr>
          <w:rFonts w:ascii="Arial Narrow" w:hAnsi="Arial Narrow"/>
          <w:sz w:val="16"/>
          <w:szCs w:val="16"/>
        </w:rPr>
        <w:t>* This number includes and adjustment to all for patients initiating and discontinuing treatment throughout the year (</w:t>
      </w:r>
      <w:r w:rsidR="008155BB">
        <w:rPr>
          <w:rFonts w:ascii="Arial Narrow" w:hAnsi="Arial Narrow"/>
          <w:sz w:val="16"/>
          <w:szCs w:val="16"/>
        </w:rPr>
        <w:t>i.e.</w:t>
      </w:r>
      <w:r>
        <w:rPr>
          <w:rFonts w:ascii="Arial Narrow" w:hAnsi="Arial Narrow"/>
          <w:sz w:val="16"/>
          <w:szCs w:val="16"/>
        </w:rPr>
        <w:t xml:space="preserve"> the patient number is expressed as the number treated for a full year equivalents) </w:t>
      </w:r>
    </w:p>
    <w:p w:rsidR="00AD5FFE" w:rsidRPr="007C02B9" w:rsidRDefault="00AD5FFE" w:rsidP="00AD5FFE">
      <w:pPr>
        <w:spacing w:after="120"/>
        <w:rPr>
          <w:rFonts w:ascii="Arial Narrow" w:eastAsiaTheme="minorHAnsi" w:hAnsi="Arial Narrow" w:cstheme="minorBidi"/>
          <w:sz w:val="16"/>
          <w:szCs w:val="16"/>
        </w:rPr>
      </w:pPr>
      <w:r w:rsidRPr="007C02B9">
        <w:rPr>
          <w:rFonts w:ascii="Arial Narrow" w:hAnsi="Arial Narrow"/>
          <w:sz w:val="16"/>
          <w:szCs w:val="16"/>
        </w:rPr>
        <w:t>Source: Compiled by the secretariat</w:t>
      </w:r>
      <w:r w:rsidR="00ED4CA4">
        <w:rPr>
          <w:rFonts w:ascii="Arial Narrow" w:hAnsi="Arial Narrow"/>
          <w:sz w:val="16"/>
          <w:szCs w:val="16"/>
        </w:rPr>
        <w:t xml:space="preserve"> based on submission section 4 spreadsheet with adjustments to remove patients &lt;12 years, to allow discontinuations in year 2 in line with outcomes of PROGRESS study, and with </w:t>
      </w:r>
      <w:r w:rsidR="00ED4CA4" w:rsidRPr="00ED4CA4">
        <w:rPr>
          <w:rFonts w:ascii="Arial Narrow" w:hAnsi="Arial Narrow"/>
          <w:sz w:val="16"/>
          <w:szCs w:val="16"/>
        </w:rPr>
        <w:t>initiating patients</w:t>
      </w:r>
      <w:r w:rsidR="00ED4CA4">
        <w:rPr>
          <w:rFonts w:ascii="Arial Narrow" w:hAnsi="Arial Narrow"/>
          <w:sz w:val="16"/>
          <w:szCs w:val="16"/>
        </w:rPr>
        <w:t xml:space="preserve"> in year 3 onwards</w:t>
      </w:r>
      <w:r w:rsidR="00ED4CA4" w:rsidRPr="00ED4CA4">
        <w:rPr>
          <w:rFonts w:ascii="Arial Narrow" w:hAnsi="Arial Narrow"/>
          <w:sz w:val="16"/>
          <w:szCs w:val="16"/>
        </w:rPr>
        <w:t xml:space="preserve"> </w:t>
      </w:r>
      <w:r w:rsidR="00ED4CA4">
        <w:rPr>
          <w:rFonts w:ascii="Arial Narrow" w:hAnsi="Arial Narrow"/>
          <w:sz w:val="16"/>
          <w:szCs w:val="16"/>
        </w:rPr>
        <w:t>receiving</w:t>
      </w:r>
      <w:r w:rsidR="00ED4CA4" w:rsidRPr="00ED4CA4">
        <w:rPr>
          <w:rFonts w:ascii="Arial Narrow" w:hAnsi="Arial Narrow"/>
          <w:sz w:val="16"/>
          <w:szCs w:val="16"/>
        </w:rPr>
        <w:t xml:space="preserve"> the equivalent of half of a year’s supply in the year in which they commence treatment</w:t>
      </w:r>
    </w:p>
    <w:p w:rsidR="00820D26" w:rsidRDefault="00820D26" w:rsidP="00820D26">
      <w:pPr>
        <w:rPr>
          <w:rFonts w:asciiTheme="minorHAnsi" w:hAnsiTheme="minorHAnsi"/>
          <w:lang w:val="en-US"/>
        </w:rPr>
      </w:pPr>
      <w:r>
        <w:rPr>
          <w:rFonts w:asciiTheme="minorHAnsi" w:hAnsiTheme="minorHAnsi"/>
          <w:lang w:val="en-US"/>
        </w:rPr>
        <w:t>The redacted table shows that at Year 5, the estimated number of patients was</w:t>
      </w:r>
      <w:r w:rsidR="00A8147B">
        <w:rPr>
          <w:rFonts w:asciiTheme="minorHAnsi" w:hAnsiTheme="minorHAnsi"/>
          <w:lang w:val="en-US"/>
        </w:rPr>
        <w:t xml:space="preserve"> less than</w:t>
      </w:r>
      <w:r>
        <w:rPr>
          <w:rFonts w:asciiTheme="minorHAnsi" w:hAnsiTheme="minorHAnsi"/>
          <w:lang w:val="en-US"/>
        </w:rPr>
        <w:t xml:space="preserve"> 10,000 </w:t>
      </w:r>
      <w:r w:rsidR="00A8147B">
        <w:rPr>
          <w:rFonts w:asciiTheme="minorHAnsi" w:hAnsiTheme="minorHAnsi"/>
          <w:lang w:val="en-US"/>
        </w:rPr>
        <w:t xml:space="preserve"> per year </w:t>
      </w:r>
      <w:r>
        <w:rPr>
          <w:rFonts w:asciiTheme="minorHAnsi" w:hAnsiTheme="minorHAnsi"/>
          <w:lang w:val="en-US"/>
        </w:rPr>
        <w:t xml:space="preserve">and the net cost to the PBS (with rebate) would be $60 </w:t>
      </w:r>
      <w:r w:rsidR="002E3029">
        <w:rPr>
          <w:rFonts w:asciiTheme="minorHAnsi" w:hAnsiTheme="minorHAnsi"/>
          <w:lang w:val="en-US"/>
        </w:rPr>
        <w:t xml:space="preserve"> more than </w:t>
      </w:r>
      <w:r>
        <w:rPr>
          <w:rFonts w:asciiTheme="minorHAnsi" w:hAnsiTheme="minorHAnsi"/>
          <w:lang w:val="en-US"/>
        </w:rPr>
        <w:t xml:space="preserve">$100 million. </w:t>
      </w:r>
    </w:p>
    <w:p w:rsidR="00820D26" w:rsidRPr="00820D26" w:rsidRDefault="00820D26" w:rsidP="00820D26">
      <w:pPr>
        <w:rPr>
          <w:rFonts w:asciiTheme="minorHAnsi" w:hAnsiTheme="minorHAnsi"/>
          <w:lang w:val="en-US"/>
        </w:rPr>
      </w:pPr>
    </w:p>
    <w:p w:rsidR="006A3504" w:rsidRPr="006A3504" w:rsidRDefault="006A3504" w:rsidP="006A3504">
      <w:pPr>
        <w:pStyle w:val="ListParagraph"/>
        <w:numPr>
          <w:ilvl w:val="1"/>
          <w:numId w:val="3"/>
        </w:numPr>
        <w:rPr>
          <w:rFonts w:asciiTheme="minorHAnsi" w:hAnsiTheme="minorHAnsi"/>
          <w:sz w:val="24"/>
          <w:lang w:val="en-US"/>
        </w:rPr>
      </w:pPr>
      <w:r w:rsidRPr="006A3504">
        <w:rPr>
          <w:rFonts w:asciiTheme="minorHAnsi" w:hAnsiTheme="minorHAnsi"/>
          <w:sz w:val="24"/>
          <w:lang w:val="en-US"/>
        </w:rPr>
        <w:t xml:space="preserve">The PBAC considered that patients with ppFEV1 &lt; 40% at baseline should be eligible for PBS-subsidised access to </w:t>
      </w:r>
      <w:proofErr w:type="spellStart"/>
      <w:r w:rsidRPr="006A3504">
        <w:rPr>
          <w:rFonts w:asciiTheme="minorHAnsi" w:hAnsiTheme="minorHAnsi"/>
          <w:sz w:val="24"/>
          <w:lang w:val="en-US"/>
        </w:rPr>
        <w:t>ivacaftor</w:t>
      </w:r>
      <w:proofErr w:type="spellEnd"/>
      <w:r w:rsidRPr="006A3504">
        <w:rPr>
          <w:rFonts w:asciiTheme="minorHAnsi" w:hAnsiTheme="minorHAnsi"/>
          <w:sz w:val="24"/>
          <w:lang w:val="en-US"/>
        </w:rPr>
        <w:t xml:space="preserve"> with </w:t>
      </w:r>
      <w:proofErr w:type="spellStart"/>
      <w:r w:rsidRPr="006A3504">
        <w:rPr>
          <w:rFonts w:asciiTheme="minorHAnsi" w:hAnsiTheme="minorHAnsi"/>
          <w:sz w:val="24"/>
          <w:lang w:val="en-US"/>
        </w:rPr>
        <w:t>lumacaftor</w:t>
      </w:r>
      <w:proofErr w:type="spellEnd"/>
      <w:r w:rsidRPr="006A3504">
        <w:rPr>
          <w:rFonts w:asciiTheme="minorHAnsi" w:hAnsiTheme="minorHAnsi"/>
          <w:sz w:val="24"/>
          <w:lang w:val="en-US"/>
        </w:rPr>
        <w:t xml:space="preserve">, irrespective that </w:t>
      </w:r>
      <w:r w:rsidR="008155BB" w:rsidRPr="006A3504">
        <w:rPr>
          <w:rFonts w:asciiTheme="minorHAnsi" w:hAnsiTheme="minorHAnsi"/>
          <w:sz w:val="24"/>
          <w:lang w:val="en-US"/>
        </w:rPr>
        <w:t>a</w:t>
      </w:r>
      <w:r w:rsidRPr="006A3504">
        <w:rPr>
          <w:rFonts w:asciiTheme="minorHAnsi" w:hAnsiTheme="minorHAnsi"/>
          <w:sz w:val="24"/>
          <w:lang w:val="en-US"/>
        </w:rPr>
        <w:t xml:space="preserve"> ppFEV1 &lt;40% was an exclusion criteria in the pivotal randomised clinical trials TRAFFIC and TRANSPORT.  A total of 39 (7.6%) patients with a ppFEV1 &lt; 40% were enrolled in the open label PROGRESS extension L400q12h/I and P-L400q12h/I study groups (PROGRESS study report Version</w:t>
      </w:r>
      <w:r w:rsidR="002D6558">
        <w:rPr>
          <w:rFonts w:asciiTheme="minorHAnsi" w:hAnsiTheme="minorHAnsi"/>
          <w:sz w:val="24"/>
          <w:lang w:val="en-US"/>
        </w:rPr>
        <w:t xml:space="preserve"> 1.0, 25 October 2016, pp 84).</w:t>
      </w:r>
      <w:r>
        <w:rPr>
          <w:rFonts w:asciiTheme="minorHAnsi" w:hAnsiTheme="minorHAnsi"/>
          <w:sz w:val="24"/>
          <w:lang w:val="en-US"/>
        </w:rPr>
        <w:t>The PBAC noted that the estimates in Table 17 include patients with a ppFEV1 &lt;40%.</w:t>
      </w:r>
    </w:p>
    <w:p w:rsidR="00AD6F59" w:rsidRPr="00A8147B" w:rsidRDefault="00DE3662" w:rsidP="00BF6AFE">
      <w:pPr>
        <w:pStyle w:val="ListParagraph"/>
        <w:widowControl/>
        <w:numPr>
          <w:ilvl w:val="1"/>
          <w:numId w:val="3"/>
        </w:numPr>
        <w:spacing w:before="120" w:after="160"/>
        <w:contextualSpacing w:val="0"/>
        <w:rPr>
          <w:rFonts w:asciiTheme="minorHAnsi" w:hAnsiTheme="minorHAnsi"/>
          <w:sz w:val="24"/>
          <w:lang w:val="en-US"/>
        </w:rPr>
      </w:pPr>
      <w:r w:rsidRPr="007C02B9">
        <w:rPr>
          <w:rFonts w:asciiTheme="minorHAnsi" w:hAnsiTheme="minorHAnsi"/>
          <w:sz w:val="24"/>
          <w:lang w:val="en-US"/>
        </w:rPr>
        <w:t xml:space="preserve">The </w:t>
      </w:r>
      <w:r w:rsidR="006A3504">
        <w:rPr>
          <w:rFonts w:asciiTheme="minorHAnsi" w:hAnsiTheme="minorHAnsi"/>
          <w:sz w:val="24"/>
          <w:lang w:val="en-US"/>
        </w:rPr>
        <w:t xml:space="preserve">PBAC noted that the sponsor proposed the effective price per patient be achieved </w:t>
      </w:r>
      <w:r w:rsidR="004978B4">
        <w:rPr>
          <w:rFonts w:asciiTheme="minorHAnsi" w:hAnsiTheme="minorHAnsi"/>
          <w:noProof/>
          <w:color w:val="000000"/>
          <w:sz w:val="24"/>
          <w:highlight w:val="black"/>
          <w:lang w:val="en-US"/>
        </w:rPr>
        <w:t>''''''''''''''''' ''' ''''''''''''''''' '''''''' '''''''''' '''''''''''' ''''''''''' ''''''''' '''''''''''''''' ''' ''''''''''''''''''' ''''''''''''' ''''''''''''''' '''''''''''' '''''''''''''''''''''''' '''' ''''' '''''''''''''''''''' '''''''''''''''''' '''''' '''''''''''''''' '''''''''''''''''' ''''' '''''''''''''''''''''' ''''' ''''' '''''''''''''' '''''''''''''''''' '''''' '''''''''''''''''''''' ''''' '''''' '''''''''''''' '''''''' '''''''' '''''''''''''''''' ''' ''''''' ''''''''''''''' '''''''''''''''''' '''''''' ''''''''' '''''''</w:t>
      </w:r>
      <w:r w:rsidR="00AD6F59" w:rsidRPr="00A8147B">
        <w:rPr>
          <w:rFonts w:asciiTheme="minorHAnsi" w:hAnsiTheme="minorHAnsi"/>
          <w:sz w:val="24"/>
          <w:lang w:val="en-US"/>
        </w:rPr>
        <w:t xml:space="preserve"> </w:t>
      </w:r>
      <w:bookmarkStart w:id="19" w:name="_Hlk517684832"/>
    </w:p>
    <w:p w:rsidR="006A3504" w:rsidRPr="004978B4" w:rsidRDefault="006A3504" w:rsidP="00BF6AFE">
      <w:pPr>
        <w:pStyle w:val="ListParagraph"/>
        <w:widowControl/>
        <w:numPr>
          <w:ilvl w:val="1"/>
          <w:numId w:val="3"/>
        </w:numPr>
        <w:spacing w:before="120" w:after="160"/>
        <w:contextualSpacing w:val="0"/>
        <w:rPr>
          <w:rFonts w:asciiTheme="minorHAnsi" w:hAnsiTheme="minorHAnsi"/>
          <w:sz w:val="24"/>
          <w:lang w:val="en-US"/>
        </w:rPr>
      </w:pPr>
      <w:r>
        <w:rPr>
          <w:rFonts w:asciiTheme="minorHAnsi" w:hAnsiTheme="minorHAnsi"/>
          <w:sz w:val="24"/>
          <w:lang w:val="en-US"/>
        </w:rPr>
        <w:t xml:space="preserve">The PBAC considered this approach to be associated with a significant risk </w:t>
      </w:r>
      <w:r w:rsidR="004978B4">
        <w:rPr>
          <w:rFonts w:asciiTheme="minorHAnsi" w:hAnsiTheme="minorHAnsi"/>
          <w:noProof/>
          <w:color w:val="000000"/>
          <w:sz w:val="24"/>
          <w:highlight w:val="black"/>
          <w:lang w:val="en-US"/>
        </w:rPr>
        <w:t>''''''''' ''''''' ''''''''''''''''''''''''' '''''''''''' ''''''' '' ''''''''''''' '''''''''''''' '''''''''' '''''''''''''' '''''' '''''''''''''' ''''''' '''''''' '''' '''''' '''''''''''''''''' ''''' ''''''' ''''''''''' ''' '''''''''''''''''''''' '''''' ''''''' '''''''''''''' ''''''''''''''''' ''''''''' ''''''''''' '''''''''''''''''  '''''''' '''''''''' '''''''''''''''''''''' '''''' ''''''''''' '''''''''' ''''''''''''''''''' ''''' '''''''''''''''''''' ''' '''''''''''''''''''' ''''''''''' ''''''''''''''''' '''''''''''''''''''''' '''' '''''''''''''''' ''''''' ''''''''''''''''''''''''' '''''' ''''''''''''''' ''''''''''' ''''''' ''''' ''''''''''''' '''''''''''''''' '''''' '''' '''''''''''''''' ''''''' '''''''''' ''''''' '''' ''''''''''''''''''''''' '''''''''''' ''''''''' ''''''''''''''''''''''''''' ''''''''''''''' ''''''' '''''''</w:t>
      </w:r>
    </w:p>
    <w:p w:rsidR="00AD6F59" w:rsidRDefault="00AD6F59" w:rsidP="007C344B">
      <w:pPr>
        <w:pStyle w:val="Heading2"/>
        <w:rPr>
          <w:rFonts w:asciiTheme="minorHAnsi" w:eastAsiaTheme="majorEastAsia" w:hAnsiTheme="minorHAnsi" w:cstheme="majorBidi"/>
          <w:sz w:val="28"/>
          <w:szCs w:val="28"/>
          <w:lang w:eastAsia="en-US"/>
        </w:rPr>
      </w:pPr>
      <w:bookmarkStart w:id="20" w:name="_Toc514233102"/>
      <w:bookmarkEnd w:id="19"/>
      <w:r w:rsidRPr="00AD6F59">
        <w:rPr>
          <w:rFonts w:asciiTheme="minorHAnsi" w:eastAsiaTheme="majorEastAsia" w:hAnsiTheme="minorHAnsi" w:cstheme="majorBidi"/>
          <w:sz w:val="28"/>
          <w:szCs w:val="28"/>
          <w:lang w:eastAsia="en-US"/>
        </w:rPr>
        <w:t xml:space="preserve">Managed Access Program </w:t>
      </w:r>
    </w:p>
    <w:p w:rsidR="00837AFE" w:rsidRPr="00C4077F" w:rsidRDefault="00837AFE" w:rsidP="00837AFE">
      <w:pPr>
        <w:pStyle w:val="ListParagraph"/>
        <w:widowControl/>
        <w:numPr>
          <w:ilvl w:val="1"/>
          <w:numId w:val="3"/>
        </w:numPr>
        <w:spacing w:before="120" w:after="160"/>
        <w:contextualSpacing w:val="0"/>
        <w:rPr>
          <w:rFonts w:asciiTheme="minorHAnsi" w:hAnsiTheme="minorHAnsi" w:cstheme="minorHAnsi"/>
          <w:sz w:val="24"/>
          <w:szCs w:val="24"/>
          <w:lang w:val="en-US"/>
        </w:rPr>
      </w:pPr>
      <w:r>
        <w:rPr>
          <w:rFonts w:asciiTheme="minorHAnsi" w:hAnsiTheme="minorHAnsi"/>
          <w:sz w:val="24"/>
          <w:lang w:val="en-US"/>
        </w:rPr>
        <w:t xml:space="preserve">The PBAC </w:t>
      </w:r>
      <w:r w:rsidR="00C8267D">
        <w:rPr>
          <w:rFonts w:asciiTheme="minorHAnsi" w:hAnsiTheme="minorHAnsi"/>
          <w:sz w:val="24"/>
          <w:lang w:val="en-US"/>
        </w:rPr>
        <w:t xml:space="preserve">considered that </w:t>
      </w:r>
      <w:r>
        <w:rPr>
          <w:rFonts w:asciiTheme="minorHAnsi" w:hAnsiTheme="minorHAnsi"/>
          <w:sz w:val="24"/>
          <w:lang w:val="en-US"/>
        </w:rPr>
        <w:t xml:space="preserve">a Managed Access Program (MAP) for </w:t>
      </w:r>
      <w:proofErr w:type="spellStart"/>
      <w:r>
        <w:rPr>
          <w:rFonts w:asciiTheme="minorHAnsi" w:hAnsiTheme="minorHAnsi"/>
          <w:sz w:val="24"/>
          <w:lang w:val="en-US"/>
        </w:rPr>
        <w:t>lumacaftor</w:t>
      </w:r>
      <w:proofErr w:type="spellEnd"/>
      <w:r>
        <w:rPr>
          <w:rFonts w:asciiTheme="minorHAnsi" w:hAnsiTheme="minorHAnsi"/>
          <w:sz w:val="24"/>
          <w:lang w:val="en-US"/>
        </w:rPr>
        <w:t xml:space="preserve"> with </w:t>
      </w:r>
      <w:proofErr w:type="spellStart"/>
      <w:r>
        <w:rPr>
          <w:rFonts w:asciiTheme="minorHAnsi" w:hAnsiTheme="minorHAnsi"/>
          <w:sz w:val="24"/>
          <w:lang w:val="en-US"/>
        </w:rPr>
        <w:t>ivacaftor</w:t>
      </w:r>
      <w:proofErr w:type="spellEnd"/>
      <w:r>
        <w:rPr>
          <w:rFonts w:asciiTheme="minorHAnsi" w:hAnsiTheme="minorHAnsi"/>
          <w:sz w:val="24"/>
          <w:lang w:val="en-US"/>
        </w:rPr>
        <w:t xml:space="preserve"> </w:t>
      </w:r>
      <w:r w:rsidR="00C8267D">
        <w:rPr>
          <w:rFonts w:asciiTheme="minorHAnsi" w:hAnsiTheme="minorHAnsi"/>
          <w:sz w:val="24"/>
          <w:lang w:val="en-US"/>
        </w:rPr>
        <w:t xml:space="preserve">would </w:t>
      </w:r>
      <w:r>
        <w:rPr>
          <w:rFonts w:asciiTheme="minorHAnsi" w:hAnsiTheme="minorHAnsi" w:cstheme="minorHAnsi"/>
          <w:sz w:val="24"/>
          <w:szCs w:val="24"/>
        </w:rPr>
        <w:t xml:space="preserve">allow patients to access treatment through the PBS whilst providing the sponsor with an extended period </w:t>
      </w:r>
      <w:r w:rsidRPr="00837AFE">
        <w:rPr>
          <w:rFonts w:asciiTheme="minorHAnsi" w:hAnsiTheme="minorHAnsi" w:cstheme="minorHAnsi"/>
          <w:sz w:val="24"/>
          <w:szCs w:val="24"/>
        </w:rPr>
        <w:t>to provide further data to satisfy the PBAC that the</w:t>
      </w:r>
      <w:r>
        <w:rPr>
          <w:rFonts w:asciiTheme="minorHAnsi" w:hAnsiTheme="minorHAnsi" w:cstheme="minorHAnsi"/>
          <w:sz w:val="24"/>
          <w:szCs w:val="24"/>
        </w:rPr>
        <w:t xml:space="preserve"> benefits of treatment </w:t>
      </w:r>
      <w:r w:rsidRPr="00837AFE">
        <w:rPr>
          <w:rFonts w:asciiTheme="minorHAnsi" w:hAnsiTheme="minorHAnsi" w:cstheme="minorHAnsi"/>
          <w:sz w:val="24"/>
          <w:szCs w:val="24"/>
        </w:rPr>
        <w:t>are sustained over a longer period</w:t>
      </w:r>
      <w:r w:rsidR="00AD6F59" w:rsidRPr="00837AFE">
        <w:rPr>
          <w:rFonts w:asciiTheme="minorHAnsi" w:hAnsiTheme="minorHAnsi" w:cstheme="minorHAnsi"/>
          <w:sz w:val="24"/>
          <w:szCs w:val="24"/>
        </w:rPr>
        <w:t xml:space="preserve">. </w:t>
      </w:r>
    </w:p>
    <w:p w:rsidR="00AD6F59" w:rsidRPr="00837AFE" w:rsidRDefault="00AD6F59" w:rsidP="00D44B48">
      <w:pPr>
        <w:pStyle w:val="ListParagraph"/>
        <w:widowControl/>
        <w:numPr>
          <w:ilvl w:val="1"/>
          <w:numId w:val="3"/>
        </w:numPr>
        <w:spacing w:before="120" w:after="160"/>
        <w:contextualSpacing w:val="0"/>
        <w:rPr>
          <w:rFonts w:asciiTheme="minorHAnsi" w:hAnsiTheme="minorHAnsi" w:cstheme="minorHAnsi"/>
          <w:sz w:val="24"/>
          <w:szCs w:val="24"/>
          <w:lang w:val="en-US"/>
        </w:rPr>
      </w:pPr>
      <w:r w:rsidRPr="00837AFE">
        <w:rPr>
          <w:rFonts w:asciiTheme="minorHAnsi" w:hAnsiTheme="minorHAnsi" w:cstheme="minorHAnsi"/>
          <w:sz w:val="24"/>
          <w:szCs w:val="24"/>
        </w:rPr>
        <w:lastRenderedPageBreak/>
        <w:t xml:space="preserve">Under </w:t>
      </w:r>
      <w:r w:rsidR="00C8267D">
        <w:rPr>
          <w:rFonts w:asciiTheme="minorHAnsi" w:hAnsiTheme="minorHAnsi" w:cstheme="minorHAnsi"/>
          <w:sz w:val="24"/>
          <w:szCs w:val="24"/>
        </w:rPr>
        <w:t xml:space="preserve">such an </w:t>
      </w:r>
      <w:r w:rsidR="00D44B48" w:rsidRPr="00837AFE">
        <w:rPr>
          <w:rFonts w:asciiTheme="minorHAnsi" w:hAnsiTheme="minorHAnsi" w:cstheme="minorHAnsi"/>
          <w:sz w:val="24"/>
          <w:szCs w:val="24"/>
        </w:rPr>
        <w:t xml:space="preserve">MAP, subsidy </w:t>
      </w:r>
      <w:r w:rsidR="00C8267D">
        <w:rPr>
          <w:rFonts w:asciiTheme="minorHAnsi" w:hAnsiTheme="minorHAnsi" w:cstheme="minorHAnsi"/>
          <w:sz w:val="24"/>
          <w:szCs w:val="24"/>
        </w:rPr>
        <w:t>c</w:t>
      </w:r>
      <w:r w:rsidR="00D44B48" w:rsidRPr="00837AFE">
        <w:rPr>
          <w:rFonts w:asciiTheme="minorHAnsi" w:hAnsiTheme="minorHAnsi" w:cstheme="minorHAnsi"/>
          <w:sz w:val="24"/>
          <w:szCs w:val="24"/>
        </w:rPr>
        <w:t>ould</w:t>
      </w:r>
      <w:r w:rsidRPr="00837AFE">
        <w:rPr>
          <w:rFonts w:asciiTheme="minorHAnsi" w:hAnsiTheme="minorHAnsi" w:cstheme="minorHAnsi"/>
          <w:sz w:val="24"/>
          <w:szCs w:val="24"/>
        </w:rPr>
        <w:t xml:space="preserve"> be paid at the sponsor’s asking price of $</w:t>
      </w:r>
      <w:r w:rsidR="004978B4">
        <w:rPr>
          <w:rFonts w:asciiTheme="minorHAnsi" w:hAnsiTheme="minorHAnsi" w:cstheme="minorHAnsi"/>
          <w:noProof/>
          <w:color w:val="000000"/>
          <w:sz w:val="24"/>
          <w:szCs w:val="24"/>
          <w:highlight w:val="black"/>
        </w:rPr>
        <w:t>''''''''''''</w:t>
      </w:r>
      <w:r w:rsidRPr="00837AFE">
        <w:rPr>
          <w:rFonts w:asciiTheme="minorHAnsi" w:hAnsiTheme="minorHAnsi" w:cstheme="minorHAnsi"/>
          <w:sz w:val="24"/>
          <w:szCs w:val="24"/>
        </w:rPr>
        <w:t xml:space="preserve"> per patient per year for a period of two and a half years to allow the sponsor to provide further data to satisfy the PBAC that the differences in the rates of decline in lung function (ppFEV</w:t>
      </w:r>
      <w:r w:rsidRPr="00837AFE">
        <w:rPr>
          <w:rFonts w:asciiTheme="minorHAnsi" w:hAnsiTheme="minorHAnsi" w:cstheme="minorHAnsi"/>
          <w:sz w:val="24"/>
          <w:szCs w:val="24"/>
          <w:vertAlign w:val="subscript"/>
        </w:rPr>
        <w:t>1</w:t>
      </w:r>
      <w:r w:rsidRPr="00837AFE">
        <w:rPr>
          <w:rFonts w:asciiTheme="minorHAnsi" w:hAnsiTheme="minorHAnsi" w:cstheme="minorHAnsi"/>
          <w:sz w:val="24"/>
          <w:szCs w:val="24"/>
        </w:rPr>
        <w:t>) and pulmonar</w:t>
      </w:r>
      <w:r w:rsidR="00D44B48" w:rsidRPr="00837AFE">
        <w:rPr>
          <w:rFonts w:asciiTheme="minorHAnsi" w:hAnsiTheme="minorHAnsi" w:cstheme="minorHAnsi"/>
          <w:sz w:val="24"/>
          <w:szCs w:val="24"/>
        </w:rPr>
        <w:t xml:space="preserve">y exacerbations observed over the </w:t>
      </w:r>
      <w:r w:rsidRPr="00837AFE">
        <w:rPr>
          <w:rFonts w:asciiTheme="minorHAnsi" w:hAnsiTheme="minorHAnsi" w:cstheme="minorHAnsi"/>
          <w:sz w:val="24"/>
          <w:szCs w:val="24"/>
        </w:rPr>
        <w:t xml:space="preserve">96 week trial period are sustained over a longer time period of at least 4 years in real clinical practice. </w:t>
      </w:r>
    </w:p>
    <w:p w:rsidR="00AD6F59" w:rsidRPr="0088666D" w:rsidRDefault="00A14D3A" w:rsidP="00D44B48">
      <w:pPr>
        <w:pStyle w:val="ListParagraph"/>
        <w:widowControl/>
        <w:numPr>
          <w:ilvl w:val="1"/>
          <w:numId w:val="3"/>
        </w:numPr>
        <w:spacing w:before="120" w:after="160"/>
        <w:contextualSpacing w:val="0"/>
        <w:rPr>
          <w:rFonts w:asciiTheme="minorHAnsi" w:hAnsiTheme="minorHAnsi" w:cstheme="minorHAnsi"/>
          <w:sz w:val="24"/>
          <w:szCs w:val="24"/>
          <w:lang w:val="en-US"/>
        </w:rPr>
      </w:pPr>
      <w:r>
        <w:rPr>
          <w:rFonts w:asciiTheme="minorHAnsi" w:hAnsiTheme="minorHAnsi" w:cstheme="minorHAnsi"/>
          <w:sz w:val="24"/>
          <w:szCs w:val="24"/>
        </w:rPr>
        <w:t>If, by</w:t>
      </w:r>
      <w:r w:rsidR="00AD6F59" w:rsidRPr="00837AFE">
        <w:rPr>
          <w:rFonts w:asciiTheme="minorHAnsi" w:hAnsiTheme="minorHAnsi" w:cstheme="minorHAnsi"/>
          <w:sz w:val="24"/>
          <w:szCs w:val="24"/>
        </w:rPr>
        <w:t xml:space="preserve"> the end of the two and a half year initial period of the MAP, the sponsor’s assum</w:t>
      </w:r>
      <w:r>
        <w:rPr>
          <w:rFonts w:asciiTheme="minorHAnsi" w:hAnsiTheme="minorHAnsi" w:cstheme="minorHAnsi"/>
          <w:sz w:val="24"/>
          <w:szCs w:val="24"/>
        </w:rPr>
        <w:t>ptions on rate of decline have not</w:t>
      </w:r>
      <w:r w:rsidR="00AD6F59" w:rsidRPr="00837AFE">
        <w:rPr>
          <w:rFonts w:asciiTheme="minorHAnsi" w:hAnsiTheme="minorHAnsi" w:cstheme="minorHAnsi"/>
          <w:sz w:val="24"/>
          <w:szCs w:val="24"/>
        </w:rPr>
        <w:t xml:space="preserve"> be</w:t>
      </w:r>
      <w:r>
        <w:rPr>
          <w:rFonts w:asciiTheme="minorHAnsi" w:hAnsiTheme="minorHAnsi" w:cstheme="minorHAnsi"/>
          <w:sz w:val="24"/>
          <w:szCs w:val="24"/>
        </w:rPr>
        <w:t>en substantiated or have</w:t>
      </w:r>
      <w:r w:rsidR="00AD6F59" w:rsidRPr="00837AFE">
        <w:rPr>
          <w:rFonts w:asciiTheme="minorHAnsi" w:hAnsiTheme="minorHAnsi" w:cstheme="minorHAnsi"/>
          <w:sz w:val="24"/>
          <w:szCs w:val="24"/>
        </w:rPr>
        <w:t xml:space="preserve"> only be</w:t>
      </w:r>
      <w:r>
        <w:rPr>
          <w:rFonts w:asciiTheme="minorHAnsi" w:hAnsiTheme="minorHAnsi" w:cstheme="minorHAnsi"/>
          <w:sz w:val="24"/>
          <w:szCs w:val="24"/>
        </w:rPr>
        <w:t>en</w:t>
      </w:r>
      <w:r w:rsidR="00AD6F59" w:rsidRPr="00837AFE">
        <w:rPr>
          <w:rFonts w:asciiTheme="minorHAnsi" w:hAnsiTheme="minorHAnsi" w:cstheme="minorHAnsi"/>
          <w:sz w:val="24"/>
          <w:szCs w:val="24"/>
        </w:rPr>
        <w:t xml:space="preserve"> partially substantiated, </w:t>
      </w:r>
      <w:r>
        <w:rPr>
          <w:rFonts w:asciiTheme="minorHAnsi" w:hAnsiTheme="minorHAnsi" w:cstheme="minorHAnsi"/>
          <w:sz w:val="24"/>
          <w:szCs w:val="24"/>
        </w:rPr>
        <w:t xml:space="preserve">through a submission to the PBAC and </w:t>
      </w:r>
      <w:r w:rsidR="00C8267D">
        <w:rPr>
          <w:rFonts w:asciiTheme="minorHAnsi" w:hAnsiTheme="minorHAnsi" w:cstheme="minorHAnsi"/>
          <w:sz w:val="24"/>
          <w:szCs w:val="24"/>
        </w:rPr>
        <w:t xml:space="preserve">the </w:t>
      </w:r>
      <w:r>
        <w:rPr>
          <w:rFonts w:asciiTheme="minorHAnsi" w:hAnsiTheme="minorHAnsi" w:cstheme="minorHAnsi"/>
          <w:sz w:val="24"/>
          <w:szCs w:val="24"/>
        </w:rPr>
        <w:t xml:space="preserve">PBAC affirming the cost-effectiveness of the medicine, </w:t>
      </w:r>
      <w:r w:rsidR="00AD6F59" w:rsidRPr="00837AFE">
        <w:rPr>
          <w:rFonts w:asciiTheme="minorHAnsi" w:hAnsiTheme="minorHAnsi" w:cstheme="minorHAnsi"/>
          <w:sz w:val="24"/>
          <w:szCs w:val="24"/>
        </w:rPr>
        <w:t xml:space="preserve">the </w:t>
      </w:r>
      <w:r w:rsidR="00C8267D">
        <w:rPr>
          <w:rFonts w:asciiTheme="minorHAnsi" w:hAnsiTheme="minorHAnsi" w:cstheme="minorHAnsi"/>
          <w:sz w:val="24"/>
          <w:szCs w:val="24"/>
        </w:rPr>
        <w:t xml:space="preserve">PBAC considered that the </w:t>
      </w:r>
      <w:r w:rsidR="00AD6F59" w:rsidRPr="00837AFE">
        <w:rPr>
          <w:rFonts w:asciiTheme="minorHAnsi" w:hAnsiTheme="minorHAnsi" w:cstheme="minorHAnsi"/>
          <w:sz w:val="24"/>
          <w:szCs w:val="24"/>
        </w:rPr>
        <w:t xml:space="preserve">price paid for </w:t>
      </w:r>
      <w:proofErr w:type="spellStart"/>
      <w:r w:rsidR="00AD6F59" w:rsidRPr="00837AFE">
        <w:rPr>
          <w:rFonts w:asciiTheme="minorHAnsi" w:hAnsiTheme="minorHAnsi" w:cstheme="minorHAnsi"/>
          <w:sz w:val="24"/>
          <w:szCs w:val="24"/>
        </w:rPr>
        <w:t>lumacaftor</w:t>
      </w:r>
      <w:proofErr w:type="spellEnd"/>
      <w:r w:rsidR="00AD6F59" w:rsidRPr="00837AFE">
        <w:rPr>
          <w:rFonts w:asciiTheme="minorHAnsi" w:hAnsiTheme="minorHAnsi" w:cstheme="minorHAnsi"/>
          <w:sz w:val="24"/>
          <w:szCs w:val="24"/>
        </w:rPr>
        <w:t xml:space="preserve"> with </w:t>
      </w:r>
      <w:proofErr w:type="spellStart"/>
      <w:r w:rsidR="00AD6F59" w:rsidRPr="00837AFE">
        <w:rPr>
          <w:rFonts w:asciiTheme="minorHAnsi" w:hAnsiTheme="minorHAnsi" w:cstheme="minorHAnsi"/>
          <w:sz w:val="24"/>
          <w:szCs w:val="24"/>
        </w:rPr>
        <w:t>ivacaftor</w:t>
      </w:r>
      <w:proofErr w:type="spellEnd"/>
      <w:r w:rsidR="00AD6F59" w:rsidRPr="00837AFE">
        <w:rPr>
          <w:rFonts w:asciiTheme="minorHAnsi" w:hAnsiTheme="minorHAnsi" w:cstheme="minorHAnsi"/>
          <w:sz w:val="24"/>
          <w:szCs w:val="24"/>
        </w:rPr>
        <w:t xml:space="preserve"> </w:t>
      </w:r>
      <w:r w:rsidR="00C8267D">
        <w:rPr>
          <w:rFonts w:asciiTheme="minorHAnsi" w:hAnsiTheme="minorHAnsi" w:cstheme="minorHAnsi"/>
          <w:sz w:val="24"/>
          <w:szCs w:val="24"/>
        </w:rPr>
        <w:t>sh</w:t>
      </w:r>
      <w:r w:rsidR="00AD6F59" w:rsidRPr="00837AFE">
        <w:rPr>
          <w:rFonts w:asciiTheme="minorHAnsi" w:hAnsiTheme="minorHAnsi" w:cstheme="minorHAnsi"/>
          <w:sz w:val="24"/>
          <w:szCs w:val="24"/>
        </w:rPr>
        <w:t>ould reduce to a level consistent with the evidence</w:t>
      </w:r>
      <w:r w:rsidR="00D44B48" w:rsidRPr="00837AFE">
        <w:rPr>
          <w:rFonts w:asciiTheme="minorHAnsi" w:hAnsiTheme="minorHAnsi" w:cstheme="minorHAnsi"/>
          <w:sz w:val="24"/>
          <w:szCs w:val="24"/>
        </w:rPr>
        <w:t xml:space="preserve"> provided</w:t>
      </w:r>
      <w:r w:rsidR="00AD6F59" w:rsidRPr="00837AFE">
        <w:rPr>
          <w:rFonts w:asciiTheme="minorHAnsi" w:hAnsiTheme="minorHAnsi" w:cstheme="minorHAnsi"/>
          <w:sz w:val="24"/>
          <w:szCs w:val="24"/>
        </w:rPr>
        <w:t xml:space="preserve">.  </w:t>
      </w:r>
      <w:r w:rsidR="00C8267D">
        <w:rPr>
          <w:rFonts w:asciiTheme="minorHAnsi" w:hAnsiTheme="minorHAnsi" w:cstheme="minorHAnsi"/>
          <w:sz w:val="24"/>
          <w:szCs w:val="24"/>
        </w:rPr>
        <w:t>If that were the case, t</w:t>
      </w:r>
      <w:r w:rsidR="00AD6F59" w:rsidRPr="00837AFE">
        <w:rPr>
          <w:rFonts w:asciiTheme="minorHAnsi" w:hAnsiTheme="minorHAnsi" w:cstheme="minorHAnsi"/>
          <w:sz w:val="24"/>
          <w:szCs w:val="24"/>
        </w:rPr>
        <w:t>he minimum price paid in the second half of the MAP would be $</w:t>
      </w:r>
      <w:r w:rsidR="004978B4">
        <w:rPr>
          <w:rFonts w:asciiTheme="minorHAnsi" w:hAnsiTheme="minorHAnsi" w:cstheme="minorHAnsi"/>
          <w:noProof/>
          <w:color w:val="000000"/>
          <w:sz w:val="24"/>
          <w:szCs w:val="24"/>
          <w:highlight w:val="black"/>
        </w:rPr>
        <w:t>'''''''''''''</w:t>
      </w:r>
      <w:r w:rsidR="00AD6F59" w:rsidRPr="00837AFE">
        <w:rPr>
          <w:rFonts w:asciiTheme="minorHAnsi" w:hAnsiTheme="minorHAnsi" w:cstheme="minorHAnsi"/>
          <w:sz w:val="24"/>
          <w:szCs w:val="24"/>
        </w:rPr>
        <w:t xml:space="preserve"> per patient per year consistent with the </w:t>
      </w:r>
      <w:r w:rsidR="00D44B48" w:rsidRPr="00171842">
        <w:rPr>
          <w:rFonts w:asciiTheme="minorHAnsi" w:hAnsiTheme="minorHAnsi" w:cstheme="minorHAnsi"/>
          <w:sz w:val="24"/>
          <w:szCs w:val="24"/>
        </w:rPr>
        <w:t xml:space="preserve">assumption that </w:t>
      </w:r>
      <w:r w:rsidR="00D44B48" w:rsidRPr="0088666D">
        <w:rPr>
          <w:rFonts w:asciiTheme="minorHAnsi" w:hAnsiTheme="minorHAnsi" w:cstheme="minorHAnsi"/>
          <w:sz w:val="24"/>
          <w:szCs w:val="24"/>
        </w:rPr>
        <w:t xml:space="preserve">patients treated with </w:t>
      </w:r>
      <w:proofErr w:type="spellStart"/>
      <w:r w:rsidR="00D44B48" w:rsidRPr="00837AFE">
        <w:rPr>
          <w:rFonts w:asciiTheme="minorHAnsi" w:hAnsiTheme="minorHAnsi" w:cstheme="minorHAnsi"/>
          <w:sz w:val="24"/>
          <w:szCs w:val="24"/>
        </w:rPr>
        <w:t>lumacaftor</w:t>
      </w:r>
      <w:proofErr w:type="spellEnd"/>
      <w:r w:rsidR="00D05B23">
        <w:rPr>
          <w:rFonts w:asciiTheme="minorHAnsi" w:hAnsiTheme="minorHAnsi" w:cstheme="minorHAnsi"/>
          <w:sz w:val="24"/>
          <w:szCs w:val="24"/>
        </w:rPr>
        <w:t>/</w:t>
      </w:r>
      <w:proofErr w:type="spellStart"/>
      <w:r w:rsidR="00AD6F59" w:rsidRPr="00837AFE">
        <w:rPr>
          <w:rFonts w:asciiTheme="minorHAnsi" w:hAnsiTheme="minorHAnsi" w:cstheme="minorHAnsi"/>
          <w:sz w:val="24"/>
          <w:szCs w:val="24"/>
        </w:rPr>
        <w:t>ivacaftor</w:t>
      </w:r>
      <w:proofErr w:type="spellEnd"/>
      <w:r w:rsidR="00AD6F59" w:rsidRPr="00837AFE">
        <w:rPr>
          <w:rFonts w:asciiTheme="minorHAnsi" w:hAnsiTheme="minorHAnsi" w:cstheme="minorHAnsi"/>
          <w:sz w:val="24"/>
          <w:szCs w:val="24"/>
        </w:rPr>
        <w:t xml:space="preserve"> maintain an advantage over untreated patients after 96 weeks, but </w:t>
      </w:r>
      <w:r w:rsidR="00AD6F59" w:rsidRPr="00171842">
        <w:rPr>
          <w:rFonts w:asciiTheme="minorHAnsi" w:hAnsiTheme="minorHAnsi" w:cstheme="minorHAnsi"/>
          <w:sz w:val="24"/>
          <w:szCs w:val="24"/>
        </w:rPr>
        <w:t>that treated patients decline at a similar rate to untreated patients.</w:t>
      </w:r>
    </w:p>
    <w:p w:rsidR="00D44B48" w:rsidRPr="00837AFE" w:rsidRDefault="00AD6F59" w:rsidP="00D44B48">
      <w:pPr>
        <w:pStyle w:val="ListParagraph"/>
        <w:widowControl/>
        <w:numPr>
          <w:ilvl w:val="1"/>
          <w:numId w:val="3"/>
        </w:numPr>
        <w:spacing w:before="120" w:after="160"/>
        <w:contextualSpacing w:val="0"/>
        <w:rPr>
          <w:rFonts w:asciiTheme="minorHAnsi" w:hAnsiTheme="minorHAnsi" w:cstheme="minorHAnsi"/>
          <w:sz w:val="24"/>
          <w:szCs w:val="24"/>
          <w:lang w:val="en-US"/>
        </w:rPr>
      </w:pPr>
      <w:r w:rsidRPr="00837AFE">
        <w:rPr>
          <w:rFonts w:asciiTheme="minorHAnsi" w:hAnsiTheme="minorHAnsi" w:cstheme="minorHAnsi"/>
          <w:sz w:val="24"/>
          <w:szCs w:val="24"/>
        </w:rPr>
        <w:t xml:space="preserve">The PBAC noted that under this MAP the indicative cost to the Commonwealth of subsidising </w:t>
      </w:r>
      <w:proofErr w:type="spellStart"/>
      <w:r w:rsidRPr="00837AFE">
        <w:rPr>
          <w:rFonts w:asciiTheme="minorHAnsi" w:hAnsiTheme="minorHAnsi" w:cstheme="minorHAnsi"/>
          <w:sz w:val="24"/>
          <w:szCs w:val="24"/>
        </w:rPr>
        <w:t>lumac</w:t>
      </w:r>
      <w:r w:rsidR="00D44B48" w:rsidRPr="00837AFE">
        <w:rPr>
          <w:rFonts w:asciiTheme="minorHAnsi" w:hAnsiTheme="minorHAnsi" w:cstheme="minorHAnsi"/>
          <w:sz w:val="24"/>
          <w:szCs w:val="24"/>
        </w:rPr>
        <w:t>aftor</w:t>
      </w:r>
      <w:proofErr w:type="spellEnd"/>
      <w:r w:rsidR="00D44B48" w:rsidRPr="00837AFE">
        <w:rPr>
          <w:rFonts w:asciiTheme="minorHAnsi" w:hAnsiTheme="minorHAnsi" w:cstheme="minorHAnsi"/>
          <w:sz w:val="24"/>
          <w:szCs w:val="24"/>
        </w:rPr>
        <w:t xml:space="preserve"> with </w:t>
      </w:r>
      <w:proofErr w:type="spellStart"/>
      <w:r w:rsidR="00D44B48" w:rsidRPr="00837AFE">
        <w:rPr>
          <w:rFonts w:asciiTheme="minorHAnsi" w:hAnsiTheme="minorHAnsi" w:cstheme="minorHAnsi"/>
          <w:sz w:val="24"/>
          <w:szCs w:val="24"/>
        </w:rPr>
        <w:t>ivacaftor</w:t>
      </w:r>
      <w:proofErr w:type="spellEnd"/>
      <w:r w:rsidR="00D44B48" w:rsidRPr="00837AFE">
        <w:rPr>
          <w:rFonts w:asciiTheme="minorHAnsi" w:hAnsiTheme="minorHAnsi" w:cstheme="minorHAnsi"/>
          <w:sz w:val="24"/>
          <w:szCs w:val="24"/>
        </w:rPr>
        <w:t xml:space="preserve"> for the 12 years and older</w:t>
      </w:r>
      <w:r w:rsidRPr="00837AFE">
        <w:rPr>
          <w:rFonts w:asciiTheme="minorHAnsi" w:hAnsiTheme="minorHAnsi" w:cstheme="minorHAnsi"/>
          <w:sz w:val="24"/>
          <w:szCs w:val="24"/>
        </w:rPr>
        <w:t xml:space="preserve"> age group would be </w:t>
      </w:r>
      <w:r w:rsidR="006F35B1">
        <w:rPr>
          <w:rFonts w:asciiTheme="minorHAnsi" w:hAnsiTheme="minorHAnsi" w:cstheme="minorHAnsi"/>
          <w:sz w:val="24"/>
          <w:szCs w:val="24"/>
        </w:rPr>
        <w:t>more than</w:t>
      </w:r>
      <w:r w:rsidRPr="00837AFE">
        <w:rPr>
          <w:rFonts w:asciiTheme="minorHAnsi" w:hAnsiTheme="minorHAnsi" w:cstheme="minorHAnsi"/>
          <w:sz w:val="24"/>
          <w:szCs w:val="24"/>
        </w:rPr>
        <w:t xml:space="preserve"> $</w:t>
      </w:r>
      <w:r w:rsidR="006F35B1">
        <w:rPr>
          <w:rFonts w:asciiTheme="minorHAnsi" w:hAnsiTheme="minorHAnsi" w:cstheme="minorHAnsi"/>
          <w:sz w:val="24"/>
          <w:szCs w:val="24"/>
        </w:rPr>
        <w:t>100</w:t>
      </w:r>
      <w:r w:rsidR="006F35B1" w:rsidRPr="00837AFE">
        <w:rPr>
          <w:rFonts w:asciiTheme="minorHAnsi" w:hAnsiTheme="minorHAnsi" w:cstheme="minorHAnsi"/>
          <w:sz w:val="24"/>
          <w:szCs w:val="24"/>
        </w:rPr>
        <w:t xml:space="preserve"> </w:t>
      </w:r>
      <w:r w:rsidRPr="00837AFE">
        <w:rPr>
          <w:rFonts w:asciiTheme="minorHAnsi" w:hAnsiTheme="minorHAnsi" w:cstheme="minorHAnsi"/>
          <w:sz w:val="24"/>
          <w:szCs w:val="24"/>
        </w:rPr>
        <w:t xml:space="preserve">million over 5 years, with the cost to the Commonwealth increasing </w:t>
      </w:r>
      <w:r w:rsidRPr="00033D8D">
        <w:rPr>
          <w:rFonts w:asciiTheme="minorHAnsi" w:hAnsiTheme="minorHAnsi" w:cstheme="minorHAnsi"/>
          <w:sz w:val="24"/>
          <w:szCs w:val="24"/>
        </w:rPr>
        <w:t>to up to</w:t>
      </w:r>
      <w:r w:rsidR="00834EE6" w:rsidRPr="00033D8D">
        <w:rPr>
          <w:rFonts w:asciiTheme="minorHAnsi" w:hAnsiTheme="minorHAnsi" w:cstheme="minorHAnsi"/>
          <w:sz w:val="24"/>
          <w:szCs w:val="24"/>
        </w:rPr>
        <w:t xml:space="preserve"> more than</w:t>
      </w:r>
      <w:r w:rsidRPr="00033D8D">
        <w:rPr>
          <w:rFonts w:asciiTheme="minorHAnsi" w:hAnsiTheme="minorHAnsi" w:cstheme="minorHAnsi"/>
          <w:sz w:val="24"/>
          <w:szCs w:val="24"/>
        </w:rPr>
        <w:t xml:space="preserve"> </w:t>
      </w:r>
      <w:r w:rsidR="00834EE6" w:rsidRPr="00033D8D">
        <w:rPr>
          <w:rFonts w:asciiTheme="minorHAnsi" w:hAnsiTheme="minorHAnsi" w:cstheme="minorHAnsi"/>
          <w:sz w:val="24"/>
          <w:szCs w:val="24"/>
        </w:rPr>
        <w:t>$</w:t>
      </w:r>
      <w:r w:rsidR="00C87E77" w:rsidRPr="00033D8D">
        <w:rPr>
          <w:rFonts w:asciiTheme="minorHAnsi" w:hAnsiTheme="minorHAnsi" w:cstheme="minorHAnsi"/>
          <w:sz w:val="24"/>
          <w:szCs w:val="24"/>
        </w:rPr>
        <w:t xml:space="preserve">100 </w:t>
      </w:r>
      <w:r w:rsidR="00834EE6" w:rsidRPr="00033D8D">
        <w:rPr>
          <w:rFonts w:asciiTheme="minorHAnsi" w:hAnsiTheme="minorHAnsi" w:cstheme="minorHAnsi"/>
          <w:sz w:val="24"/>
          <w:szCs w:val="24"/>
        </w:rPr>
        <w:t xml:space="preserve">million </w:t>
      </w:r>
      <w:r w:rsidRPr="00033D8D">
        <w:rPr>
          <w:rFonts w:asciiTheme="minorHAnsi" w:hAnsiTheme="minorHAnsi" w:cstheme="minorHAnsi"/>
          <w:sz w:val="24"/>
          <w:szCs w:val="24"/>
        </w:rPr>
        <w:t>over</w:t>
      </w:r>
      <w:r w:rsidRPr="00837AFE">
        <w:rPr>
          <w:rFonts w:asciiTheme="minorHAnsi" w:hAnsiTheme="minorHAnsi" w:cstheme="minorHAnsi"/>
          <w:sz w:val="24"/>
          <w:szCs w:val="24"/>
        </w:rPr>
        <w:t xml:space="preserve"> 5 years upon the sponsor satisfying the requ</w:t>
      </w:r>
      <w:r w:rsidR="00D44B48" w:rsidRPr="00837AFE">
        <w:rPr>
          <w:rFonts w:asciiTheme="minorHAnsi" w:hAnsiTheme="minorHAnsi" w:cstheme="minorHAnsi"/>
          <w:sz w:val="24"/>
          <w:szCs w:val="24"/>
        </w:rPr>
        <w:t>irements of the MAP (see Table 20</w:t>
      </w:r>
      <w:r w:rsidRPr="00837AFE">
        <w:rPr>
          <w:rFonts w:asciiTheme="minorHAnsi" w:hAnsiTheme="minorHAnsi" w:cstheme="minorHAnsi"/>
          <w:sz w:val="24"/>
          <w:szCs w:val="24"/>
        </w:rPr>
        <w:t>).</w:t>
      </w:r>
    </w:p>
    <w:p w:rsidR="00AD6F59" w:rsidRPr="00837AFE" w:rsidRDefault="00D44B48" w:rsidP="00D44B48">
      <w:pPr>
        <w:spacing w:beforeLines="20" w:before="48" w:afterLines="20" w:after="48"/>
        <w:contextualSpacing/>
        <w:rPr>
          <w:rFonts w:ascii="Arial Narrow" w:hAnsi="Arial Narrow"/>
          <w:b/>
          <w:sz w:val="20"/>
          <w:szCs w:val="20"/>
          <w:lang w:eastAsia="en-US"/>
        </w:rPr>
      </w:pPr>
      <w:r w:rsidRPr="00837AFE">
        <w:rPr>
          <w:rFonts w:ascii="Arial Narrow" w:hAnsi="Arial Narrow"/>
          <w:b/>
          <w:sz w:val="20"/>
          <w:szCs w:val="20"/>
          <w:lang w:eastAsia="en-US"/>
        </w:rPr>
        <w:t>Table 20</w:t>
      </w:r>
      <w:r w:rsidR="00AD6F59" w:rsidRPr="00837AFE">
        <w:rPr>
          <w:rFonts w:ascii="Arial Narrow" w:hAnsi="Arial Narrow"/>
          <w:b/>
          <w:sz w:val="20"/>
          <w:szCs w:val="20"/>
          <w:lang w:eastAsia="en-US"/>
        </w:rPr>
        <w:t xml:space="preserve">: Indicative cost to Commonwealth of listing </w:t>
      </w:r>
      <w:proofErr w:type="spellStart"/>
      <w:r w:rsidR="00AD6F59" w:rsidRPr="00837AFE">
        <w:rPr>
          <w:rFonts w:ascii="Arial Narrow" w:hAnsi="Arial Narrow"/>
          <w:b/>
          <w:sz w:val="20"/>
          <w:szCs w:val="20"/>
          <w:lang w:eastAsia="en-US"/>
        </w:rPr>
        <w:t>ivacaftor</w:t>
      </w:r>
      <w:proofErr w:type="spellEnd"/>
      <w:r w:rsidR="00AD6F59" w:rsidRPr="00837AFE">
        <w:rPr>
          <w:rFonts w:ascii="Arial Narrow" w:hAnsi="Arial Narrow"/>
          <w:b/>
          <w:sz w:val="20"/>
          <w:szCs w:val="20"/>
          <w:lang w:eastAsia="en-US"/>
        </w:rPr>
        <w:t xml:space="preserve"> with </w:t>
      </w:r>
      <w:proofErr w:type="spellStart"/>
      <w:r w:rsidR="00AD6F59" w:rsidRPr="00837AFE">
        <w:rPr>
          <w:rFonts w:ascii="Arial Narrow" w:hAnsi="Arial Narrow"/>
          <w:b/>
          <w:sz w:val="20"/>
          <w:szCs w:val="20"/>
          <w:lang w:eastAsia="en-US"/>
        </w:rPr>
        <w:t>lumacaftor</w:t>
      </w:r>
      <w:proofErr w:type="spellEnd"/>
      <w:r w:rsidR="00AD6F59" w:rsidRPr="00837AFE">
        <w:rPr>
          <w:rFonts w:ascii="Arial Narrow" w:hAnsi="Arial Narrow"/>
          <w:b/>
          <w:sz w:val="20"/>
          <w:szCs w:val="20"/>
          <w:lang w:eastAsia="en-US"/>
        </w:rPr>
        <w:t xml:space="preserve"> for patients aged 12 years and over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1"/>
        <w:gridCol w:w="1346"/>
        <w:gridCol w:w="1347"/>
        <w:gridCol w:w="1346"/>
        <w:gridCol w:w="1347"/>
        <w:gridCol w:w="1346"/>
        <w:gridCol w:w="1347"/>
      </w:tblGrid>
      <w:tr w:rsidR="00AD6F59" w:rsidRPr="00837AFE" w:rsidTr="00D44B48">
        <w:trPr>
          <w:trHeight w:val="296"/>
        </w:trPr>
        <w:tc>
          <w:tcPr>
            <w:tcW w:w="1101" w:type="dxa"/>
            <w:tcMar>
              <w:top w:w="0" w:type="dxa"/>
              <w:left w:w="108" w:type="dxa"/>
              <w:bottom w:w="0" w:type="dxa"/>
              <w:right w:w="108" w:type="dxa"/>
            </w:tcMar>
          </w:tcPr>
          <w:p w:rsidR="00AD6F59" w:rsidRPr="00837AFE" w:rsidRDefault="00AD6F59" w:rsidP="00224EB1">
            <w:pPr>
              <w:widowControl w:val="0"/>
              <w:spacing w:after="60"/>
              <w:rPr>
                <w:rFonts w:ascii="Arial Narrow" w:hAnsi="Arial Narrow"/>
                <w:snapToGrid w:val="0"/>
                <w:sz w:val="20"/>
                <w:szCs w:val="20"/>
              </w:rPr>
            </w:pPr>
          </w:p>
        </w:tc>
        <w:tc>
          <w:tcPr>
            <w:tcW w:w="1346"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b/>
                <w:snapToGrid w:val="0"/>
                <w:sz w:val="20"/>
                <w:szCs w:val="20"/>
              </w:rPr>
            </w:pPr>
            <w:r w:rsidRPr="00837AFE">
              <w:rPr>
                <w:rFonts w:ascii="Arial Narrow" w:hAnsi="Arial Narrow"/>
                <w:b/>
                <w:snapToGrid w:val="0"/>
                <w:sz w:val="20"/>
                <w:szCs w:val="20"/>
              </w:rPr>
              <w:t>Year 1</w:t>
            </w:r>
          </w:p>
        </w:tc>
        <w:tc>
          <w:tcPr>
            <w:tcW w:w="1347"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b/>
                <w:snapToGrid w:val="0"/>
                <w:sz w:val="20"/>
                <w:szCs w:val="20"/>
              </w:rPr>
            </w:pPr>
            <w:r w:rsidRPr="00837AFE">
              <w:rPr>
                <w:rFonts w:ascii="Arial Narrow" w:hAnsi="Arial Narrow"/>
                <w:b/>
                <w:snapToGrid w:val="0"/>
                <w:sz w:val="20"/>
                <w:szCs w:val="20"/>
              </w:rPr>
              <w:t>Year 2</w:t>
            </w:r>
          </w:p>
        </w:tc>
        <w:tc>
          <w:tcPr>
            <w:tcW w:w="1346"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b/>
                <w:snapToGrid w:val="0"/>
                <w:sz w:val="20"/>
                <w:szCs w:val="20"/>
              </w:rPr>
            </w:pPr>
            <w:r w:rsidRPr="00837AFE">
              <w:rPr>
                <w:rFonts w:ascii="Arial Narrow" w:hAnsi="Arial Narrow"/>
                <w:b/>
                <w:snapToGrid w:val="0"/>
                <w:sz w:val="20"/>
                <w:szCs w:val="20"/>
              </w:rPr>
              <w:t>Year 3</w:t>
            </w:r>
          </w:p>
        </w:tc>
        <w:tc>
          <w:tcPr>
            <w:tcW w:w="1347"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b/>
                <w:snapToGrid w:val="0"/>
                <w:sz w:val="20"/>
                <w:szCs w:val="20"/>
              </w:rPr>
            </w:pPr>
            <w:r w:rsidRPr="00837AFE">
              <w:rPr>
                <w:rFonts w:ascii="Arial Narrow" w:hAnsi="Arial Narrow"/>
                <w:b/>
                <w:snapToGrid w:val="0"/>
                <w:sz w:val="20"/>
                <w:szCs w:val="20"/>
              </w:rPr>
              <w:t>Year 4</w:t>
            </w:r>
          </w:p>
        </w:tc>
        <w:tc>
          <w:tcPr>
            <w:tcW w:w="1346"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b/>
                <w:snapToGrid w:val="0"/>
                <w:sz w:val="20"/>
                <w:szCs w:val="20"/>
              </w:rPr>
            </w:pPr>
            <w:r w:rsidRPr="00837AFE">
              <w:rPr>
                <w:rFonts w:ascii="Arial Narrow" w:hAnsi="Arial Narrow"/>
                <w:b/>
                <w:snapToGrid w:val="0"/>
                <w:sz w:val="20"/>
                <w:szCs w:val="20"/>
              </w:rPr>
              <w:t>Year 5</w:t>
            </w:r>
          </w:p>
        </w:tc>
        <w:tc>
          <w:tcPr>
            <w:tcW w:w="1347"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b/>
                <w:snapToGrid w:val="0"/>
                <w:sz w:val="20"/>
                <w:szCs w:val="20"/>
              </w:rPr>
            </w:pPr>
            <w:r w:rsidRPr="00837AFE">
              <w:rPr>
                <w:rFonts w:ascii="Arial Narrow" w:hAnsi="Arial Narrow"/>
                <w:b/>
                <w:snapToGrid w:val="0"/>
                <w:sz w:val="20"/>
                <w:szCs w:val="20"/>
              </w:rPr>
              <w:t>Total</w:t>
            </w:r>
          </w:p>
        </w:tc>
      </w:tr>
      <w:tr w:rsidR="00AD6F59" w:rsidRPr="00837AFE" w:rsidTr="00D44B48">
        <w:trPr>
          <w:trHeight w:val="887"/>
        </w:trPr>
        <w:tc>
          <w:tcPr>
            <w:tcW w:w="1101" w:type="dxa"/>
            <w:tcMar>
              <w:top w:w="0" w:type="dxa"/>
              <w:left w:w="108" w:type="dxa"/>
              <w:bottom w:w="0" w:type="dxa"/>
              <w:right w:w="108" w:type="dxa"/>
            </w:tcMar>
            <w:vAlign w:val="center"/>
            <w:hideMark/>
          </w:tcPr>
          <w:p w:rsidR="00AD6F59" w:rsidRPr="00837AFE" w:rsidRDefault="00AD6F59" w:rsidP="00224EB1">
            <w:pPr>
              <w:widowControl w:val="0"/>
              <w:spacing w:after="60"/>
              <w:rPr>
                <w:rFonts w:ascii="Arial Narrow" w:hAnsi="Arial Narrow"/>
                <w:b/>
                <w:snapToGrid w:val="0"/>
                <w:sz w:val="20"/>
                <w:szCs w:val="20"/>
              </w:rPr>
            </w:pPr>
            <w:r w:rsidRPr="00837AFE">
              <w:rPr>
                <w:rFonts w:ascii="Arial Narrow" w:hAnsi="Arial Narrow"/>
                <w:b/>
                <w:snapToGrid w:val="0"/>
                <w:sz w:val="20"/>
                <w:szCs w:val="20"/>
              </w:rPr>
              <w:t>MAP conditions not met</w:t>
            </w:r>
          </w:p>
        </w:tc>
        <w:tc>
          <w:tcPr>
            <w:tcW w:w="1346"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c>
          <w:tcPr>
            <w:tcW w:w="1347"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c>
          <w:tcPr>
            <w:tcW w:w="1346"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c>
          <w:tcPr>
            <w:tcW w:w="1347"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c>
          <w:tcPr>
            <w:tcW w:w="1346"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c>
          <w:tcPr>
            <w:tcW w:w="1347"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r>
      <w:tr w:rsidR="00AD6F59" w:rsidRPr="00837AFE" w:rsidTr="00D44B48">
        <w:trPr>
          <w:trHeight w:val="608"/>
        </w:trPr>
        <w:tc>
          <w:tcPr>
            <w:tcW w:w="1101" w:type="dxa"/>
            <w:tcMar>
              <w:top w:w="0" w:type="dxa"/>
              <w:left w:w="108" w:type="dxa"/>
              <w:bottom w:w="0" w:type="dxa"/>
              <w:right w:w="108" w:type="dxa"/>
            </w:tcMar>
            <w:vAlign w:val="center"/>
            <w:hideMark/>
          </w:tcPr>
          <w:p w:rsidR="00AD6F59" w:rsidRPr="00837AFE" w:rsidRDefault="00AD6F59" w:rsidP="00224EB1">
            <w:pPr>
              <w:widowControl w:val="0"/>
              <w:spacing w:after="60"/>
              <w:rPr>
                <w:rFonts w:ascii="Arial Narrow" w:hAnsi="Arial Narrow"/>
                <w:b/>
                <w:snapToGrid w:val="0"/>
                <w:sz w:val="20"/>
                <w:szCs w:val="20"/>
              </w:rPr>
            </w:pPr>
            <w:r w:rsidRPr="00837AFE">
              <w:rPr>
                <w:rFonts w:ascii="Arial Narrow" w:hAnsi="Arial Narrow"/>
                <w:b/>
                <w:snapToGrid w:val="0"/>
                <w:sz w:val="20"/>
                <w:szCs w:val="20"/>
              </w:rPr>
              <w:t>MAP conditions met</w:t>
            </w:r>
          </w:p>
        </w:tc>
        <w:tc>
          <w:tcPr>
            <w:tcW w:w="1346"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c>
          <w:tcPr>
            <w:tcW w:w="1347"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c>
          <w:tcPr>
            <w:tcW w:w="1346"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c>
          <w:tcPr>
            <w:tcW w:w="1347"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c>
          <w:tcPr>
            <w:tcW w:w="1346"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c>
          <w:tcPr>
            <w:tcW w:w="1347" w:type="dxa"/>
            <w:tcMar>
              <w:top w:w="0" w:type="dxa"/>
              <w:left w:w="108" w:type="dxa"/>
              <w:bottom w:w="0" w:type="dxa"/>
              <w:right w:w="108" w:type="dxa"/>
            </w:tcMar>
            <w:vAlign w:val="center"/>
            <w:hideMark/>
          </w:tcPr>
          <w:p w:rsidR="00AD6F59" w:rsidRPr="00837AFE" w:rsidRDefault="00AD6F59" w:rsidP="00224EB1">
            <w:pPr>
              <w:widowControl w:val="0"/>
              <w:spacing w:after="60"/>
              <w:jc w:val="center"/>
              <w:rPr>
                <w:rFonts w:ascii="Arial Narrow" w:hAnsi="Arial Narrow"/>
                <w:snapToGrid w:val="0"/>
                <w:sz w:val="20"/>
                <w:szCs w:val="20"/>
              </w:rPr>
            </w:pPr>
            <w:r w:rsidRPr="00837AFE">
              <w:rPr>
                <w:rFonts w:ascii="Arial Narrow" w:hAnsi="Arial Narrow"/>
                <w:snapToGrid w:val="0"/>
                <w:sz w:val="20"/>
                <w:szCs w:val="20"/>
              </w:rPr>
              <w:t>$</w:t>
            </w:r>
            <w:r w:rsidR="004978B4">
              <w:rPr>
                <w:rFonts w:ascii="Arial Narrow" w:hAnsi="Arial Narrow"/>
                <w:noProof/>
                <w:snapToGrid w:val="0"/>
                <w:color w:val="000000"/>
                <w:sz w:val="20"/>
                <w:szCs w:val="20"/>
                <w:highlight w:val="black"/>
              </w:rPr>
              <w:t>''''''''''''''''''''''''''''''''</w:t>
            </w:r>
          </w:p>
        </w:tc>
      </w:tr>
    </w:tbl>
    <w:p w:rsidR="00AD6F59" w:rsidRDefault="009E568A" w:rsidP="009E568A">
      <w:pPr>
        <w:pStyle w:val="ListParagraph"/>
        <w:widowControl/>
        <w:numPr>
          <w:ilvl w:val="1"/>
          <w:numId w:val="3"/>
        </w:numPr>
        <w:spacing w:before="120" w:after="160"/>
        <w:contextualSpacing w:val="0"/>
        <w:rPr>
          <w:rFonts w:asciiTheme="minorHAnsi" w:hAnsiTheme="minorHAnsi" w:cstheme="minorHAnsi"/>
          <w:sz w:val="24"/>
          <w:szCs w:val="24"/>
        </w:rPr>
      </w:pPr>
      <w:r w:rsidRPr="00837AFE">
        <w:rPr>
          <w:rFonts w:asciiTheme="minorHAnsi" w:hAnsiTheme="minorHAnsi" w:cstheme="minorHAnsi"/>
          <w:sz w:val="24"/>
          <w:szCs w:val="24"/>
        </w:rPr>
        <w:t>The estimated net cost to the PBS if the conditions of the MAP are met was $</w:t>
      </w:r>
      <w:r w:rsidR="006F35B1">
        <w:rPr>
          <w:rFonts w:asciiTheme="minorHAnsi" w:hAnsiTheme="minorHAnsi" w:cstheme="minorHAnsi"/>
          <w:sz w:val="24"/>
          <w:szCs w:val="24"/>
        </w:rPr>
        <w:t xml:space="preserve">60 </w:t>
      </w:r>
      <w:r w:rsidR="002E3029">
        <w:rPr>
          <w:rFonts w:asciiTheme="minorHAnsi" w:hAnsiTheme="minorHAnsi" w:cstheme="minorHAnsi"/>
          <w:sz w:val="24"/>
          <w:szCs w:val="24"/>
        </w:rPr>
        <w:t>– more than</w:t>
      </w:r>
      <w:r w:rsidR="006F35B1">
        <w:rPr>
          <w:rFonts w:asciiTheme="minorHAnsi" w:hAnsiTheme="minorHAnsi" w:cstheme="minorHAnsi"/>
          <w:sz w:val="24"/>
          <w:szCs w:val="24"/>
        </w:rPr>
        <w:t xml:space="preserve"> $100 </w:t>
      </w:r>
      <w:r w:rsidRPr="00837AFE">
        <w:rPr>
          <w:rFonts w:asciiTheme="minorHAnsi" w:hAnsiTheme="minorHAnsi" w:cstheme="minorHAnsi"/>
          <w:sz w:val="24"/>
          <w:szCs w:val="24"/>
        </w:rPr>
        <w:t>million in Year 1, increasing to $</w:t>
      </w:r>
      <w:r w:rsidR="006F35B1">
        <w:rPr>
          <w:rFonts w:asciiTheme="minorHAnsi" w:hAnsiTheme="minorHAnsi" w:cstheme="minorHAnsi"/>
          <w:sz w:val="24"/>
          <w:szCs w:val="24"/>
        </w:rPr>
        <w:t xml:space="preserve">60 </w:t>
      </w:r>
      <w:r w:rsidR="002E3029">
        <w:rPr>
          <w:rFonts w:asciiTheme="minorHAnsi" w:hAnsiTheme="minorHAnsi" w:cstheme="minorHAnsi"/>
          <w:sz w:val="24"/>
          <w:szCs w:val="24"/>
        </w:rPr>
        <w:t>–</w:t>
      </w:r>
      <w:r w:rsidR="006F35B1">
        <w:rPr>
          <w:rFonts w:asciiTheme="minorHAnsi" w:hAnsiTheme="minorHAnsi" w:cstheme="minorHAnsi"/>
          <w:sz w:val="24"/>
          <w:szCs w:val="24"/>
        </w:rPr>
        <w:t xml:space="preserve"> </w:t>
      </w:r>
      <w:r w:rsidR="002E3029">
        <w:rPr>
          <w:rFonts w:asciiTheme="minorHAnsi" w:hAnsiTheme="minorHAnsi" w:cstheme="minorHAnsi"/>
          <w:sz w:val="24"/>
          <w:szCs w:val="24"/>
        </w:rPr>
        <w:t xml:space="preserve">more than </w:t>
      </w:r>
      <w:r w:rsidR="006F35B1">
        <w:rPr>
          <w:rFonts w:asciiTheme="minorHAnsi" w:hAnsiTheme="minorHAnsi" w:cstheme="minorHAnsi"/>
          <w:sz w:val="24"/>
          <w:szCs w:val="24"/>
        </w:rPr>
        <w:t>$100</w:t>
      </w:r>
      <w:r w:rsidR="006F35B1" w:rsidRPr="00837AFE">
        <w:rPr>
          <w:rFonts w:asciiTheme="minorHAnsi" w:hAnsiTheme="minorHAnsi" w:cstheme="minorHAnsi"/>
          <w:sz w:val="24"/>
          <w:szCs w:val="24"/>
        </w:rPr>
        <w:t xml:space="preserve"> </w:t>
      </w:r>
      <w:r w:rsidRPr="00837AFE">
        <w:rPr>
          <w:rFonts w:asciiTheme="minorHAnsi" w:hAnsiTheme="minorHAnsi" w:cstheme="minorHAnsi"/>
          <w:sz w:val="24"/>
          <w:szCs w:val="24"/>
        </w:rPr>
        <w:t xml:space="preserve">million in Year 5. The cost over the first five years of listing to the PBS </w:t>
      </w:r>
      <w:r w:rsidRPr="00171842">
        <w:rPr>
          <w:rFonts w:asciiTheme="minorHAnsi" w:hAnsiTheme="minorHAnsi" w:cstheme="minorHAnsi"/>
          <w:sz w:val="24"/>
          <w:szCs w:val="24"/>
        </w:rPr>
        <w:t xml:space="preserve">was estimated to be </w:t>
      </w:r>
      <w:r w:rsidR="006F35B1">
        <w:rPr>
          <w:rFonts w:asciiTheme="minorHAnsi" w:hAnsiTheme="minorHAnsi" w:cstheme="minorHAnsi"/>
          <w:sz w:val="24"/>
          <w:szCs w:val="24"/>
        </w:rPr>
        <w:t xml:space="preserve">more than </w:t>
      </w:r>
      <w:r w:rsidRPr="00171842">
        <w:rPr>
          <w:rFonts w:asciiTheme="minorHAnsi" w:hAnsiTheme="minorHAnsi" w:cstheme="minorHAnsi"/>
          <w:sz w:val="24"/>
          <w:szCs w:val="24"/>
        </w:rPr>
        <w:t>$</w:t>
      </w:r>
      <w:r w:rsidR="006F35B1">
        <w:rPr>
          <w:rFonts w:asciiTheme="minorHAnsi" w:hAnsiTheme="minorHAnsi" w:cstheme="minorHAnsi"/>
          <w:sz w:val="24"/>
          <w:szCs w:val="24"/>
        </w:rPr>
        <w:t>100</w:t>
      </w:r>
      <w:r w:rsidRPr="00171842">
        <w:rPr>
          <w:rFonts w:asciiTheme="minorHAnsi" w:hAnsiTheme="minorHAnsi" w:cstheme="minorHAnsi"/>
          <w:sz w:val="24"/>
          <w:szCs w:val="24"/>
        </w:rPr>
        <w:t xml:space="preserve"> million. If the conditions of the MAP are not met, the estimated net cost to the PBS was $</w:t>
      </w:r>
      <w:r w:rsidR="006F35B1">
        <w:rPr>
          <w:rFonts w:asciiTheme="minorHAnsi" w:hAnsiTheme="minorHAnsi" w:cstheme="minorHAnsi"/>
          <w:sz w:val="24"/>
          <w:szCs w:val="24"/>
        </w:rPr>
        <w:t xml:space="preserve">60 </w:t>
      </w:r>
      <w:r w:rsidR="002E3029">
        <w:rPr>
          <w:rFonts w:asciiTheme="minorHAnsi" w:hAnsiTheme="minorHAnsi" w:cstheme="minorHAnsi"/>
          <w:sz w:val="24"/>
          <w:szCs w:val="24"/>
        </w:rPr>
        <w:t>–</w:t>
      </w:r>
      <w:r w:rsidR="006F35B1">
        <w:rPr>
          <w:rFonts w:asciiTheme="minorHAnsi" w:hAnsiTheme="minorHAnsi" w:cstheme="minorHAnsi"/>
          <w:sz w:val="24"/>
          <w:szCs w:val="24"/>
        </w:rPr>
        <w:t xml:space="preserve"> </w:t>
      </w:r>
      <w:r w:rsidR="002E3029">
        <w:rPr>
          <w:rFonts w:asciiTheme="minorHAnsi" w:hAnsiTheme="minorHAnsi" w:cstheme="minorHAnsi"/>
          <w:sz w:val="24"/>
          <w:szCs w:val="24"/>
        </w:rPr>
        <w:t xml:space="preserve">more than </w:t>
      </w:r>
      <w:r w:rsidR="006F35B1">
        <w:rPr>
          <w:rFonts w:asciiTheme="minorHAnsi" w:hAnsiTheme="minorHAnsi" w:cstheme="minorHAnsi"/>
          <w:sz w:val="24"/>
          <w:szCs w:val="24"/>
        </w:rPr>
        <w:t>$100</w:t>
      </w:r>
      <w:r w:rsidR="006F35B1" w:rsidRPr="00171842">
        <w:rPr>
          <w:rFonts w:asciiTheme="minorHAnsi" w:hAnsiTheme="minorHAnsi" w:cstheme="minorHAnsi"/>
          <w:sz w:val="24"/>
          <w:szCs w:val="24"/>
        </w:rPr>
        <w:t xml:space="preserve"> </w:t>
      </w:r>
      <w:r w:rsidRPr="00171842">
        <w:rPr>
          <w:rFonts w:asciiTheme="minorHAnsi" w:hAnsiTheme="minorHAnsi" w:cstheme="minorHAnsi"/>
          <w:sz w:val="24"/>
          <w:szCs w:val="24"/>
        </w:rPr>
        <w:t xml:space="preserve">million in Year 1, </w:t>
      </w:r>
      <w:r w:rsidRPr="0088666D">
        <w:rPr>
          <w:rFonts w:asciiTheme="minorHAnsi" w:hAnsiTheme="minorHAnsi" w:cstheme="minorHAnsi"/>
          <w:sz w:val="24"/>
          <w:szCs w:val="24"/>
        </w:rPr>
        <w:t>decreasing to $</w:t>
      </w:r>
      <w:r w:rsidR="006F35B1" w:rsidRPr="00837AFE">
        <w:rPr>
          <w:rFonts w:asciiTheme="minorHAnsi" w:hAnsiTheme="minorHAnsi" w:cstheme="minorHAnsi"/>
          <w:sz w:val="24"/>
          <w:szCs w:val="24"/>
        </w:rPr>
        <w:t>2</w:t>
      </w:r>
      <w:r w:rsidR="006F35B1">
        <w:rPr>
          <w:rFonts w:asciiTheme="minorHAnsi" w:hAnsiTheme="minorHAnsi" w:cstheme="minorHAnsi"/>
          <w:sz w:val="24"/>
          <w:szCs w:val="24"/>
        </w:rPr>
        <w:t>0 - $</w:t>
      </w:r>
      <w:r w:rsidR="002E3029">
        <w:rPr>
          <w:rFonts w:asciiTheme="minorHAnsi" w:hAnsiTheme="minorHAnsi" w:cstheme="minorHAnsi"/>
          <w:sz w:val="24"/>
          <w:szCs w:val="24"/>
        </w:rPr>
        <w:t>6</w:t>
      </w:r>
      <w:r w:rsidR="006F35B1">
        <w:rPr>
          <w:rFonts w:asciiTheme="minorHAnsi" w:hAnsiTheme="minorHAnsi" w:cstheme="minorHAnsi"/>
          <w:sz w:val="24"/>
          <w:szCs w:val="24"/>
        </w:rPr>
        <w:t>0</w:t>
      </w:r>
      <w:r w:rsidR="006F35B1" w:rsidRPr="00837AFE">
        <w:rPr>
          <w:rFonts w:asciiTheme="minorHAnsi" w:hAnsiTheme="minorHAnsi" w:cstheme="minorHAnsi"/>
          <w:sz w:val="24"/>
          <w:szCs w:val="24"/>
        </w:rPr>
        <w:t xml:space="preserve"> </w:t>
      </w:r>
      <w:r w:rsidRPr="00837AFE">
        <w:rPr>
          <w:rFonts w:asciiTheme="minorHAnsi" w:hAnsiTheme="minorHAnsi" w:cstheme="minorHAnsi"/>
          <w:sz w:val="24"/>
          <w:szCs w:val="24"/>
        </w:rPr>
        <w:t xml:space="preserve">million in Year 5. The cost over the first five years of listing to the PBS </w:t>
      </w:r>
      <w:r w:rsidR="00C8267D">
        <w:rPr>
          <w:rFonts w:asciiTheme="minorHAnsi" w:hAnsiTheme="minorHAnsi" w:cstheme="minorHAnsi"/>
          <w:sz w:val="24"/>
          <w:szCs w:val="24"/>
        </w:rPr>
        <w:t xml:space="preserve">in that scenario </w:t>
      </w:r>
      <w:r w:rsidRPr="00837AFE">
        <w:rPr>
          <w:rFonts w:asciiTheme="minorHAnsi" w:hAnsiTheme="minorHAnsi" w:cstheme="minorHAnsi"/>
          <w:sz w:val="24"/>
          <w:szCs w:val="24"/>
        </w:rPr>
        <w:t>was estimated to be</w:t>
      </w:r>
      <w:r w:rsidR="006F35B1">
        <w:rPr>
          <w:rFonts w:asciiTheme="minorHAnsi" w:hAnsiTheme="minorHAnsi" w:cstheme="minorHAnsi"/>
          <w:sz w:val="24"/>
          <w:szCs w:val="24"/>
        </w:rPr>
        <w:t xml:space="preserve"> more than </w:t>
      </w:r>
      <w:r w:rsidRPr="00837AFE">
        <w:rPr>
          <w:rFonts w:asciiTheme="minorHAnsi" w:hAnsiTheme="minorHAnsi" w:cstheme="minorHAnsi"/>
          <w:sz w:val="24"/>
          <w:szCs w:val="24"/>
        </w:rPr>
        <w:t>$</w:t>
      </w:r>
      <w:r w:rsidR="006F35B1">
        <w:rPr>
          <w:rFonts w:asciiTheme="minorHAnsi" w:hAnsiTheme="minorHAnsi" w:cstheme="minorHAnsi"/>
          <w:sz w:val="24"/>
          <w:szCs w:val="24"/>
        </w:rPr>
        <w:t>100</w:t>
      </w:r>
      <w:r w:rsidRPr="00837AFE">
        <w:rPr>
          <w:rFonts w:asciiTheme="minorHAnsi" w:hAnsiTheme="minorHAnsi" w:cstheme="minorHAnsi"/>
          <w:sz w:val="24"/>
          <w:szCs w:val="24"/>
        </w:rPr>
        <w:t xml:space="preserve"> million.</w:t>
      </w:r>
    </w:p>
    <w:p w:rsidR="00171842" w:rsidRPr="00171842" w:rsidRDefault="00171842" w:rsidP="00171842">
      <w:pPr>
        <w:pStyle w:val="ListParagraph"/>
        <w:widowControl/>
        <w:numPr>
          <w:ilvl w:val="1"/>
          <w:numId w:val="3"/>
        </w:numPr>
        <w:spacing w:before="120" w:after="160"/>
        <w:contextualSpacing w:val="0"/>
        <w:rPr>
          <w:rFonts w:asciiTheme="minorHAnsi" w:hAnsiTheme="minorHAnsi" w:cstheme="minorHAnsi"/>
          <w:sz w:val="24"/>
          <w:szCs w:val="24"/>
        </w:rPr>
      </w:pPr>
      <w:r w:rsidRPr="00171842">
        <w:rPr>
          <w:rFonts w:asciiTheme="minorHAnsi" w:hAnsiTheme="minorHAnsi" w:cstheme="minorHAnsi"/>
          <w:sz w:val="24"/>
          <w:szCs w:val="24"/>
        </w:rPr>
        <w:t xml:space="preserve">The PBAC noted that </w:t>
      </w:r>
      <w:r w:rsidR="00C8267D">
        <w:rPr>
          <w:rFonts w:asciiTheme="minorHAnsi" w:hAnsiTheme="minorHAnsi" w:cstheme="minorHAnsi"/>
          <w:sz w:val="24"/>
          <w:szCs w:val="24"/>
        </w:rPr>
        <w:t xml:space="preserve">the sponsor </w:t>
      </w:r>
      <w:r w:rsidRPr="00171842">
        <w:rPr>
          <w:rFonts w:asciiTheme="minorHAnsi" w:hAnsiTheme="minorHAnsi" w:cstheme="minorHAnsi"/>
          <w:sz w:val="24"/>
          <w:szCs w:val="24"/>
        </w:rPr>
        <w:t xml:space="preserve">plans to bring forward new treatments for patients who are homozygous for the f508del mutation in the CFTR gene, with </w:t>
      </w:r>
      <w:proofErr w:type="spellStart"/>
      <w:r w:rsidRPr="00171842">
        <w:rPr>
          <w:rFonts w:asciiTheme="minorHAnsi" w:hAnsiTheme="minorHAnsi" w:cstheme="minorHAnsi"/>
          <w:sz w:val="24"/>
          <w:szCs w:val="24"/>
        </w:rPr>
        <w:t>tezacaftor</w:t>
      </w:r>
      <w:proofErr w:type="spellEnd"/>
      <w:r w:rsidRPr="00171842">
        <w:rPr>
          <w:rFonts w:asciiTheme="minorHAnsi" w:hAnsiTheme="minorHAnsi" w:cstheme="minorHAnsi"/>
          <w:sz w:val="24"/>
          <w:szCs w:val="24"/>
        </w:rPr>
        <w:t xml:space="preserve"> </w:t>
      </w:r>
      <w:r>
        <w:rPr>
          <w:rFonts w:asciiTheme="minorHAnsi" w:hAnsiTheme="minorHAnsi" w:cstheme="minorHAnsi"/>
          <w:sz w:val="24"/>
          <w:szCs w:val="24"/>
        </w:rPr>
        <w:t xml:space="preserve">with </w:t>
      </w:r>
      <w:proofErr w:type="spellStart"/>
      <w:r w:rsidRPr="00171842">
        <w:rPr>
          <w:rFonts w:asciiTheme="minorHAnsi" w:hAnsiTheme="minorHAnsi" w:cstheme="minorHAnsi"/>
          <w:sz w:val="24"/>
          <w:szCs w:val="24"/>
        </w:rPr>
        <w:t>ivacaftor</w:t>
      </w:r>
      <w:proofErr w:type="spellEnd"/>
      <w:r w:rsidRPr="00171842">
        <w:rPr>
          <w:rFonts w:asciiTheme="minorHAnsi" w:hAnsiTheme="minorHAnsi" w:cstheme="minorHAnsi"/>
          <w:sz w:val="24"/>
          <w:szCs w:val="24"/>
        </w:rPr>
        <w:t xml:space="preserve"> currently undergoing regulatory review and a triple therapy combination treatment in clinical trials.  The PBAC recognized that this might limit the availability of longer term data for </w:t>
      </w:r>
      <w:proofErr w:type="spellStart"/>
      <w:r w:rsidRPr="00171842">
        <w:rPr>
          <w:rFonts w:asciiTheme="minorHAnsi" w:hAnsiTheme="minorHAnsi" w:cstheme="minorHAnsi"/>
          <w:sz w:val="24"/>
          <w:szCs w:val="24"/>
        </w:rPr>
        <w:t>lumacaftor</w:t>
      </w:r>
      <w:proofErr w:type="spellEnd"/>
      <w:r w:rsidRPr="00171842">
        <w:rPr>
          <w:rFonts w:asciiTheme="minorHAnsi" w:hAnsiTheme="minorHAnsi" w:cstheme="minorHAnsi"/>
          <w:sz w:val="24"/>
          <w:szCs w:val="24"/>
        </w:rPr>
        <w:t xml:space="preserve"> with </w:t>
      </w:r>
      <w:proofErr w:type="spellStart"/>
      <w:r w:rsidRPr="00171842">
        <w:rPr>
          <w:rFonts w:asciiTheme="minorHAnsi" w:hAnsiTheme="minorHAnsi" w:cstheme="minorHAnsi"/>
          <w:sz w:val="24"/>
          <w:szCs w:val="24"/>
        </w:rPr>
        <w:t>ivacaftor</w:t>
      </w:r>
      <w:proofErr w:type="spellEnd"/>
      <w:r w:rsidRPr="00171842">
        <w:rPr>
          <w:rFonts w:asciiTheme="minorHAnsi" w:hAnsiTheme="minorHAnsi" w:cstheme="minorHAnsi"/>
          <w:sz w:val="24"/>
          <w:szCs w:val="24"/>
        </w:rPr>
        <w:t xml:space="preserve"> but considered that the MAP could </w:t>
      </w:r>
      <w:r w:rsidR="00C8267D">
        <w:rPr>
          <w:rFonts w:asciiTheme="minorHAnsi" w:hAnsiTheme="minorHAnsi" w:cstheme="minorHAnsi"/>
          <w:sz w:val="24"/>
          <w:szCs w:val="24"/>
        </w:rPr>
        <w:t xml:space="preserve">allow the PBAC to be provided with </w:t>
      </w:r>
      <w:r w:rsidRPr="00171842">
        <w:rPr>
          <w:rFonts w:asciiTheme="minorHAnsi" w:hAnsiTheme="minorHAnsi" w:cstheme="minorHAnsi"/>
          <w:sz w:val="24"/>
          <w:szCs w:val="24"/>
        </w:rPr>
        <w:t xml:space="preserve">longer term data for patients </w:t>
      </w:r>
      <w:r w:rsidRPr="00171842">
        <w:rPr>
          <w:rFonts w:asciiTheme="minorHAnsi" w:hAnsiTheme="minorHAnsi" w:cstheme="minorHAnsi"/>
          <w:sz w:val="24"/>
          <w:szCs w:val="24"/>
        </w:rPr>
        <w:lastRenderedPageBreak/>
        <w:t xml:space="preserve">treated continuously with </w:t>
      </w:r>
      <w:proofErr w:type="spellStart"/>
      <w:r w:rsidRPr="00171842">
        <w:rPr>
          <w:rFonts w:asciiTheme="minorHAnsi" w:hAnsiTheme="minorHAnsi" w:cstheme="minorHAnsi"/>
          <w:sz w:val="24"/>
          <w:szCs w:val="24"/>
        </w:rPr>
        <w:t>lumacaftor</w:t>
      </w:r>
      <w:proofErr w:type="spellEnd"/>
      <w:r w:rsidRPr="00171842">
        <w:rPr>
          <w:rFonts w:asciiTheme="minorHAnsi" w:hAnsiTheme="minorHAnsi" w:cstheme="minorHAnsi"/>
          <w:sz w:val="24"/>
          <w:szCs w:val="24"/>
        </w:rPr>
        <w:t xml:space="preserve"> with </w:t>
      </w:r>
      <w:proofErr w:type="spellStart"/>
      <w:r w:rsidRPr="00171842">
        <w:rPr>
          <w:rFonts w:asciiTheme="minorHAnsi" w:hAnsiTheme="minorHAnsi" w:cstheme="minorHAnsi"/>
          <w:sz w:val="24"/>
          <w:szCs w:val="24"/>
        </w:rPr>
        <w:t>ivacaftor</w:t>
      </w:r>
      <w:proofErr w:type="spellEnd"/>
      <w:r w:rsidRPr="00171842">
        <w:rPr>
          <w:rFonts w:asciiTheme="minorHAnsi" w:hAnsiTheme="minorHAnsi" w:cstheme="minorHAnsi"/>
          <w:sz w:val="24"/>
          <w:szCs w:val="24"/>
        </w:rPr>
        <w:t xml:space="preserve">, </w:t>
      </w:r>
      <w:r w:rsidR="00650593">
        <w:rPr>
          <w:rFonts w:asciiTheme="minorHAnsi" w:hAnsiTheme="minorHAnsi" w:cstheme="minorHAnsi"/>
          <w:sz w:val="24"/>
          <w:szCs w:val="24"/>
        </w:rPr>
        <w:t xml:space="preserve">as well as treatment with </w:t>
      </w:r>
      <w:proofErr w:type="spellStart"/>
      <w:r w:rsidRPr="00171842">
        <w:rPr>
          <w:rFonts w:asciiTheme="minorHAnsi" w:hAnsiTheme="minorHAnsi" w:cstheme="minorHAnsi"/>
          <w:sz w:val="24"/>
          <w:szCs w:val="24"/>
        </w:rPr>
        <w:t>tezacaftor</w:t>
      </w:r>
      <w:proofErr w:type="spellEnd"/>
      <w:r w:rsidRPr="00171842">
        <w:rPr>
          <w:rFonts w:asciiTheme="minorHAnsi" w:hAnsiTheme="minorHAnsi" w:cstheme="minorHAnsi"/>
          <w:sz w:val="24"/>
          <w:szCs w:val="24"/>
        </w:rPr>
        <w:t xml:space="preserve"> with </w:t>
      </w:r>
      <w:proofErr w:type="spellStart"/>
      <w:r w:rsidRPr="00171842">
        <w:rPr>
          <w:rFonts w:asciiTheme="minorHAnsi" w:hAnsiTheme="minorHAnsi" w:cstheme="minorHAnsi"/>
          <w:sz w:val="24"/>
          <w:szCs w:val="24"/>
        </w:rPr>
        <w:t>ivacaftor</w:t>
      </w:r>
      <w:proofErr w:type="spellEnd"/>
      <w:r w:rsidRPr="00171842">
        <w:rPr>
          <w:rFonts w:asciiTheme="minorHAnsi" w:hAnsiTheme="minorHAnsi" w:cstheme="minorHAnsi"/>
          <w:sz w:val="24"/>
          <w:szCs w:val="24"/>
        </w:rPr>
        <w:t xml:space="preserve"> or triple therapy, or through consecutive periods of treatment with</w:t>
      </w:r>
      <w:r>
        <w:rPr>
          <w:rFonts w:asciiTheme="minorHAnsi" w:hAnsiTheme="minorHAnsi" w:cstheme="minorHAnsi"/>
          <w:sz w:val="24"/>
          <w:szCs w:val="24"/>
        </w:rPr>
        <w:t xml:space="preserve"> more than one of</w:t>
      </w:r>
      <w:r w:rsidRPr="00171842">
        <w:rPr>
          <w:rFonts w:asciiTheme="minorHAnsi" w:hAnsiTheme="minorHAnsi" w:cstheme="minorHAnsi"/>
          <w:sz w:val="24"/>
          <w:szCs w:val="24"/>
        </w:rPr>
        <w:t xml:space="preserve"> these regimens.</w:t>
      </w:r>
    </w:p>
    <w:p w:rsidR="00AD6F59" w:rsidRPr="0088666D" w:rsidRDefault="00AD6F59" w:rsidP="00D44B48">
      <w:pPr>
        <w:pStyle w:val="ListParagraph"/>
        <w:widowControl/>
        <w:numPr>
          <w:ilvl w:val="1"/>
          <w:numId w:val="3"/>
        </w:numPr>
        <w:spacing w:before="120" w:after="160"/>
        <w:contextualSpacing w:val="0"/>
        <w:rPr>
          <w:rFonts w:asciiTheme="minorHAnsi" w:hAnsiTheme="minorHAnsi" w:cstheme="minorHAnsi"/>
          <w:sz w:val="24"/>
          <w:szCs w:val="24"/>
        </w:rPr>
      </w:pPr>
      <w:r w:rsidRPr="0088666D">
        <w:rPr>
          <w:rFonts w:asciiTheme="minorHAnsi" w:hAnsiTheme="minorHAnsi" w:cstheme="minorHAnsi"/>
          <w:sz w:val="24"/>
          <w:szCs w:val="24"/>
        </w:rPr>
        <w:t xml:space="preserve">The PBAC </w:t>
      </w:r>
      <w:r w:rsidR="00650593">
        <w:rPr>
          <w:rFonts w:asciiTheme="minorHAnsi" w:hAnsiTheme="minorHAnsi" w:cstheme="minorHAnsi"/>
          <w:sz w:val="24"/>
          <w:szCs w:val="24"/>
        </w:rPr>
        <w:t>considered that it would be appropriate for</w:t>
      </w:r>
      <w:r w:rsidR="00650593" w:rsidRPr="0088666D">
        <w:rPr>
          <w:rFonts w:asciiTheme="minorHAnsi" w:hAnsiTheme="minorHAnsi" w:cstheme="minorHAnsi"/>
          <w:sz w:val="24"/>
          <w:szCs w:val="24"/>
        </w:rPr>
        <w:t xml:space="preserve"> </w:t>
      </w:r>
      <w:r w:rsidRPr="0088666D">
        <w:rPr>
          <w:rFonts w:asciiTheme="minorHAnsi" w:hAnsiTheme="minorHAnsi" w:cstheme="minorHAnsi"/>
          <w:sz w:val="24"/>
          <w:szCs w:val="24"/>
        </w:rPr>
        <w:t xml:space="preserve">the Minister </w:t>
      </w:r>
      <w:r w:rsidR="00650593">
        <w:rPr>
          <w:rFonts w:asciiTheme="minorHAnsi" w:hAnsiTheme="minorHAnsi" w:cstheme="minorHAnsi"/>
          <w:sz w:val="24"/>
          <w:szCs w:val="24"/>
        </w:rPr>
        <w:t xml:space="preserve">to </w:t>
      </w:r>
      <w:r w:rsidRPr="0088666D">
        <w:rPr>
          <w:rFonts w:asciiTheme="minorHAnsi" w:hAnsiTheme="minorHAnsi" w:cstheme="minorHAnsi"/>
          <w:sz w:val="24"/>
          <w:szCs w:val="24"/>
        </w:rPr>
        <w:t xml:space="preserve">enter into a deed with the sponsor to </w:t>
      </w:r>
      <w:r w:rsidR="00C87E77" w:rsidRPr="00A8147B">
        <w:rPr>
          <w:rFonts w:asciiTheme="minorHAnsi" w:hAnsiTheme="minorHAnsi" w:cstheme="minorHAnsi"/>
          <w:sz w:val="24"/>
          <w:szCs w:val="24"/>
        </w:rPr>
        <w:t>specify</w:t>
      </w:r>
      <w:r w:rsidR="00650593" w:rsidRPr="00A8147B">
        <w:rPr>
          <w:rFonts w:asciiTheme="minorHAnsi" w:hAnsiTheme="minorHAnsi" w:cstheme="minorHAnsi"/>
          <w:sz w:val="24"/>
          <w:szCs w:val="24"/>
        </w:rPr>
        <w:t xml:space="preserve"> </w:t>
      </w:r>
      <w:r w:rsidRPr="00A8147B">
        <w:rPr>
          <w:rFonts w:asciiTheme="minorHAnsi" w:hAnsiTheme="minorHAnsi" w:cstheme="minorHAnsi"/>
          <w:sz w:val="24"/>
          <w:szCs w:val="24"/>
        </w:rPr>
        <w:t>the annual patient cost, overall financial caps and terms of the MAP.</w:t>
      </w:r>
    </w:p>
    <w:p w:rsidR="009E3DF4" w:rsidRPr="0073784D" w:rsidRDefault="009E3DF4" w:rsidP="0073784D">
      <w:pPr>
        <w:pStyle w:val="Heading2"/>
        <w:rPr>
          <w:rFonts w:asciiTheme="minorHAnsi" w:hAnsiTheme="minorHAnsi"/>
          <w:b w:val="0"/>
          <w:sz w:val="24"/>
        </w:rPr>
      </w:pPr>
      <w:r w:rsidRPr="00C4077F">
        <w:rPr>
          <w:rFonts w:asciiTheme="minorHAnsi" w:hAnsiTheme="minorHAnsi"/>
          <w:b w:val="0"/>
          <w:sz w:val="24"/>
        </w:rPr>
        <w:t>For more detail on PBAC’s view, see section 7 PBAC outcome.</w:t>
      </w:r>
    </w:p>
    <w:bookmarkEnd w:id="20"/>
    <w:p w:rsidR="003D3BE7" w:rsidRPr="009F6C29" w:rsidRDefault="003D3BE7" w:rsidP="009F6C29">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9F6C29">
        <w:rPr>
          <w:rFonts w:asciiTheme="minorHAnsi" w:hAnsiTheme="minorHAnsi"/>
          <w:sz w:val="32"/>
          <w:szCs w:val="32"/>
        </w:rPr>
        <w:t>PBAC Outcome</w:t>
      </w:r>
    </w:p>
    <w:p w:rsidR="00171842" w:rsidRPr="0088666D" w:rsidRDefault="003D3BE7" w:rsidP="00171842">
      <w:pPr>
        <w:pStyle w:val="ListParagraph"/>
        <w:numPr>
          <w:ilvl w:val="1"/>
          <w:numId w:val="1"/>
        </w:numPr>
        <w:rPr>
          <w:rFonts w:asciiTheme="minorHAnsi" w:hAnsiTheme="minorHAnsi"/>
          <w:bCs/>
          <w:sz w:val="24"/>
          <w:szCs w:val="24"/>
          <w:lang w:val="en-GB" w:eastAsia="en-AU"/>
        </w:rPr>
      </w:pPr>
      <w:r w:rsidRPr="00C4077F">
        <w:rPr>
          <w:rFonts w:asciiTheme="minorHAnsi" w:hAnsiTheme="minorHAnsi"/>
          <w:bCs/>
          <w:sz w:val="24"/>
          <w:szCs w:val="24"/>
          <w:lang w:val="en-GB"/>
        </w:rPr>
        <w:t xml:space="preserve">The PBAC recommended the listing of </w:t>
      </w:r>
      <w:proofErr w:type="spellStart"/>
      <w:r w:rsidR="006C77C8" w:rsidRPr="00C4077F">
        <w:rPr>
          <w:rFonts w:asciiTheme="minorHAnsi" w:hAnsiTheme="minorHAnsi"/>
          <w:bCs/>
          <w:sz w:val="24"/>
          <w:szCs w:val="24"/>
          <w:lang w:val="en-GB"/>
        </w:rPr>
        <w:t>lumacaftor</w:t>
      </w:r>
      <w:proofErr w:type="spellEnd"/>
      <w:r w:rsidR="006C77C8" w:rsidRPr="00C4077F">
        <w:rPr>
          <w:rFonts w:asciiTheme="minorHAnsi" w:hAnsiTheme="minorHAnsi"/>
          <w:bCs/>
          <w:sz w:val="24"/>
          <w:szCs w:val="24"/>
          <w:lang w:val="en-GB"/>
        </w:rPr>
        <w:t xml:space="preserve"> with </w:t>
      </w:r>
      <w:proofErr w:type="spellStart"/>
      <w:r w:rsidR="006C77C8" w:rsidRPr="00C4077F">
        <w:rPr>
          <w:rFonts w:asciiTheme="minorHAnsi" w:hAnsiTheme="minorHAnsi"/>
          <w:bCs/>
          <w:sz w:val="24"/>
          <w:szCs w:val="24"/>
          <w:lang w:val="en-GB"/>
        </w:rPr>
        <w:t>ivacaftor</w:t>
      </w:r>
      <w:proofErr w:type="spellEnd"/>
      <w:r w:rsidR="006C77C8" w:rsidRPr="00C4077F">
        <w:rPr>
          <w:rFonts w:asciiTheme="minorHAnsi" w:hAnsiTheme="minorHAnsi"/>
          <w:bCs/>
          <w:sz w:val="24"/>
          <w:szCs w:val="24"/>
          <w:lang w:val="en-GB"/>
        </w:rPr>
        <w:t xml:space="preserve"> </w:t>
      </w:r>
      <w:r w:rsidR="00171842" w:rsidRPr="00C4077F">
        <w:rPr>
          <w:rFonts w:asciiTheme="minorHAnsi" w:hAnsiTheme="minorHAnsi"/>
          <w:bCs/>
          <w:sz w:val="24"/>
          <w:szCs w:val="24"/>
          <w:lang w:val="en-GB"/>
        </w:rPr>
        <w:t xml:space="preserve">on the basis that it should be available only under special arrangements under section 100 (Highly Specialised Drugs Program) and only in the circumstances: </w:t>
      </w:r>
      <w:r w:rsidR="006C77C8" w:rsidRPr="00C4077F">
        <w:rPr>
          <w:rFonts w:asciiTheme="minorHAnsi" w:hAnsiTheme="minorHAnsi"/>
          <w:bCs/>
          <w:sz w:val="24"/>
          <w:szCs w:val="24"/>
          <w:lang w:val="en-GB"/>
        </w:rPr>
        <w:t>for the treatment of patients with CF aged 12 years and older who are homozygous for the F508del mutation in the CFTR gene</w:t>
      </w:r>
      <w:r w:rsidR="00171842" w:rsidRPr="00C4077F">
        <w:rPr>
          <w:rFonts w:asciiTheme="minorHAnsi" w:hAnsiTheme="minorHAnsi"/>
          <w:bCs/>
          <w:sz w:val="24"/>
          <w:szCs w:val="24"/>
          <w:lang w:val="en-GB"/>
        </w:rPr>
        <w:t>.</w:t>
      </w:r>
      <w:r w:rsidR="00171842" w:rsidRPr="00C4077F">
        <w:rPr>
          <w:sz w:val="24"/>
          <w:szCs w:val="24"/>
        </w:rPr>
        <w:t xml:space="preserve"> </w:t>
      </w:r>
      <w:r w:rsidR="00171842" w:rsidRPr="00171842">
        <w:rPr>
          <w:rFonts w:asciiTheme="minorHAnsi" w:hAnsiTheme="minorHAnsi"/>
          <w:bCs/>
          <w:sz w:val="24"/>
          <w:szCs w:val="24"/>
          <w:lang w:val="en-GB" w:eastAsia="en-AU"/>
        </w:rPr>
        <w:t>The PBAC recommended the special arrangements and circumstances described in the table</w:t>
      </w:r>
      <w:r w:rsidR="00650593">
        <w:rPr>
          <w:rFonts w:asciiTheme="minorHAnsi" w:hAnsiTheme="minorHAnsi"/>
          <w:bCs/>
          <w:sz w:val="24"/>
          <w:szCs w:val="24"/>
          <w:lang w:val="en-GB" w:eastAsia="en-AU"/>
        </w:rPr>
        <w:t>s</w:t>
      </w:r>
      <w:r w:rsidR="00171842" w:rsidRPr="00171842">
        <w:rPr>
          <w:rFonts w:asciiTheme="minorHAnsi" w:hAnsiTheme="minorHAnsi"/>
          <w:bCs/>
          <w:sz w:val="24"/>
          <w:szCs w:val="24"/>
          <w:lang w:val="en-GB" w:eastAsia="en-AU"/>
        </w:rPr>
        <w:t xml:space="preserve"> </w:t>
      </w:r>
      <w:r w:rsidR="00650593">
        <w:rPr>
          <w:rFonts w:asciiTheme="minorHAnsi" w:hAnsiTheme="minorHAnsi"/>
          <w:bCs/>
          <w:sz w:val="24"/>
          <w:szCs w:val="24"/>
          <w:lang w:val="en-GB" w:eastAsia="en-AU"/>
        </w:rPr>
        <w:t xml:space="preserve">in section 8 </w:t>
      </w:r>
      <w:r w:rsidR="00171842" w:rsidRPr="00171842">
        <w:rPr>
          <w:rFonts w:asciiTheme="minorHAnsi" w:hAnsiTheme="minorHAnsi"/>
          <w:bCs/>
          <w:sz w:val="24"/>
          <w:szCs w:val="24"/>
          <w:lang w:val="en-GB" w:eastAsia="en-AU"/>
        </w:rPr>
        <w:t>below.</w:t>
      </w:r>
    </w:p>
    <w:p w:rsidR="00171842" w:rsidRPr="00171842" w:rsidRDefault="00171842" w:rsidP="00C4077F">
      <w:pPr>
        <w:pStyle w:val="ListParagraph"/>
        <w:rPr>
          <w:rFonts w:asciiTheme="minorHAnsi" w:hAnsiTheme="minorHAnsi"/>
          <w:bCs/>
          <w:sz w:val="24"/>
          <w:szCs w:val="24"/>
          <w:lang w:val="en-GB" w:eastAsia="en-AU"/>
        </w:rPr>
      </w:pPr>
    </w:p>
    <w:p w:rsidR="0088666D" w:rsidRPr="0088666D" w:rsidRDefault="0088666D" w:rsidP="0088666D">
      <w:pPr>
        <w:widowControl w:val="0"/>
        <w:numPr>
          <w:ilvl w:val="1"/>
          <w:numId w:val="1"/>
        </w:numPr>
        <w:spacing w:after="120"/>
        <w:jc w:val="both"/>
        <w:rPr>
          <w:rFonts w:asciiTheme="minorHAnsi" w:hAnsiTheme="minorHAnsi" w:cs="Arial"/>
          <w:bCs/>
          <w:snapToGrid w:val="0"/>
          <w:lang w:val="en-GB"/>
        </w:rPr>
      </w:pPr>
      <w:r w:rsidRPr="0088666D">
        <w:rPr>
          <w:rFonts w:asciiTheme="minorHAnsi" w:hAnsiTheme="minorHAnsi" w:cs="Arial"/>
          <w:bCs/>
          <w:snapToGrid w:val="0"/>
          <w:lang w:val="en-GB"/>
        </w:rPr>
        <w:t xml:space="preserve">The PBAC is satisfied that </w:t>
      </w:r>
      <w:proofErr w:type="spellStart"/>
      <w:r>
        <w:rPr>
          <w:rFonts w:asciiTheme="minorHAnsi" w:hAnsiTheme="minorHAnsi" w:cs="Arial"/>
          <w:bCs/>
          <w:snapToGrid w:val="0"/>
          <w:lang w:val="en-GB"/>
        </w:rPr>
        <w:t>lumacaftor</w:t>
      </w:r>
      <w:proofErr w:type="spellEnd"/>
      <w:r>
        <w:rPr>
          <w:rFonts w:asciiTheme="minorHAnsi" w:hAnsiTheme="minorHAnsi" w:cs="Arial"/>
          <w:bCs/>
          <w:snapToGrid w:val="0"/>
          <w:lang w:val="en-GB"/>
        </w:rPr>
        <w:t xml:space="preserve"> with </w:t>
      </w:r>
      <w:proofErr w:type="spellStart"/>
      <w:r>
        <w:rPr>
          <w:rFonts w:asciiTheme="minorHAnsi" w:hAnsiTheme="minorHAnsi" w:cs="Arial"/>
          <w:bCs/>
          <w:snapToGrid w:val="0"/>
          <w:lang w:val="en-GB"/>
        </w:rPr>
        <w:t>ivacaftor</w:t>
      </w:r>
      <w:proofErr w:type="spellEnd"/>
      <w:r w:rsidRPr="0088666D">
        <w:rPr>
          <w:rFonts w:asciiTheme="minorHAnsi" w:hAnsiTheme="minorHAnsi" w:cs="Arial"/>
          <w:bCs/>
          <w:snapToGrid w:val="0"/>
          <w:lang w:val="en-GB"/>
        </w:rPr>
        <w:t xml:space="preserve"> provides, for some patients, a significant improvement in efficacy over </w:t>
      </w:r>
      <w:r>
        <w:rPr>
          <w:rFonts w:asciiTheme="minorHAnsi" w:hAnsiTheme="minorHAnsi" w:cs="Arial"/>
          <w:bCs/>
          <w:snapToGrid w:val="0"/>
          <w:lang w:val="en-GB"/>
        </w:rPr>
        <w:t>best supportive care</w:t>
      </w:r>
      <w:r w:rsidRPr="0088666D">
        <w:rPr>
          <w:rFonts w:asciiTheme="minorHAnsi" w:hAnsiTheme="minorHAnsi" w:cs="Arial"/>
          <w:bCs/>
          <w:snapToGrid w:val="0"/>
          <w:lang w:val="en-GB"/>
        </w:rPr>
        <w:t xml:space="preserve">.  </w:t>
      </w:r>
    </w:p>
    <w:p w:rsidR="0088666D" w:rsidRDefault="0088666D" w:rsidP="0088666D">
      <w:pPr>
        <w:widowControl w:val="0"/>
        <w:numPr>
          <w:ilvl w:val="1"/>
          <w:numId w:val="1"/>
        </w:numPr>
        <w:spacing w:after="120"/>
        <w:jc w:val="both"/>
        <w:rPr>
          <w:rFonts w:asciiTheme="minorHAnsi" w:hAnsiTheme="minorHAnsi" w:cs="Arial"/>
          <w:bCs/>
          <w:snapToGrid w:val="0"/>
          <w:lang w:val="en-GB"/>
        </w:rPr>
      </w:pPr>
      <w:r w:rsidRPr="0088666D">
        <w:rPr>
          <w:rFonts w:asciiTheme="minorHAnsi" w:hAnsiTheme="minorHAnsi" w:cs="Arial"/>
          <w:bCs/>
          <w:snapToGrid w:val="0"/>
          <w:lang w:val="en-GB"/>
        </w:rPr>
        <w:t xml:space="preserve">The PBAC’s recommendation for listing was based on, among other matters, its assessment, as described above, that the cost-effectiveness of </w:t>
      </w:r>
      <w:proofErr w:type="spellStart"/>
      <w:r w:rsidRPr="0088666D">
        <w:rPr>
          <w:rFonts w:asciiTheme="minorHAnsi" w:hAnsiTheme="minorHAnsi" w:cs="Arial"/>
          <w:bCs/>
          <w:snapToGrid w:val="0"/>
          <w:lang w:val="en-GB"/>
        </w:rPr>
        <w:t>lumacaftor</w:t>
      </w:r>
      <w:proofErr w:type="spellEnd"/>
      <w:r w:rsidRPr="0088666D">
        <w:rPr>
          <w:rFonts w:asciiTheme="minorHAnsi" w:hAnsiTheme="minorHAnsi" w:cs="Arial"/>
          <w:bCs/>
          <w:snapToGrid w:val="0"/>
          <w:lang w:val="en-GB"/>
        </w:rPr>
        <w:t xml:space="preserve"> with </w:t>
      </w:r>
      <w:proofErr w:type="spellStart"/>
      <w:r w:rsidRPr="0088666D">
        <w:rPr>
          <w:rFonts w:asciiTheme="minorHAnsi" w:hAnsiTheme="minorHAnsi" w:cs="Arial"/>
          <w:bCs/>
          <w:snapToGrid w:val="0"/>
          <w:lang w:val="en-GB"/>
        </w:rPr>
        <w:t>ivacaftor</w:t>
      </w:r>
      <w:proofErr w:type="spellEnd"/>
      <w:r w:rsidRPr="0088666D">
        <w:rPr>
          <w:rFonts w:asciiTheme="minorHAnsi" w:hAnsiTheme="minorHAnsi" w:cs="Arial"/>
          <w:bCs/>
          <w:snapToGrid w:val="0"/>
          <w:lang w:val="en-GB"/>
        </w:rPr>
        <w:t xml:space="preserve"> would be acceptable</w:t>
      </w:r>
      <w:r w:rsidRPr="0088666D">
        <w:t xml:space="preserve"> </w:t>
      </w:r>
      <w:r w:rsidRPr="0088666D">
        <w:rPr>
          <w:rFonts w:asciiTheme="minorHAnsi" w:hAnsiTheme="minorHAnsi" w:cs="Arial"/>
          <w:bCs/>
          <w:snapToGrid w:val="0"/>
          <w:lang w:val="en-GB"/>
        </w:rPr>
        <w:t>if the following measures were implemented to contain risks associated with the cost</w:t>
      </w:r>
      <w:r>
        <w:rPr>
          <w:rFonts w:asciiTheme="minorHAnsi" w:hAnsiTheme="minorHAnsi" w:cs="Arial"/>
          <w:bCs/>
          <w:snapToGrid w:val="0"/>
          <w:lang w:val="en-GB"/>
        </w:rPr>
        <w:t>-effectiveness and overall cost</w:t>
      </w:r>
      <w:r w:rsidRPr="0088666D">
        <w:rPr>
          <w:rFonts w:asciiTheme="minorHAnsi" w:hAnsiTheme="minorHAnsi" w:cs="Arial"/>
          <w:bCs/>
          <w:snapToGrid w:val="0"/>
          <w:lang w:val="en-GB"/>
        </w:rPr>
        <w:t xml:space="preserve"> of the drug to the PBS</w:t>
      </w:r>
      <w:r>
        <w:rPr>
          <w:rFonts w:asciiTheme="minorHAnsi" w:hAnsiTheme="minorHAnsi" w:cs="Arial"/>
          <w:bCs/>
          <w:snapToGrid w:val="0"/>
          <w:lang w:val="en-GB"/>
        </w:rPr>
        <w:t>.</w:t>
      </w:r>
    </w:p>
    <w:p w:rsidR="0088666D" w:rsidRPr="00B03214" w:rsidRDefault="0088666D" w:rsidP="00C4077F">
      <w:pPr>
        <w:pStyle w:val="ListParagraph"/>
        <w:numPr>
          <w:ilvl w:val="1"/>
          <w:numId w:val="4"/>
        </w:numPr>
        <w:spacing w:after="120"/>
        <w:rPr>
          <w:rFonts w:asciiTheme="minorHAnsi" w:hAnsiTheme="minorHAnsi"/>
          <w:bCs/>
          <w:lang w:val="en-GB"/>
        </w:rPr>
      </w:pPr>
      <w:r w:rsidRPr="00C4077F">
        <w:rPr>
          <w:rFonts w:asciiTheme="minorHAnsi" w:hAnsiTheme="minorHAnsi"/>
          <w:bCs/>
          <w:sz w:val="24"/>
          <w:szCs w:val="24"/>
          <w:lang w:val="en-GB"/>
        </w:rPr>
        <w:t xml:space="preserve">A Managed </w:t>
      </w:r>
      <w:r w:rsidR="00650593">
        <w:rPr>
          <w:rFonts w:asciiTheme="minorHAnsi" w:hAnsiTheme="minorHAnsi"/>
          <w:bCs/>
          <w:sz w:val="24"/>
          <w:szCs w:val="24"/>
          <w:lang w:val="en-GB"/>
        </w:rPr>
        <w:t>Access</w:t>
      </w:r>
      <w:r w:rsidR="00650593" w:rsidRPr="00C4077F">
        <w:rPr>
          <w:rFonts w:asciiTheme="minorHAnsi" w:hAnsiTheme="minorHAnsi"/>
          <w:bCs/>
          <w:sz w:val="24"/>
          <w:szCs w:val="24"/>
          <w:lang w:val="en-GB"/>
        </w:rPr>
        <w:t xml:space="preserve"> </w:t>
      </w:r>
      <w:r w:rsidRPr="00C4077F">
        <w:rPr>
          <w:rFonts w:asciiTheme="minorHAnsi" w:hAnsiTheme="minorHAnsi"/>
          <w:bCs/>
          <w:sz w:val="24"/>
          <w:szCs w:val="24"/>
          <w:lang w:val="en-GB"/>
        </w:rPr>
        <w:t>Program as described in paragraphs 6.</w:t>
      </w:r>
      <w:r w:rsidR="005979A6">
        <w:rPr>
          <w:rFonts w:asciiTheme="minorHAnsi" w:hAnsiTheme="minorHAnsi"/>
          <w:bCs/>
          <w:sz w:val="24"/>
          <w:szCs w:val="24"/>
          <w:lang w:val="en-GB"/>
        </w:rPr>
        <w:t>73</w:t>
      </w:r>
      <w:r w:rsidRPr="00C4077F">
        <w:rPr>
          <w:rFonts w:asciiTheme="minorHAnsi" w:hAnsiTheme="minorHAnsi"/>
          <w:bCs/>
          <w:sz w:val="24"/>
          <w:szCs w:val="24"/>
          <w:lang w:val="en-GB"/>
        </w:rPr>
        <w:t xml:space="preserve"> – 6.</w:t>
      </w:r>
      <w:r w:rsidR="005979A6">
        <w:rPr>
          <w:rFonts w:asciiTheme="minorHAnsi" w:hAnsiTheme="minorHAnsi"/>
          <w:bCs/>
          <w:sz w:val="24"/>
          <w:szCs w:val="24"/>
          <w:lang w:val="en-GB"/>
        </w:rPr>
        <w:t>79</w:t>
      </w:r>
      <w:r w:rsidRPr="00C4077F">
        <w:rPr>
          <w:rFonts w:asciiTheme="minorHAnsi" w:hAnsiTheme="minorHAnsi"/>
          <w:bCs/>
          <w:sz w:val="24"/>
          <w:szCs w:val="24"/>
          <w:lang w:val="en-GB"/>
        </w:rPr>
        <w:t xml:space="preserve"> above;</w:t>
      </w:r>
    </w:p>
    <w:p w:rsidR="0088666D" w:rsidRPr="00033D8D" w:rsidRDefault="0088666D" w:rsidP="00C4077F">
      <w:pPr>
        <w:pStyle w:val="ListParagraph"/>
        <w:numPr>
          <w:ilvl w:val="1"/>
          <w:numId w:val="4"/>
        </w:numPr>
        <w:spacing w:after="120"/>
        <w:rPr>
          <w:rFonts w:asciiTheme="minorHAnsi" w:hAnsiTheme="minorHAnsi"/>
          <w:bCs/>
          <w:lang w:val="en-GB"/>
        </w:rPr>
      </w:pPr>
      <w:r w:rsidRPr="00C4077F">
        <w:rPr>
          <w:rFonts w:asciiTheme="minorHAnsi" w:hAnsiTheme="minorHAnsi"/>
          <w:bCs/>
          <w:sz w:val="24"/>
          <w:szCs w:val="24"/>
          <w:lang w:val="en-GB"/>
        </w:rPr>
        <w:t>A Special Pricing Arrangement to give effect to the offered price of $</w:t>
      </w:r>
      <w:r w:rsidR="004978B4">
        <w:rPr>
          <w:rFonts w:asciiTheme="minorHAnsi" w:hAnsiTheme="minorHAnsi"/>
          <w:bCs/>
          <w:noProof/>
          <w:color w:val="000000"/>
          <w:sz w:val="24"/>
          <w:szCs w:val="24"/>
          <w:highlight w:val="black"/>
          <w:lang w:val="en-GB"/>
        </w:rPr>
        <w:t>''''''''''''''</w:t>
      </w:r>
      <w:r w:rsidRPr="00C4077F">
        <w:rPr>
          <w:rFonts w:asciiTheme="minorHAnsi" w:hAnsiTheme="minorHAnsi"/>
          <w:bCs/>
          <w:sz w:val="24"/>
          <w:szCs w:val="24"/>
          <w:lang w:val="en-GB"/>
        </w:rPr>
        <w:t xml:space="preserve"> per patient per year</w:t>
      </w:r>
      <w:r w:rsidRPr="00033D8D">
        <w:rPr>
          <w:rFonts w:asciiTheme="minorHAnsi" w:hAnsiTheme="minorHAnsi"/>
          <w:bCs/>
          <w:sz w:val="24"/>
          <w:szCs w:val="24"/>
          <w:lang w:val="en-GB"/>
        </w:rPr>
        <w:t>; and</w:t>
      </w:r>
    </w:p>
    <w:p w:rsidR="0088666D" w:rsidRPr="00033D8D" w:rsidRDefault="0088666D" w:rsidP="00C4077F">
      <w:pPr>
        <w:pStyle w:val="ListParagraph"/>
        <w:numPr>
          <w:ilvl w:val="1"/>
          <w:numId w:val="4"/>
        </w:numPr>
        <w:spacing w:after="120"/>
        <w:rPr>
          <w:rFonts w:asciiTheme="minorHAnsi" w:hAnsiTheme="minorHAnsi"/>
          <w:bCs/>
          <w:lang w:val="en-GB"/>
        </w:rPr>
      </w:pPr>
      <w:r w:rsidRPr="00033D8D">
        <w:rPr>
          <w:rFonts w:asciiTheme="minorHAnsi" w:hAnsiTheme="minorHAnsi"/>
          <w:bCs/>
          <w:sz w:val="24"/>
          <w:szCs w:val="24"/>
          <w:lang w:val="en-GB"/>
        </w:rPr>
        <w:t xml:space="preserve">Caps on </w:t>
      </w:r>
      <w:r w:rsidR="004978B4">
        <w:rPr>
          <w:rFonts w:asciiTheme="minorHAnsi" w:hAnsiTheme="minorHAnsi"/>
          <w:bCs/>
          <w:noProof/>
          <w:color w:val="000000"/>
          <w:sz w:val="24"/>
          <w:szCs w:val="24"/>
          <w:highlight w:val="black"/>
          <w:lang w:val="en-GB"/>
        </w:rPr>
        <w:t>''''''''' ''''''''''''''''''''''</w:t>
      </w:r>
      <w:r w:rsidRPr="00033D8D">
        <w:rPr>
          <w:rFonts w:asciiTheme="minorHAnsi" w:hAnsiTheme="minorHAnsi"/>
          <w:bCs/>
          <w:sz w:val="24"/>
          <w:szCs w:val="24"/>
          <w:lang w:val="en-GB"/>
        </w:rPr>
        <w:t xml:space="preserve"> in line with the estimates in </w:t>
      </w:r>
      <w:r w:rsidR="005979A6" w:rsidRPr="00033D8D">
        <w:rPr>
          <w:rFonts w:asciiTheme="minorHAnsi" w:hAnsiTheme="minorHAnsi"/>
          <w:bCs/>
          <w:sz w:val="24"/>
          <w:szCs w:val="24"/>
          <w:lang w:val="en-GB"/>
        </w:rPr>
        <w:t>Table 20</w:t>
      </w:r>
      <w:r w:rsidRPr="00033D8D">
        <w:rPr>
          <w:rFonts w:asciiTheme="minorHAnsi" w:hAnsiTheme="minorHAnsi"/>
          <w:bCs/>
          <w:sz w:val="24"/>
          <w:szCs w:val="24"/>
          <w:lang w:val="en-GB"/>
        </w:rPr>
        <w:t xml:space="preserve"> </w:t>
      </w:r>
      <w:r w:rsidR="00C87E77" w:rsidRPr="00033D8D">
        <w:rPr>
          <w:rFonts w:asciiTheme="minorHAnsi" w:hAnsiTheme="minorHAnsi"/>
          <w:bCs/>
          <w:sz w:val="24"/>
          <w:szCs w:val="24"/>
          <w:lang w:val="en-GB"/>
        </w:rPr>
        <w:t>above</w:t>
      </w:r>
      <w:r w:rsidR="005C5A18" w:rsidRPr="00033D8D">
        <w:rPr>
          <w:rFonts w:asciiTheme="minorHAnsi" w:hAnsiTheme="minorHAnsi"/>
          <w:bCs/>
          <w:sz w:val="24"/>
          <w:szCs w:val="24"/>
          <w:lang w:val="en-GB"/>
        </w:rPr>
        <w:t>.</w:t>
      </w:r>
    </w:p>
    <w:p w:rsidR="005C5A18" w:rsidRPr="00C4077F" w:rsidRDefault="005C5A18" w:rsidP="00C4077F">
      <w:pPr>
        <w:pStyle w:val="ListParagraph"/>
        <w:spacing w:after="120"/>
        <w:ind w:left="1440"/>
        <w:rPr>
          <w:rFonts w:asciiTheme="minorHAnsi" w:hAnsiTheme="minorHAnsi"/>
          <w:bCs/>
          <w:lang w:val="en-GB"/>
        </w:rPr>
      </w:pPr>
    </w:p>
    <w:p w:rsidR="009B04DB" w:rsidRPr="00C4077F" w:rsidRDefault="009B04DB" w:rsidP="00C4077F">
      <w:pPr>
        <w:pStyle w:val="ListParagraph"/>
        <w:widowControl/>
        <w:numPr>
          <w:ilvl w:val="1"/>
          <w:numId w:val="1"/>
        </w:numPr>
        <w:spacing w:before="120" w:after="160"/>
        <w:contextualSpacing w:val="0"/>
        <w:rPr>
          <w:rFonts w:asciiTheme="minorHAnsi" w:hAnsiTheme="minorHAnsi"/>
          <w:sz w:val="24"/>
          <w:szCs w:val="22"/>
        </w:rPr>
      </w:pPr>
      <w:r w:rsidRPr="00C4077F">
        <w:rPr>
          <w:rFonts w:asciiTheme="minorHAnsi" w:hAnsiTheme="minorHAnsi"/>
          <w:sz w:val="24"/>
          <w:szCs w:val="22"/>
        </w:rPr>
        <w:t xml:space="preserve">The PBAC recognised the potential clinical value of </w:t>
      </w:r>
      <w:proofErr w:type="spellStart"/>
      <w:r w:rsidRPr="00C4077F">
        <w:rPr>
          <w:rFonts w:asciiTheme="minorHAnsi" w:hAnsiTheme="minorHAnsi"/>
          <w:sz w:val="24"/>
          <w:szCs w:val="22"/>
        </w:rPr>
        <w:t>lumacaftor</w:t>
      </w:r>
      <w:proofErr w:type="spellEnd"/>
      <w:r w:rsidRPr="00C4077F">
        <w:rPr>
          <w:rFonts w:asciiTheme="minorHAnsi" w:hAnsiTheme="minorHAnsi"/>
          <w:sz w:val="24"/>
          <w:szCs w:val="22"/>
        </w:rPr>
        <w:t>/</w:t>
      </w:r>
      <w:proofErr w:type="spellStart"/>
      <w:r w:rsidRPr="00C4077F">
        <w:rPr>
          <w:rFonts w:asciiTheme="minorHAnsi" w:hAnsiTheme="minorHAnsi"/>
          <w:sz w:val="24"/>
          <w:szCs w:val="22"/>
        </w:rPr>
        <w:t>ivacaftor</w:t>
      </w:r>
      <w:proofErr w:type="spellEnd"/>
      <w:r w:rsidRPr="00C4077F">
        <w:rPr>
          <w:rFonts w:asciiTheme="minorHAnsi" w:hAnsiTheme="minorHAnsi"/>
          <w:sz w:val="24"/>
          <w:szCs w:val="22"/>
        </w:rPr>
        <w:t xml:space="preserve"> in the treatment of cystic fibrosis in patients aged 12 years or older who are homozygous for the F508del mutation and recognised the strong support for subsidised access to this medicine and acknowledged the many consumer comments and the correspondence from the Cystic Fibrosis Centre Directors and Cystic Fibrosis SA relating to this resubmission</w:t>
      </w:r>
    </w:p>
    <w:p w:rsidR="009253C0" w:rsidRDefault="00163FAA">
      <w:pPr>
        <w:pStyle w:val="ListParagraph"/>
        <w:widowControl/>
        <w:numPr>
          <w:ilvl w:val="1"/>
          <w:numId w:val="1"/>
        </w:numPr>
        <w:spacing w:before="120" w:after="160"/>
        <w:contextualSpacing w:val="0"/>
        <w:rPr>
          <w:rFonts w:asciiTheme="minorHAnsi" w:hAnsiTheme="minorHAnsi"/>
          <w:sz w:val="24"/>
          <w:szCs w:val="22"/>
        </w:rPr>
      </w:pPr>
      <w:r w:rsidRPr="001A5193">
        <w:rPr>
          <w:rFonts w:asciiTheme="minorHAnsi" w:hAnsiTheme="minorHAnsi"/>
          <w:sz w:val="24"/>
          <w:szCs w:val="22"/>
        </w:rPr>
        <w:t xml:space="preserve">The PBAC recalled that it </w:t>
      </w:r>
      <w:r w:rsidR="00650593">
        <w:rPr>
          <w:rFonts w:asciiTheme="minorHAnsi" w:hAnsiTheme="minorHAnsi"/>
          <w:sz w:val="24"/>
          <w:szCs w:val="22"/>
        </w:rPr>
        <w:t xml:space="preserve">did not recommend the listing of </w:t>
      </w:r>
      <w:proofErr w:type="spellStart"/>
      <w:r w:rsidRPr="001A5193">
        <w:rPr>
          <w:rFonts w:asciiTheme="minorHAnsi" w:hAnsiTheme="minorHAnsi"/>
          <w:sz w:val="24"/>
          <w:szCs w:val="22"/>
        </w:rPr>
        <w:t>lumacaftor</w:t>
      </w:r>
      <w:proofErr w:type="spellEnd"/>
      <w:r w:rsidR="001A5193">
        <w:rPr>
          <w:rFonts w:asciiTheme="minorHAnsi" w:hAnsiTheme="minorHAnsi"/>
          <w:sz w:val="24"/>
          <w:szCs w:val="22"/>
        </w:rPr>
        <w:t xml:space="preserve"> with </w:t>
      </w:r>
      <w:proofErr w:type="spellStart"/>
      <w:r w:rsidRPr="001A5193">
        <w:rPr>
          <w:rFonts w:asciiTheme="minorHAnsi" w:hAnsiTheme="minorHAnsi"/>
          <w:sz w:val="24"/>
          <w:szCs w:val="22"/>
        </w:rPr>
        <w:t>ivacaftor</w:t>
      </w:r>
      <w:proofErr w:type="spellEnd"/>
      <w:r w:rsidRPr="001A5193">
        <w:rPr>
          <w:rFonts w:asciiTheme="minorHAnsi" w:hAnsiTheme="minorHAnsi"/>
          <w:sz w:val="24"/>
          <w:szCs w:val="22"/>
        </w:rPr>
        <w:t xml:space="preserve"> </w:t>
      </w:r>
      <w:r w:rsidR="00650593">
        <w:rPr>
          <w:rFonts w:asciiTheme="minorHAnsi" w:hAnsiTheme="minorHAnsi"/>
          <w:sz w:val="24"/>
          <w:szCs w:val="22"/>
        </w:rPr>
        <w:t xml:space="preserve">in response to the sponsor’s submission </w:t>
      </w:r>
      <w:r w:rsidRPr="001A5193">
        <w:rPr>
          <w:rFonts w:asciiTheme="minorHAnsi" w:hAnsiTheme="minorHAnsi"/>
          <w:sz w:val="24"/>
          <w:szCs w:val="22"/>
        </w:rPr>
        <w:t>at its July 2017 meeting on the basis of unacceptably high cost</w:t>
      </w:r>
      <w:r w:rsidRPr="001A5193">
        <w:rPr>
          <w:rFonts w:asciiTheme="minorHAnsi" w:hAnsiTheme="minorHAnsi"/>
          <w:sz w:val="24"/>
          <w:szCs w:val="22"/>
        </w:rPr>
        <w:noBreakHyphen/>
        <w:t xml:space="preserve">effectiveness at the requested price and uncertainty around the longer term impact of </w:t>
      </w:r>
      <w:proofErr w:type="spellStart"/>
      <w:r w:rsidRPr="001A5193">
        <w:rPr>
          <w:rFonts w:asciiTheme="minorHAnsi" w:hAnsiTheme="minorHAnsi"/>
          <w:sz w:val="24"/>
          <w:szCs w:val="22"/>
        </w:rPr>
        <w:t>lumacaftor</w:t>
      </w:r>
      <w:proofErr w:type="spellEnd"/>
      <w:r w:rsidR="001A5193">
        <w:rPr>
          <w:rFonts w:asciiTheme="minorHAnsi" w:hAnsiTheme="minorHAnsi"/>
          <w:sz w:val="24"/>
          <w:szCs w:val="22"/>
        </w:rPr>
        <w:t xml:space="preserve"> with </w:t>
      </w:r>
      <w:proofErr w:type="spellStart"/>
      <w:r w:rsidRPr="001A5193">
        <w:rPr>
          <w:rFonts w:asciiTheme="minorHAnsi" w:hAnsiTheme="minorHAnsi"/>
          <w:sz w:val="24"/>
          <w:szCs w:val="22"/>
        </w:rPr>
        <w:t>ivacaftor</w:t>
      </w:r>
      <w:proofErr w:type="spellEnd"/>
      <w:r w:rsidRPr="001A5193">
        <w:rPr>
          <w:rFonts w:asciiTheme="minorHAnsi" w:hAnsiTheme="minorHAnsi"/>
          <w:sz w:val="24"/>
          <w:szCs w:val="22"/>
        </w:rPr>
        <w:t xml:space="preserve"> on lung function and survival beyond 2 years of treatment. </w:t>
      </w:r>
    </w:p>
    <w:p w:rsidR="006C1A5F" w:rsidRDefault="00163FAA">
      <w:pPr>
        <w:pStyle w:val="ListParagraph"/>
        <w:widowControl/>
        <w:numPr>
          <w:ilvl w:val="1"/>
          <w:numId w:val="1"/>
        </w:numPr>
        <w:spacing w:before="120" w:after="160"/>
        <w:contextualSpacing w:val="0"/>
        <w:rPr>
          <w:rFonts w:asciiTheme="minorHAnsi" w:hAnsiTheme="minorHAnsi"/>
          <w:sz w:val="24"/>
          <w:szCs w:val="22"/>
        </w:rPr>
      </w:pPr>
      <w:r w:rsidRPr="001A5193">
        <w:rPr>
          <w:rFonts w:asciiTheme="minorHAnsi" w:hAnsiTheme="minorHAnsi"/>
          <w:sz w:val="24"/>
          <w:szCs w:val="22"/>
        </w:rPr>
        <w:t xml:space="preserve">In recommending </w:t>
      </w:r>
      <w:proofErr w:type="spellStart"/>
      <w:r w:rsidRPr="001A5193">
        <w:rPr>
          <w:rFonts w:asciiTheme="minorHAnsi" w:hAnsiTheme="minorHAnsi"/>
          <w:sz w:val="24"/>
          <w:szCs w:val="22"/>
        </w:rPr>
        <w:t>lumacaftor</w:t>
      </w:r>
      <w:proofErr w:type="spellEnd"/>
      <w:r w:rsidRPr="001A5193">
        <w:rPr>
          <w:rFonts w:asciiTheme="minorHAnsi" w:hAnsiTheme="minorHAnsi"/>
          <w:sz w:val="24"/>
          <w:szCs w:val="22"/>
        </w:rPr>
        <w:t>/</w:t>
      </w:r>
      <w:proofErr w:type="spellStart"/>
      <w:r w:rsidRPr="001A5193">
        <w:rPr>
          <w:rFonts w:asciiTheme="minorHAnsi" w:hAnsiTheme="minorHAnsi"/>
          <w:sz w:val="24"/>
          <w:szCs w:val="22"/>
        </w:rPr>
        <w:t>ivacaftor</w:t>
      </w:r>
      <w:proofErr w:type="spellEnd"/>
      <w:r w:rsidRPr="001A5193">
        <w:rPr>
          <w:rFonts w:asciiTheme="minorHAnsi" w:hAnsiTheme="minorHAnsi"/>
          <w:sz w:val="24"/>
          <w:szCs w:val="22"/>
        </w:rPr>
        <w:t xml:space="preserve"> at this meeting, the PBAC noted that </w:t>
      </w:r>
      <w:r w:rsidR="006E0731">
        <w:rPr>
          <w:rFonts w:asciiTheme="minorHAnsi" w:hAnsiTheme="minorHAnsi"/>
          <w:sz w:val="24"/>
          <w:szCs w:val="22"/>
        </w:rPr>
        <w:t xml:space="preserve">the sponsor had offered an effective annual price per patient that is </w:t>
      </w:r>
      <w:r w:rsidR="004978B4">
        <w:rPr>
          <w:rFonts w:asciiTheme="minorHAnsi" w:hAnsiTheme="minorHAnsi"/>
          <w:noProof/>
          <w:color w:val="000000"/>
          <w:sz w:val="24"/>
          <w:szCs w:val="22"/>
          <w:highlight w:val="black"/>
        </w:rPr>
        <w:t>'''''</w:t>
      </w:r>
      <w:r w:rsidR="009253C0">
        <w:rPr>
          <w:rFonts w:asciiTheme="minorHAnsi" w:hAnsiTheme="minorHAnsi"/>
          <w:sz w:val="24"/>
          <w:szCs w:val="22"/>
        </w:rPr>
        <w:t xml:space="preserve">% lower than the </w:t>
      </w:r>
      <w:r w:rsidR="009253C0">
        <w:rPr>
          <w:rFonts w:asciiTheme="minorHAnsi" w:hAnsiTheme="minorHAnsi"/>
          <w:sz w:val="24"/>
          <w:szCs w:val="22"/>
        </w:rPr>
        <w:lastRenderedPageBreak/>
        <w:t>price offered in July 2017</w:t>
      </w:r>
      <w:r w:rsidR="00B03214">
        <w:rPr>
          <w:rFonts w:asciiTheme="minorHAnsi" w:hAnsiTheme="minorHAnsi"/>
          <w:sz w:val="24"/>
          <w:szCs w:val="22"/>
        </w:rPr>
        <w:t xml:space="preserve"> (current</w:t>
      </w:r>
      <w:r w:rsidR="006C1A5F">
        <w:rPr>
          <w:rFonts w:asciiTheme="minorHAnsi" w:hAnsiTheme="minorHAnsi"/>
          <w:sz w:val="24"/>
          <w:szCs w:val="22"/>
        </w:rPr>
        <w:t>:</w:t>
      </w:r>
      <w:r w:rsidR="00B03214">
        <w:rPr>
          <w:rFonts w:asciiTheme="minorHAnsi" w:hAnsiTheme="minorHAnsi"/>
          <w:sz w:val="24"/>
          <w:szCs w:val="22"/>
        </w:rPr>
        <w:t xml:space="preserve"> $</w:t>
      </w:r>
      <w:r w:rsidR="004978B4">
        <w:rPr>
          <w:rFonts w:asciiTheme="minorHAnsi" w:hAnsiTheme="minorHAnsi"/>
          <w:noProof/>
          <w:color w:val="000000"/>
          <w:sz w:val="24"/>
          <w:szCs w:val="22"/>
          <w:highlight w:val="black"/>
        </w:rPr>
        <w:t>''''''''''''</w:t>
      </w:r>
      <w:r w:rsidR="00B03214">
        <w:rPr>
          <w:rFonts w:asciiTheme="minorHAnsi" w:hAnsiTheme="minorHAnsi"/>
          <w:sz w:val="24"/>
          <w:szCs w:val="22"/>
        </w:rPr>
        <w:t xml:space="preserve"> per patient per year; July </w:t>
      </w:r>
      <w:r w:rsidR="006C1A5F">
        <w:rPr>
          <w:rFonts w:asciiTheme="minorHAnsi" w:hAnsiTheme="minorHAnsi"/>
          <w:sz w:val="24"/>
          <w:szCs w:val="22"/>
        </w:rPr>
        <w:t xml:space="preserve">2017: </w:t>
      </w:r>
      <w:r w:rsidR="004978B4">
        <w:rPr>
          <w:rFonts w:asciiTheme="minorHAnsi" w:hAnsiTheme="minorHAnsi"/>
          <w:noProof/>
          <w:color w:val="000000"/>
          <w:sz w:val="24"/>
          <w:szCs w:val="22"/>
          <w:highlight w:val="black"/>
        </w:rPr>
        <w:t>''''''''''''''''</w:t>
      </w:r>
      <w:r w:rsidR="006C1A5F">
        <w:rPr>
          <w:rFonts w:asciiTheme="minorHAnsi" w:hAnsiTheme="minorHAnsi"/>
          <w:sz w:val="24"/>
          <w:szCs w:val="22"/>
        </w:rPr>
        <w:t xml:space="preserve"> per patient per year)</w:t>
      </w:r>
      <w:r w:rsidR="009253C0">
        <w:rPr>
          <w:rFonts w:asciiTheme="minorHAnsi" w:hAnsiTheme="minorHAnsi"/>
          <w:sz w:val="24"/>
          <w:szCs w:val="22"/>
        </w:rPr>
        <w:t xml:space="preserve">. The sponsor had also revised a key assumption in its economic model, with the </w:t>
      </w:r>
      <w:r w:rsidR="00B03214">
        <w:rPr>
          <w:rFonts w:asciiTheme="minorHAnsi" w:hAnsiTheme="minorHAnsi"/>
          <w:sz w:val="24"/>
          <w:szCs w:val="22"/>
        </w:rPr>
        <w:t xml:space="preserve">decrease in </w:t>
      </w:r>
      <w:r w:rsidR="009253C0">
        <w:rPr>
          <w:rFonts w:asciiTheme="minorHAnsi" w:hAnsiTheme="minorHAnsi"/>
          <w:sz w:val="24"/>
          <w:szCs w:val="22"/>
        </w:rPr>
        <w:t xml:space="preserve">rate of decline of ppFEV1 in the on-treatment group now assumed to be </w:t>
      </w:r>
      <w:r w:rsidR="00C87E77" w:rsidRPr="00033D8D">
        <w:rPr>
          <w:rFonts w:asciiTheme="minorHAnsi" w:hAnsiTheme="minorHAnsi"/>
          <w:sz w:val="24"/>
          <w:szCs w:val="22"/>
        </w:rPr>
        <w:t>42</w:t>
      </w:r>
      <w:r w:rsidR="009253C0">
        <w:rPr>
          <w:rFonts w:asciiTheme="minorHAnsi" w:hAnsiTheme="minorHAnsi"/>
          <w:sz w:val="24"/>
          <w:szCs w:val="22"/>
        </w:rPr>
        <w:t>% of untreated patients</w:t>
      </w:r>
      <w:r w:rsidR="006C1A5F">
        <w:rPr>
          <w:rFonts w:asciiTheme="minorHAnsi" w:hAnsiTheme="minorHAnsi"/>
          <w:sz w:val="24"/>
          <w:szCs w:val="22"/>
        </w:rPr>
        <w:t xml:space="preserve"> (previous assumption was of no decline in ppFEV1 for treated patients)</w:t>
      </w:r>
      <w:r w:rsidR="009253C0">
        <w:rPr>
          <w:rFonts w:asciiTheme="minorHAnsi" w:hAnsiTheme="minorHAnsi"/>
          <w:sz w:val="24"/>
          <w:szCs w:val="22"/>
        </w:rPr>
        <w:t>.</w:t>
      </w:r>
      <w:r w:rsidR="006E0731">
        <w:rPr>
          <w:rFonts w:asciiTheme="minorHAnsi" w:hAnsiTheme="minorHAnsi"/>
          <w:sz w:val="24"/>
          <w:szCs w:val="22"/>
        </w:rPr>
        <w:t xml:space="preserve"> </w:t>
      </w:r>
      <w:r w:rsidR="009253C0">
        <w:rPr>
          <w:rFonts w:asciiTheme="minorHAnsi" w:hAnsiTheme="minorHAnsi"/>
          <w:sz w:val="24"/>
          <w:szCs w:val="22"/>
        </w:rPr>
        <w:t xml:space="preserve"> </w:t>
      </w:r>
    </w:p>
    <w:p w:rsidR="001A5193" w:rsidRDefault="009253C0">
      <w:pPr>
        <w:pStyle w:val="ListParagraph"/>
        <w:widowControl/>
        <w:numPr>
          <w:ilvl w:val="1"/>
          <w:numId w:val="1"/>
        </w:numPr>
        <w:spacing w:before="120" w:after="160"/>
        <w:contextualSpacing w:val="0"/>
        <w:rPr>
          <w:rFonts w:asciiTheme="minorHAnsi" w:hAnsiTheme="minorHAnsi"/>
          <w:sz w:val="24"/>
          <w:szCs w:val="22"/>
        </w:rPr>
      </w:pPr>
      <w:r w:rsidRPr="00B47FA4">
        <w:rPr>
          <w:rFonts w:asciiTheme="minorHAnsi" w:hAnsiTheme="minorHAnsi"/>
          <w:sz w:val="24"/>
          <w:szCs w:val="22"/>
        </w:rPr>
        <w:t xml:space="preserve">Although the PBAC remained concerned that (a) the </w:t>
      </w:r>
      <w:r w:rsidR="00650593" w:rsidRPr="00B47FA4">
        <w:rPr>
          <w:rFonts w:asciiTheme="minorHAnsi" w:hAnsiTheme="minorHAnsi"/>
          <w:sz w:val="24"/>
          <w:szCs w:val="22"/>
        </w:rPr>
        <w:t xml:space="preserve">rate of decline </w:t>
      </w:r>
      <w:r w:rsidRPr="00B47FA4">
        <w:rPr>
          <w:rFonts w:asciiTheme="minorHAnsi" w:hAnsiTheme="minorHAnsi"/>
          <w:sz w:val="24"/>
          <w:szCs w:val="22"/>
        </w:rPr>
        <w:t xml:space="preserve">assumption was overly optimistic </w:t>
      </w:r>
      <w:r w:rsidR="006C1A5F" w:rsidRPr="00B47FA4">
        <w:rPr>
          <w:rFonts w:asciiTheme="minorHAnsi" w:hAnsiTheme="minorHAnsi"/>
          <w:sz w:val="24"/>
          <w:szCs w:val="22"/>
        </w:rPr>
        <w:t xml:space="preserve">and </w:t>
      </w:r>
      <w:r w:rsidRPr="00B47FA4">
        <w:rPr>
          <w:rFonts w:asciiTheme="minorHAnsi" w:hAnsiTheme="minorHAnsi"/>
          <w:sz w:val="24"/>
          <w:szCs w:val="22"/>
        </w:rPr>
        <w:t xml:space="preserve">likely to be biased in favour of </w:t>
      </w:r>
      <w:proofErr w:type="spellStart"/>
      <w:r w:rsidRPr="00B47FA4">
        <w:rPr>
          <w:rFonts w:asciiTheme="minorHAnsi" w:hAnsiTheme="minorHAnsi"/>
          <w:sz w:val="24"/>
          <w:szCs w:val="22"/>
        </w:rPr>
        <w:t>lumacaftor</w:t>
      </w:r>
      <w:proofErr w:type="spellEnd"/>
      <w:r w:rsidRPr="00B47FA4">
        <w:rPr>
          <w:rFonts w:asciiTheme="minorHAnsi" w:hAnsiTheme="minorHAnsi"/>
          <w:sz w:val="24"/>
          <w:szCs w:val="22"/>
        </w:rPr>
        <w:t>/</w:t>
      </w:r>
      <w:proofErr w:type="spellStart"/>
      <w:r w:rsidRPr="00B47FA4">
        <w:rPr>
          <w:rFonts w:asciiTheme="minorHAnsi" w:hAnsiTheme="minorHAnsi"/>
          <w:sz w:val="24"/>
          <w:szCs w:val="22"/>
        </w:rPr>
        <w:t>ivacaftor</w:t>
      </w:r>
      <w:proofErr w:type="spellEnd"/>
      <w:r w:rsidR="006C1A5F" w:rsidRPr="00B47FA4">
        <w:rPr>
          <w:rFonts w:asciiTheme="minorHAnsi" w:hAnsiTheme="minorHAnsi"/>
          <w:sz w:val="24"/>
          <w:szCs w:val="22"/>
        </w:rPr>
        <w:t xml:space="preserve"> (see paragraphs </w:t>
      </w:r>
      <w:r w:rsidR="009F5B86" w:rsidRPr="00B47FA4">
        <w:rPr>
          <w:rFonts w:asciiTheme="minorHAnsi" w:hAnsiTheme="minorHAnsi"/>
          <w:sz w:val="24"/>
          <w:szCs w:val="22"/>
        </w:rPr>
        <w:t>6.25 – 6.</w:t>
      </w:r>
      <w:r w:rsidR="00B47FA4" w:rsidRPr="00B47FA4">
        <w:rPr>
          <w:rFonts w:asciiTheme="minorHAnsi" w:hAnsiTheme="minorHAnsi"/>
          <w:sz w:val="24"/>
          <w:szCs w:val="22"/>
        </w:rPr>
        <w:t xml:space="preserve">27 </w:t>
      </w:r>
      <w:r w:rsidR="006C1A5F" w:rsidRPr="00B47FA4">
        <w:rPr>
          <w:rFonts w:asciiTheme="minorHAnsi" w:hAnsiTheme="minorHAnsi"/>
          <w:sz w:val="24"/>
          <w:szCs w:val="22"/>
        </w:rPr>
        <w:t>above)</w:t>
      </w:r>
      <w:r w:rsidRPr="00B47FA4">
        <w:rPr>
          <w:rFonts w:asciiTheme="minorHAnsi" w:hAnsiTheme="minorHAnsi"/>
          <w:sz w:val="24"/>
          <w:szCs w:val="22"/>
        </w:rPr>
        <w:t>, and (b)</w:t>
      </w:r>
      <w:r w:rsidR="00B03214" w:rsidRPr="00B47FA4">
        <w:rPr>
          <w:rFonts w:asciiTheme="minorHAnsi" w:hAnsiTheme="minorHAnsi"/>
          <w:sz w:val="24"/>
          <w:szCs w:val="22"/>
        </w:rPr>
        <w:t xml:space="preserve"> the </w:t>
      </w:r>
      <w:r w:rsidR="00650593" w:rsidRPr="00B47FA4">
        <w:rPr>
          <w:rFonts w:asciiTheme="minorHAnsi" w:hAnsiTheme="minorHAnsi"/>
          <w:sz w:val="24"/>
          <w:szCs w:val="22"/>
        </w:rPr>
        <w:t xml:space="preserve">rate of decline </w:t>
      </w:r>
      <w:r w:rsidR="00B03214" w:rsidRPr="00B47FA4">
        <w:rPr>
          <w:rFonts w:asciiTheme="minorHAnsi" w:hAnsiTheme="minorHAnsi"/>
          <w:sz w:val="24"/>
          <w:szCs w:val="22"/>
        </w:rPr>
        <w:t>difference might not be sustained in the longer term, the</w:t>
      </w:r>
      <w:r w:rsidR="00B03214">
        <w:rPr>
          <w:rFonts w:asciiTheme="minorHAnsi" w:hAnsiTheme="minorHAnsi"/>
          <w:sz w:val="24"/>
          <w:szCs w:val="22"/>
        </w:rPr>
        <w:t xml:space="preserve"> PBAC</w:t>
      </w:r>
      <w:r w:rsidR="006C1A5F">
        <w:rPr>
          <w:rFonts w:asciiTheme="minorHAnsi" w:hAnsiTheme="minorHAnsi"/>
          <w:sz w:val="24"/>
          <w:szCs w:val="22"/>
        </w:rPr>
        <w:t xml:space="preserve"> considered </w:t>
      </w:r>
      <w:proofErr w:type="spellStart"/>
      <w:r w:rsidR="006C1A5F">
        <w:rPr>
          <w:rFonts w:asciiTheme="minorHAnsi" w:hAnsiTheme="minorHAnsi"/>
          <w:sz w:val="24"/>
          <w:szCs w:val="22"/>
        </w:rPr>
        <w:t>lumacaftor</w:t>
      </w:r>
      <w:proofErr w:type="spellEnd"/>
      <w:r w:rsidR="006C1A5F">
        <w:rPr>
          <w:rFonts w:asciiTheme="minorHAnsi" w:hAnsiTheme="minorHAnsi"/>
          <w:sz w:val="24"/>
          <w:szCs w:val="22"/>
        </w:rPr>
        <w:t>/</w:t>
      </w:r>
      <w:proofErr w:type="spellStart"/>
      <w:r w:rsidR="006C1A5F">
        <w:rPr>
          <w:rFonts w:asciiTheme="minorHAnsi" w:hAnsiTheme="minorHAnsi"/>
          <w:sz w:val="24"/>
          <w:szCs w:val="22"/>
        </w:rPr>
        <w:t>ivacaftor</w:t>
      </w:r>
      <w:proofErr w:type="spellEnd"/>
      <w:r w:rsidR="006C1A5F">
        <w:rPr>
          <w:rFonts w:asciiTheme="minorHAnsi" w:hAnsiTheme="minorHAnsi"/>
          <w:sz w:val="24"/>
          <w:szCs w:val="22"/>
        </w:rPr>
        <w:t xml:space="preserve"> to be acceptably cost-effective at the new offered price and with the additional measures for managing risk described at 7.3 above. </w:t>
      </w:r>
    </w:p>
    <w:p w:rsidR="009B04DB" w:rsidRPr="005C5A18" w:rsidRDefault="009B04DB" w:rsidP="00C4077F">
      <w:pPr>
        <w:pStyle w:val="ListParagraph"/>
        <w:numPr>
          <w:ilvl w:val="1"/>
          <w:numId w:val="1"/>
        </w:numPr>
        <w:spacing w:after="120"/>
        <w:rPr>
          <w:rFonts w:asciiTheme="minorHAnsi" w:hAnsiTheme="minorHAnsi"/>
          <w:szCs w:val="22"/>
        </w:rPr>
      </w:pPr>
      <w:r w:rsidRPr="00C4077F">
        <w:rPr>
          <w:rFonts w:asciiTheme="minorHAnsi" w:hAnsiTheme="minorHAnsi" w:cs="Times New Roman"/>
          <w:snapToGrid/>
          <w:sz w:val="24"/>
          <w:szCs w:val="22"/>
          <w:lang w:eastAsia="en-AU"/>
        </w:rPr>
        <w:t xml:space="preserve">The PBAC considered that while there was evidence that </w:t>
      </w:r>
      <w:proofErr w:type="spellStart"/>
      <w:r w:rsidRPr="00C4077F">
        <w:rPr>
          <w:rFonts w:asciiTheme="minorHAnsi" w:hAnsiTheme="minorHAnsi" w:cs="Times New Roman"/>
          <w:snapToGrid/>
          <w:sz w:val="24"/>
          <w:szCs w:val="22"/>
          <w:lang w:eastAsia="en-AU"/>
        </w:rPr>
        <w:t>lumacaftor</w:t>
      </w:r>
      <w:proofErr w:type="spellEnd"/>
      <w:r w:rsidRPr="00C4077F">
        <w:rPr>
          <w:rFonts w:asciiTheme="minorHAnsi" w:hAnsiTheme="minorHAnsi" w:cs="Times New Roman"/>
          <w:snapToGrid/>
          <w:sz w:val="24"/>
          <w:szCs w:val="22"/>
          <w:lang w:eastAsia="en-AU"/>
        </w:rPr>
        <w:t xml:space="preserve"> with </w:t>
      </w:r>
      <w:proofErr w:type="spellStart"/>
      <w:r w:rsidRPr="00C4077F">
        <w:rPr>
          <w:rFonts w:asciiTheme="minorHAnsi" w:hAnsiTheme="minorHAnsi" w:cs="Times New Roman"/>
          <w:snapToGrid/>
          <w:sz w:val="24"/>
          <w:szCs w:val="22"/>
          <w:lang w:eastAsia="en-AU"/>
        </w:rPr>
        <w:t>ivacaftor</w:t>
      </w:r>
      <w:proofErr w:type="spellEnd"/>
      <w:r w:rsidRPr="00C4077F">
        <w:rPr>
          <w:rFonts w:asciiTheme="minorHAnsi" w:hAnsiTheme="minorHAnsi" w:cs="Times New Roman"/>
          <w:snapToGrid/>
          <w:sz w:val="24"/>
          <w:szCs w:val="22"/>
          <w:lang w:eastAsia="en-AU"/>
        </w:rPr>
        <w:t xml:space="preserve"> slows the rate of decline in ppFEV1 and reduces pulmonary exacerbations (</w:t>
      </w:r>
      <w:proofErr w:type="spellStart"/>
      <w:r w:rsidRPr="00C4077F">
        <w:rPr>
          <w:rFonts w:asciiTheme="minorHAnsi" w:hAnsiTheme="minorHAnsi" w:cs="Times New Roman"/>
          <w:snapToGrid/>
          <w:sz w:val="24"/>
          <w:szCs w:val="22"/>
          <w:lang w:eastAsia="en-AU"/>
        </w:rPr>
        <w:t>PEx</w:t>
      </w:r>
      <w:proofErr w:type="spellEnd"/>
      <w:r w:rsidRPr="00C4077F">
        <w:rPr>
          <w:rFonts w:asciiTheme="minorHAnsi" w:hAnsiTheme="minorHAnsi" w:cs="Times New Roman"/>
          <w:snapToGrid/>
          <w:sz w:val="24"/>
          <w:szCs w:val="22"/>
          <w:lang w:eastAsia="en-AU"/>
        </w:rPr>
        <w:t>) up to 96 weeks for some patients; the sustainability of these benefits in the longer term remain uncertain.</w:t>
      </w:r>
      <w:r w:rsidR="001A6630">
        <w:rPr>
          <w:rFonts w:asciiTheme="minorHAnsi" w:hAnsiTheme="minorHAnsi" w:cs="Times New Roman"/>
          <w:snapToGrid/>
          <w:sz w:val="24"/>
          <w:szCs w:val="22"/>
          <w:lang w:eastAsia="en-AU"/>
        </w:rPr>
        <w:t xml:space="preserve"> </w:t>
      </w:r>
      <w:r w:rsidR="00650593">
        <w:rPr>
          <w:rFonts w:asciiTheme="minorHAnsi" w:hAnsiTheme="minorHAnsi" w:cs="Times New Roman"/>
          <w:snapToGrid/>
          <w:sz w:val="24"/>
          <w:szCs w:val="22"/>
          <w:lang w:eastAsia="en-AU"/>
        </w:rPr>
        <w:t xml:space="preserve">If a MAP of the type described in these minutes was implemented, and </w:t>
      </w:r>
      <w:r w:rsidR="001A6630">
        <w:rPr>
          <w:rFonts w:asciiTheme="minorHAnsi" w:hAnsiTheme="minorHAnsi" w:cs="Times New Roman"/>
          <w:snapToGrid/>
          <w:sz w:val="24"/>
          <w:szCs w:val="22"/>
          <w:lang w:eastAsia="en-AU"/>
        </w:rPr>
        <w:t>should the sponsor’s assumptions</w:t>
      </w:r>
      <w:r w:rsidR="001A6630" w:rsidRPr="00E05CD8">
        <w:t xml:space="preserve"> </w:t>
      </w:r>
      <w:r w:rsidR="001A6630" w:rsidRPr="00E05CD8">
        <w:rPr>
          <w:rFonts w:asciiTheme="minorHAnsi" w:hAnsiTheme="minorHAnsi" w:cs="Times New Roman"/>
          <w:snapToGrid/>
          <w:sz w:val="24"/>
          <w:szCs w:val="22"/>
          <w:lang w:eastAsia="en-AU"/>
        </w:rPr>
        <w:t xml:space="preserve">on rate of decline </w:t>
      </w:r>
      <w:r w:rsidR="001A6630">
        <w:rPr>
          <w:rFonts w:asciiTheme="minorHAnsi" w:hAnsiTheme="minorHAnsi" w:cs="Times New Roman"/>
          <w:snapToGrid/>
          <w:sz w:val="24"/>
          <w:szCs w:val="22"/>
          <w:lang w:eastAsia="en-AU"/>
        </w:rPr>
        <w:t>not</w:t>
      </w:r>
      <w:r w:rsidR="001A6630" w:rsidRPr="00E05CD8">
        <w:rPr>
          <w:rFonts w:asciiTheme="minorHAnsi" w:hAnsiTheme="minorHAnsi" w:cs="Times New Roman"/>
          <w:snapToGrid/>
          <w:sz w:val="24"/>
          <w:szCs w:val="22"/>
          <w:lang w:eastAsia="en-AU"/>
        </w:rPr>
        <w:t xml:space="preserve"> be substantiated or </w:t>
      </w:r>
      <w:r w:rsidR="001A6630">
        <w:rPr>
          <w:rFonts w:asciiTheme="minorHAnsi" w:hAnsiTheme="minorHAnsi" w:cs="Times New Roman"/>
          <w:snapToGrid/>
          <w:sz w:val="24"/>
          <w:szCs w:val="22"/>
          <w:lang w:eastAsia="en-AU"/>
        </w:rPr>
        <w:t>be</w:t>
      </w:r>
      <w:r w:rsidR="001A6630" w:rsidRPr="00E05CD8">
        <w:rPr>
          <w:rFonts w:asciiTheme="minorHAnsi" w:hAnsiTheme="minorHAnsi" w:cs="Times New Roman"/>
          <w:snapToGrid/>
          <w:sz w:val="24"/>
          <w:szCs w:val="22"/>
          <w:lang w:eastAsia="en-AU"/>
        </w:rPr>
        <w:t xml:space="preserve"> only partially su</w:t>
      </w:r>
      <w:r w:rsidR="001A6630">
        <w:rPr>
          <w:rFonts w:asciiTheme="minorHAnsi" w:hAnsiTheme="minorHAnsi" w:cs="Times New Roman"/>
          <w:snapToGrid/>
          <w:sz w:val="24"/>
          <w:szCs w:val="22"/>
          <w:lang w:eastAsia="en-AU"/>
        </w:rPr>
        <w:t xml:space="preserve">bstantiated </w:t>
      </w:r>
      <w:r w:rsidR="001A6630" w:rsidRPr="00E05CD8">
        <w:rPr>
          <w:rFonts w:asciiTheme="minorHAnsi" w:hAnsiTheme="minorHAnsi" w:cs="Times New Roman"/>
          <w:snapToGrid/>
          <w:sz w:val="24"/>
          <w:szCs w:val="22"/>
          <w:lang w:eastAsia="en-AU"/>
        </w:rPr>
        <w:t xml:space="preserve">through a submission to the PBAC and PBAC affirming the cost-effectiveness of the medicine </w:t>
      </w:r>
      <w:r w:rsidR="001A6630">
        <w:rPr>
          <w:rFonts w:asciiTheme="minorHAnsi" w:hAnsiTheme="minorHAnsi" w:cs="Times New Roman"/>
          <w:snapToGrid/>
          <w:sz w:val="24"/>
          <w:szCs w:val="22"/>
          <w:lang w:eastAsia="en-AU"/>
        </w:rPr>
        <w:t>within two and a half years of PBS listing,</w:t>
      </w:r>
      <w:r w:rsidR="001A6630" w:rsidRPr="00E05CD8">
        <w:rPr>
          <w:rFonts w:asciiTheme="minorHAnsi" w:hAnsiTheme="minorHAnsi" w:cs="Times New Roman"/>
          <w:snapToGrid/>
          <w:sz w:val="24"/>
          <w:szCs w:val="22"/>
          <w:lang w:eastAsia="en-AU"/>
        </w:rPr>
        <w:t xml:space="preserve"> the price paid for </w:t>
      </w:r>
      <w:proofErr w:type="spellStart"/>
      <w:r w:rsidR="001A6630" w:rsidRPr="00E05CD8">
        <w:rPr>
          <w:rFonts w:asciiTheme="minorHAnsi" w:hAnsiTheme="minorHAnsi" w:cs="Times New Roman"/>
          <w:snapToGrid/>
          <w:sz w:val="24"/>
          <w:szCs w:val="22"/>
          <w:lang w:eastAsia="en-AU"/>
        </w:rPr>
        <w:t>lumacaftor</w:t>
      </w:r>
      <w:proofErr w:type="spellEnd"/>
      <w:r w:rsidR="001A6630" w:rsidRPr="00E05CD8">
        <w:rPr>
          <w:rFonts w:asciiTheme="minorHAnsi" w:hAnsiTheme="minorHAnsi" w:cs="Times New Roman"/>
          <w:snapToGrid/>
          <w:sz w:val="24"/>
          <w:szCs w:val="22"/>
          <w:lang w:eastAsia="en-AU"/>
        </w:rPr>
        <w:t xml:space="preserve"> with </w:t>
      </w:r>
      <w:proofErr w:type="spellStart"/>
      <w:r w:rsidR="001A6630" w:rsidRPr="00E05CD8">
        <w:rPr>
          <w:rFonts w:asciiTheme="minorHAnsi" w:hAnsiTheme="minorHAnsi" w:cs="Times New Roman"/>
          <w:snapToGrid/>
          <w:sz w:val="24"/>
          <w:szCs w:val="22"/>
          <w:lang w:eastAsia="en-AU"/>
        </w:rPr>
        <w:t>ivacaftor</w:t>
      </w:r>
      <w:proofErr w:type="spellEnd"/>
      <w:r w:rsidR="001A6630" w:rsidRPr="00E05CD8">
        <w:rPr>
          <w:rFonts w:asciiTheme="minorHAnsi" w:hAnsiTheme="minorHAnsi" w:cs="Times New Roman"/>
          <w:snapToGrid/>
          <w:sz w:val="24"/>
          <w:szCs w:val="22"/>
          <w:lang w:eastAsia="en-AU"/>
        </w:rPr>
        <w:t xml:space="preserve"> w</w:t>
      </w:r>
      <w:r w:rsidR="00650593">
        <w:rPr>
          <w:rFonts w:asciiTheme="minorHAnsi" w:hAnsiTheme="minorHAnsi" w:cs="Times New Roman"/>
          <w:snapToGrid/>
          <w:sz w:val="24"/>
          <w:szCs w:val="22"/>
          <w:lang w:eastAsia="en-AU"/>
        </w:rPr>
        <w:t>ould</w:t>
      </w:r>
      <w:r w:rsidR="001A6630" w:rsidRPr="00E05CD8">
        <w:rPr>
          <w:rFonts w:asciiTheme="minorHAnsi" w:hAnsiTheme="minorHAnsi" w:cs="Times New Roman"/>
          <w:snapToGrid/>
          <w:sz w:val="24"/>
          <w:szCs w:val="22"/>
          <w:lang w:eastAsia="en-AU"/>
        </w:rPr>
        <w:t xml:space="preserve"> reduce to a level consistent with the evidence provided.  </w:t>
      </w:r>
      <w:r w:rsidR="00650593">
        <w:rPr>
          <w:rFonts w:asciiTheme="minorHAnsi" w:hAnsiTheme="minorHAnsi" w:cs="Times New Roman"/>
          <w:snapToGrid/>
          <w:sz w:val="24"/>
          <w:szCs w:val="22"/>
          <w:lang w:eastAsia="en-AU"/>
        </w:rPr>
        <w:t>For instance, s</w:t>
      </w:r>
      <w:r w:rsidR="001A6630">
        <w:rPr>
          <w:rFonts w:asciiTheme="minorHAnsi" w:hAnsiTheme="minorHAnsi" w:cs="Times New Roman"/>
          <w:snapToGrid/>
          <w:sz w:val="24"/>
          <w:szCs w:val="22"/>
          <w:lang w:eastAsia="en-AU"/>
        </w:rPr>
        <w:t xml:space="preserve">hould </w:t>
      </w:r>
      <w:r w:rsidR="00165D9A">
        <w:rPr>
          <w:rFonts w:asciiTheme="minorHAnsi" w:hAnsiTheme="minorHAnsi" w:cs="Times New Roman"/>
          <w:snapToGrid/>
          <w:sz w:val="24"/>
          <w:szCs w:val="22"/>
          <w:lang w:eastAsia="en-AU"/>
        </w:rPr>
        <w:t>the PBAC not affirm the cost-effectiveness of the medicine</w:t>
      </w:r>
      <w:r w:rsidR="00EB4990">
        <w:rPr>
          <w:rFonts w:asciiTheme="minorHAnsi" w:hAnsiTheme="minorHAnsi" w:cs="Times New Roman"/>
          <w:snapToGrid/>
          <w:sz w:val="24"/>
          <w:szCs w:val="22"/>
          <w:lang w:eastAsia="en-AU"/>
        </w:rPr>
        <w:t xml:space="preserve"> within </w:t>
      </w:r>
      <w:r w:rsidR="00566B0D">
        <w:rPr>
          <w:rFonts w:asciiTheme="minorHAnsi" w:hAnsiTheme="minorHAnsi" w:cs="Times New Roman"/>
          <w:snapToGrid/>
          <w:sz w:val="24"/>
          <w:szCs w:val="22"/>
          <w:lang w:eastAsia="en-AU"/>
        </w:rPr>
        <w:t xml:space="preserve">two and a half </w:t>
      </w:r>
      <w:r w:rsidR="00EB4990">
        <w:rPr>
          <w:rFonts w:asciiTheme="minorHAnsi" w:hAnsiTheme="minorHAnsi" w:cs="Times New Roman"/>
          <w:snapToGrid/>
          <w:sz w:val="24"/>
          <w:szCs w:val="22"/>
          <w:lang w:eastAsia="en-AU"/>
        </w:rPr>
        <w:t>years</w:t>
      </w:r>
      <w:r w:rsidR="00650593">
        <w:rPr>
          <w:rFonts w:asciiTheme="minorHAnsi" w:hAnsiTheme="minorHAnsi" w:cs="Times New Roman"/>
          <w:snapToGrid/>
          <w:sz w:val="24"/>
          <w:szCs w:val="22"/>
          <w:lang w:eastAsia="en-AU"/>
        </w:rPr>
        <w:t>,</w:t>
      </w:r>
      <w:r w:rsidR="001A6630">
        <w:rPr>
          <w:rFonts w:asciiTheme="minorHAnsi" w:hAnsiTheme="minorHAnsi" w:cs="Times New Roman"/>
          <w:snapToGrid/>
          <w:sz w:val="24"/>
          <w:szCs w:val="22"/>
          <w:lang w:eastAsia="en-AU"/>
        </w:rPr>
        <w:t xml:space="preserve"> the</w:t>
      </w:r>
      <w:r w:rsidR="001A6630" w:rsidRPr="00E05CD8">
        <w:rPr>
          <w:rFonts w:asciiTheme="minorHAnsi" w:hAnsiTheme="minorHAnsi" w:cs="Times New Roman"/>
          <w:snapToGrid/>
          <w:sz w:val="24"/>
          <w:szCs w:val="22"/>
          <w:lang w:eastAsia="en-AU"/>
        </w:rPr>
        <w:t xml:space="preserve"> price paid </w:t>
      </w:r>
      <w:r w:rsidR="001A6630">
        <w:rPr>
          <w:rFonts w:asciiTheme="minorHAnsi" w:hAnsiTheme="minorHAnsi" w:cs="Times New Roman"/>
          <w:snapToGrid/>
          <w:sz w:val="24"/>
          <w:szCs w:val="22"/>
          <w:lang w:eastAsia="en-AU"/>
        </w:rPr>
        <w:t>in two and a half years from the listing</w:t>
      </w:r>
      <w:r w:rsidR="001A6630" w:rsidRPr="00E05CD8">
        <w:rPr>
          <w:rFonts w:asciiTheme="minorHAnsi" w:hAnsiTheme="minorHAnsi" w:cs="Times New Roman"/>
          <w:snapToGrid/>
          <w:sz w:val="24"/>
          <w:szCs w:val="22"/>
          <w:lang w:eastAsia="en-AU"/>
        </w:rPr>
        <w:t xml:space="preserve"> </w:t>
      </w:r>
      <w:r w:rsidR="001A6630">
        <w:rPr>
          <w:rFonts w:asciiTheme="minorHAnsi" w:hAnsiTheme="minorHAnsi" w:cs="Times New Roman"/>
          <w:snapToGrid/>
          <w:sz w:val="24"/>
          <w:szCs w:val="22"/>
          <w:lang w:eastAsia="en-AU"/>
        </w:rPr>
        <w:t xml:space="preserve">date </w:t>
      </w:r>
      <w:r w:rsidR="00650593">
        <w:rPr>
          <w:rFonts w:asciiTheme="minorHAnsi" w:hAnsiTheme="minorHAnsi" w:cs="Times New Roman"/>
          <w:snapToGrid/>
          <w:sz w:val="24"/>
          <w:szCs w:val="22"/>
          <w:lang w:eastAsia="en-AU"/>
        </w:rPr>
        <w:t>should</w:t>
      </w:r>
      <w:r w:rsidR="001A6630">
        <w:rPr>
          <w:rFonts w:asciiTheme="minorHAnsi" w:hAnsiTheme="minorHAnsi" w:cs="Times New Roman"/>
          <w:snapToGrid/>
          <w:sz w:val="24"/>
          <w:szCs w:val="22"/>
          <w:lang w:eastAsia="en-AU"/>
        </w:rPr>
        <w:t xml:space="preserve"> reduce to</w:t>
      </w:r>
      <w:r w:rsidR="001A6630" w:rsidRPr="00E05CD8">
        <w:rPr>
          <w:rFonts w:asciiTheme="minorHAnsi" w:hAnsiTheme="minorHAnsi" w:cs="Times New Roman"/>
          <w:snapToGrid/>
          <w:sz w:val="24"/>
          <w:szCs w:val="22"/>
          <w:lang w:eastAsia="en-AU"/>
        </w:rPr>
        <w:t xml:space="preserve"> $</w:t>
      </w:r>
      <w:r w:rsidR="004978B4">
        <w:rPr>
          <w:rFonts w:asciiTheme="minorHAnsi" w:hAnsiTheme="minorHAnsi" w:cs="Times New Roman"/>
          <w:noProof/>
          <w:snapToGrid/>
          <w:color w:val="000000"/>
          <w:sz w:val="24"/>
          <w:szCs w:val="22"/>
          <w:highlight w:val="black"/>
          <w:lang w:eastAsia="en-AU"/>
        </w:rPr>
        <w:t>''''''''''''</w:t>
      </w:r>
      <w:r w:rsidR="001A6630" w:rsidRPr="00E05CD8">
        <w:rPr>
          <w:rFonts w:asciiTheme="minorHAnsi" w:hAnsiTheme="minorHAnsi" w:cs="Times New Roman"/>
          <w:snapToGrid/>
          <w:sz w:val="24"/>
          <w:szCs w:val="22"/>
          <w:lang w:eastAsia="en-AU"/>
        </w:rPr>
        <w:t xml:space="preserve"> per patient per year</w:t>
      </w:r>
      <w:r w:rsidR="001A6630">
        <w:rPr>
          <w:rFonts w:asciiTheme="minorHAnsi" w:hAnsiTheme="minorHAnsi" w:cs="Times New Roman"/>
          <w:snapToGrid/>
          <w:sz w:val="24"/>
          <w:szCs w:val="22"/>
          <w:lang w:eastAsia="en-AU"/>
        </w:rPr>
        <w:t>, the price that is considered cost-effective under</w:t>
      </w:r>
      <w:r w:rsidR="001A6630" w:rsidRPr="00E05CD8">
        <w:rPr>
          <w:rFonts w:asciiTheme="minorHAnsi" w:hAnsiTheme="minorHAnsi" w:cs="Times New Roman"/>
          <w:snapToGrid/>
          <w:sz w:val="24"/>
          <w:szCs w:val="22"/>
          <w:lang w:eastAsia="en-AU"/>
        </w:rPr>
        <w:t xml:space="preserve"> the assumption that patients treated with </w:t>
      </w:r>
      <w:proofErr w:type="spellStart"/>
      <w:r w:rsidR="001A6630" w:rsidRPr="00E05CD8">
        <w:rPr>
          <w:rFonts w:asciiTheme="minorHAnsi" w:hAnsiTheme="minorHAnsi" w:cs="Times New Roman"/>
          <w:snapToGrid/>
          <w:sz w:val="24"/>
          <w:szCs w:val="22"/>
          <w:lang w:eastAsia="en-AU"/>
        </w:rPr>
        <w:t>lumacaftor</w:t>
      </w:r>
      <w:proofErr w:type="spellEnd"/>
      <w:r w:rsidR="001A6630" w:rsidRPr="00E05CD8">
        <w:rPr>
          <w:rFonts w:asciiTheme="minorHAnsi" w:hAnsiTheme="minorHAnsi" w:cs="Times New Roman"/>
          <w:snapToGrid/>
          <w:sz w:val="24"/>
          <w:szCs w:val="22"/>
          <w:lang w:eastAsia="en-AU"/>
        </w:rPr>
        <w:t>/</w:t>
      </w:r>
      <w:proofErr w:type="spellStart"/>
      <w:r w:rsidR="001A6630" w:rsidRPr="00E05CD8">
        <w:rPr>
          <w:rFonts w:asciiTheme="minorHAnsi" w:hAnsiTheme="minorHAnsi" w:cs="Times New Roman"/>
          <w:snapToGrid/>
          <w:sz w:val="24"/>
          <w:szCs w:val="22"/>
          <w:lang w:eastAsia="en-AU"/>
        </w:rPr>
        <w:t>ivacaftor</w:t>
      </w:r>
      <w:proofErr w:type="spellEnd"/>
      <w:r w:rsidR="001A6630" w:rsidRPr="00E05CD8">
        <w:rPr>
          <w:rFonts w:asciiTheme="minorHAnsi" w:hAnsiTheme="minorHAnsi" w:cs="Times New Roman"/>
          <w:snapToGrid/>
          <w:sz w:val="24"/>
          <w:szCs w:val="22"/>
          <w:lang w:eastAsia="en-AU"/>
        </w:rPr>
        <w:t xml:space="preserve"> maintain an advantage over untreated patients after 96 weeks, but that treated patients decline at a similar rate to untreated patients.</w:t>
      </w:r>
      <w:r w:rsidR="00D60F62">
        <w:rPr>
          <w:rFonts w:asciiTheme="minorHAnsi" w:hAnsiTheme="minorHAnsi" w:cs="Times New Roman"/>
          <w:snapToGrid/>
          <w:sz w:val="24"/>
          <w:szCs w:val="22"/>
          <w:lang w:eastAsia="en-AU"/>
        </w:rPr>
        <w:t xml:space="preserve">  The PBAC noted that that price would be the price at which it advised the Minister, in July 2017, </w:t>
      </w:r>
      <w:proofErr w:type="spellStart"/>
      <w:r w:rsidR="00D60F62">
        <w:rPr>
          <w:rFonts w:asciiTheme="minorHAnsi" w:hAnsiTheme="minorHAnsi" w:cs="Times New Roman"/>
          <w:snapToGrid/>
          <w:sz w:val="24"/>
          <w:szCs w:val="22"/>
          <w:lang w:eastAsia="en-AU"/>
        </w:rPr>
        <w:t>lumacaftor</w:t>
      </w:r>
      <w:proofErr w:type="spellEnd"/>
      <w:r w:rsidR="00D60F62">
        <w:rPr>
          <w:rFonts w:asciiTheme="minorHAnsi" w:hAnsiTheme="minorHAnsi" w:cs="Times New Roman"/>
          <w:snapToGrid/>
          <w:sz w:val="24"/>
          <w:szCs w:val="22"/>
          <w:lang w:eastAsia="en-AU"/>
        </w:rPr>
        <w:t xml:space="preserve"> and </w:t>
      </w:r>
      <w:proofErr w:type="spellStart"/>
      <w:r w:rsidR="00D60F62">
        <w:rPr>
          <w:rFonts w:asciiTheme="minorHAnsi" w:hAnsiTheme="minorHAnsi" w:cs="Times New Roman"/>
          <w:snapToGrid/>
          <w:sz w:val="24"/>
          <w:szCs w:val="22"/>
          <w:lang w:eastAsia="en-AU"/>
        </w:rPr>
        <w:t>ivacaftor</w:t>
      </w:r>
      <w:proofErr w:type="spellEnd"/>
      <w:r w:rsidR="00D60F62">
        <w:rPr>
          <w:rFonts w:asciiTheme="minorHAnsi" w:hAnsiTheme="minorHAnsi" w:cs="Times New Roman"/>
          <w:snapToGrid/>
          <w:sz w:val="24"/>
          <w:szCs w:val="22"/>
          <w:lang w:eastAsia="en-AU"/>
        </w:rPr>
        <w:t xml:space="preserve"> would be cost-effective on the basis of the information then available to it.</w:t>
      </w:r>
    </w:p>
    <w:p w:rsidR="003D3BE7" w:rsidRPr="00E023BF" w:rsidRDefault="003D3BE7" w:rsidP="003D3BE7">
      <w:pPr>
        <w:widowControl w:val="0"/>
        <w:numPr>
          <w:ilvl w:val="1"/>
          <w:numId w:val="1"/>
        </w:numPr>
        <w:spacing w:after="120"/>
        <w:jc w:val="both"/>
        <w:rPr>
          <w:rFonts w:asciiTheme="minorHAnsi" w:hAnsiTheme="minorHAnsi" w:cs="Arial"/>
          <w:bCs/>
          <w:snapToGrid w:val="0"/>
          <w:lang w:val="en-GB"/>
        </w:rPr>
      </w:pPr>
      <w:r w:rsidRPr="00E023BF">
        <w:rPr>
          <w:rFonts w:asciiTheme="minorHAnsi" w:hAnsiTheme="minorHAnsi" w:cs="Arial"/>
          <w:bCs/>
          <w:snapToGrid w:val="0"/>
          <w:lang w:val="en-GB"/>
        </w:rPr>
        <w:t xml:space="preserve">The PBAC </w:t>
      </w:r>
      <w:r w:rsidR="00650593">
        <w:rPr>
          <w:rFonts w:asciiTheme="minorHAnsi" w:hAnsiTheme="minorHAnsi" w:cs="Arial"/>
          <w:bCs/>
          <w:snapToGrid w:val="0"/>
          <w:lang w:val="en-GB"/>
        </w:rPr>
        <w:t xml:space="preserve">did not consider </w:t>
      </w:r>
      <w:r w:rsidRPr="00E023BF">
        <w:rPr>
          <w:rFonts w:asciiTheme="minorHAnsi" w:hAnsiTheme="minorHAnsi" w:cs="Arial"/>
          <w:bCs/>
          <w:snapToGrid w:val="0"/>
          <w:lang w:val="en-GB"/>
        </w:rPr>
        <w:t xml:space="preserve">that </w:t>
      </w:r>
      <w:proofErr w:type="spellStart"/>
      <w:r w:rsidR="00E023BF" w:rsidRPr="00E023BF">
        <w:rPr>
          <w:rFonts w:asciiTheme="minorHAnsi" w:hAnsiTheme="minorHAnsi"/>
          <w:lang w:val="en-US"/>
        </w:rPr>
        <w:t>lumacaftor</w:t>
      </w:r>
      <w:proofErr w:type="spellEnd"/>
      <w:r w:rsidR="00E023BF" w:rsidRPr="00E023BF">
        <w:rPr>
          <w:rFonts w:asciiTheme="minorHAnsi" w:hAnsiTheme="minorHAnsi"/>
          <w:lang w:val="en-US"/>
        </w:rPr>
        <w:t>/</w:t>
      </w:r>
      <w:proofErr w:type="spellStart"/>
      <w:r w:rsidR="00E023BF" w:rsidRPr="00E023BF">
        <w:rPr>
          <w:rFonts w:asciiTheme="minorHAnsi" w:hAnsiTheme="minorHAnsi"/>
          <w:lang w:val="en-US"/>
        </w:rPr>
        <w:t>ivacaftor</w:t>
      </w:r>
      <w:proofErr w:type="spellEnd"/>
      <w:r w:rsidR="00E023BF" w:rsidRPr="00E023BF">
        <w:rPr>
          <w:rFonts w:asciiTheme="minorHAnsi" w:hAnsiTheme="minorHAnsi"/>
          <w:lang w:val="en-US"/>
        </w:rPr>
        <w:t xml:space="preserve"> </w:t>
      </w:r>
      <w:r w:rsidRPr="00E023BF">
        <w:rPr>
          <w:rFonts w:asciiTheme="minorHAnsi" w:hAnsiTheme="minorHAnsi" w:cs="Arial"/>
          <w:bCs/>
          <w:snapToGrid w:val="0"/>
          <w:lang w:val="en-GB"/>
        </w:rPr>
        <w:t>should be treated as interchangeable with any other drugs.</w:t>
      </w:r>
    </w:p>
    <w:p w:rsidR="003D3BE7" w:rsidRPr="008465BB" w:rsidRDefault="003D3BE7" w:rsidP="003D3BE7">
      <w:pPr>
        <w:widowControl w:val="0"/>
        <w:numPr>
          <w:ilvl w:val="1"/>
          <w:numId w:val="1"/>
        </w:numPr>
        <w:spacing w:after="120"/>
        <w:jc w:val="both"/>
        <w:rPr>
          <w:rFonts w:asciiTheme="minorHAnsi" w:hAnsiTheme="minorHAnsi" w:cs="Arial"/>
          <w:bCs/>
          <w:snapToGrid w:val="0"/>
          <w:lang w:val="en-GB"/>
        </w:rPr>
      </w:pPr>
      <w:r w:rsidRPr="008465BB">
        <w:rPr>
          <w:rFonts w:asciiTheme="minorHAnsi" w:hAnsiTheme="minorHAnsi" w:cs="Arial"/>
          <w:bCs/>
          <w:snapToGrid w:val="0"/>
          <w:lang w:val="en-GB"/>
        </w:rPr>
        <w:t xml:space="preserve">The PBAC advised that </w:t>
      </w:r>
      <w:proofErr w:type="spellStart"/>
      <w:r w:rsidR="008465BB" w:rsidRPr="008465BB">
        <w:rPr>
          <w:rFonts w:asciiTheme="minorHAnsi" w:hAnsiTheme="minorHAnsi"/>
          <w:lang w:val="en-US"/>
        </w:rPr>
        <w:t>lumacaftor</w:t>
      </w:r>
      <w:proofErr w:type="spellEnd"/>
      <w:r w:rsidR="008465BB" w:rsidRPr="008465BB">
        <w:rPr>
          <w:rFonts w:asciiTheme="minorHAnsi" w:hAnsiTheme="minorHAnsi"/>
          <w:lang w:val="en-US"/>
        </w:rPr>
        <w:t>/</w:t>
      </w:r>
      <w:proofErr w:type="spellStart"/>
      <w:r w:rsidR="008465BB" w:rsidRPr="008465BB">
        <w:rPr>
          <w:rFonts w:asciiTheme="minorHAnsi" w:hAnsiTheme="minorHAnsi"/>
          <w:lang w:val="en-US"/>
        </w:rPr>
        <w:t>ivacaftor</w:t>
      </w:r>
      <w:proofErr w:type="spellEnd"/>
      <w:r w:rsidR="008465BB" w:rsidRPr="008465BB">
        <w:rPr>
          <w:rFonts w:asciiTheme="minorHAnsi" w:hAnsiTheme="minorHAnsi"/>
          <w:lang w:val="en-US"/>
        </w:rPr>
        <w:t xml:space="preserve"> </w:t>
      </w:r>
      <w:r w:rsidRPr="008465BB">
        <w:rPr>
          <w:rFonts w:asciiTheme="minorHAnsi" w:hAnsiTheme="minorHAnsi" w:cs="Arial"/>
          <w:bCs/>
          <w:snapToGrid w:val="0"/>
          <w:lang w:val="en-GB"/>
        </w:rPr>
        <w:t xml:space="preserve">is not suitable for prescribing by nurse practitioners.  </w:t>
      </w:r>
    </w:p>
    <w:p w:rsidR="003D3BE7" w:rsidRPr="008465BB" w:rsidRDefault="003D3BE7" w:rsidP="003D3BE7">
      <w:pPr>
        <w:widowControl w:val="0"/>
        <w:numPr>
          <w:ilvl w:val="1"/>
          <w:numId w:val="1"/>
        </w:numPr>
        <w:spacing w:after="120"/>
        <w:jc w:val="both"/>
        <w:rPr>
          <w:rFonts w:asciiTheme="minorHAnsi" w:hAnsiTheme="minorHAnsi" w:cs="Arial"/>
          <w:bCs/>
          <w:snapToGrid w:val="0"/>
          <w:lang w:val="en-GB"/>
        </w:rPr>
      </w:pPr>
      <w:r w:rsidRPr="008465BB">
        <w:rPr>
          <w:rFonts w:asciiTheme="minorHAnsi" w:hAnsiTheme="minorHAnsi" w:cs="Arial"/>
          <w:bCs/>
          <w:snapToGrid w:val="0"/>
          <w:lang w:val="en-GB"/>
        </w:rPr>
        <w:t xml:space="preserve">The PBAC recommended that the Early Supply Rule should not apply. </w:t>
      </w:r>
    </w:p>
    <w:p w:rsidR="003D3BE7" w:rsidRPr="00A55A56" w:rsidRDefault="003D3BE7" w:rsidP="003D3BE7">
      <w:pPr>
        <w:spacing w:before="240"/>
        <w:jc w:val="both"/>
        <w:rPr>
          <w:rFonts w:asciiTheme="minorHAnsi" w:hAnsiTheme="minorHAnsi" w:cs="Arial"/>
          <w:b/>
          <w:bCs/>
          <w:snapToGrid w:val="0"/>
          <w:lang w:val="en-GB"/>
        </w:rPr>
      </w:pPr>
      <w:r w:rsidRPr="00A55A56">
        <w:rPr>
          <w:rFonts w:asciiTheme="minorHAnsi" w:hAnsiTheme="minorHAnsi" w:cs="Arial"/>
          <w:b/>
          <w:bCs/>
          <w:snapToGrid w:val="0"/>
          <w:lang w:val="en-GB"/>
        </w:rPr>
        <w:t>Outcome:</w:t>
      </w:r>
    </w:p>
    <w:p w:rsidR="008155BB" w:rsidRPr="002D6558" w:rsidRDefault="003D3BE7" w:rsidP="002D6558">
      <w:pPr>
        <w:jc w:val="both"/>
        <w:rPr>
          <w:rFonts w:asciiTheme="minorHAnsi" w:hAnsiTheme="minorHAnsi" w:cs="Arial"/>
          <w:bCs/>
          <w:snapToGrid w:val="0"/>
          <w:lang w:val="en-GB"/>
        </w:rPr>
      </w:pPr>
      <w:r w:rsidRPr="00A55A56">
        <w:rPr>
          <w:rFonts w:asciiTheme="minorHAnsi" w:hAnsiTheme="minorHAnsi" w:cs="Arial"/>
          <w:bCs/>
          <w:snapToGrid w:val="0"/>
          <w:lang w:val="en-GB"/>
        </w:rPr>
        <w:t xml:space="preserve">Recommended </w:t>
      </w:r>
    </w:p>
    <w:p w:rsidR="003D3BE7" w:rsidRPr="009F6C29" w:rsidRDefault="003D3BE7" w:rsidP="009F6C29">
      <w:pPr>
        <w:pStyle w:val="PBACHeading1"/>
        <w:spacing w:before="240" w:after="120"/>
        <w:ind w:left="709" w:hanging="709"/>
        <w:rPr>
          <w:rFonts w:asciiTheme="minorHAnsi" w:hAnsiTheme="minorHAnsi"/>
          <w:sz w:val="32"/>
          <w:szCs w:val="32"/>
        </w:rPr>
      </w:pPr>
      <w:r w:rsidRPr="009F6C29">
        <w:rPr>
          <w:rFonts w:asciiTheme="minorHAnsi" w:hAnsiTheme="minorHAnsi"/>
          <w:sz w:val="32"/>
          <w:szCs w:val="32"/>
        </w:rPr>
        <w:t>Recommended listing</w:t>
      </w:r>
    </w:p>
    <w:p w:rsidR="003D3BE7" w:rsidRPr="005C5A18" w:rsidRDefault="003D3BE7" w:rsidP="00C4077F">
      <w:pPr>
        <w:widowControl w:val="0"/>
        <w:spacing w:after="120"/>
        <w:jc w:val="both"/>
        <w:rPr>
          <w:rFonts w:asciiTheme="minorHAnsi" w:hAnsiTheme="minorHAnsi" w:cs="Arial"/>
          <w:bCs/>
          <w:snapToGrid w:val="0"/>
        </w:rPr>
      </w:pPr>
      <w:r w:rsidRPr="005C5A18">
        <w:rPr>
          <w:rFonts w:asciiTheme="minorHAnsi" w:hAnsiTheme="minorHAnsi" w:cs="Arial"/>
          <w:bCs/>
          <w:snapToGrid w:val="0"/>
        </w:rPr>
        <w:t>Add new item:</w:t>
      </w:r>
    </w:p>
    <w:p w:rsidR="00FF39BC" w:rsidRDefault="00FF39BC" w:rsidP="00C4077F">
      <w:pPr>
        <w:widowControl w:val="0"/>
        <w:pBdr>
          <w:bottom w:val="single" w:sz="4" w:space="0" w:color="auto"/>
        </w:pBdr>
        <w:jc w:val="both"/>
        <w:rPr>
          <w:rFonts w:asciiTheme="minorHAnsi" w:hAnsiTheme="minorHAnsi" w:cs="Arial"/>
          <w:bCs/>
          <w:snapToGrid w:val="0"/>
        </w:rPr>
      </w:pPr>
    </w:p>
    <w:tbl>
      <w:tblPr>
        <w:tblW w:w="5000" w:type="pct"/>
        <w:tblLook w:val="0000" w:firstRow="0" w:lastRow="0" w:firstColumn="0" w:lastColumn="0" w:noHBand="0" w:noVBand="0"/>
      </w:tblPr>
      <w:tblGrid>
        <w:gridCol w:w="2352"/>
        <w:gridCol w:w="922"/>
        <w:gridCol w:w="521"/>
        <w:gridCol w:w="680"/>
        <w:gridCol w:w="1072"/>
        <w:gridCol w:w="3695"/>
      </w:tblGrid>
      <w:tr w:rsidR="00835252" w:rsidRPr="00EA3F71" w:rsidTr="00ED61FE">
        <w:trPr>
          <w:cantSplit/>
          <w:trHeight w:val="532"/>
        </w:trPr>
        <w:tc>
          <w:tcPr>
            <w:tcW w:w="1771" w:type="pct"/>
            <w:gridSpan w:val="2"/>
            <w:tcBorders>
              <w:bottom w:val="single" w:sz="4" w:space="0" w:color="auto"/>
            </w:tcBorders>
          </w:tcPr>
          <w:p w:rsidR="00835252" w:rsidRPr="00EA3F71" w:rsidRDefault="00835252" w:rsidP="00FF39BC">
            <w:pPr>
              <w:keepNext/>
              <w:ind w:left="-108"/>
              <w:rPr>
                <w:rFonts w:ascii="Arial Narrow" w:hAnsi="Arial Narrow"/>
                <w:sz w:val="20"/>
              </w:rPr>
            </w:pPr>
            <w:r w:rsidRPr="00EA3F71">
              <w:rPr>
                <w:rFonts w:ascii="Arial Narrow" w:hAnsi="Arial Narrow"/>
                <w:sz w:val="20"/>
              </w:rPr>
              <w:lastRenderedPageBreak/>
              <w:t>Name, Restriction,</w:t>
            </w:r>
          </w:p>
          <w:p w:rsidR="00835252" w:rsidRPr="00EA3F71" w:rsidRDefault="00835252" w:rsidP="00FF39BC">
            <w:pPr>
              <w:keepNext/>
              <w:ind w:left="-108"/>
              <w:rPr>
                <w:rFonts w:ascii="Arial Narrow" w:hAnsi="Arial Narrow"/>
                <w:sz w:val="20"/>
              </w:rPr>
            </w:pPr>
            <w:r w:rsidRPr="00EA3F71">
              <w:rPr>
                <w:rFonts w:ascii="Arial Narrow" w:hAnsi="Arial Narrow"/>
                <w:sz w:val="20"/>
              </w:rPr>
              <w:t>Manner of administration and form</w:t>
            </w:r>
          </w:p>
        </w:tc>
        <w:tc>
          <w:tcPr>
            <w:tcW w:w="282" w:type="pct"/>
            <w:tcBorders>
              <w:bottom w:val="single" w:sz="4" w:space="0" w:color="auto"/>
            </w:tcBorders>
          </w:tcPr>
          <w:p w:rsidR="00835252" w:rsidRPr="00EA3F71" w:rsidRDefault="00835252" w:rsidP="00FF39BC">
            <w:pPr>
              <w:keepNext/>
              <w:ind w:left="-108"/>
              <w:rPr>
                <w:rFonts w:ascii="Arial Narrow" w:hAnsi="Arial Narrow"/>
                <w:sz w:val="20"/>
              </w:rPr>
            </w:pPr>
            <w:r w:rsidRPr="00EA3F71">
              <w:rPr>
                <w:rFonts w:ascii="Arial Narrow" w:hAnsi="Arial Narrow"/>
                <w:sz w:val="20"/>
              </w:rPr>
              <w:t>Max.</w:t>
            </w:r>
          </w:p>
          <w:p w:rsidR="00835252" w:rsidRPr="00EA3F71" w:rsidRDefault="00835252" w:rsidP="00FF39BC">
            <w:pPr>
              <w:keepNext/>
              <w:ind w:left="-108"/>
              <w:rPr>
                <w:rFonts w:ascii="Arial Narrow" w:hAnsi="Arial Narrow"/>
                <w:sz w:val="20"/>
              </w:rPr>
            </w:pPr>
            <w:r w:rsidRPr="00EA3F71">
              <w:rPr>
                <w:rFonts w:ascii="Arial Narrow" w:hAnsi="Arial Narrow"/>
                <w:sz w:val="20"/>
              </w:rPr>
              <w:t>Qty</w:t>
            </w:r>
          </w:p>
        </w:tc>
        <w:tc>
          <w:tcPr>
            <w:tcW w:w="368" w:type="pct"/>
            <w:tcBorders>
              <w:bottom w:val="single" w:sz="4" w:space="0" w:color="auto"/>
            </w:tcBorders>
          </w:tcPr>
          <w:p w:rsidR="00835252" w:rsidRPr="00EA3F71" w:rsidRDefault="00835252" w:rsidP="00FF39BC">
            <w:pPr>
              <w:keepNext/>
              <w:ind w:left="-108"/>
              <w:rPr>
                <w:rFonts w:ascii="Arial Narrow" w:hAnsi="Arial Narrow"/>
                <w:sz w:val="20"/>
              </w:rPr>
            </w:pPr>
            <w:r w:rsidRPr="00EA3F71">
              <w:rPr>
                <w:rFonts w:ascii="Arial Narrow" w:hAnsi="Arial Narrow"/>
                <w:sz w:val="20"/>
              </w:rPr>
              <w:t>№.of</w:t>
            </w:r>
          </w:p>
          <w:p w:rsidR="00835252" w:rsidRPr="00EA3F71" w:rsidRDefault="00835252" w:rsidP="00FF39BC">
            <w:pPr>
              <w:keepNext/>
              <w:ind w:left="-108"/>
              <w:rPr>
                <w:rFonts w:ascii="Arial Narrow" w:hAnsi="Arial Narrow"/>
                <w:sz w:val="20"/>
              </w:rPr>
            </w:pPr>
            <w:r w:rsidRPr="00EA3F71">
              <w:rPr>
                <w:rFonts w:ascii="Arial Narrow" w:hAnsi="Arial Narrow"/>
                <w:sz w:val="20"/>
              </w:rPr>
              <w:t>Rpts</w:t>
            </w:r>
          </w:p>
        </w:tc>
        <w:tc>
          <w:tcPr>
            <w:tcW w:w="2579" w:type="pct"/>
            <w:gridSpan w:val="2"/>
            <w:tcBorders>
              <w:bottom w:val="single" w:sz="4" w:space="0" w:color="auto"/>
            </w:tcBorders>
          </w:tcPr>
          <w:p w:rsidR="00835252" w:rsidRPr="00EA3F71" w:rsidRDefault="00835252" w:rsidP="00FF39BC">
            <w:pPr>
              <w:keepNext/>
              <w:rPr>
                <w:rFonts w:ascii="Arial Narrow" w:hAnsi="Arial Narrow"/>
                <w:sz w:val="20"/>
                <w:lang w:val="fr-FR"/>
              </w:rPr>
            </w:pPr>
            <w:r w:rsidRPr="00EA3F71">
              <w:rPr>
                <w:rFonts w:ascii="Arial Narrow" w:hAnsi="Arial Narrow"/>
                <w:sz w:val="20"/>
              </w:rPr>
              <w:t>Proprietary Name and Manufacturer</w:t>
            </w:r>
          </w:p>
        </w:tc>
      </w:tr>
      <w:tr w:rsidR="00835252" w:rsidRPr="00EA3F71" w:rsidTr="00ED61FE">
        <w:trPr>
          <w:cantSplit/>
          <w:trHeight w:val="652"/>
        </w:trPr>
        <w:tc>
          <w:tcPr>
            <w:tcW w:w="1771" w:type="pct"/>
            <w:gridSpan w:val="2"/>
            <w:tcBorders>
              <w:top w:val="single" w:sz="4" w:space="0" w:color="auto"/>
            </w:tcBorders>
          </w:tcPr>
          <w:p w:rsidR="00835252" w:rsidRPr="00EA3F71" w:rsidRDefault="00835252" w:rsidP="00FF39BC">
            <w:pPr>
              <w:keepNext/>
              <w:ind w:left="-108"/>
              <w:rPr>
                <w:rFonts w:ascii="Arial Narrow" w:hAnsi="Arial Narrow"/>
                <w:sz w:val="20"/>
              </w:rPr>
            </w:pPr>
            <w:r>
              <w:rPr>
                <w:rFonts w:ascii="Arial Narrow" w:hAnsi="Arial Narrow"/>
                <w:smallCaps/>
                <w:sz w:val="20"/>
              </w:rPr>
              <w:t>L</w:t>
            </w:r>
            <w:r w:rsidRPr="00EA3F71">
              <w:rPr>
                <w:rFonts w:ascii="Arial Narrow" w:hAnsi="Arial Narrow"/>
                <w:smallCaps/>
                <w:sz w:val="20"/>
              </w:rPr>
              <w:t>UMACAFTOR + IVACAFTOR</w:t>
            </w:r>
          </w:p>
          <w:p w:rsidR="00835252" w:rsidRPr="00EA3F71" w:rsidRDefault="00835252" w:rsidP="00FF39BC">
            <w:pPr>
              <w:keepNext/>
              <w:ind w:left="-108"/>
              <w:rPr>
                <w:rFonts w:ascii="Arial Narrow" w:hAnsi="Arial Narrow"/>
                <w:sz w:val="20"/>
              </w:rPr>
            </w:pPr>
            <w:proofErr w:type="spellStart"/>
            <w:r w:rsidRPr="00EA3F71">
              <w:rPr>
                <w:rFonts w:ascii="Arial Narrow" w:hAnsi="Arial Narrow"/>
                <w:sz w:val="20"/>
              </w:rPr>
              <w:t>Lumacaftor</w:t>
            </w:r>
            <w:proofErr w:type="spellEnd"/>
            <w:r w:rsidRPr="00EA3F71">
              <w:rPr>
                <w:rFonts w:ascii="Arial Narrow" w:hAnsi="Arial Narrow"/>
                <w:sz w:val="20"/>
              </w:rPr>
              <w:t xml:space="preserve"> 200 mg + </w:t>
            </w:r>
            <w:proofErr w:type="spellStart"/>
            <w:r w:rsidRPr="00EA3F71">
              <w:rPr>
                <w:rFonts w:ascii="Arial Narrow" w:hAnsi="Arial Narrow"/>
                <w:sz w:val="20"/>
              </w:rPr>
              <w:t>ivacaftor</w:t>
            </w:r>
            <w:proofErr w:type="spellEnd"/>
            <w:r w:rsidRPr="00EA3F71">
              <w:rPr>
                <w:rFonts w:ascii="Arial Narrow" w:hAnsi="Arial Narrow"/>
                <w:sz w:val="20"/>
              </w:rPr>
              <w:t> 125 mg</w:t>
            </w:r>
          </w:p>
        </w:tc>
        <w:tc>
          <w:tcPr>
            <w:tcW w:w="282" w:type="pct"/>
            <w:tcBorders>
              <w:top w:val="single" w:sz="4" w:space="0" w:color="auto"/>
            </w:tcBorders>
          </w:tcPr>
          <w:p w:rsidR="00835252" w:rsidRPr="00EA3F71" w:rsidRDefault="00835252" w:rsidP="00FF39BC">
            <w:pPr>
              <w:keepNext/>
              <w:ind w:left="-108"/>
              <w:rPr>
                <w:rFonts w:ascii="Arial Narrow" w:hAnsi="Arial Narrow"/>
                <w:sz w:val="20"/>
              </w:rPr>
            </w:pPr>
          </w:p>
          <w:p w:rsidR="00835252" w:rsidRPr="00EA3F71" w:rsidRDefault="00835252" w:rsidP="00FF39BC">
            <w:pPr>
              <w:keepNext/>
              <w:ind w:left="-108"/>
              <w:rPr>
                <w:rFonts w:ascii="Arial Narrow" w:hAnsi="Arial Narrow"/>
                <w:sz w:val="20"/>
              </w:rPr>
            </w:pPr>
            <w:r w:rsidRPr="00EA3F71">
              <w:rPr>
                <w:rFonts w:ascii="Arial Narrow" w:hAnsi="Arial Narrow"/>
                <w:sz w:val="20"/>
              </w:rPr>
              <w:t>112</w:t>
            </w:r>
          </w:p>
        </w:tc>
        <w:tc>
          <w:tcPr>
            <w:tcW w:w="368" w:type="pct"/>
            <w:tcBorders>
              <w:top w:val="single" w:sz="4" w:space="0" w:color="auto"/>
            </w:tcBorders>
          </w:tcPr>
          <w:p w:rsidR="00835252" w:rsidRPr="00EA3F71" w:rsidRDefault="00835252" w:rsidP="00FF39BC">
            <w:pPr>
              <w:keepNext/>
              <w:ind w:left="-108"/>
              <w:rPr>
                <w:rFonts w:ascii="Arial Narrow" w:hAnsi="Arial Narrow"/>
                <w:sz w:val="20"/>
              </w:rPr>
            </w:pPr>
          </w:p>
          <w:p w:rsidR="00835252" w:rsidRPr="00EA3F71" w:rsidRDefault="00835252" w:rsidP="00FF39BC">
            <w:pPr>
              <w:keepNext/>
              <w:ind w:left="-108"/>
              <w:rPr>
                <w:rFonts w:ascii="Arial Narrow" w:hAnsi="Arial Narrow"/>
                <w:sz w:val="20"/>
              </w:rPr>
            </w:pPr>
            <w:r w:rsidRPr="00EA3F71">
              <w:rPr>
                <w:rFonts w:ascii="Arial Narrow" w:hAnsi="Arial Narrow"/>
                <w:sz w:val="20"/>
              </w:rPr>
              <w:t>5</w:t>
            </w:r>
          </w:p>
        </w:tc>
        <w:tc>
          <w:tcPr>
            <w:tcW w:w="580" w:type="pct"/>
            <w:tcBorders>
              <w:top w:val="single" w:sz="4" w:space="0" w:color="auto"/>
            </w:tcBorders>
          </w:tcPr>
          <w:p w:rsidR="00835252" w:rsidRPr="00EA3F71" w:rsidRDefault="00835252" w:rsidP="00FF39BC">
            <w:pPr>
              <w:keepNext/>
              <w:rPr>
                <w:rFonts w:ascii="Arial Narrow" w:hAnsi="Arial Narrow"/>
                <w:sz w:val="20"/>
              </w:rPr>
            </w:pPr>
          </w:p>
          <w:p w:rsidR="00835252" w:rsidRPr="00EA3F71" w:rsidRDefault="00835252" w:rsidP="00FF39BC">
            <w:pPr>
              <w:keepNext/>
              <w:rPr>
                <w:rFonts w:ascii="Arial Narrow" w:hAnsi="Arial Narrow"/>
                <w:sz w:val="20"/>
              </w:rPr>
            </w:pPr>
            <w:proofErr w:type="spellStart"/>
            <w:r w:rsidRPr="00EA3F71">
              <w:rPr>
                <w:rFonts w:ascii="Arial Narrow" w:hAnsi="Arial Narrow"/>
                <w:sz w:val="20"/>
              </w:rPr>
              <w:t>Orkambi</w:t>
            </w:r>
            <w:proofErr w:type="spellEnd"/>
            <w:r w:rsidRPr="00EA3F71">
              <w:rPr>
                <w:rFonts w:ascii="Arial Narrow" w:hAnsi="Arial Narrow"/>
                <w:sz w:val="20"/>
              </w:rPr>
              <w:t>®</w:t>
            </w:r>
          </w:p>
        </w:tc>
        <w:tc>
          <w:tcPr>
            <w:tcW w:w="1999" w:type="pct"/>
            <w:tcBorders>
              <w:top w:val="single" w:sz="4" w:space="0" w:color="auto"/>
            </w:tcBorders>
          </w:tcPr>
          <w:p w:rsidR="00835252" w:rsidRPr="00EA3F71" w:rsidRDefault="00835252" w:rsidP="00FF39BC">
            <w:pPr>
              <w:keepNext/>
              <w:rPr>
                <w:rFonts w:ascii="Arial Narrow" w:hAnsi="Arial Narrow"/>
                <w:sz w:val="20"/>
              </w:rPr>
            </w:pPr>
          </w:p>
          <w:p w:rsidR="00835252" w:rsidRPr="00EA3F71" w:rsidRDefault="00835252" w:rsidP="00FF39BC">
            <w:pPr>
              <w:keepNext/>
              <w:rPr>
                <w:rFonts w:ascii="Arial Narrow" w:hAnsi="Arial Narrow"/>
                <w:sz w:val="20"/>
              </w:rPr>
            </w:pPr>
            <w:r w:rsidRPr="00EA3F71">
              <w:rPr>
                <w:rFonts w:ascii="Arial Narrow" w:hAnsi="Arial Narrow"/>
                <w:sz w:val="20"/>
              </w:rPr>
              <w:t>Vertex Pharmaceuticals (Australia) Pty Ltd</w:t>
            </w:r>
          </w:p>
        </w:tc>
      </w:tr>
      <w:tr w:rsidR="0073784D" w:rsidRPr="00EA3F71" w:rsidTr="002A215F">
        <w:tc>
          <w:tcPr>
            <w:tcW w:w="1272" w:type="pct"/>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b/>
                <w:sz w:val="20"/>
              </w:rPr>
            </w:pPr>
            <w:r w:rsidRPr="00EA3F71">
              <w:rPr>
                <w:rFonts w:ascii="Arial Narrow" w:hAnsi="Arial Narrow"/>
                <w:b/>
                <w:sz w:val="20"/>
              </w:rPr>
              <w:t xml:space="preserve">Category / </w:t>
            </w:r>
          </w:p>
          <w:p w:rsidR="0073784D" w:rsidRPr="00EA3F71" w:rsidRDefault="0073784D" w:rsidP="002A215F">
            <w:pPr>
              <w:widowControl w:val="0"/>
              <w:rPr>
                <w:rFonts w:ascii="Arial Narrow" w:hAnsi="Arial Narrow"/>
                <w:b/>
                <w:sz w:val="20"/>
              </w:rPr>
            </w:pPr>
            <w:r w:rsidRPr="00EA3F71">
              <w:rPr>
                <w:rFonts w:ascii="Arial Narrow" w:hAnsi="Arial Narrow"/>
                <w:b/>
                <w:sz w:val="20"/>
              </w:rPr>
              <w:t>Program</w:t>
            </w:r>
          </w:p>
        </w:tc>
        <w:tc>
          <w:tcPr>
            <w:tcW w:w="3728" w:type="pct"/>
            <w:gridSpan w:val="5"/>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sz w:val="20"/>
              </w:rPr>
            </w:pPr>
            <w:r w:rsidRPr="00EA3F71">
              <w:rPr>
                <w:rFonts w:ascii="Arial Narrow" w:hAnsi="Arial Narrow"/>
                <w:sz w:val="20"/>
              </w:rPr>
              <w:t>Section 100 – Highly Specialised Drugs Program</w:t>
            </w:r>
          </w:p>
          <w:p w:rsidR="0073784D" w:rsidRPr="00EA3F71" w:rsidRDefault="0073784D" w:rsidP="002A215F">
            <w:pPr>
              <w:widowControl w:val="0"/>
              <w:rPr>
                <w:rFonts w:ascii="Arial Narrow" w:hAnsi="Arial Narrow"/>
                <w:sz w:val="20"/>
              </w:rPr>
            </w:pPr>
          </w:p>
        </w:tc>
      </w:tr>
      <w:tr w:rsidR="0073784D" w:rsidRPr="00EA3F71" w:rsidTr="002A215F">
        <w:tc>
          <w:tcPr>
            <w:tcW w:w="1272" w:type="pct"/>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b/>
                <w:sz w:val="20"/>
              </w:rPr>
            </w:pPr>
            <w:r w:rsidRPr="00EA3F71">
              <w:rPr>
                <w:rFonts w:ascii="Arial Narrow" w:hAnsi="Arial Narrow"/>
                <w:b/>
                <w:sz w:val="20"/>
              </w:rPr>
              <w:t>Prescriber type:</w:t>
            </w:r>
          </w:p>
          <w:p w:rsidR="0073784D" w:rsidRPr="00EA3F71" w:rsidRDefault="0073784D" w:rsidP="002A215F">
            <w:pPr>
              <w:widowControl w:val="0"/>
              <w:rPr>
                <w:rFonts w:ascii="Arial Narrow" w:hAnsi="Arial Narrow"/>
                <w:b/>
                <w:sz w:val="20"/>
              </w:rPr>
            </w:pPr>
          </w:p>
        </w:tc>
        <w:tc>
          <w:tcPr>
            <w:tcW w:w="3728" w:type="pct"/>
            <w:gridSpan w:val="5"/>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sz w:val="20"/>
              </w:rPr>
            </w:pPr>
            <w:r w:rsidRPr="00EA3F71">
              <w:rPr>
                <w:rFonts w:ascii="Arial Narrow" w:hAnsi="Arial Narrow"/>
                <w:sz w:val="20"/>
              </w:rPr>
              <w:fldChar w:fldCharType="begin">
                <w:ffData>
                  <w:name w:val="Check1"/>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Dental  </w:t>
            </w:r>
            <w:r w:rsidRPr="00EA3F71">
              <w:rPr>
                <w:rFonts w:ascii="Arial Narrow" w:hAnsi="Arial Narrow"/>
                <w:sz w:val="20"/>
              </w:rPr>
              <w:fldChar w:fldCharType="begin">
                <w:ffData>
                  <w:name w:val=""/>
                  <w:enabled/>
                  <w:calcOnExit w:val="0"/>
                  <w:checkBox>
                    <w:sizeAuto/>
                    <w:default w:val="1"/>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Medical Practitioners  </w:t>
            </w:r>
            <w:r w:rsidRPr="00EA3F71">
              <w:rPr>
                <w:rFonts w:ascii="Arial Narrow" w:hAnsi="Arial Narrow"/>
                <w:sz w:val="20"/>
              </w:rPr>
              <w:fldChar w:fldCharType="begin">
                <w:ffData>
                  <w:name w:val="Check3"/>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Nurse practitioners  </w:t>
            </w:r>
            <w:r w:rsidRPr="00EA3F71">
              <w:rPr>
                <w:rFonts w:ascii="Arial Narrow" w:hAnsi="Arial Narrow"/>
                <w:sz w:val="20"/>
              </w:rPr>
              <w:fldChar w:fldCharType="begin">
                <w:ffData>
                  <w:name w:val=""/>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Optometrists</w:t>
            </w:r>
          </w:p>
          <w:p w:rsidR="0073784D" w:rsidRPr="00EA3F71" w:rsidRDefault="0073784D" w:rsidP="002A215F">
            <w:pPr>
              <w:widowControl w:val="0"/>
              <w:rPr>
                <w:rFonts w:ascii="Arial Narrow" w:hAnsi="Arial Narrow"/>
                <w:sz w:val="20"/>
              </w:rPr>
            </w:pPr>
            <w:r w:rsidRPr="00EA3F71">
              <w:rPr>
                <w:rFonts w:ascii="Arial Narrow" w:hAnsi="Arial Narrow"/>
                <w:sz w:val="20"/>
              </w:rPr>
              <w:fldChar w:fldCharType="begin">
                <w:ffData>
                  <w:name w:val="Check5"/>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Midwives</w:t>
            </w:r>
          </w:p>
        </w:tc>
      </w:tr>
      <w:tr w:rsidR="0073784D" w:rsidRPr="00EA3F71" w:rsidTr="002A215F">
        <w:tc>
          <w:tcPr>
            <w:tcW w:w="1272" w:type="pct"/>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b/>
                <w:sz w:val="20"/>
              </w:rPr>
            </w:pPr>
            <w:r w:rsidRPr="00EA3F71">
              <w:rPr>
                <w:rFonts w:ascii="Arial Narrow" w:hAnsi="Arial Narrow"/>
                <w:b/>
                <w:sz w:val="20"/>
              </w:rPr>
              <w:t>PBS Indication:</w:t>
            </w:r>
          </w:p>
        </w:tc>
        <w:tc>
          <w:tcPr>
            <w:tcW w:w="3728" w:type="pct"/>
            <w:gridSpan w:val="5"/>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strike/>
                <w:sz w:val="20"/>
              </w:rPr>
            </w:pPr>
            <w:r w:rsidRPr="00EA3F71">
              <w:rPr>
                <w:rFonts w:ascii="Arial Narrow" w:hAnsi="Arial Narrow"/>
                <w:sz w:val="20"/>
              </w:rPr>
              <w:t>Cystic Fibrosis</w:t>
            </w:r>
          </w:p>
        </w:tc>
      </w:tr>
      <w:tr w:rsidR="0073784D" w:rsidRPr="00EA3F71" w:rsidTr="002A215F">
        <w:trPr>
          <w:trHeight w:val="157"/>
        </w:trPr>
        <w:tc>
          <w:tcPr>
            <w:tcW w:w="1272" w:type="pct"/>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b/>
                <w:sz w:val="20"/>
              </w:rPr>
            </w:pPr>
            <w:r w:rsidRPr="00EA3F71">
              <w:rPr>
                <w:rFonts w:ascii="Arial Narrow" w:hAnsi="Arial Narrow"/>
                <w:b/>
                <w:sz w:val="20"/>
              </w:rPr>
              <w:t>Treatment phase:</w:t>
            </w:r>
          </w:p>
        </w:tc>
        <w:tc>
          <w:tcPr>
            <w:tcW w:w="3728" w:type="pct"/>
            <w:gridSpan w:val="5"/>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sz w:val="20"/>
              </w:rPr>
            </w:pPr>
            <w:r w:rsidRPr="00EA3F71">
              <w:rPr>
                <w:rFonts w:ascii="Arial Narrow" w:hAnsi="Arial Narrow"/>
                <w:sz w:val="20"/>
              </w:rPr>
              <w:t>Initial</w:t>
            </w:r>
          </w:p>
        </w:tc>
      </w:tr>
      <w:tr w:rsidR="0073784D" w:rsidRPr="00EA3F71" w:rsidTr="002A215F">
        <w:tc>
          <w:tcPr>
            <w:tcW w:w="1272" w:type="pct"/>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b/>
                <w:sz w:val="20"/>
              </w:rPr>
            </w:pPr>
            <w:r w:rsidRPr="00EA3F71">
              <w:rPr>
                <w:rFonts w:ascii="Arial Narrow" w:hAnsi="Arial Narrow"/>
                <w:b/>
                <w:sz w:val="20"/>
              </w:rPr>
              <w:t>Restriction:</w:t>
            </w:r>
          </w:p>
          <w:p w:rsidR="0073784D" w:rsidRPr="00EA3F71" w:rsidRDefault="0073784D" w:rsidP="002A215F">
            <w:pPr>
              <w:widowControl w:val="0"/>
              <w:rPr>
                <w:rFonts w:ascii="Arial Narrow" w:hAnsi="Arial Narrow"/>
                <w:i/>
                <w:sz w:val="20"/>
              </w:rPr>
            </w:pPr>
          </w:p>
        </w:tc>
        <w:tc>
          <w:tcPr>
            <w:tcW w:w="3728" w:type="pct"/>
            <w:gridSpan w:val="5"/>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sz w:val="20"/>
              </w:rPr>
            </w:pPr>
            <w:r w:rsidRPr="00EA3F71">
              <w:rPr>
                <w:rFonts w:ascii="Arial Narrow" w:hAnsi="Arial Narrow"/>
                <w:sz w:val="20"/>
              </w:rPr>
              <w:fldChar w:fldCharType="begin">
                <w:ffData>
                  <w:name w:val="Check1"/>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Restricted benefit</w:t>
            </w:r>
          </w:p>
          <w:p w:rsidR="0073784D" w:rsidRPr="00EA3F71" w:rsidRDefault="0073784D" w:rsidP="002A215F">
            <w:pPr>
              <w:widowControl w:val="0"/>
              <w:rPr>
                <w:rFonts w:ascii="Arial Narrow" w:hAnsi="Arial Narrow"/>
                <w:sz w:val="20"/>
              </w:rPr>
            </w:pPr>
            <w:r w:rsidRPr="00EA3F71">
              <w:rPr>
                <w:rFonts w:ascii="Arial Narrow" w:hAnsi="Arial Narrow"/>
                <w:sz w:val="20"/>
              </w:rPr>
              <w:fldChar w:fldCharType="begin">
                <w:ffData>
                  <w:name w:val=""/>
                  <w:enabled/>
                  <w:calcOnExit w:val="0"/>
                  <w:checkBox>
                    <w:sizeAuto/>
                    <w:default w:val="1"/>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In Writing</w:t>
            </w:r>
          </w:p>
          <w:p w:rsidR="0073784D" w:rsidRPr="00EA3F71" w:rsidRDefault="0073784D" w:rsidP="002A215F">
            <w:pPr>
              <w:widowControl w:val="0"/>
              <w:rPr>
                <w:rFonts w:ascii="Arial Narrow" w:hAnsi="Arial Narrow"/>
                <w:sz w:val="20"/>
              </w:rPr>
            </w:pPr>
            <w:r w:rsidRPr="00EA3F71">
              <w:rPr>
                <w:rFonts w:ascii="Arial Narrow" w:hAnsi="Arial Narrow"/>
                <w:sz w:val="20"/>
              </w:rPr>
              <w:fldChar w:fldCharType="begin">
                <w:ffData>
                  <w:name w:val="Check3"/>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Telephone</w:t>
            </w:r>
          </w:p>
          <w:p w:rsidR="0073784D" w:rsidRPr="00EA3F71" w:rsidRDefault="0073784D" w:rsidP="002A215F">
            <w:pPr>
              <w:widowControl w:val="0"/>
              <w:rPr>
                <w:rFonts w:ascii="Arial Narrow" w:hAnsi="Arial Narrow"/>
                <w:sz w:val="20"/>
              </w:rPr>
            </w:pPr>
            <w:r w:rsidRPr="00EA3F71">
              <w:rPr>
                <w:rFonts w:ascii="Arial Narrow" w:hAnsi="Arial Narrow"/>
                <w:sz w:val="20"/>
              </w:rPr>
              <w:fldChar w:fldCharType="begin">
                <w:ffData>
                  <w:name w:val=""/>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Emergency</w:t>
            </w:r>
          </w:p>
          <w:p w:rsidR="0073784D" w:rsidRPr="00EA3F71" w:rsidRDefault="0073784D" w:rsidP="002A215F">
            <w:pPr>
              <w:widowControl w:val="0"/>
              <w:rPr>
                <w:rFonts w:ascii="Arial Narrow" w:hAnsi="Arial Narrow"/>
                <w:sz w:val="20"/>
              </w:rPr>
            </w:pPr>
            <w:r w:rsidRPr="00EA3F71">
              <w:rPr>
                <w:rFonts w:ascii="Arial Narrow" w:hAnsi="Arial Narrow"/>
                <w:sz w:val="20"/>
              </w:rPr>
              <w:fldChar w:fldCharType="begin">
                <w:ffData>
                  <w:name w:val="Check5"/>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Electronic</w:t>
            </w:r>
          </w:p>
          <w:p w:rsidR="0073784D" w:rsidRPr="00EA3F71" w:rsidRDefault="0073784D" w:rsidP="002A215F">
            <w:pPr>
              <w:widowControl w:val="0"/>
              <w:rPr>
                <w:rFonts w:ascii="Arial Narrow" w:hAnsi="Arial Narrow"/>
                <w:sz w:val="20"/>
              </w:rPr>
            </w:pPr>
            <w:r w:rsidRPr="00EA3F71">
              <w:rPr>
                <w:rFonts w:ascii="Arial Narrow" w:hAnsi="Arial Narrow"/>
                <w:sz w:val="20"/>
              </w:rPr>
              <w:fldChar w:fldCharType="begin">
                <w:ffData>
                  <w:name w:val="Check5"/>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Streamlined</w:t>
            </w:r>
          </w:p>
        </w:tc>
      </w:tr>
      <w:tr w:rsidR="0073784D" w:rsidRPr="00EA3F71" w:rsidTr="002A215F">
        <w:tc>
          <w:tcPr>
            <w:tcW w:w="1272" w:type="pct"/>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b/>
                <w:sz w:val="20"/>
              </w:rPr>
            </w:pPr>
            <w:r w:rsidRPr="00EA3F71">
              <w:rPr>
                <w:rFonts w:ascii="Arial Narrow" w:hAnsi="Arial Narrow"/>
                <w:b/>
                <w:sz w:val="20"/>
              </w:rPr>
              <w:t>Treatment criteria:</w:t>
            </w:r>
          </w:p>
          <w:p w:rsidR="0073784D" w:rsidRPr="00EA3F71" w:rsidRDefault="0073784D" w:rsidP="002A215F">
            <w:pPr>
              <w:widowControl w:val="0"/>
              <w:rPr>
                <w:rFonts w:ascii="Arial Narrow" w:hAnsi="Arial Narrow"/>
                <w:i/>
                <w:sz w:val="20"/>
              </w:rPr>
            </w:pPr>
          </w:p>
        </w:tc>
        <w:tc>
          <w:tcPr>
            <w:tcW w:w="3728" w:type="pct"/>
            <w:gridSpan w:val="5"/>
            <w:tcBorders>
              <w:top w:val="single" w:sz="4" w:space="0" w:color="auto"/>
              <w:left w:val="single" w:sz="4" w:space="0" w:color="auto"/>
              <w:bottom w:val="single" w:sz="4" w:space="0" w:color="auto"/>
              <w:right w:val="single" w:sz="4" w:space="0" w:color="auto"/>
            </w:tcBorders>
          </w:tcPr>
          <w:p w:rsidR="0073784D" w:rsidRPr="00C4077F" w:rsidRDefault="0073784D" w:rsidP="002A215F">
            <w:pPr>
              <w:widowControl w:val="0"/>
              <w:rPr>
                <w:rFonts w:ascii="Arial Narrow" w:hAnsi="Arial Narrow"/>
                <w:sz w:val="20"/>
              </w:rPr>
            </w:pPr>
            <w:r w:rsidRPr="00C4077F">
              <w:rPr>
                <w:rFonts w:ascii="Arial Narrow" w:hAnsi="Arial Narrow"/>
                <w:sz w:val="20"/>
              </w:rPr>
              <w:t>Must be treated by a specialist respiratory physician with expertise in cystic fibrosis, OR</w:t>
            </w:r>
          </w:p>
          <w:p w:rsidR="0073784D" w:rsidRPr="00C4077F" w:rsidRDefault="0073784D" w:rsidP="002A215F">
            <w:pPr>
              <w:widowControl w:val="0"/>
              <w:rPr>
                <w:rFonts w:ascii="Arial Narrow" w:hAnsi="Arial Narrow"/>
                <w:sz w:val="20"/>
              </w:rPr>
            </w:pPr>
            <w:r w:rsidRPr="00C4077F">
              <w:rPr>
                <w:rFonts w:ascii="Arial Narrow" w:hAnsi="Arial Narrow"/>
                <w:sz w:val="20"/>
              </w:rPr>
              <w:t>Must be treated in consultation with a specialist respiratory physician with expertise in cystic fibrosis if attendance is not possible due to geographic isolation;</w:t>
            </w:r>
          </w:p>
          <w:p w:rsidR="0073784D" w:rsidRPr="00C4077F" w:rsidRDefault="0073784D" w:rsidP="002A215F">
            <w:pPr>
              <w:widowControl w:val="0"/>
              <w:rPr>
                <w:rFonts w:ascii="Arial Narrow" w:hAnsi="Arial Narrow"/>
                <w:sz w:val="20"/>
              </w:rPr>
            </w:pPr>
            <w:r w:rsidRPr="00C4077F">
              <w:rPr>
                <w:rFonts w:ascii="Arial Narrow" w:hAnsi="Arial Narrow"/>
                <w:sz w:val="20"/>
              </w:rPr>
              <w:t>AND</w:t>
            </w:r>
          </w:p>
          <w:p w:rsidR="0073784D" w:rsidRPr="00C4077F" w:rsidRDefault="0073784D" w:rsidP="002A215F">
            <w:pPr>
              <w:widowControl w:val="0"/>
              <w:rPr>
                <w:rFonts w:ascii="Arial Narrow" w:hAnsi="Arial Narrow"/>
                <w:sz w:val="20"/>
              </w:rPr>
            </w:pPr>
            <w:r w:rsidRPr="00C4077F">
              <w:rPr>
                <w:rFonts w:ascii="Arial Narrow" w:hAnsi="Arial Narrow"/>
                <w:sz w:val="20"/>
              </w:rPr>
              <w:t>Must be treated in a centre with expertise in cystic fibrosis, OR</w:t>
            </w:r>
          </w:p>
          <w:p w:rsidR="0073784D" w:rsidRPr="00EA3F71" w:rsidRDefault="0073784D" w:rsidP="002A215F">
            <w:pPr>
              <w:widowControl w:val="0"/>
              <w:rPr>
                <w:rFonts w:ascii="Arial Narrow" w:hAnsi="Arial Narrow"/>
                <w:sz w:val="20"/>
              </w:rPr>
            </w:pPr>
            <w:r w:rsidRPr="00C4077F">
              <w:rPr>
                <w:rFonts w:ascii="Arial Narrow" w:hAnsi="Arial Narrow"/>
                <w:sz w:val="20"/>
              </w:rPr>
              <w:t>Must be treated in consultation with a centre with expertise in cystic fibrosis if attendance is not possible due to geographic isolation.</w:t>
            </w:r>
          </w:p>
        </w:tc>
      </w:tr>
      <w:tr w:rsidR="0073784D" w:rsidRPr="00EA3F71" w:rsidTr="002A215F">
        <w:tc>
          <w:tcPr>
            <w:tcW w:w="1272" w:type="pct"/>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b/>
                <w:sz w:val="20"/>
              </w:rPr>
            </w:pPr>
            <w:r w:rsidRPr="00EA3F71">
              <w:rPr>
                <w:rFonts w:ascii="Arial Narrow" w:hAnsi="Arial Narrow"/>
                <w:b/>
                <w:sz w:val="20"/>
              </w:rPr>
              <w:t>Clinical criteria:</w:t>
            </w:r>
          </w:p>
          <w:p w:rsidR="0073784D" w:rsidRPr="00EA3F71" w:rsidRDefault="0073784D" w:rsidP="002A215F">
            <w:pPr>
              <w:widowControl w:val="0"/>
              <w:rPr>
                <w:rFonts w:ascii="Arial Narrow" w:hAnsi="Arial Narrow"/>
                <w:i/>
                <w:sz w:val="20"/>
              </w:rPr>
            </w:pPr>
          </w:p>
        </w:tc>
        <w:tc>
          <w:tcPr>
            <w:tcW w:w="3728" w:type="pct"/>
            <w:gridSpan w:val="5"/>
            <w:tcBorders>
              <w:top w:val="single" w:sz="4" w:space="0" w:color="auto"/>
              <w:left w:val="single" w:sz="4" w:space="0" w:color="auto"/>
              <w:bottom w:val="single" w:sz="4" w:space="0" w:color="auto"/>
              <w:right w:val="single" w:sz="4" w:space="0" w:color="auto"/>
            </w:tcBorders>
          </w:tcPr>
          <w:p w:rsidR="0073784D" w:rsidRPr="00C4077F" w:rsidRDefault="0073784D" w:rsidP="002A215F">
            <w:pPr>
              <w:widowControl w:val="0"/>
              <w:rPr>
                <w:rFonts w:ascii="Arial Narrow" w:hAnsi="Arial Narrow"/>
                <w:sz w:val="20"/>
              </w:rPr>
            </w:pPr>
            <w:r w:rsidRPr="00C4077F">
              <w:rPr>
                <w:rFonts w:ascii="Arial Narrow" w:hAnsi="Arial Narrow"/>
                <w:sz w:val="20"/>
              </w:rPr>
              <w:t>Patient must be homozygous for the F508del mutation in the cystic fibrosis transmembrane conductance regulator (CFTR) gene;</w:t>
            </w:r>
          </w:p>
          <w:p w:rsidR="0073784D" w:rsidRPr="00C4077F" w:rsidRDefault="0073784D" w:rsidP="002A215F">
            <w:pPr>
              <w:widowControl w:val="0"/>
              <w:rPr>
                <w:rFonts w:ascii="Arial Narrow" w:hAnsi="Arial Narrow"/>
                <w:sz w:val="20"/>
              </w:rPr>
            </w:pPr>
            <w:r w:rsidRPr="00C4077F">
              <w:rPr>
                <w:rFonts w:ascii="Arial Narrow" w:hAnsi="Arial Narrow"/>
                <w:sz w:val="20"/>
              </w:rPr>
              <w:t xml:space="preserve">AND </w:t>
            </w:r>
          </w:p>
          <w:p w:rsidR="0073784D" w:rsidRPr="00EA3F71" w:rsidRDefault="0073784D" w:rsidP="002A215F">
            <w:pPr>
              <w:widowControl w:val="0"/>
              <w:rPr>
                <w:rFonts w:ascii="Arial Narrow" w:hAnsi="Arial Narrow"/>
                <w:strike/>
                <w:sz w:val="20"/>
              </w:rPr>
            </w:pPr>
            <w:r w:rsidRPr="00C4077F">
              <w:rPr>
                <w:rFonts w:ascii="Arial Narrow" w:hAnsi="Arial Narrow"/>
                <w:sz w:val="20"/>
              </w:rPr>
              <w:t>The treatment must be given concomitantly with standard therapy for this condition.</w:t>
            </w:r>
          </w:p>
        </w:tc>
      </w:tr>
      <w:tr w:rsidR="0073784D" w:rsidRPr="00EA3F71" w:rsidTr="002A215F">
        <w:tc>
          <w:tcPr>
            <w:tcW w:w="1272" w:type="pct"/>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i/>
                <w:sz w:val="20"/>
              </w:rPr>
            </w:pPr>
            <w:r w:rsidRPr="00EA3F71">
              <w:rPr>
                <w:rFonts w:ascii="Arial Narrow" w:hAnsi="Arial Narrow"/>
                <w:b/>
                <w:sz w:val="20"/>
              </w:rPr>
              <w:t>Population criteria:</w:t>
            </w:r>
          </w:p>
        </w:tc>
        <w:tc>
          <w:tcPr>
            <w:tcW w:w="3728" w:type="pct"/>
            <w:gridSpan w:val="5"/>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sz w:val="20"/>
              </w:rPr>
            </w:pPr>
            <w:r w:rsidRPr="00EA3F71">
              <w:rPr>
                <w:rFonts w:ascii="Arial Narrow" w:hAnsi="Arial Narrow"/>
                <w:sz w:val="20"/>
              </w:rPr>
              <w:t>Patient must be 12 years of age or older.</w:t>
            </w:r>
          </w:p>
        </w:tc>
      </w:tr>
      <w:tr w:rsidR="0073784D" w:rsidRPr="00EA3F71" w:rsidTr="002A215F">
        <w:tc>
          <w:tcPr>
            <w:tcW w:w="1272" w:type="pct"/>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b/>
                <w:sz w:val="20"/>
              </w:rPr>
            </w:pPr>
            <w:r w:rsidRPr="00EA3F71">
              <w:rPr>
                <w:rFonts w:ascii="Arial Narrow" w:hAnsi="Arial Narrow"/>
                <w:b/>
                <w:sz w:val="20"/>
              </w:rPr>
              <w:t>Prescriber Instructions:</w:t>
            </w:r>
          </w:p>
        </w:tc>
        <w:tc>
          <w:tcPr>
            <w:tcW w:w="3728" w:type="pct"/>
            <w:gridSpan w:val="5"/>
            <w:tcBorders>
              <w:top w:val="single" w:sz="4" w:space="0" w:color="auto"/>
              <w:left w:val="single" w:sz="4" w:space="0" w:color="auto"/>
              <w:bottom w:val="single" w:sz="4" w:space="0" w:color="auto"/>
              <w:right w:val="single" w:sz="4" w:space="0" w:color="auto"/>
            </w:tcBorders>
          </w:tcPr>
          <w:p w:rsidR="0073784D" w:rsidRPr="00C4077F" w:rsidRDefault="0073784D" w:rsidP="002A215F">
            <w:pPr>
              <w:widowControl w:val="0"/>
              <w:rPr>
                <w:rFonts w:ascii="Arial Narrow" w:hAnsi="Arial Narrow"/>
                <w:sz w:val="20"/>
              </w:rPr>
            </w:pPr>
            <w:r>
              <w:rPr>
                <w:rFonts w:ascii="Arial Narrow" w:hAnsi="Arial Narrow"/>
                <w:sz w:val="20"/>
              </w:rPr>
              <w:t>The p</w:t>
            </w:r>
            <w:r w:rsidRPr="00C4077F">
              <w:rPr>
                <w:rFonts w:ascii="Arial Narrow" w:hAnsi="Arial Narrow"/>
                <w:sz w:val="20"/>
              </w:rPr>
              <w:t>atient must be registered in the Australian Cystic Fibrosis Database Registry. Treatment must not be given to a patient who has an acute upper or lower respiratory infection, pulmonary exacerbation, or changes in therapy (including antibiotics) for pulmonary disease in the last 4 weeks prior to commencing this drug.</w:t>
            </w:r>
          </w:p>
          <w:p w:rsidR="0073784D" w:rsidRPr="00AE3628" w:rsidRDefault="0073784D" w:rsidP="002A215F">
            <w:pPr>
              <w:widowControl w:val="0"/>
              <w:rPr>
                <w:rFonts w:ascii="Arial Narrow" w:hAnsi="Arial Narrow"/>
                <w:sz w:val="20"/>
              </w:rPr>
            </w:pPr>
          </w:p>
          <w:p w:rsidR="0073784D" w:rsidRPr="00EA3F71" w:rsidRDefault="0073784D" w:rsidP="002A215F">
            <w:pPr>
              <w:widowControl w:val="0"/>
              <w:rPr>
                <w:rFonts w:ascii="Arial Narrow" w:hAnsi="Arial Narrow"/>
                <w:sz w:val="20"/>
              </w:rPr>
            </w:pPr>
            <w:r w:rsidRPr="00EA3F71">
              <w:rPr>
                <w:rFonts w:ascii="Arial Narrow" w:hAnsi="Arial Narrow"/>
                <w:sz w:val="20"/>
              </w:rPr>
              <w:t>The authority application must be in writing and must include:</w:t>
            </w:r>
          </w:p>
          <w:p w:rsidR="0073784D" w:rsidRPr="00EA3F71" w:rsidRDefault="0073784D" w:rsidP="002A215F">
            <w:pPr>
              <w:widowControl w:val="0"/>
              <w:rPr>
                <w:rFonts w:ascii="Arial Narrow" w:hAnsi="Arial Narrow"/>
                <w:sz w:val="20"/>
              </w:rPr>
            </w:pPr>
            <w:r w:rsidRPr="00EA3F71">
              <w:rPr>
                <w:rFonts w:ascii="Arial Narrow" w:hAnsi="Arial Narrow"/>
                <w:sz w:val="20"/>
              </w:rPr>
              <w:t>(1) a completed authority prescription form; and</w:t>
            </w:r>
          </w:p>
          <w:p w:rsidR="0073784D" w:rsidRPr="00F82CD8" w:rsidRDefault="0073784D" w:rsidP="002A215F">
            <w:pPr>
              <w:widowControl w:val="0"/>
              <w:rPr>
                <w:rFonts w:ascii="Arial Narrow" w:hAnsi="Arial Narrow"/>
                <w:sz w:val="20"/>
              </w:rPr>
            </w:pPr>
            <w:r w:rsidRPr="00EA3F71">
              <w:rPr>
                <w:rFonts w:ascii="Arial Narrow" w:hAnsi="Arial Narrow"/>
                <w:sz w:val="20"/>
              </w:rPr>
              <w:t xml:space="preserve">(2) a completed Cystic Fibrosis </w:t>
            </w:r>
            <w:proofErr w:type="spellStart"/>
            <w:r w:rsidRPr="00EA3F71">
              <w:rPr>
                <w:rFonts w:ascii="Arial Narrow" w:hAnsi="Arial Narrow"/>
                <w:sz w:val="20"/>
              </w:rPr>
              <w:t>Lumacaftor</w:t>
            </w:r>
            <w:proofErr w:type="spellEnd"/>
            <w:r w:rsidRPr="00EA3F71">
              <w:rPr>
                <w:rFonts w:ascii="Arial Narrow" w:hAnsi="Arial Narrow"/>
                <w:sz w:val="20"/>
              </w:rPr>
              <w:t xml:space="preserve"> with </w:t>
            </w:r>
            <w:proofErr w:type="spellStart"/>
            <w:r w:rsidRPr="00EA3F71">
              <w:rPr>
                <w:rFonts w:ascii="Arial Narrow" w:hAnsi="Arial Narrow"/>
                <w:sz w:val="20"/>
              </w:rPr>
              <w:t>Ivacaftor</w:t>
            </w:r>
            <w:proofErr w:type="spellEnd"/>
            <w:r w:rsidRPr="00EA3F71">
              <w:rPr>
                <w:rFonts w:ascii="Arial Narrow" w:hAnsi="Arial Narrow"/>
                <w:sz w:val="20"/>
              </w:rPr>
              <w:t xml:space="preserve"> Authority Application </w:t>
            </w:r>
            <w:r w:rsidRPr="00F82CD8">
              <w:rPr>
                <w:rFonts w:ascii="Arial Narrow" w:hAnsi="Arial Narrow"/>
                <w:sz w:val="20"/>
              </w:rPr>
              <w:t>Supporting Information Form; and</w:t>
            </w:r>
          </w:p>
          <w:p w:rsidR="0073784D" w:rsidRPr="00F82CD8" w:rsidRDefault="0073784D" w:rsidP="002A215F">
            <w:pPr>
              <w:widowControl w:val="0"/>
              <w:rPr>
                <w:rFonts w:ascii="Arial Narrow" w:hAnsi="Arial Narrow"/>
                <w:sz w:val="20"/>
              </w:rPr>
            </w:pPr>
            <w:r w:rsidRPr="00F82CD8">
              <w:rPr>
                <w:rFonts w:ascii="Arial Narrow" w:hAnsi="Arial Narrow"/>
                <w:sz w:val="20"/>
              </w:rPr>
              <w:t>and</w:t>
            </w:r>
          </w:p>
          <w:p w:rsidR="0073784D" w:rsidRPr="00F82CD8" w:rsidRDefault="0073784D" w:rsidP="002A215F">
            <w:pPr>
              <w:widowControl w:val="0"/>
              <w:rPr>
                <w:rFonts w:ascii="Arial Narrow" w:hAnsi="Arial Narrow"/>
                <w:sz w:val="20"/>
              </w:rPr>
            </w:pPr>
            <w:r w:rsidRPr="00F82CD8">
              <w:rPr>
                <w:rFonts w:ascii="Arial Narrow" w:hAnsi="Arial Narrow"/>
                <w:sz w:val="20"/>
              </w:rPr>
              <w:t>(3) a copy of the pathology report detailing the molecular testing for the patient being homozygous for the F508del mutation on the CFTR gene; and</w:t>
            </w:r>
          </w:p>
          <w:p w:rsidR="0073784D" w:rsidRPr="00F82CD8" w:rsidRDefault="0073784D" w:rsidP="002A215F">
            <w:pPr>
              <w:widowControl w:val="0"/>
              <w:rPr>
                <w:rFonts w:ascii="Arial Narrow" w:hAnsi="Arial Narrow"/>
                <w:sz w:val="20"/>
              </w:rPr>
            </w:pPr>
            <w:r w:rsidRPr="00F82CD8">
              <w:rPr>
                <w:rFonts w:ascii="Arial Narrow" w:hAnsi="Arial Narrow"/>
                <w:sz w:val="20"/>
              </w:rPr>
              <w:t xml:space="preserve">(4) </w:t>
            </w:r>
            <w:proofErr w:type="gramStart"/>
            <w:r w:rsidRPr="00F82CD8">
              <w:rPr>
                <w:rFonts w:ascii="Arial Narrow" w:hAnsi="Arial Narrow"/>
                <w:sz w:val="20"/>
              </w:rPr>
              <w:t>the</w:t>
            </w:r>
            <w:proofErr w:type="gramEnd"/>
            <w:r w:rsidRPr="00F82CD8">
              <w:rPr>
                <w:rFonts w:ascii="Arial Narrow" w:hAnsi="Arial Narrow"/>
                <w:sz w:val="20"/>
              </w:rPr>
              <w:t xml:space="preserve"> result of a FEV</w:t>
            </w:r>
            <w:r w:rsidRPr="00F82CD8">
              <w:rPr>
                <w:rFonts w:ascii="Arial Narrow" w:hAnsi="Arial Narrow"/>
                <w:sz w:val="20"/>
                <w:vertAlign w:val="subscript"/>
              </w:rPr>
              <w:t>1</w:t>
            </w:r>
            <w:r w:rsidRPr="00F82CD8">
              <w:rPr>
                <w:rFonts w:ascii="Arial Narrow" w:hAnsi="Arial Narrow"/>
                <w:sz w:val="20"/>
              </w:rPr>
              <w:t xml:space="preserve"> measurement performed within a month prior to the date of application. Note: FEV</w:t>
            </w:r>
            <w:r w:rsidRPr="00F82CD8">
              <w:rPr>
                <w:rFonts w:ascii="Arial Narrow" w:hAnsi="Arial Narrow"/>
                <w:sz w:val="20"/>
                <w:vertAlign w:val="subscript"/>
              </w:rPr>
              <w:t>1</w:t>
            </w:r>
            <w:r w:rsidRPr="00F82CD8">
              <w:rPr>
                <w:rFonts w:ascii="Arial Narrow" w:hAnsi="Arial Narrow"/>
                <w:sz w:val="20"/>
              </w:rPr>
              <w:t>, must be measured in an accredited pulmonary function laboratory, with documented no acute infective exacerbation at the time FEV</w:t>
            </w:r>
            <w:r w:rsidRPr="00F82CD8">
              <w:rPr>
                <w:rFonts w:ascii="Arial Narrow" w:hAnsi="Arial Narrow"/>
                <w:sz w:val="20"/>
                <w:vertAlign w:val="subscript"/>
              </w:rPr>
              <w:t>1</w:t>
            </w:r>
            <w:r w:rsidRPr="00F82CD8">
              <w:rPr>
                <w:rFonts w:ascii="Arial Narrow" w:hAnsi="Arial Narrow"/>
                <w:sz w:val="20"/>
              </w:rPr>
              <w:t xml:space="preserve"> is measured; and</w:t>
            </w:r>
          </w:p>
          <w:p w:rsidR="0073784D" w:rsidRPr="00F82CD8" w:rsidRDefault="0073784D" w:rsidP="002A215F">
            <w:pPr>
              <w:widowControl w:val="0"/>
              <w:rPr>
                <w:rFonts w:ascii="Arial Narrow" w:hAnsi="Arial Narrow"/>
                <w:sz w:val="20"/>
              </w:rPr>
            </w:pPr>
            <w:r w:rsidRPr="00F82CD8">
              <w:rPr>
                <w:rFonts w:ascii="Arial Narrow" w:hAnsi="Arial Narrow"/>
                <w:sz w:val="20"/>
              </w:rPr>
              <w:t xml:space="preserve">(5) evidence that the patient has either chronic </w:t>
            </w:r>
            <w:proofErr w:type="spellStart"/>
            <w:r w:rsidRPr="00F82CD8">
              <w:rPr>
                <w:rFonts w:ascii="Arial Narrow" w:hAnsi="Arial Narrow"/>
                <w:sz w:val="20"/>
              </w:rPr>
              <w:t>sinopulmonary</w:t>
            </w:r>
            <w:proofErr w:type="spellEnd"/>
            <w:r w:rsidRPr="00F82CD8">
              <w:rPr>
                <w:rFonts w:ascii="Arial Narrow" w:hAnsi="Arial Narrow"/>
                <w:sz w:val="20"/>
              </w:rPr>
              <w:t xml:space="preserve"> disease or gastrointestinal and nutritional abnormalities; and</w:t>
            </w:r>
          </w:p>
          <w:p w:rsidR="0073784D" w:rsidRPr="00F82CD8" w:rsidRDefault="0073784D" w:rsidP="002A215F">
            <w:pPr>
              <w:widowControl w:val="0"/>
              <w:rPr>
                <w:rFonts w:ascii="Arial Narrow" w:hAnsi="Arial Narrow"/>
                <w:sz w:val="20"/>
              </w:rPr>
            </w:pPr>
            <w:r w:rsidRPr="00F82CD8">
              <w:rPr>
                <w:rFonts w:ascii="Arial Narrow" w:hAnsi="Arial Narrow"/>
                <w:sz w:val="20"/>
              </w:rPr>
              <w:t xml:space="preserve">(6) a copy of a current medication history; and </w:t>
            </w:r>
          </w:p>
          <w:p w:rsidR="0073784D" w:rsidRPr="00F82CD8" w:rsidRDefault="0073784D" w:rsidP="002A215F">
            <w:pPr>
              <w:widowControl w:val="0"/>
              <w:rPr>
                <w:rFonts w:ascii="Arial Narrow" w:hAnsi="Arial Narrow"/>
                <w:sz w:val="20"/>
              </w:rPr>
            </w:pPr>
            <w:r w:rsidRPr="00F82CD8">
              <w:rPr>
                <w:rFonts w:ascii="Arial Narrow" w:hAnsi="Arial Narrow"/>
                <w:sz w:val="20"/>
              </w:rPr>
              <w:t>(7) height and weight measurements at the time of application; and</w:t>
            </w:r>
          </w:p>
          <w:p w:rsidR="0073784D" w:rsidRPr="00EA3F71" w:rsidRDefault="0073784D" w:rsidP="002A215F">
            <w:pPr>
              <w:widowControl w:val="0"/>
              <w:rPr>
                <w:rFonts w:ascii="Arial Narrow" w:hAnsi="Arial Narrow"/>
                <w:sz w:val="20"/>
              </w:rPr>
            </w:pPr>
            <w:r w:rsidRPr="00F82CD8">
              <w:rPr>
                <w:rFonts w:ascii="Arial Narrow" w:hAnsi="Arial Narrow"/>
                <w:sz w:val="20"/>
              </w:rPr>
              <w:t xml:space="preserve">(8) </w:t>
            </w:r>
            <w:proofErr w:type="gramStart"/>
            <w:r w:rsidRPr="00F82CD8">
              <w:rPr>
                <w:rFonts w:ascii="Arial Narrow" w:hAnsi="Arial Narrow"/>
                <w:sz w:val="20"/>
              </w:rPr>
              <w:t>a</w:t>
            </w:r>
            <w:proofErr w:type="gramEnd"/>
            <w:r w:rsidRPr="00F82CD8">
              <w:rPr>
                <w:rFonts w:ascii="Arial Narrow" w:hAnsi="Arial Narrow"/>
                <w:sz w:val="20"/>
              </w:rPr>
              <w:t xml:space="preserve"> baseline measurement of the number of days of CF-related hospitalisation (including hospital-in-the home) in the previous 12 months.</w:t>
            </w:r>
          </w:p>
        </w:tc>
      </w:tr>
      <w:tr w:rsidR="0073784D" w:rsidRPr="00EA3F71" w:rsidTr="002A215F">
        <w:tc>
          <w:tcPr>
            <w:tcW w:w="1272" w:type="pct"/>
            <w:tcBorders>
              <w:top w:val="single" w:sz="4" w:space="0" w:color="auto"/>
              <w:left w:val="single" w:sz="4" w:space="0" w:color="auto"/>
              <w:bottom w:val="single" w:sz="4" w:space="0" w:color="auto"/>
              <w:right w:val="single" w:sz="4" w:space="0" w:color="auto"/>
            </w:tcBorders>
          </w:tcPr>
          <w:p w:rsidR="0073784D" w:rsidRPr="00EA3F71" w:rsidRDefault="0073784D" w:rsidP="002A215F">
            <w:pPr>
              <w:widowControl w:val="0"/>
              <w:rPr>
                <w:rFonts w:ascii="Arial Narrow" w:hAnsi="Arial Narrow"/>
                <w:b/>
                <w:sz w:val="20"/>
              </w:rPr>
            </w:pPr>
            <w:r w:rsidRPr="00EA3F71">
              <w:rPr>
                <w:rFonts w:ascii="Arial Narrow" w:hAnsi="Arial Narrow"/>
                <w:b/>
                <w:sz w:val="20"/>
              </w:rPr>
              <w:t>Administrative Advice:</w:t>
            </w:r>
          </w:p>
        </w:tc>
        <w:tc>
          <w:tcPr>
            <w:tcW w:w="3728" w:type="pct"/>
            <w:gridSpan w:val="5"/>
            <w:tcBorders>
              <w:top w:val="single" w:sz="4" w:space="0" w:color="auto"/>
              <w:left w:val="single" w:sz="4" w:space="0" w:color="auto"/>
              <w:bottom w:val="single" w:sz="4" w:space="0" w:color="auto"/>
              <w:right w:val="single" w:sz="4" w:space="0" w:color="auto"/>
            </w:tcBorders>
          </w:tcPr>
          <w:p w:rsidR="0073784D" w:rsidRPr="00C4077F" w:rsidRDefault="0073784D" w:rsidP="002A215F">
            <w:pPr>
              <w:widowControl w:val="0"/>
              <w:rPr>
                <w:rFonts w:ascii="Arial Narrow" w:hAnsi="Arial Narrow"/>
                <w:sz w:val="20"/>
              </w:rPr>
            </w:pPr>
            <w:r w:rsidRPr="00C4077F">
              <w:rPr>
                <w:rFonts w:ascii="Arial Narrow" w:hAnsi="Arial Narrow"/>
                <w:sz w:val="20"/>
              </w:rPr>
              <w:t>Special pricing arrangements apply</w:t>
            </w:r>
          </w:p>
          <w:p w:rsidR="0073784D" w:rsidRPr="00C4077F" w:rsidRDefault="0073784D" w:rsidP="002A215F">
            <w:pPr>
              <w:widowControl w:val="0"/>
              <w:rPr>
                <w:rFonts w:ascii="Arial Narrow" w:hAnsi="Arial Narrow"/>
                <w:sz w:val="20"/>
              </w:rPr>
            </w:pPr>
          </w:p>
          <w:p w:rsidR="0073784D" w:rsidRPr="00C4077F" w:rsidRDefault="0073784D" w:rsidP="002A215F">
            <w:pPr>
              <w:widowControl w:val="0"/>
              <w:rPr>
                <w:rFonts w:ascii="Arial Narrow" w:hAnsi="Arial Narrow"/>
                <w:sz w:val="20"/>
                <w:lang w:val="en-US"/>
              </w:rPr>
            </w:pPr>
            <w:r w:rsidRPr="00C4077F">
              <w:rPr>
                <w:rFonts w:ascii="Arial Narrow" w:hAnsi="Arial Narrow"/>
                <w:sz w:val="20"/>
                <w:lang w:val="en-US"/>
              </w:rPr>
              <w:t xml:space="preserve">No increase in the maximum number of repeats may be </w:t>
            </w:r>
            <w:proofErr w:type="spellStart"/>
            <w:r w:rsidRPr="00C4077F">
              <w:rPr>
                <w:rFonts w:ascii="Arial Narrow" w:hAnsi="Arial Narrow"/>
                <w:sz w:val="20"/>
                <w:lang w:val="en-US"/>
              </w:rPr>
              <w:t>authorised</w:t>
            </w:r>
            <w:proofErr w:type="spellEnd"/>
            <w:r w:rsidRPr="00C4077F">
              <w:rPr>
                <w:rFonts w:ascii="Arial Narrow" w:hAnsi="Arial Narrow"/>
                <w:sz w:val="20"/>
                <w:lang w:val="en-US"/>
              </w:rPr>
              <w:t>.</w:t>
            </w:r>
          </w:p>
          <w:p w:rsidR="0073784D" w:rsidRPr="00C4077F" w:rsidRDefault="0073784D" w:rsidP="002A215F">
            <w:pPr>
              <w:widowControl w:val="0"/>
              <w:rPr>
                <w:rFonts w:ascii="Arial Narrow" w:hAnsi="Arial Narrow"/>
                <w:sz w:val="20"/>
                <w:lang w:val="en-US"/>
              </w:rPr>
            </w:pPr>
          </w:p>
          <w:p w:rsidR="0073784D" w:rsidRPr="00C4077F" w:rsidRDefault="0073784D" w:rsidP="002A215F">
            <w:pPr>
              <w:widowControl w:val="0"/>
              <w:rPr>
                <w:rFonts w:ascii="Arial Narrow" w:hAnsi="Arial Narrow"/>
                <w:sz w:val="20"/>
                <w:lang w:val="en-US"/>
              </w:rPr>
            </w:pPr>
            <w:r w:rsidRPr="00C4077F">
              <w:rPr>
                <w:rFonts w:ascii="Arial Narrow" w:hAnsi="Arial Narrow"/>
                <w:sz w:val="20"/>
                <w:lang w:val="en-US"/>
              </w:rPr>
              <w:t xml:space="preserve">No increase in the maximum quantity or number of units may be </w:t>
            </w:r>
            <w:proofErr w:type="spellStart"/>
            <w:r w:rsidRPr="00C4077F">
              <w:rPr>
                <w:rFonts w:ascii="Arial Narrow" w:hAnsi="Arial Narrow"/>
                <w:sz w:val="20"/>
                <w:lang w:val="en-US"/>
              </w:rPr>
              <w:t>authorised</w:t>
            </w:r>
            <w:proofErr w:type="spellEnd"/>
            <w:r w:rsidRPr="00C4077F">
              <w:rPr>
                <w:rFonts w:ascii="Arial Narrow" w:hAnsi="Arial Narrow"/>
                <w:sz w:val="20"/>
                <w:lang w:val="en-US"/>
              </w:rPr>
              <w:t>.</w:t>
            </w:r>
          </w:p>
          <w:p w:rsidR="0073784D" w:rsidRPr="00C4077F" w:rsidRDefault="0073784D" w:rsidP="002A215F">
            <w:pPr>
              <w:widowControl w:val="0"/>
              <w:rPr>
                <w:rFonts w:ascii="Arial Narrow" w:hAnsi="Arial Narrow"/>
                <w:sz w:val="20"/>
              </w:rPr>
            </w:pPr>
          </w:p>
          <w:p w:rsidR="0073784D" w:rsidRPr="00C4077F" w:rsidRDefault="0073784D" w:rsidP="002A215F">
            <w:pPr>
              <w:widowControl w:val="0"/>
              <w:rPr>
                <w:rFonts w:ascii="Arial Narrow" w:hAnsi="Arial Narrow"/>
                <w:sz w:val="20"/>
              </w:rPr>
            </w:pPr>
            <w:r w:rsidRPr="00C4077F">
              <w:rPr>
                <w:rFonts w:ascii="Arial Narrow" w:hAnsi="Arial Narrow"/>
                <w:sz w:val="20"/>
              </w:rPr>
              <w:lastRenderedPageBreak/>
              <w:t>Any queries concerning the arrangements to prescribe may be directed to the Department of Human Services on 1800 700 270 (hours of operation 8 a.m. to 5 p.m. EST Monday to Friday).</w:t>
            </w:r>
          </w:p>
          <w:p w:rsidR="0073784D" w:rsidRPr="00C4077F" w:rsidRDefault="0073784D" w:rsidP="002A215F">
            <w:pPr>
              <w:widowControl w:val="0"/>
              <w:rPr>
                <w:rFonts w:ascii="Arial Narrow" w:hAnsi="Arial Narrow"/>
                <w:sz w:val="20"/>
              </w:rPr>
            </w:pPr>
          </w:p>
          <w:p w:rsidR="0073784D" w:rsidRPr="00C4077F" w:rsidRDefault="0073784D" w:rsidP="002A215F">
            <w:pPr>
              <w:widowControl w:val="0"/>
              <w:rPr>
                <w:rFonts w:ascii="Arial Narrow" w:hAnsi="Arial Narrow"/>
                <w:sz w:val="20"/>
              </w:rPr>
            </w:pPr>
            <w:r w:rsidRPr="00C4077F">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73784D" w:rsidRPr="00C4077F" w:rsidRDefault="0073784D" w:rsidP="002A215F">
            <w:pPr>
              <w:widowControl w:val="0"/>
              <w:rPr>
                <w:rFonts w:ascii="Arial Narrow" w:hAnsi="Arial Narrow"/>
                <w:sz w:val="20"/>
              </w:rPr>
            </w:pPr>
          </w:p>
          <w:p w:rsidR="0073784D" w:rsidRPr="00C4077F" w:rsidRDefault="0073784D" w:rsidP="002A215F">
            <w:pPr>
              <w:widowControl w:val="0"/>
              <w:rPr>
                <w:rFonts w:ascii="Arial Narrow" w:hAnsi="Arial Narrow"/>
                <w:sz w:val="20"/>
              </w:rPr>
            </w:pPr>
            <w:r w:rsidRPr="00C4077F">
              <w:rPr>
                <w:rFonts w:ascii="Arial Narrow" w:hAnsi="Arial Narrow"/>
                <w:sz w:val="20"/>
              </w:rPr>
              <w:t>Applications for authority to prescribe should be forwarded to:</w:t>
            </w:r>
          </w:p>
          <w:p w:rsidR="0073784D" w:rsidRPr="00C4077F" w:rsidRDefault="0073784D" w:rsidP="002A215F">
            <w:pPr>
              <w:widowControl w:val="0"/>
              <w:rPr>
                <w:rFonts w:ascii="Arial Narrow" w:hAnsi="Arial Narrow"/>
                <w:sz w:val="20"/>
              </w:rPr>
            </w:pPr>
            <w:r w:rsidRPr="00C4077F">
              <w:rPr>
                <w:rFonts w:ascii="Arial Narrow" w:hAnsi="Arial Narrow"/>
                <w:sz w:val="20"/>
              </w:rPr>
              <w:t>Department of Human Services</w:t>
            </w:r>
          </w:p>
          <w:p w:rsidR="0073784D" w:rsidRPr="00C4077F" w:rsidRDefault="0073784D" w:rsidP="002A215F">
            <w:pPr>
              <w:widowControl w:val="0"/>
              <w:rPr>
                <w:rFonts w:ascii="Arial Narrow" w:hAnsi="Arial Narrow"/>
                <w:sz w:val="20"/>
              </w:rPr>
            </w:pPr>
            <w:r w:rsidRPr="00C4077F">
              <w:rPr>
                <w:rFonts w:ascii="Arial Narrow" w:hAnsi="Arial Narrow"/>
                <w:sz w:val="20"/>
              </w:rPr>
              <w:t>Complex Drugs</w:t>
            </w:r>
          </w:p>
          <w:p w:rsidR="0073784D" w:rsidRPr="00C4077F" w:rsidRDefault="0073784D" w:rsidP="002A215F">
            <w:pPr>
              <w:widowControl w:val="0"/>
              <w:rPr>
                <w:rFonts w:ascii="Arial Narrow" w:hAnsi="Arial Narrow"/>
                <w:sz w:val="20"/>
              </w:rPr>
            </w:pPr>
            <w:r w:rsidRPr="00C4077F">
              <w:rPr>
                <w:rFonts w:ascii="Arial Narrow" w:hAnsi="Arial Narrow"/>
                <w:sz w:val="20"/>
              </w:rPr>
              <w:t>Reply Paid 9826</w:t>
            </w:r>
          </w:p>
          <w:p w:rsidR="0073784D" w:rsidRPr="00EA3F71" w:rsidRDefault="0073784D" w:rsidP="002A215F">
            <w:pPr>
              <w:widowControl w:val="0"/>
              <w:rPr>
                <w:rFonts w:ascii="Arial Narrow" w:hAnsi="Arial Narrow"/>
                <w:sz w:val="20"/>
              </w:rPr>
            </w:pPr>
            <w:r w:rsidRPr="00C4077F">
              <w:rPr>
                <w:rFonts w:ascii="Arial Narrow" w:hAnsi="Arial Narrow"/>
                <w:sz w:val="20"/>
              </w:rPr>
              <w:t>HOBART TAS 7001</w:t>
            </w:r>
          </w:p>
        </w:tc>
      </w:tr>
    </w:tbl>
    <w:p w:rsidR="003D3BE7" w:rsidRDefault="003D3BE7" w:rsidP="003D3BE7">
      <w:pPr>
        <w:pStyle w:val="NoSpacing"/>
        <w:rPr>
          <w:lang w:val="en-GB"/>
        </w:rPr>
      </w:pPr>
    </w:p>
    <w:tbl>
      <w:tblPr>
        <w:tblW w:w="5000" w:type="pct"/>
        <w:tblLook w:val="0000" w:firstRow="0" w:lastRow="0" w:firstColumn="0" w:lastColumn="0" w:noHBand="0" w:noVBand="0"/>
      </w:tblPr>
      <w:tblGrid>
        <w:gridCol w:w="2351"/>
        <w:gridCol w:w="6891"/>
      </w:tblGrid>
      <w:tr w:rsidR="005C5A18" w:rsidRPr="00EA3F71" w:rsidTr="0073784D">
        <w:tc>
          <w:tcPr>
            <w:tcW w:w="1272"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b/>
                <w:sz w:val="20"/>
              </w:rPr>
            </w:pPr>
            <w:r w:rsidRPr="00EA3F71">
              <w:rPr>
                <w:rFonts w:ascii="Arial Narrow" w:hAnsi="Arial Narrow"/>
                <w:b/>
                <w:sz w:val="20"/>
              </w:rPr>
              <w:t xml:space="preserve">Category / </w:t>
            </w:r>
          </w:p>
          <w:p w:rsidR="005C5A18" w:rsidRPr="00EA3F71" w:rsidRDefault="005C5A18" w:rsidP="00A14D3A">
            <w:pPr>
              <w:rPr>
                <w:rFonts w:ascii="Arial Narrow" w:hAnsi="Arial Narrow"/>
                <w:b/>
                <w:sz w:val="20"/>
              </w:rPr>
            </w:pPr>
            <w:r w:rsidRPr="00EA3F71">
              <w:rPr>
                <w:rFonts w:ascii="Arial Narrow" w:hAnsi="Arial Narrow"/>
                <w:b/>
                <w:sz w:val="20"/>
              </w:rPr>
              <w:t>Program</w:t>
            </w:r>
          </w:p>
        </w:tc>
        <w:tc>
          <w:tcPr>
            <w:tcW w:w="3728"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sz w:val="20"/>
              </w:rPr>
            </w:pPr>
            <w:r w:rsidRPr="00EA3F71">
              <w:rPr>
                <w:rFonts w:ascii="Arial Narrow" w:hAnsi="Arial Narrow"/>
                <w:sz w:val="20"/>
              </w:rPr>
              <w:t>Section 100 – Highly Specialised Drugs Program</w:t>
            </w:r>
          </w:p>
          <w:p w:rsidR="005C5A18" w:rsidRPr="00EA3F71" w:rsidRDefault="005C5A18" w:rsidP="00A14D3A">
            <w:pPr>
              <w:rPr>
                <w:rFonts w:ascii="Arial Narrow" w:hAnsi="Arial Narrow"/>
                <w:sz w:val="20"/>
              </w:rPr>
            </w:pPr>
          </w:p>
        </w:tc>
      </w:tr>
      <w:tr w:rsidR="005C5A18" w:rsidRPr="00EA3F71" w:rsidTr="0073784D">
        <w:tc>
          <w:tcPr>
            <w:tcW w:w="1272"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b/>
                <w:sz w:val="20"/>
              </w:rPr>
            </w:pPr>
            <w:r w:rsidRPr="00EA3F71">
              <w:rPr>
                <w:rFonts w:ascii="Arial Narrow" w:hAnsi="Arial Narrow"/>
                <w:b/>
                <w:sz w:val="20"/>
              </w:rPr>
              <w:t>Prescriber type:</w:t>
            </w:r>
          </w:p>
          <w:p w:rsidR="005C5A18" w:rsidRPr="00EA3F71" w:rsidRDefault="005C5A18" w:rsidP="00A14D3A">
            <w:pPr>
              <w:rPr>
                <w:rFonts w:ascii="Arial Narrow" w:hAnsi="Arial Narrow"/>
                <w:b/>
                <w:sz w:val="20"/>
              </w:rPr>
            </w:pPr>
          </w:p>
        </w:tc>
        <w:tc>
          <w:tcPr>
            <w:tcW w:w="3728"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sz w:val="20"/>
              </w:rPr>
            </w:pPr>
            <w:r w:rsidRPr="00EA3F71">
              <w:rPr>
                <w:rFonts w:ascii="Arial Narrow" w:hAnsi="Arial Narrow"/>
                <w:sz w:val="20"/>
              </w:rPr>
              <w:fldChar w:fldCharType="begin">
                <w:ffData>
                  <w:name w:val="Check1"/>
                  <w:enabled/>
                  <w:calcOnExit w:val="0"/>
                  <w:checkBox>
                    <w:sizeAuto/>
                    <w:default w:val="0"/>
                  </w:checkBox>
                </w:ffData>
              </w:fldChar>
            </w:r>
            <w:r w:rsidRPr="00EA3F71">
              <w:rPr>
                <w:rFonts w:ascii="Arial Narrow" w:hAnsi="Arial Narrow"/>
                <w:sz w:val="20"/>
              </w:rPr>
              <w:instrText xml:space="preserve"> FORMCHECKBOX </w:instrText>
            </w:r>
            <w:r w:rsidR="00190149">
              <w:rPr>
                <w:rFonts w:ascii="Arial Narrow" w:hAnsi="Arial Narrow"/>
                <w:sz w:val="20"/>
              </w:rPr>
            </w:r>
            <w:r w:rsidR="00190149">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Dental  </w:t>
            </w:r>
            <w:r w:rsidRPr="00EA3F71">
              <w:rPr>
                <w:rFonts w:ascii="Arial Narrow" w:hAnsi="Arial Narrow"/>
                <w:sz w:val="20"/>
              </w:rPr>
              <w:fldChar w:fldCharType="begin">
                <w:ffData>
                  <w:name w:val=""/>
                  <w:enabled/>
                  <w:calcOnExit w:val="0"/>
                  <w:checkBox>
                    <w:sizeAuto/>
                    <w:default w:val="1"/>
                  </w:checkBox>
                </w:ffData>
              </w:fldChar>
            </w:r>
            <w:r w:rsidRPr="00EA3F71">
              <w:rPr>
                <w:rFonts w:ascii="Arial Narrow" w:hAnsi="Arial Narrow"/>
                <w:sz w:val="20"/>
              </w:rPr>
              <w:instrText xml:space="preserve"> FORMCHECKBOX </w:instrText>
            </w:r>
            <w:r w:rsidR="00190149">
              <w:rPr>
                <w:rFonts w:ascii="Arial Narrow" w:hAnsi="Arial Narrow"/>
                <w:sz w:val="20"/>
              </w:rPr>
            </w:r>
            <w:r w:rsidR="00190149">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Medical Practitioners  </w:t>
            </w:r>
            <w:r w:rsidRPr="00EA3F71">
              <w:rPr>
                <w:rFonts w:ascii="Arial Narrow" w:hAnsi="Arial Narrow"/>
                <w:sz w:val="20"/>
              </w:rPr>
              <w:fldChar w:fldCharType="begin">
                <w:ffData>
                  <w:name w:val="Check3"/>
                  <w:enabled/>
                  <w:calcOnExit w:val="0"/>
                  <w:checkBox>
                    <w:sizeAuto/>
                    <w:default w:val="0"/>
                  </w:checkBox>
                </w:ffData>
              </w:fldChar>
            </w:r>
            <w:r w:rsidRPr="00EA3F71">
              <w:rPr>
                <w:rFonts w:ascii="Arial Narrow" w:hAnsi="Arial Narrow"/>
                <w:sz w:val="20"/>
              </w:rPr>
              <w:instrText xml:space="preserve"> FORMCHECKBOX </w:instrText>
            </w:r>
            <w:r w:rsidR="00190149">
              <w:rPr>
                <w:rFonts w:ascii="Arial Narrow" w:hAnsi="Arial Narrow"/>
                <w:sz w:val="20"/>
              </w:rPr>
            </w:r>
            <w:r w:rsidR="00190149">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Nurse practitioners  </w:t>
            </w:r>
            <w:r w:rsidRPr="00EA3F71">
              <w:rPr>
                <w:rFonts w:ascii="Arial Narrow" w:hAnsi="Arial Narrow"/>
                <w:sz w:val="20"/>
              </w:rPr>
              <w:fldChar w:fldCharType="begin">
                <w:ffData>
                  <w:name w:val=""/>
                  <w:enabled/>
                  <w:calcOnExit w:val="0"/>
                  <w:checkBox>
                    <w:sizeAuto/>
                    <w:default w:val="0"/>
                  </w:checkBox>
                </w:ffData>
              </w:fldChar>
            </w:r>
            <w:r w:rsidRPr="00EA3F71">
              <w:rPr>
                <w:rFonts w:ascii="Arial Narrow" w:hAnsi="Arial Narrow"/>
                <w:sz w:val="20"/>
              </w:rPr>
              <w:instrText xml:space="preserve"> FORMCHECKBOX </w:instrText>
            </w:r>
            <w:r w:rsidR="00190149">
              <w:rPr>
                <w:rFonts w:ascii="Arial Narrow" w:hAnsi="Arial Narrow"/>
                <w:sz w:val="20"/>
              </w:rPr>
            </w:r>
            <w:r w:rsidR="00190149">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Optometrists</w:t>
            </w:r>
          </w:p>
          <w:p w:rsidR="005C5A18" w:rsidRPr="00EA3F71" w:rsidRDefault="005C5A18" w:rsidP="00A14D3A">
            <w:pPr>
              <w:rPr>
                <w:rFonts w:ascii="Arial Narrow" w:hAnsi="Arial Narrow"/>
                <w:sz w:val="20"/>
              </w:rPr>
            </w:pPr>
            <w:r w:rsidRPr="00EA3F71">
              <w:rPr>
                <w:rFonts w:ascii="Arial Narrow" w:hAnsi="Arial Narrow"/>
                <w:sz w:val="20"/>
              </w:rPr>
              <w:fldChar w:fldCharType="begin">
                <w:ffData>
                  <w:name w:val="Check5"/>
                  <w:enabled/>
                  <w:calcOnExit w:val="0"/>
                  <w:checkBox>
                    <w:sizeAuto/>
                    <w:default w:val="0"/>
                  </w:checkBox>
                </w:ffData>
              </w:fldChar>
            </w:r>
            <w:r w:rsidRPr="00EA3F71">
              <w:rPr>
                <w:rFonts w:ascii="Arial Narrow" w:hAnsi="Arial Narrow"/>
                <w:sz w:val="20"/>
              </w:rPr>
              <w:instrText xml:space="preserve"> FORMCHECKBOX </w:instrText>
            </w:r>
            <w:r w:rsidR="00190149">
              <w:rPr>
                <w:rFonts w:ascii="Arial Narrow" w:hAnsi="Arial Narrow"/>
                <w:sz w:val="20"/>
              </w:rPr>
            </w:r>
            <w:r w:rsidR="00190149">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Midwives</w:t>
            </w:r>
          </w:p>
        </w:tc>
      </w:tr>
      <w:tr w:rsidR="005C5A18" w:rsidRPr="00EA3F71" w:rsidTr="0073784D">
        <w:tc>
          <w:tcPr>
            <w:tcW w:w="1272"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b/>
                <w:sz w:val="20"/>
              </w:rPr>
            </w:pPr>
            <w:r w:rsidRPr="00EA3F71">
              <w:rPr>
                <w:rFonts w:ascii="Arial Narrow" w:hAnsi="Arial Narrow"/>
                <w:b/>
                <w:sz w:val="20"/>
              </w:rPr>
              <w:t>PBS Indication:</w:t>
            </w:r>
          </w:p>
        </w:tc>
        <w:tc>
          <w:tcPr>
            <w:tcW w:w="3728"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strike/>
                <w:sz w:val="20"/>
              </w:rPr>
            </w:pPr>
            <w:r w:rsidRPr="00EA3F71">
              <w:rPr>
                <w:rFonts w:ascii="Arial Narrow" w:hAnsi="Arial Narrow"/>
                <w:sz w:val="20"/>
              </w:rPr>
              <w:t>Cystic Fibrosis</w:t>
            </w:r>
          </w:p>
        </w:tc>
      </w:tr>
      <w:tr w:rsidR="005C5A18" w:rsidRPr="00EA3F71" w:rsidTr="0073784D">
        <w:trPr>
          <w:trHeight w:val="197"/>
        </w:trPr>
        <w:tc>
          <w:tcPr>
            <w:tcW w:w="1272"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b/>
                <w:sz w:val="20"/>
              </w:rPr>
            </w:pPr>
            <w:r w:rsidRPr="00EA3F71">
              <w:rPr>
                <w:rFonts w:ascii="Arial Narrow" w:hAnsi="Arial Narrow"/>
                <w:b/>
                <w:sz w:val="20"/>
              </w:rPr>
              <w:t>Treatment phase:</w:t>
            </w:r>
          </w:p>
        </w:tc>
        <w:tc>
          <w:tcPr>
            <w:tcW w:w="3728"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sz w:val="20"/>
              </w:rPr>
            </w:pPr>
            <w:r>
              <w:rPr>
                <w:rFonts w:ascii="Arial Narrow" w:hAnsi="Arial Narrow"/>
                <w:sz w:val="20"/>
              </w:rPr>
              <w:t>Continuing</w:t>
            </w:r>
          </w:p>
        </w:tc>
      </w:tr>
      <w:tr w:rsidR="005C5A18" w:rsidRPr="00EA3F71" w:rsidTr="0073784D">
        <w:tc>
          <w:tcPr>
            <w:tcW w:w="1272"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b/>
                <w:sz w:val="20"/>
              </w:rPr>
            </w:pPr>
            <w:r w:rsidRPr="00EA3F71">
              <w:rPr>
                <w:rFonts w:ascii="Arial Narrow" w:hAnsi="Arial Narrow"/>
                <w:b/>
                <w:sz w:val="20"/>
              </w:rPr>
              <w:t>Restriction:</w:t>
            </w:r>
          </w:p>
          <w:p w:rsidR="005C5A18" w:rsidRPr="00EA3F71" w:rsidRDefault="005C5A18" w:rsidP="00A14D3A">
            <w:pPr>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sz w:val="20"/>
              </w:rPr>
            </w:pPr>
            <w:r w:rsidRPr="00EA3F71">
              <w:rPr>
                <w:rFonts w:ascii="Arial Narrow" w:hAnsi="Arial Narrow"/>
                <w:sz w:val="20"/>
              </w:rPr>
              <w:fldChar w:fldCharType="begin">
                <w:ffData>
                  <w:name w:val="Check1"/>
                  <w:enabled/>
                  <w:calcOnExit w:val="0"/>
                  <w:checkBox>
                    <w:sizeAuto/>
                    <w:default w:val="0"/>
                  </w:checkBox>
                </w:ffData>
              </w:fldChar>
            </w:r>
            <w:r w:rsidRPr="00EA3F71">
              <w:rPr>
                <w:rFonts w:ascii="Arial Narrow" w:hAnsi="Arial Narrow"/>
                <w:sz w:val="20"/>
              </w:rPr>
              <w:instrText xml:space="preserve"> FORMCHECKBOX </w:instrText>
            </w:r>
            <w:r w:rsidR="00190149">
              <w:rPr>
                <w:rFonts w:ascii="Arial Narrow" w:hAnsi="Arial Narrow"/>
                <w:sz w:val="20"/>
              </w:rPr>
            </w:r>
            <w:r w:rsidR="00190149">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Restricted benefit</w:t>
            </w:r>
          </w:p>
          <w:p w:rsidR="005C5A18" w:rsidRPr="00EA3F71" w:rsidRDefault="00B02BCF" w:rsidP="00A14D3A">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190149">
              <w:rPr>
                <w:rFonts w:ascii="Arial Narrow" w:hAnsi="Arial Narrow"/>
                <w:sz w:val="20"/>
              </w:rPr>
            </w:r>
            <w:r w:rsidR="00190149">
              <w:rPr>
                <w:rFonts w:ascii="Arial Narrow" w:hAnsi="Arial Narrow"/>
                <w:sz w:val="20"/>
              </w:rPr>
              <w:fldChar w:fldCharType="separate"/>
            </w:r>
            <w:r>
              <w:rPr>
                <w:rFonts w:ascii="Arial Narrow" w:hAnsi="Arial Narrow"/>
                <w:sz w:val="20"/>
              </w:rPr>
              <w:fldChar w:fldCharType="end"/>
            </w:r>
            <w:r w:rsidR="005C5A18" w:rsidRPr="00EA3F71">
              <w:rPr>
                <w:rFonts w:ascii="Arial Narrow" w:hAnsi="Arial Narrow"/>
                <w:sz w:val="20"/>
              </w:rPr>
              <w:t>Authority Required - In Writing</w:t>
            </w:r>
          </w:p>
          <w:p w:rsidR="005C5A18" w:rsidRPr="00EA3F71" w:rsidRDefault="00B02BCF" w:rsidP="00A14D3A">
            <w:pPr>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w:instrText>
            </w:r>
            <w:bookmarkStart w:id="21" w:name="Check3"/>
            <w:r>
              <w:rPr>
                <w:rFonts w:ascii="Arial Narrow" w:hAnsi="Arial Narrow"/>
                <w:sz w:val="20"/>
              </w:rPr>
              <w:instrText xml:space="preserve">FORMCHECKBOX </w:instrText>
            </w:r>
            <w:r w:rsidR="00190149">
              <w:rPr>
                <w:rFonts w:ascii="Arial Narrow" w:hAnsi="Arial Narrow"/>
                <w:sz w:val="20"/>
              </w:rPr>
            </w:r>
            <w:r w:rsidR="00190149">
              <w:rPr>
                <w:rFonts w:ascii="Arial Narrow" w:hAnsi="Arial Narrow"/>
                <w:sz w:val="20"/>
              </w:rPr>
              <w:fldChar w:fldCharType="separate"/>
            </w:r>
            <w:r>
              <w:rPr>
                <w:rFonts w:ascii="Arial Narrow" w:hAnsi="Arial Narrow"/>
                <w:sz w:val="20"/>
              </w:rPr>
              <w:fldChar w:fldCharType="end"/>
            </w:r>
            <w:bookmarkEnd w:id="21"/>
            <w:r w:rsidR="005C5A18" w:rsidRPr="00EA3F71">
              <w:rPr>
                <w:rFonts w:ascii="Arial Narrow" w:hAnsi="Arial Narrow"/>
                <w:sz w:val="20"/>
              </w:rPr>
              <w:t>Authority Required - Telephone</w:t>
            </w:r>
          </w:p>
          <w:p w:rsidR="005C5A18" w:rsidRPr="00EA3F71" w:rsidRDefault="005C5A18" w:rsidP="00A14D3A">
            <w:pPr>
              <w:rPr>
                <w:rFonts w:ascii="Arial Narrow" w:hAnsi="Arial Narrow"/>
                <w:sz w:val="20"/>
              </w:rPr>
            </w:pPr>
            <w:r w:rsidRPr="00EA3F71">
              <w:rPr>
                <w:rFonts w:ascii="Arial Narrow" w:hAnsi="Arial Narrow"/>
                <w:sz w:val="20"/>
              </w:rPr>
              <w:fldChar w:fldCharType="begin">
                <w:ffData>
                  <w:name w:val=""/>
                  <w:enabled/>
                  <w:calcOnExit w:val="0"/>
                  <w:checkBox>
                    <w:sizeAuto/>
                    <w:default w:val="0"/>
                  </w:checkBox>
                </w:ffData>
              </w:fldChar>
            </w:r>
            <w:r w:rsidRPr="00EA3F71">
              <w:rPr>
                <w:rFonts w:ascii="Arial Narrow" w:hAnsi="Arial Narrow"/>
                <w:sz w:val="20"/>
              </w:rPr>
              <w:instrText xml:space="preserve"> FORMCHECKBOX </w:instrText>
            </w:r>
            <w:r w:rsidR="00190149">
              <w:rPr>
                <w:rFonts w:ascii="Arial Narrow" w:hAnsi="Arial Narrow"/>
                <w:sz w:val="20"/>
              </w:rPr>
            </w:r>
            <w:r w:rsidR="00190149">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Emergency</w:t>
            </w:r>
          </w:p>
          <w:p w:rsidR="005C5A18" w:rsidRPr="00EA3F71" w:rsidRDefault="005C5A18" w:rsidP="00A14D3A">
            <w:pPr>
              <w:rPr>
                <w:rFonts w:ascii="Arial Narrow" w:hAnsi="Arial Narrow"/>
                <w:sz w:val="20"/>
              </w:rPr>
            </w:pPr>
            <w:r w:rsidRPr="00EA3F71">
              <w:rPr>
                <w:rFonts w:ascii="Arial Narrow" w:hAnsi="Arial Narrow"/>
                <w:sz w:val="20"/>
              </w:rPr>
              <w:fldChar w:fldCharType="begin">
                <w:ffData>
                  <w:name w:val="Check5"/>
                  <w:enabled/>
                  <w:calcOnExit w:val="0"/>
                  <w:checkBox>
                    <w:sizeAuto/>
                    <w:default w:val="0"/>
                  </w:checkBox>
                </w:ffData>
              </w:fldChar>
            </w:r>
            <w:r w:rsidRPr="00EA3F71">
              <w:rPr>
                <w:rFonts w:ascii="Arial Narrow" w:hAnsi="Arial Narrow"/>
                <w:sz w:val="20"/>
              </w:rPr>
              <w:instrText xml:space="preserve"> FORMCHECKBOX </w:instrText>
            </w:r>
            <w:r w:rsidR="00190149">
              <w:rPr>
                <w:rFonts w:ascii="Arial Narrow" w:hAnsi="Arial Narrow"/>
                <w:sz w:val="20"/>
              </w:rPr>
            </w:r>
            <w:r w:rsidR="00190149">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Electronic</w:t>
            </w:r>
          </w:p>
          <w:p w:rsidR="005C5A18" w:rsidRPr="00EA3F71" w:rsidRDefault="005C5A18" w:rsidP="00A14D3A">
            <w:pPr>
              <w:rPr>
                <w:rFonts w:ascii="Arial Narrow" w:hAnsi="Arial Narrow"/>
                <w:sz w:val="20"/>
              </w:rPr>
            </w:pPr>
            <w:r w:rsidRPr="00EA3F71">
              <w:rPr>
                <w:rFonts w:ascii="Arial Narrow" w:hAnsi="Arial Narrow"/>
                <w:sz w:val="20"/>
              </w:rPr>
              <w:fldChar w:fldCharType="begin">
                <w:ffData>
                  <w:name w:val="Check5"/>
                  <w:enabled/>
                  <w:calcOnExit w:val="0"/>
                  <w:checkBox>
                    <w:sizeAuto/>
                    <w:default w:val="0"/>
                  </w:checkBox>
                </w:ffData>
              </w:fldChar>
            </w:r>
            <w:r w:rsidRPr="00EA3F71">
              <w:rPr>
                <w:rFonts w:ascii="Arial Narrow" w:hAnsi="Arial Narrow"/>
                <w:sz w:val="20"/>
              </w:rPr>
              <w:instrText xml:space="preserve"> FORMCHECKBOX </w:instrText>
            </w:r>
            <w:r w:rsidR="00190149">
              <w:rPr>
                <w:rFonts w:ascii="Arial Narrow" w:hAnsi="Arial Narrow"/>
                <w:sz w:val="20"/>
              </w:rPr>
            </w:r>
            <w:r w:rsidR="00190149">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Streamlined</w:t>
            </w:r>
          </w:p>
        </w:tc>
      </w:tr>
      <w:tr w:rsidR="005C5A18" w:rsidRPr="00EA3F71" w:rsidTr="0073784D">
        <w:tc>
          <w:tcPr>
            <w:tcW w:w="1272"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b/>
                <w:sz w:val="20"/>
              </w:rPr>
            </w:pPr>
            <w:r w:rsidRPr="00EA3F71">
              <w:rPr>
                <w:rFonts w:ascii="Arial Narrow" w:hAnsi="Arial Narrow"/>
                <w:b/>
                <w:sz w:val="20"/>
              </w:rPr>
              <w:t>Treatment criteria:</w:t>
            </w:r>
          </w:p>
          <w:p w:rsidR="005C5A18" w:rsidRPr="00EA3F71" w:rsidRDefault="005C5A18" w:rsidP="00A14D3A">
            <w:pPr>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5C5A18" w:rsidRPr="00751E56" w:rsidRDefault="005C5A18" w:rsidP="00A14D3A">
            <w:pPr>
              <w:rPr>
                <w:rFonts w:ascii="Arial Narrow" w:hAnsi="Arial Narrow"/>
                <w:sz w:val="20"/>
              </w:rPr>
            </w:pPr>
            <w:r w:rsidRPr="00751E56">
              <w:rPr>
                <w:rFonts w:ascii="Arial Narrow" w:hAnsi="Arial Narrow"/>
                <w:sz w:val="20"/>
              </w:rPr>
              <w:t>Must be treated by a specialist respiratory physician with expertise in cystic fibrosis, OR</w:t>
            </w:r>
          </w:p>
          <w:p w:rsidR="005C5A18" w:rsidRPr="00751E56" w:rsidRDefault="005C5A18" w:rsidP="00A14D3A">
            <w:pPr>
              <w:rPr>
                <w:rFonts w:ascii="Arial Narrow" w:hAnsi="Arial Narrow"/>
                <w:sz w:val="20"/>
              </w:rPr>
            </w:pPr>
            <w:r w:rsidRPr="00751E56">
              <w:rPr>
                <w:rFonts w:ascii="Arial Narrow" w:hAnsi="Arial Narrow"/>
                <w:sz w:val="20"/>
              </w:rPr>
              <w:t>Must be treated in consultation with a specialist respiratory physician with expertise in cystic fibrosis if attendance is not possible due to geographic isolation;</w:t>
            </w:r>
          </w:p>
          <w:p w:rsidR="005C5A18" w:rsidRPr="00751E56" w:rsidRDefault="005C5A18" w:rsidP="00A14D3A">
            <w:pPr>
              <w:rPr>
                <w:rFonts w:ascii="Arial Narrow" w:hAnsi="Arial Narrow"/>
                <w:sz w:val="20"/>
              </w:rPr>
            </w:pPr>
            <w:r w:rsidRPr="00751E56">
              <w:rPr>
                <w:rFonts w:ascii="Arial Narrow" w:hAnsi="Arial Narrow"/>
                <w:sz w:val="20"/>
              </w:rPr>
              <w:t>AND</w:t>
            </w:r>
          </w:p>
          <w:p w:rsidR="005C5A18" w:rsidRPr="00751E56" w:rsidRDefault="005C5A18" w:rsidP="00A14D3A">
            <w:pPr>
              <w:rPr>
                <w:rFonts w:ascii="Arial Narrow" w:hAnsi="Arial Narrow"/>
                <w:sz w:val="20"/>
              </w:rPr>
            </w:pPr>
            <w:r w:rsidRPr="00751E56">
              <w:rPr>
                <w:rFonts w:ascii="Arial Narrow" w:hAnsi="Arial Narrow"/>
                <w:sz w:val="20"/>
              </w:rPr>
              <w:t>Must be treated in a centre with expertise in cystic fibrosis, OR</w:t>
            </w:r>
          </w:p>
          <w:p w:rsidR="005C5A18" w:rsidRPr="00EA3F71" w:rsidRDefault="005C5A18" w:rsidP="00A14D3A">
            <w:pPr>
              <w:rPr>
                <w:rFonts w:ascii="Arial Narrow" w:hAnsi="Arial Narrow"/>
                <w:sz w:val="20"/>
              </w:rPr>
            </w:pPr>
            <w:r w:rsidRPr="00751E56">
              <w:rPr>
                <w:rFonts w:ascii="Arial Narrow" w:hAnsi="Arial Narrow"/>
                <w:sz w:val="20"/>
              </w:rPr>
              <w:t>Must be treated in consultation with a centre with expertise in cystic fibrosis if attendance is not possible due to geographic isolation.</w:t>
            </w:r>
          </w:p>
        </w:tc>
      </w:tr>
      <w:tr w:rsidR="005C5A18" w:rsidRPr="00EA3F71" w:rsidTr="0073784D">
        <w:tc>
          <w:tcPr>
            <w:tcW w:w="1272"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b/>
                <w:sz w:val="20"/>
              </w:rPr>
            </w:pPr>
            <w:r w:rsidRPr="00EA3F71">
              <w:rPr>
                <w:rFonts w:ascii="Arial Narrow" w:hAnsi="Arial Narrow"/>
                <w:b/>
                <w:sz w:val="20"/>
              </w:rPr>
              <w:t>Clinical criteria:</w:t>
            </w:r>
          </w:p>
          <w:p w:rsidR="005C5A18" w:rsidRPr="00EA3F71" w:rsidRDefault="005C5A18" w:rsidP="00A14D3A">
            <w:pPr>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5C5A18" w:rsidRDefault="005C5A18" w:rsidP="00A14D3A">
            <w:pPr>
              <w:rPr>
                <w:rFonts w:ascii="Arial Narrow" w:hAnsi="Arial Narrow"/>
                <w:sz w:val="20"/>
              </w:rPr>
            </w:pPr>
            <w:r w:rsidRPr="005C5A18">
              <w:rPr>
                <w:rFonts w:ascii="Arial Narrow" w:hAnsi="Arial Narrow"/>
                <w:sz w:val="20"/>
              </w:rPr>
              <w:t xml:space="preserve">Patient must have previously </w:t>
            </w:r>
            <w:r w:rsidR="00F82CD8">
              <w:rPr>
                <w:rFonts w:ascii="Arial Narrow" w:hAnsi="Arial Narrow"/>
                <w:sz w:val="20"/>
              </w:rPr>
              <w:t>received PBS-subsidised treatment with</w:t>
            </w:r>
            <w:r w:rsidRPr="005C5A18">
              <w:rPr>
                <w:rFonts w:ascii="Arial Narrow" w:hAnsi="Arial Narrow"/>
                <w:sz w:val="20"/>
              </w:rPr>
              <w:t xml:space="preserve"> this drug for this condition</w:t>
            </w:r>
          </w:p>
          <w:p w:rsidR="005C5A18" w:rsidRPr="00751E56" w:rsidRDefault="005C5A18" w:rsidP="00A14D3A">
            <w:pPr>
              <w:rPr>
                <w:rFonts w:ascii="Arial Narrow" w:hAnsi="Arial Narrow"/>
                <w:sz w:val="20"/>
              </w:rPr>
            </w:pPr>
            <w:r w:rsidRPr="00751E56">
              <w:rPr>
                <w:rFonts w:ascii="Arial Narrow" w:hAnsi="Arial Narrow"/>
                <w:sz w:val="20"/>
              </w:rPr>
              <w:t xml:space="preserve">AND </w:t>
            </w:r>
          </w:p>
          <w:p w:rsidR="005C5A18" w:rsidRPr="00EA3F71" w:rsidRDefault="005C5A18" w:rsidP="00A14D3A">
            <w:pPr>
              <w:rPr>
                <w:rFonts w:ascii="Arial Narrow" w:hAnsi="Arial Narrow"/>
                <w:strike/>
                <w:sz w:val="20"/>
              </w:rPr>
            </w:pPr>
            <w:r w:rsidRPr="00751E56">
              <w:rPr>
                <w:rFonts w:ascii="Arial Narrow" w:hAnsi="Arial Narrow"/>
                <w:sz w:val="20"/>
              </w:rPr>
              <w:t>The treatment must be given concomitantly with standard therapy for this condition.</w:t>
            </w:r>
          </w:p>
        </w:tc>
      </w:tr>
      <w:tr w:rsidR="009B0E64" w:rsidRPr="00EA3F71" w:rsidTr="0073784D">
        <w:tc>
          <w:tcPr>
            <w:tcW w:w="1272" w:type="pct"/>
            <w:tcBorders>
              <w:top w:val="single" w:sz="4" w:space="0" w:color="auto"/>
              <w:left w:val="single" w:sz="4" w:space="0" w:color="auto"/>
              <w:bottom w:val="single" w:sz="4" w:space="0" w:color="auto"/>
              <w:right w:val="single" w:sz="4" w:space="0" w:color="auto"/>
            </w:tcBorders>
          </w:tcPr>
          <w:p w:rsidR="009B0E64" w:rsidRPr="00EA3F71" w:rsidRDefault="009B0E64" w:rsidP="00A14D3A">
            <w:pPr>
              <w:rPr>
                <w:rFonts w:ascii="Arial Narrow" w:hAnsi="Arial Narrow"/>
                <w:b/>
                <w:sz w:val="20"/>
              </w:rPr>
            </w:pPr>
            <w:r>
              <w:rPr>
                <w:rFonts w:ascii="Arial Narrow" w:hAnsi="Arial Narrow"/>
                <w:b/>
                <w:sz w:val="20"/>
              </w:rPr>
              <w:t>Population criteria</w:t>
            </w:r>
          </w:p>
        </w:tc>
        <w:tc>
          <w:tcPr>
            <w:tcW w:w="3728" w:type="pct"/>
            <w:tcBorders>
              <w:top w:val="single" w:sz="4" w:space="0" w:color="auto"/>
              <w:left w:val="single" w:sz="4" w:space="0" w:color="auto"/>
              <w:bottom w:val="single" w:sz="4" w:space="0" w:color="auto"/>
              <w:right w:val="single" w:sz="4" w:space="0" w:color="auto"/>
            </w:tcBorders>
          </w:tcPr>
          <w:p w:rsidR="009B0E64" w:rsidRPr="005C5A18" w:rsidRDefault="009B0E64" w:rsidP="00A14D3A">
            <w:pPr>
              <w:rPr>
                <w:rFonts w:ascii="Arial Narrow" w:hAnsi="Arial Narrow"/>
                <w:sz w:val="20"/>
              </w:rPr>
            </w:pPr>
            <w:r w:rsidRPr="009B0E64">
              <w:rPr>
                <w:rFonts w:ascii="Arial Narrow" w:hAnsi="Arial Narrow"/>
                <w:sz w:val="20"/>
              </w:rPr>
              <w:t>Patient must be 12 years of age or older.</w:t>
            </w:r>
          </w:p>
        </w:tc>
      </w:tr>
      <w:tr w:rsidR="009B0E64" w:rsidRPr="00EA3F71" w:rsidTr="0073784D">
        <w:tc>
          <w:tcPr>
            <w:tcW w:w="1272" w:type="pct"/>
            <w:tcBorders>
              <w:top w:val="single" w:sz="4" w:space="0" w:color="auto"/>
              <w:left w:val="single" w:sz="4" w:space="0" w:color="auto"/>
              <w:bottom w:val="single" w:sz="4" w:space="0" w:color="auto"/>
              <w:right w:val="single" w:sz="4" w:space="0" w:color="auto"/>
            </w:tcBorders>
          </w:tcPr>
          <w:p w:rsidR="009B0E64" w:rsidRDefault="009B0E64" w:rsidP="00A14D3A">
            <w:pPr>
              <w:rPr>
                <w:rFonts w:ascii="Arial Narrow" w:hAnsi="Arial Narrow"/>
                <w:b/>
                <w:sz w:val="20"/>
              </w:rPr>
            </w:pPr>
            <w:r w:rsidRPr="009B0E64">
              <w:rPr>
                <w:rFonts w:ascii="Arial Narrow" w:hAnsi="Arial Narrow"/>
                <w:b/>
                <w:sz w:val="20"/>
              </w:rPr>
              <w:t>Prescriber Instructions</w:t>
            </w:r>
          </w:p>
        </w:tc>
        <w:tc>
          <w:tcPr>
            <w:tcW w:w="3728" w:type="pct"/>
            <w:tcBorders>
              <w:top w:val="single" w:sz="4" w:space="0" w:color="auto"/>
              <w:left w:val="single" w:sz="4" w:space="0" w:color="auto"/>
              <w:bottom w:val="single" w:sz="4" w:space="0" w:color="auto"/>
              <w:right w:val="single" w:sz="4" w:space="0" w:color="auto"/>
            </w:tcBorders>
          </w:tcPr>
          <w:p w:rsidR="009B0E64" w:rsidRPr="009B0E64" w:rsidRDefault="009B0E64" w:rsidP="009B0E64">
            <w:pPr>
              <w:rPr>
                <w:rFonts w:ascii="Arial Narrow" w:hAnsi="Arial Narrow"/>
                <w:sz w:val="20"/>
              </w:rPr>
            </w:pPr>
            <w:r w:rsidRPr="009B0E64">
              <w:rPr>
                <w:rFonts w:ascii="Arial Narrow" w:hAnsi="Arial Narrow"/>
                <w:sz w:val="20"/>
              </w:rPr>
              <w:t>Treatment must not be given to a patient who has an acute upper or lower respiratory infection, pulmonary exacerbation, or changes in therapy (including antibiotics) for pulmonary disease in the last 4 weeks prior to commencing this drug.</w:t>
            </w:r>
          </w:p>
          <w:p w:rsidR="009B0E64" w:rsidRPr="009B0E64" w:rsidRDefault="009B0E64" w:rsidP="009B0E64">
            <w:pPr>
              <w:rPr>
                <w:rFonts w:ascii="Arial Narrow" w:hAnsi="Arial Narrow"/>
                <w:sz w:val="20"/>
              </w:rPr>
            </w:pPr>
          </w:p>
          <w:p w:rsidR="009B0E64" w:rsidRDefault="009B0E64" w:rsidP="009B0E64">
            <w:pPr>
              <w:rPr>
                <w:rFonts w:ascii="Arial Narrow" w:hAnsi="Arial Narrow"/>
                <w:sz w:val="20"/>
              </w:rPr>
            </w:pPr>
            <w:r w:rsidRPr="009B0E64">
              <w:rPr>
                <w:rFonts w:ascii="Arial Narrow" w:hAnsi="Arial Narrow"/>
                <w:sz w:val="20"/>
              </w:rPr>
              <w:t>Patients who have an acute infective exacerbation at the time of assessment for continuing therapy may receive an additional one month's supply in order to enable the assessment to be repeated following resolution of the exacerbation.</w:t>
            </w:r>
          </w:p>
          <w:p w:rsidR="009B0E64" w:rsidRDefault="009B0E64" w:rsidP="00A14D3A">
            <w:pPr>
              <w:rPr>
                <w:rFonts w:ascii="Arial Narrow" w:hAnsi="Arial Narrow"/>
                <w:sz w:val="20"/>
              </w:rPr>
            </w:pPr>
          </w:p>
          <w:p w:rsidR="009B0E64" w:rsidRPr="009B0E64" w:rsidRDefault="009B0E64" w:rsidP="009B0E64">
            <w:pPr>
              <w:rPr>
                <w:rFonts w:ascii="Arial Narrow" w:hAnsi="Arial Narrow"/>
                <w:sz w:val="20"/>
              </w:rPr>
            </w:pPr>
            <w:r w:rsidRPr="009B0E64">
              <w:rPr>
                <w:rFonts w:ascii="Arial Narrow" w:hAnsi="Arial Narrow"/>
                <w:sz w:val="20"/>
              </w:rPr>
              <w:t>The authority application must be in writing and must include:</w:t>
            </w:r>
          </w:p>
          <w:p w:rsidR="009B0E64" w:rsidRPr="009B0E64" w:rsidRDefault="009B0E64" w:rsidP="009B0E64">
            <w:pPr>
              <w:rPr>
                <w:rFonts w:ascii="Arial Narrow" w:hAnsi="Arial Narrow"/>
                <w:sz w:val="20"/>
              </w:rPr>
            </w:pPr>
            <w:r w:rsidRPr="009B0E64">
              <w:rPr>
                <w:rFonts w:ascii="Arial Narrow" w:hAnsi="Arial Narrow"/>
                <w:sz w:val="20"/>
              </w:rPr>
              <w:t>(1) a completed authority prescription form; and</w:t>
            </w:r>
          </w:p>
          <w:p w:rsidR="009B0E64" w:rsidRPr="009B0E64" w:rsidRDefault="009B0E64" w:rsidP="009B0E64">
            <w:pPr>
              <w:rPr>
                <w:rFonts w:ascii="Arial Narrow" w:hAnsi="Arial Narrow"/>
                <w:sz w:val="20"/>
              </w:rPr>
            </w:pPr>
            <w:r w:rsidRPr="009B0E64">
              <w:rPr>
                <w:rFonts w:ascii="Arial Narrow" w:hAnsi="Arial Narrow"/>
                <w:sz w:val="20"/>
              </w:rPr>
              <w:t xml:space="preserve">(2) a completed Cystic Fibrosis </w:t>
            </w:r>
            <w:proofErr w:type="spellStart"/>
            <w:r w:rsidRPr="009B0E64">
              <w:rPr>
                <w:rFonts w:ascii="Arial Narrow" w:hAnsi="Arial Narrow"/>
                <w:sz w:val="20"/>
              </w:rPr>
              <w:t>Lumacaftor</w:t>
            </w:r>
            <w:proofErr w:type="spellEnd"/>
            <w:r w:rsidRPr="009B0E64">
              <w:rPr>
                <w:rFonts w:ascii="Arial Narrow" w:hAnsi="Arial Narrow"/>
                <w:sz w:val="20"/>
              </w:rPr>
              <w:t xml:space="preserve"> with </w:t>
            </w:r>
            <w:proofErr w:type="spellStart"/>
            <w:r w:rsidRPr="009B0E64">
              <w:rPr>
                <w:rFonts w:ascii="Arial Narrow" w:hAnsi="Arial Narrow"/>
                <w:sz w:val="20"/>
              </w:rPr>
              <w:t>Ivacaftor</w:t>
            </w:r>
            <w:proofErr w:type="spellEnd"/>
            <w:r w:rsidRPr="009B0E64">
              <w:rPr>
                <w:rFonts w:ascii="Arial Narrow" w:hAnsi="Arial Narrow"/>
                <w:sz w:val="20"/>
              </w:rPr>
              <w:t xml:space="preserve"> Authority</w:t>
            </w:r>
            <w:r>
              <w:rPr>
                <w:rFonts w:ascii="Arial Narrow" w:hAnsi="Arial Narrow"/>
                <w:sz w:val="20"/>
              </w:rPr>
              <w:t xml:space="preserve"> Continuing</w:t>
            </w:r>
            <w:r w:rsidRPr="009B0E64">
              <w:rPr>
                <w:rFonts w:ascii="Arial Narrow" w:hAnsi="Arial Narrow"/>
                <w:sz w:val="20"/>
              </w:rPr>
              <w:t xml:space="preserve"> Application Supporting Information Form; and</w:t>
            </w:r>
          </w:p>
          <w:p w:rsidR="009B0E64" w:rsidRPr="009B0E64" w:rsidRDefault="009B0E64" w:rsidP="009B0E64">
            <w:pPr>
              <w:rPr>
                <w:rFonts w:ascii="Arial Narrow" w:hAnsi="Arial Narrow"/>
                <w:sz w:val="20"/>
              </w:rPr>
            </w:pPr>
            <w:r w:rsidRPr="009B0E64">
              <w:rPr>
                <w:rFonts w:ascii="Arial Narrow" w:hAnsi="Arial Narrow"/>
                <w:sz w:val="20"/>
              </w:rPr>
              <w:t>(</w:t>
            </w:r>
            <w:r>
              <w:rPr>
                <w:rFonts w:ascii="Arial Narrow" w:hAnsi="Arial Narrow"/>
                <w:sz w:val="20"/>
              </w:rPr>
              <w:t>3</w:t>
            </w:r>
            <w:r w:rsidRPr="009B0E64">
              <w:rPr>
                <w:rFonts w:ascii="Arial Narrow" w:hAnsi="Arial Narrow"/>
                <w:sz w:val="20"/>
              </w:rPr>
              <w:t xml:space="preserve">) </w:t>
            </w:r>
            <w:proofErr w:type="gramStart"/>
            <w:r w:rsidRPr="009B0E64">
              <w:rPr>
                <w:rFonts w:ascii="Arial Narrow" w:hAnsi="Arial Narrow"/>
                <w:sz w:val="20"/>
              </w:rPr>
              <w:t>the</w:t>
            </w:r>
            <w:proofErr w:type="gramEnd"/>
            <w:r w:rsidRPr="009B0E64">
              <w:rPr>
                <w:rFonts w:ascii="Arial Narrow" w:hAnsi="Arial Narrow"/>
                <w:sz w:val="20"/>
              </w:rPr>
              <w:t xml:space="preserve"> result of a FEV1 measurement performed within a month prior to the date of application. Note: FEV1, must be measured in an accredited pulmonary function laboratory, with documented no acute infective exacerbation at the time FEV1 is measured; and</w:t>
            </w:r>
          </w:p>
          <w:p w:rsidR="009B0E64" w:rsidRPr="009B0E64" w:rsidRDefault="009B0E64" w:rsidP="009B0E64">
            <w:pPr>
              <w:rPr>
                <w:rFonts w:ascii="Arial Narrow" w:hAnsi="Arial Narrow"/>
                <w:sz w:val="20"/>
              </w:rPr>
            </w:pPr>
            <w:r w:rsidRPr="009B0E64">
              <w:rPr>
                <w:rFonts w:ascii="Arial Narrow" w:hAnsi="Arial Narrow"/>
                <w:sz w:val="20"/>
              </w:rPr>
              <w:t>(</w:t>
            </w:r>
            <w:r>
              <w:rPr>
                <w:rFonts w:ascii="Arial Narrow" w:hAnsi="Arial Narrow"/>
                <w:sz w:val="20"/>
              </w:rPr>
              <w:t>4</w:t>
            </w:r>
            <w:r w:rsidRPr="009B0E64">
              <w:rPr>
                <w:rFonts w:ascii="Arial Narrow" w:hAnsi="Arial Narrow"/>
                <w:sz w:val="20"/>
              </w:rPr>
              <w:t xml:space="preserve">) a copy of a current medication history; and </w:t>
            </w:r>
          </w:p>
          <w:p w:rsidR="009B0E64" w:rsidRPr="009B0E64" w:rsidRDefault="009B0E64" w:rsidP="009B0E64">
            <w:pPr>
              <w:rPr>
                <w:rFonts w:ascii="Arial Narrow" w:hAnsi="Arial Narrow"/>
                <w:sz w:val="20"/>
              </w:rPr>
            </w:pPr>
            <w:r w:rsidRPr="009B0E64">
              <w:rPr>
                <w:rFonts w:ascii="Arial Narrow" w:hAnsi="Arial Narrow"/>
                <w:sz w:val="20"/>
              </w:rPr>
              <w:t>(</w:t>
            </w:r>
            <w:r>
              <w:rPr>
                <w:rFonts w:ascii="Arial Narrow" w:hAnsi="Arial Narrow"/>
                <w:sz w:val="20"/>
              </w:rPr>
              <w:t>5</w:t>
            </w:r>
            <w:r w:rsidRPr="009B0E64">
              <w:rPr>
                <w:rFonts w:ascii="Arial Narrow" w:hAnsi="Arial Narrow"/>
                <w:sz w:val="20"/>
              </w:rPr>
              <w:t>) height and weight measurements at the time of application; and</w:t>
            </w:r>
          </w:p>
          <w:p w:rsidR="009B0E64" w:rsidRPr="009B0E64" w:rsidRDefault="009B0E64" w:rsidP="00A14D3A">
            <w:pPr>
              <w:rPr>
                <w:rFonts w:ascii="Arial Narrow" w:hAnsi="Arial Narrow"/>
                <w:sz w:val="20"/>
              </w:rPr>
            </w:pPr>
            <w:r w:rsidRPr="009B0E64">
              <w:rPr>
                <w:rFonts w:ascii="Arial Narrow" w:hAnsi="Arial Narrow"/>
                <w:sz w:val="20"/>
              </w:rPr>
              <w:t>(</w:t>
            </w:r>
            <w:r>
              <w:rPr>
                <w:rFonts w:ascii="Arial Narrow" w:hAnsi="Arial Narrow"/>
                <w:sz w:val="20"/>
              </w:rPr>
              <w:t>6</w:t>
            </w:r>
            <w:r w:rsidRPr="009B0E64">
              <w:rPr>
                <w:rFonts w:ascii="Arial Narrow" w:hAnsi="Arial Narrow"/>
                <w:sz w:val="20"/>
              </w:rPr>
              <w:t xml:space="preserve">) </w:t>
            </w:r>
            <w:proofErr w:type="gramStart"/>
            <w:r w:rsidRPr="009B0E64">
              <w:rPr>
                <w:rFonts w:ascii="Arial Narrow" w:hAnsi="Arial Narrow"/>
                <w:sz w:val="20"/>
              </w:rPr>
              <w:t>the</w:t>
            </w:r>
            <w:proofErr w:type="gramEnd"/>
            <w:r w:rsidRPr="009B0E64">
              <w:rPr>
                <w:rFonts w:ascii="Arial Narrow" w:hAnsi="Arial Narrow"/>
                <w:sz w:val="20"/>
              </w:rPr>
              <w:t xml:space="preserve"> number of days of CF-related hospitalisation (including hospital-in-the home) in the </w:t>
            </w:r>
            <w:r w:rsidRPr="009B0E64">
              <w:rPr>
                <w:rFonts w:ascii="Arial Narrow" w:hAnsi="Arial Narrow"/>
                <w:sz w:val="20"/>
              </w:rPr>
              <w:lastRenderedPageBreak/>
              <w:t xml:space="preserve">previous </w:t>
            </w:r>
            <w:r>
              <w:rPr>
                <w:rFonts w:ascii="Arial Narrow" w:hAnsi="Arial Narrow"/>
                <w:sz w:val="20"/>
              </w:rPr>
              <w:t>6</w:t>
            </w:r>
            <w:r w:rsidRPr="009B0E64">
              <w:rPr>
                <w:rFonts w:ascii="Arial Narrow" w:hAnsi="Arial Narrow"/>
                <w:sz w:val="20"/>
              </w:rPr>
              <w:t xml:space="preserve"> months.</w:t>
            </w:r>
          </w:p>
        </w:tc>
      </w:tr>
      <w:tr w:rsidR="005C5A18" w:rsidRPr="00EA3F71" w:rsidTr="0073784D">
        <w:tc>
          <w:tcPr>
            <w:tcW w:w="1272" w:type="pct"/>
            <w:tcBorders>
              <w:top w:val="single" w:sz="4" w:space="0" w:color="auto"/>
              <w:left w:val="single" w:sz="4" w:space="0" w:color="auto"/>
              <w:bottom w:val="single" w:sz="4" w:space="0" w:color="auto"/>
              <w:right w:val="single" w:sz="4" w:space="0" w:color="auto"/>
            </w:tcBorders>
          </w:tcPr>
          <w:p w:rsidR="005C5A18" w:rsidRPr="00EA3F71" w:rsidRDefault="005C5A18" w:rsidP="00A14D3A">
            <w:pPr>
              <w:rPr>
                <w:rFonts w:ascii="Arial Narrow" w:hAnsi="Arial Narrow"/>
                <w:b/>
                <w:sz w:val="20"/>
              </w:rPr>
            </w:pPr>
            <w:r w:rsidRPr="00EA3F71">
              <w:rPr>
                <w:rFonts w:ascii="Arial Narrow" w:hAnsi="Arial Narrow"/>
                <w:b/>
                <w:sz w:val="20"/>
              </w:rPr>
              <w:lastRenderedPageBreak/>
              <w:t>Administrative Advice:</w:t>
            </w:r>
          </w:p>
        </w:tc>
        <w:tc>
          <w:tcPr>
            <w:tcW w:w="3728" w:type="pct"/>
            <w:tcBorders>
              <w:top w:val="single" w:sz="4" w:space="0" w:color="auto"/>
              <w:left w:val="single" w:sz="4" w:space="0" w:color="auto"/>
              <w:bottom w:val="single" w:sz="4" w:space="0" w:color="auto"/>
              <w:right w:val="single" w:sz="4" w:space="0" w:color="auto"/>
            </w:tcBorders>
          </w:tcPr>
          <w:p w:rsidR="005C5A18" w:rsidRPr="00751E56" w:rsidRDefault="005C5A18" w:rsidP="00A14D3A">
            <w:pPr>
              <w:rPr>
                <w:rFonts w:ascii="Arial Narrow" w:hAnsi="Arial Narrow"/>
                <w:sz w:val="20"/>
              </w:rPr>
            </w:pPr>
            <w:r w:rsidRPr="00751E56">
              <w:rPr>
                <w:rFonts w:ascii="Arial Narrow" w:hAnsi="Arial Narrow"/>
                <w:sz w:val="20"/>
              </w:rPr>
              <w:t>Special pricing arrangements apply</w:t>
            </w:r>
          </w:p>
          <w:p w:rsidR="005C5A18" w:rsidRPr="00751E56" w:rsidRDefault="005C5A18" w:rsidP="00A14D3A">
            <w:pPr>
              <w:rPr>
                <w:rFonts w:ascii="Arial Narrow" w:hAnsi="Arial Narrow"/>
                <w:sz w:val="20"/>
              </w:rPr>
            </w:pPr>
          </w:p>
          <w:p w:rsidR="005C5A18" w:rsidRPr="00751E56" w:rsidRDefault="005C5A18" w:rsidP="00A14D3A">
            <w:pPr>
              <w:keepNext/>
              <w:rPr>
                <w:rFonts w:ascii="Arial Narrow" w:hAnsi="Arial Narrow"/>
                <w:sz w:val="20"/>
                <w:lang w:val="en-US"/>
              </w:rPr>
            </w:pPr>
            <w:r w:rsidRPr="00751E56">
              <w:rPr>
                <w:rFonts w:ascii="Arial Narrow" w:hAnsi="Arial Narrow"/>
                <w:sz w:val="20"/>
                <w:lang w:val="en-US"/>
              </w:rPr>
              <w:t xml:space="preserve">No increase in the maximum number of repeats may be </w:t>
            </w:r>
            <w:proofErr w:type="spellStart"/>
            <w:r w:rsidRPr="00751E56">
              <w:rPr>
                <w:rFonts w:ascii="Arial Narrow" w:hAnsi="Arial Narrow"/>
                <w:sz w:val="20"/>
                <w:lang w:val="en-US"/>
              </w:rPr>
              <w:t>authorised</w:t>
            </w:r>
            <w:proofErr w:type="spellEnd"/>
            <w:r w:rsidRPr="00751E56">
              <w:rPr>
                <w:rFonts w:ascii="Arial Narrow" w:hAnsi="Arial Narrow"/>
                <w:sz w:val="20"/>
                <w:lang w:val="en-US"/>
              </w:rPr>
              <w:t>.</w:t>
            </w:r>
          </w:p>
          <w:p w:rsidR="005C5A18" w:rsidRPr="00751E56" w:rsidRDefault="005C5A18" w:rsidP="00A14D3A">
            <w:pPr>
              <w:keepNext/>
              <w:rPr>
                <w:rFonts w:ascii="Arial Narrow" w:hAnsi="Arial Narrow"/>
                <w:sz w:val="20"/>
                <w:lang w:val="en-US"/>
              </w:rPr>
            </w:pPr>
          </w:p>
          <w:p w:rsidR="005C5A18" w:rsidRPr="00751E56" w:rsidRDefault="005C5A18" w:rsidP="00A14D3A">
            <w:pPr>
              <w:rPr>
                <w:rFonts w:ascii="Arial Narrow" w:hAnsi="Arial Narrow"/>
                <w:sz w:val="20"/>
                <w:lang w:val="en-US"/>
              </w:rPr>
            </w:pPr>
            <w:r w:rsidRPr="00751E56">
              <w:rPr>
                <w:rFonts w:ascii="Arial Narrow" w:hAnsi="Arial Narrow"/>
                <w:sz w:val="20"/>
                <w:lang w:val="en-US"/>
              </w:rPr>
              <w:t xml:space="preserve">No increase in the maximum quantity or number of units may be </w:t>
            </w:r>
            <w:proofErr w:type="spellStart"/>
            <w:r w:rsidRPr="00751E56">
              <w:rPr>
                <w:rFonts w:ascii="Arial Narrow" w:hAnsi="Arial Narrow"/>
                <w:sz w:val="20"/>
                <w:lang w:val="en-US"/>
              </w:rPr>
              <w:t>authorised</w:t>
            </w:r>
            <w:proofErr w:type="spellEnd"/>
            <w:r w:rsidRPr="00751E56">
              <w:rPr>
                <w:rFonts w:ascii="Arial Narrow" w:hAnsi="Arial Narrow"/>
                <w:sz w:val="20"/>
                <w:lang w:val="en-US"/>
              </w:rPr>
              <w:t>.</w:t>
            </w:r>
          </w:p>
          <w:p w:rsidR="005C5A18" w:rsidRPr="00751E56" w:rsidRDefault="005C5A18" w:rsidP="00A14D3A">
            <w:pPr>
              <w:rPr>
                <w:rFonts w:ascii="Arial Narrow" w:hAnsi="Arial Narrow"/>
                <w:sz w:val="20"/>
              </w:rPr>
            </w:pPr>
          </w:p>
          <w:p w:rsidR="005C5A18" w:rsidRPr="00751E56" w:rsidRDefault="005C5A18" w:rsidP="00A14D3A">
            <w:pPr>
              <w:rPr>
                <w:rFonts w:ascii="Arial Narrow" w:hAnsi="Arial Narrow"/>
                <w:sz w:val="20"/>
              </w:rPr>
            </w:pPr>
            <w:r w:rsidRPr="00751E56">
              <w:rPr>
                <w:rFonts w:ascii="Arial Narrow" w:hAnsi="Arial Narrow"/>
                <w:sz w:val="20"/>
              </w:rPr>
              <w:t>Any queries concerning the arrangements to prescribe may be directed to the Department of Human Services on 1800 700 270 (hours of operation 8 a.m. to 5 p.m. EST Monday to Friday).</w:t>
            </w:r>
          </w:p>
          <w:p w:rsidR="005C5A18" w:rsidRPr="00EA3F71" w:rsidRDefault="005C5A18" w:rsidP="00A14D3A">
            <w:pPr>
              <w:rPr>
                <w:rFonts w:ascii="Arial Narrow" w:hAnsi="Arial Narrow"/>
                <w:sz w:val="20"/>
              </w:rPr>
            </w:pPr>
          </w:p>
        </w:tc>
      </w:tr>
    </w:tbl>
    <w:p w:rsidR="002A215F" w:rsidRDefault="002A215F" w:rsidP="00497FB4">
      <w:pPr>
        <w:widowControl w:val="0"/>
        <w:spacing w:after="120"/>
        <w:jc w:val="both"/>
        <w:rPr>
          <w:rFonts w:asciiTheme="minorHAnsi" w:eastAsiaTheme="minorHAnsi" w:hAnsiTheme="minorHAnsi" w:cstheme="minorBidi"/>
        </w:rPr>
      </w:pPr>
    </w:p>
    <w:p w:rsidR="002A215F" w:rsidRPr="002A215F" w:rsidRDefault="002A215F" w:rsidP="000904E9">
      <w:pPr>
        <w:pStyle w:val="PBACHeading1"/>
        <w:spacing w:before="240" w:after="120"/>
        <w:ind w:left="709" w:hanging="709"/>
        <w:rPr>
          <w:rFonts w:asciiTheme="minorHAnsi" w:hAnsiTheme="minorHAnsi"/>
          <w:sz w:val="32"/>
          <w:szCs w:val="32"/>
        </w:rPr>
      </w:pPr>
      <w:r>
        <w:rPr>
          <w:rFonts w:asciiTheme="minorHAnsi" w:hAnsiTheme="minorHAnsi"/>
          <w:sz w:val="32"/>
          <w:szCs w:val="32"/>
        </w:rPr>
        <w:t xml:space="preserve">Context for Decision </w:t>
      </w:r>
    </w:p>
    <w:p w:rsidR="002A215F" w:rsidRPr="000904E9" w:rsidRDefault="002A215F" w:rsidP="000904E9">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904E9" w:rsidRDefault="000904E9" w:rsidP="000904E9">
      <w:pPr>
        <w:pStyle w:val="PBACHeading1"/>
        <w:spacing w:before="240" w:after="120"/>
        <w:ind w:left="709" w:hanging="709"/>
        <w:rPr>
          <w:rFonts w:asciiTheme="minorHAnsi" w:hAnsiTheme="minorHAnsi"/>
          <w:sz w:val="32"/>
          <w:szCs w:val="32"/>
        </w:rPr>
      </w:pPr>
      <w:r>
        <w:rPr>
          <w:rFonts w:asciiTheme="minorHAnsi" w:hAnsiTheme="minorHAnsi"/>
          <w:sz w:val="32"/>
          <w:szCs w:val="32"/>
        </w:rPr>
        <w:t xml:space="preserve">Sponsor’s Comment </w:t>
      </w:r>
    </w:p>
    <w:p w:rsidR="00C47C3B" w:rsidRDefault="000904E9" w:rsidP="008705C9">
      <w:pPr>
        <w:spacing w:after="120"/>
        <w:jc w:val="both"/>
        <w:rPr>
          <w:rFonts w:asciiTheme="minorHAnsi" w:hAnsiTheme="minorHAnsi" w:cs="Arial"/>
          <w:bCs/>
        </w:rPr>
      </w:pPr>
      <w:r w:rsidRPr="00C07617">
        <w:rPr>
          <w:rFonts w:asciiTheme="minorHAnsi" w:hAnsiTheme="minorHAnsi" w:cs="Arial"/>
          <w:bCs/>
        </w:rPr>
        <w:t>The sponsor had no comment.</w:t>
      </w:r>
    </w:p>
    <w:p w:rsidR="00C47C3B" w:rsidRDefault="00C47C3B">
      <w:pPr>
        <w:rPr>
          <w:rFonts w:asciiTheme="minorHAnsi" w:hAnsiTheme="minorHAnsi" w:cs="Arial"/>
          <w:bCs/>
        </w:rPr>
      </w:pPr>
      <w:r>
        <w:rPr>
          <w:rFonts w:asciiTheme="minorHAnsi" w:hAnsiTheme="minorHAnsi" w:cs="Arial"/>
          <w:bCs/>
        </w:rPr>
        <w:br w:type="page"/>
      </w:r>
    </w:p>
    <w:p w:rsidR="00C47C3B" w:rsidRPr="00946552" w:rsidRDefault="00C47C3B" w:rsidP="00C47C3B">
      <w:pPr>
        <w:pStyle w:val="TableFooter"/>
        <w:rPr>
          <w:szCs w:val="18"/>
        </w:rPr>
      </w:pPr>
      <w:r w:rsidRPr="0080519B">
        <w:rPr>
          <w:rFonts w:asciiTheme="minorHAnsi" w:hAnsiTheme="minorHAnsi"/>
          <w:b/>
          <w:sz w:val="28"/>
          <w:szCs w:val="28"/>
        </w:rPr>
        <w:lastRenderedPageBreak/>
        <w:t xml:space="preserve">Appendix </w:t>
      </w:r>
      <w:r>
        <w:rPr>
          <w:rFonts w:asciiTheme="minorHAnsi" w:hAnsiTheme="minorHAnsi"/>
          <w:b/>
          <w:sz w:val="28"/>
          <w:szCs w:val="28"/>
        </w:rPr>
        <w:t>1</w:t>
      </w:r>
      <w:r w:rsidRPr="0080519B">
        <w:rPr>
          <w:rFonts w:asciiTheme="minorHAnsi" w:hAnsiTheme="minorHAnsi"/>
          <w:b/>
          <w:sz w:val="28"/>
          <w:szCs w:val="28"/>
        </w:rPr>
        <w:t xml:space="preserve">: </w:t>
      </w:r>
      <w:proofErr w:type="spellStart"/>
      <w:r w:rsidRPr="0080519B">
        <w:rPr>
          <w:rFonts w:asciiTheme="minorHAnsi" w:hAnsiTheme="minorHAnsi"/>
          <w:b/>
          <w:sz w:val="28"/>
          <w:szCs w:val="28"/>
        </w:rPr>
        <w:t>lumacaftor</w:t>
      </w:r>
      <w:proofErr w:type="spellEnd"/>
      <w:r w:rsidRPr="0080519B">
        <w:rPr>
          <w:rFonts w:asciiTheme="minorHAnsi" w:hAnsiTheme="minorHAnsi"/>
          <w:b/>
          <w:sz w:val="28"/>
          <w:szCs w:val="28"/>
        </w:rPr>
        <w:t xml:space="preserve"> with </w:t>
      </w:r>
      <w:proofErr w:type="spellStart"/>
      <w:r w:rsidRPr="0080519B">
        <w:rPr>
          <w:rFonts w:asciiTheme="minorHAnsi" w:hAnsiTheme="minorHAnsi"/>
          <w:b/>
          <w:sz w:val="28"/>
          <w:szCs w:val="28"/>
        </w:rPr>
        <w:t>ivacaftor</w:t>
      </w:r>
      <w:proofErr w:type="spellEnd"/>
      <w:r w:rsidRPr="0080519B">
        <w:rPr>
          <w:rFonts w:asciiTheme="minorHAnsi" w:hAnsiTheme="minorHAnsi"/>
          <w:b/>
          <w:sz w:val="28"/>
          <w:szCs w:val="28"/>
        </w:rPr>
        <w:t>, July 2017 PBAC minutes</w:t>
      </w:r>
    </w:p>
    <w:p w:rsidR="00C47C3B" w:rsidRDefault="00C47C3B" w:rsidP="008705C9">
      <w:pPr>
        <w:spacing w:after="120"/>
        <w:jc w:val="both"/>
        <w:rPr>
          <w:rFonts w:asciiTheme="minorHAnsi" w:hAnsiTheme="minorHAnsi" w:cs="Arial"/>
          <w:bCs/>
        </w:rPr>
      </w:pPr>
    </w:p>
    <w:p w:rsidR="00C47C3B" w:rsidRPr="004E0172" w:rsidRDefault="00C47C3B" w:rsidP="00C47C3B">
      <w:pPr>
        <w:rPr>
          <w:rFonts w:asciiTheme="minorHAnsi" w:hAnsiTheme="minorHAnsi"/>
          <w:b/>
          <w:u w:val="single"/>
        </w:rPr>
      </w:pPr>
      <w:r w:rsidRPr="004E0172">
        <w:rPr>
          <w:rFonts w:asciiTheme="minorHAnsi" w:hAnsiTheme="minorHAnsi"/>
          <w:b/>
          <w:u w:val="single"/>
        </w:rPr>
        <w:t>REJECTIONS</w:t>
      </w:r>
    </w:p>
    <w:p w:rsidR="00C47C3B" w:rsidRPr="004E0172" w:rsidRDefault="00C47C3B" w:rsidP="00C47C3B">
      <w:pPr>
        <w:rPr>
          <w:rFonts w:asciiTheme="minorHAnsi" w:hAnsiTheme="minorHAnsi"/>
        </w:rPr>
      </w:pPr>
    </w:p>
    <w:p w:rsidR="00C47C3B" w:rsidRPr="004E0172" w:rsidRDefault="00C47C3B" w:rsidP="00C47C3B">
      <w:pPr>
        <w:rPr>
          <w:rFonts w:asciiTheme="minorHAnsi" w:hAnsiTheme="minorHAnsi"/>
        </w:rPr>
      </w:pPr>
      <w:r w:rsidRPr="004E0172">
        <w:rPr>
          <w:rFonts w:asciiTheme="minorHAnsi" w:hAnsiTheme="minorHAnsi"/>
        </w:rPr>
        <w:t xml:space="preserve">At its meeting between </w:t>
      </w:r>
      <w:r w:rsidRPr="004E0172">
        <w:rPr>
          <w:rFonts w:asciiTheme="minorHAnsi" w:hAnsiTheme="minorHAnsi"/>
          <w:b/>
        </w:rPr>
        <w:t xml:space="preserve">5 </w:t>
      </w:r>
      <w:r w:rsidRPr="004E0172">
        <w:rPr>
          <w:rFonts w:asciiTheme="minorHAnsi" w:hAnsiTheme="minorHAnsi"/>
        </w:rPr>
        <w:t xml:space="preserve">and </w:t>
      </w:r>
      <w:r w:rsidRPr="004E0172">
        <w:rPr>
          <w:rFonts w:asciiTheme="minorHAnsi" w:hAnsiTheme="minorHAnsi"/>
          <w:b/>
        </w:rPr>
        <w:t>7 July 2017</w:t>
      </w:r>
      <w:r w:rsidRPr="004E0172">
        <w:rPr>
          <w:rFonts w:asciiTheme="minorHAnsi" w:hAnsiTheme="minorHAnsi"/>
        </w:rPr>
        <w:t xml:space="preserve">, the PBAC decided not to recommend to the Minister (under section 101(3) of the </w:t>
      </w:r>
      <w:r w:rsidRPr="004E0172">
        <w:rPr>
          <w:rFonts w:asciiTheme="minorHAnsi" w:hAnsiTheme="minorHAnsi"/>
          <w:i/>
        </w:rPr>
        <w:t>National Health Act 1953</w:t>
      </w:r>
      <w:r w:rsidRPr="004E0172">
        <w:rPr>
          <w:rFonts w:asciiTheme="minorHAnsi" w:hAnsiTheme="minorHAnsi"/>
        </w:rPr>
        <w:t xml:space="preserve"> (“the Act”)) that </w:t>
      </w:r>
      <w:proofErr w:type="spellStart"/>
      <w:r w:rsidRPr="004E0172">
        <w:rPr>
          <w:rFonts w:asciiTheme="minorHAnsi" w:hAnsiTheme="minorHAnsi"/>
        </w:rPr>
        <w:t>lumacaftor</w:t>
      </w:r>
      <w:proofErr w:type="spellEnd"/>
      <w:r w:rsidRPr="004E0172">
        <w:rPr>
          <w:rFonts w:asciiTheme="minorHAnsi" w:hAnsiTheme="minorHAnsi"/>
        </w:rPr>
        <w:t xml:space="preserve"> with </w:t>
      </w:r>
      <w:proofErr w:type="spellStart"/>
      <w:r w:rsidRPr="004E0172">
        <w:rPr>
          <w:rFonts w:asciiTheme="minorHAnsi" w:hAnsiTheme="minorHAnsi"/>
        </w:rPr>
        <w:t>ivacaftor</w:t>
      </w:r>
      <w:proofErr w:type="spellEnd"/>
      <w:r w:rsidRPr="004E0172">
        <w:rPr>
          <w:rFonts w:asciiTheme="minorHAnsi" w:hAnsiTheme="minorHAnsi"/>
        </w:rPr>
        <w:t xml:space="preserve"> be made available as a pharmaceutical benefit under Part VII of the Act.</w:t>
      </w:r>
    </w:p>
    <w:p w:rsidR="00C47C3B" w:rsidRPr="004E0172" w:rsidRDefault="00C47C3B" w:rsidP="00C47C3B">
      <w:pPr>
        <w:rPr>
          <w:rFonts w:asciiTheme="minorHAnsi" w:hAnsiTheme="minorHAnsi"/>
        </w:rPr>
      </w:pPr>
    </w:p>
    <w:p w:rsidR="00C47C3B" w:rsidRDefault="00C47C3B" w:rsidP="00C47C3B">
      <w:pPr>
        <w:rPr>
          <w:rFonts w:asciiTheme="minorHAnsi" w:hAnsiTheme="minorHAnsi"/>
        </w:rPr>
      </w:pPr>
      <w:r w:rsidRPr="004E0172">
        <w:rPr>
          <w:rFonts w:asciiTheme="minorHAnsi" w:hAnsiTheme="minorHAnsi"/>
        </w:rPr>
        <w:t xml:space="preserve">A note of the PBAC’s decision follows. </w:t>
      </w:r>
    </w:p>
    <w:p w:rsidR="00C47C3B" w:rsidRDefault="00C47C3B" w:rsidP="00C47C3B">
      <w:pPr>
        <w:rPr>
          <w:rFonts w:asciiTheme="minorHAnsi" w:hAnsiTheme="minorHAnsi" w:cs="Arial"/>
        </w:rPr>
      </w:pPr>
    </w:p>
    <w:p w:rsidR="00C47C3B" w:rsidRPr="00C47C3B" w:rsidRDefault="00C47C3B" w:rsidP="00C47C3B">
      <w:pPr>
        <w:ind w:left="992" w:hanging="992"/>
        <w:outlineLvl w:val="0"/>
        <w:rPr>
          <w:rFonts w:asciiTheme="minorHAnsi" w:hAnsiTheme="minorHAnsi" w:cs="Arial"/>
          <w:b/>
          <w:snapToGrid w:val="0"/>
          <w:sz w:val="36"/>
          <w:szCs w:val="36"/>
          <w:lang w:eastAsia="en-US"/>
        </w:rPr>
      </w:pPr>
      <w:bookmarkStart w:id="22" w:name="_Toc380679761"/>
      <w:bookmarkStart w:id="23" w:name="_Toc380742618"/>
      <w:bookmarkStart w:id="24" w:name="_Toc380746185"/>
      <w:bookmarkStart w:id="25" w:name="_Toc380746311"/>
      <w:bookmarkStart w:id="26" w:name="_Toc380746592"/>
      <w:bookmarkStart w:id="27" w:name="_Toc381019901"/>
      <w:bookmarkStart w:id="28" w:name="_Toc382553532"/>
      <w:bookmarkStart w:id="29" w:name="_Toc392857619"/>
      <w:r w:rsidRPr="00C47C3B">
        <w:rPr>
          <w:rFonts w:asciiTheme="minorHAnsi" w:hAnsiTheme="minorHAnsi" w:cs="Arial"/>
          <w:b/>
          <w:snapToGrid w:val="0"/>
          <w:sz w:val="36"/>
          <w:szCs w:val="36"/>
          <w:lang w:eastAsia="en-US"/>
        </w:rPr>
        <w:t>7.04</w:t>
      </w:r>
      <w:r w:rsidRPr="00C47C3B">
        <w:rPr>
          <w:rFonts w:asciiTheme="minorHAnsi" w:hAnsiTheme="minorHAnsi" w:cs="Arial"/>
          <w:b/>
          <w:snapToGrid w:val="0"/>
          <w:sz w:val="36"/>
          <w:szCs w:val="36"/>
          <w:lang w:eastAsia="en-US"/>
        </w:rPr>
        <w:tab/>
        <w:t>LUMACAFTOR AND IVACAFTOR</w:t>
      </w:r>
      <w:r w:rsidRPr="00C47C3B">
        <w:rPr>
          <w:rFonts w:asciiTheme="minorHAnsi" w:hAnsiTheme="minorHAnsi" w:cs="Arial"/>
          <w:b/>
          <w:snapToGrid w:val="0"/>
          <w:sz w:val="36"/>
          <w:szCs w:val="36"/>
          <w:lang w:eastAsia="en-US"/>
        </w:rPr>
        <w:br/>
        <w:t xml:space="preserve">Tablet containing </w:t>
      </w:r>
      <w:proofErr w:type="spellStart"/>
      <w:r w:rsidRPr="00C47C3B">
        <w:rPr>
          <w:rFonts w:asciiTheme="minorHAnsi" w:hAnsiTheme="minorHAnsi" w:cs="Arial"/>
          <w:b/>
          <w:snapToGrid w:val="0"/>
          <w:sz w:val="36"/>
          <w:szCs w:val="36"/>
          <w:lang w:eastAsia="en-US"/>
        </w:rPr>
        <w:t>lumacaftor</w:t>
      </w:r>
      <w:proofErr w:type="spellEnd"/>
      <w:r w:rsidRPr="00C47C3B">
        <w:rPr>
          <w:rFonts w:asciiTheme="minorHAnsi" w:hAnsiTheme="minorHAnsi" w:cs="Arial"/>
          <w:b/>
          <w:snapToGrid w:val="0"/>
          <w:sz w:val="36"/>
          <w:szCs w:val="36"/>
          <w:lang w:eastAsia="en-US"/>
        </w:rPr>
        <w:t xml:space="preserve"> 200 mg with </w:t>
      </w:r>
      <w:proofErr w:type="spellStart"/>
      <w:r w:rsidRPr="00C47C3B">
        <w:rPr>
          <w:rFonts w:asciiTheme="minorHAnsi" w:hAnsiTheme="minorHAnsi" w:cs="Arial"/>
          <w:b/>
          <w:snapToGrid w:val="0"/>
          <w:sz w:val="36"/>
          <w:szCs w:val="36"/>
          <w:lang w:eastAsia="en-US"/>
        </w:rPr>
        <w:t>ivacaftor</w:t>
      </w:r>
      <w:proofErr w:type="spellEnd"/>
      <w:r w:rsidRPr="00C47C3B">
        <w:rPr>
          <w:rFonts w:asciiTheme="minorHAnsi" w:hAnsiTheme="minorHAnsi" w:cs="Arial"/>
          <w:b/>
          <w:snapToGrid w:val="0"/>
          <w:sz w:val="36"/>
          <w:szCs w:val="36"/>
          <w:lang w:eastAsia="en-US"/>
        </w:rPr>
        <w:t xml:space="preserve"> 125 mg, </w:t>
      </w:r>
      <w:proofErr w:type="spellStart"/>
      <w:r w:rsidRPr="00C47C3B">
        <w:rPr>
          <w:rFonts w:asciiTheme="minorHAnsi" w:hAnsiTheme="minorHAnsi" w:cs="Arial"/>
          <w:b/>
          <w:snapToGrid w:val="0"/>
          <w:sz w:val="36"/>
          <w:szCs w:val="36"/>
          <w:lang w:eastAsia="en-US"/>
        </w:rPr>
        <w:t>Orkambi</w:t>
      </w:r>
      <w:proofErr w:type="spellEnd"/>
      <w:r w:rsidRPr="00C47C3B">
        <w:rPr>
          <w:rFonts w:asciiTheme="minorHAnsi" w:hAnsiTheme="minorHAnsi" w:cs="Arial"/>
          <w:b/>
          <w:snapToGrid w:val="0"/>
          <w:sz w:val="36"/>
          <w:szCs w:val="36"/>
          <w:lang w:eastAsia="en-US"/>
        </w:rPr>
        <w:t xml:space="preserve">®, </w:t>
      </w:r>
      <w:r w:rsidRPr="00C47C3B">
        <w:rPr>
          <w:rFonts w:asciiTheme="minorHAnsi" w:hAnsiTheme="minorHAnsi" w:cs="Arial"/>
          <w:b/>
          <w:snapToGrid w:val="0"/>
          <w:sz w:val="36"/>
          <w:szCs w:val="36"/>
          <w:lang w:eastAsia="en-US"/>
        </w:rPr>
        <w:br/>
        <w:t>Vertex Pharmaceuticals (Australia) Pty Ltd</w:t>
      </w:r>
    </w:p>
    <w:p w:rsidR="00C47C3B" w:rsidRPr="0073784D" w:rsidRDefault="00C47C3B" w:rsidP="0073784D">
      <w:pPr>
        <w:pStyle w:val="PBACHeading1"/>
        <w:spacing w:before="240" w:after="120"/>
        <w:rPr>
          <w:rFonts w:asciiTheme="minorHAnsi" w:hAnsiTheme="minorHAnsi" w:cstheme="minorHAnsi"/>
          <w:sz w:val="32"/>
        </w:rPr>
      </w:pPr>
      <w:bookmarkStart w:id="30" w:name="_Toc413139271"/>
      <w:bookmarkStart w:id="31" w:name="_Toc476306881"/>
      <w:bookmarkStart w:id="32" w:name="_Toc482713668"/>
      <w:r w:rsidRPr="0073784D">
        <w:rPr>
          <w:rFonts w:asciiTheme="minorHAnsi" w:hAnsiTheme="minorHAnsi" w:cstheme="minorHAnsi"/>
          <w:sz w:val="32"/>
        </w:rPr>
        <w:t>Purpose of Application</w:t>
      </w:r>
      <w:bookmarkEnd w:id="30"/>
      <w:bookmarkEnd w:id="31"/>
      <w:bookmarkEnd w:id="32"/>
    </w:p>
    <w:p w:rsidR="00C47C3B" w:rsidRPr="00C47C3B" w:rsidRDefault="00C47C3B" w:rsidP="00C47C3B">
      <w:pPr>
        <w:widowControl w:val="0"/>
        <w:numPr>
          <w:ilvl w:val="1"/>
          <w:numId w:val="1"/>
        </w:numPr>
        <w:spacing w:after="120"/>
        <w:jc w:val="both"/>
        <w:rPr>
          <w:rFonts w:asciiTheme="minorHAnsi" w:hAnsiTheme="minorHAnsi" w:cs="Arial"/>
          <w:snapToGrid w:val="0"/>
          <w:szCs w:val="22"/>
          <w:lang w:eastAsia="en-US"/>
        </w:rPr>
      </w:pPr>
      <w:r w:rsidRPr="00C47C3B">
        <w:rPr>
          <w:rFonts w:asciiTheme="minorHAnsi" w:hAnsiTheme="minorHAnsi" w:cs="Arial"/>
          <w:snapToGrid w:val="0"/>
          <w:szCs w:val="22"/>
          <w:lang w:eastAsia="en-US"/>
        </w:rPr>
        <w:t xml:space="preserve">Resubmission to request a Section 100 (Highly Specialised Drugs Program) Authority Required listing for </w:t>
      </w:r>
      <w:proofErr w:type="spellStart"/>
      <w:r w:rsidRPr="00C47C3B">
        <w:rPr>
          <w:rFonts w:asciiTheme="minorHAnsi" w:hAnsiTheme="minorHAnsi" w:cs="Arial"/>
          <w:snapToGrid w:val="0"/>
          <w:szCs w:val="22"/>
          <w:lang w:eastAsia="en-US"/>
        </w:rPr>
        <w:t>lumacaftor</w:t>
      </w:r>
      <w:proofErr w:type="spellEnd"/>
      <w:r w:rsidRPr="00C47C3B">
        <w:rPr>
          <w:rFonts w:asciiTheme="minorHAnsi" w:hAnsiTheme="minorHAnsi" w:cs="Arial"/>
          <w:snapToGrid w:val="0"/>
          <w:szCs w:val="22"/>
          <w:lang w:eastAsia="en-US"/>
        </w:rPr>
        <w:t xml:space="preserve"> 200 mg with </w:t>
      </w:r>
      <w:proofErr w:type="spellStart"/>
      <w:r w:rsidRPr="00C47C3B">
        <w:rPr>
          <w:rFonts w:asciiTheme="minorHAnsi" w:hAnsiTheme="minorHAnsi" w:cs="Arial"/>
          <w:snapToGrid w:val="0"/>
          <w:szCs w:val="22"/>
          <w:lang w:eastAsia="en-US"/>
        </w:rPr>
        <w:t>ivacaftor</w:t>
      </w:r>
      <w:proofErr w:type="spellEnd"/>
      <w:r w:rsidRPr="00C47C3B">
        <w:rPr>
          <w:rFonts w:asciiTheme="minorHAnsi" w:hAnsiTheme="minorHAnsi" w:cs="Arial"/>
          <w:snapToGrid w:val="0"/>
          <w:szCs w:val="22"/>
          <w:lang w:eastAsia="en-US"/>
        </w:rPr>
        <w:t xml:space="preserve"> 125 mg fixed dose combination (</w:t>
      </w:r>
      <w:proofErr w:type="spellStart"/>
      <w:r w:rsidRPr="00C47C3B">
        <w:rPr>
          <w:rFonts w:asciiTheme="minorHAnsi" w:hAnsiTheme="minorHAnsi" w:cs="Arial"/>
          <w:snapToGrid w:val="0"/>
          <w:szCs w:val="22"/>
          <w:lang w:eastAsia="en-US"/>
        </w:rPr>
        <w:t>lumacaftor</w:t>
      </w:r>
      <w:proofErr w:type="spellEnd"/>
      <w:r w:rsidRPr="00C47C3B">
        <w:rPr>
          <w:rFonts w:asciiTheme="minorHAnsi" w:hAnsiTheme="minorHAnsi" w:cs="Arial"/>
          <w:snapToGrid w:val="0"/>
          <w:szCs w:val="22"/>
          <w:lang w:eastAsia="en-US"/>
        </w:rPr>
        <w:t>/</w:t>
      </w:r>
      <w:proofErr w:type="spellStart"/>
      <w:r w:rsidRPr="00C47C3B">
        <w:rPr>
          <w:rFonts w:asciiTheme="minorHAnsi" w:hAnsiTheme="minorHAnsi" w:cs="Arial"/>
          <w:snapToGrid w:val="0"/>
          <w:szCs w:val="22"/>
          <w:lang w:eastAsia="en-US"/>
        </w:rPr>
        <w:t>ivacaftor</w:t>
      </w:r>
      <w:proofErr w:type="spellEnd"/>
      <w:r w:rsidRPr="00C47C3B">
        <w:rPr>
          <w:rFonts w:asciiTheme="minorHAnsi" w:hAnsiTheme="minorHAnsi" w:cs="Arial"/>
          <w:snapToGrid w:val="0"/>
          <w:szCs w:val="22"/>
          <w:lang w:eastAsia="en-US"/>
        </w:rPr>
        <w:t xml:space="preserve">) for the treatment of patients with cystic fibrosis (CF) aged ≥12 years who are homozygous for the </w:t>
      </w:r>
      <w:r w:rsidRPr="00C47C3B">
        <w:rPr>
          <w:rFonts w:asciiTheme="minorHAnsi" w:hAnsiTheme="minorHAnsi" w:cs="Arial"/>
          <w:iCs/>
          <w:snapToGrid w:val="0"/>
          <w:szCs w:val="22"/>
          <w:lang w:eastAsia="en-US"/>
        </w:rPr>
        <w:t xml:space="preserve">F508del </w:t>
      </w:r>
      <w:r w:rsidRPr="00C47C3B">
        <w:rPr>
          <w:rFonts w:asciiTheme="minorHAnsi" w:hAnsiTheme="minorHAnsi" w:cs="Arial"/>
          <w:snapToGrid w:val="0"/>
          <w:szCs w:val="22"/>
          <w:lang w:eastAsia="en-US"/>
        </w:rPr>
        <w:t>mutation</w:t>
      </w:r>
      <w:r w:rsidRPr="00C47C3B">
        <w:rPr>
          <w:rFonts w:asciiTheme="minorHAnsi" w:hAnsiTheme="minorHAnsi" w:cs="Arial"/>
          <w:iCs/>
          <w:snapToGrid w:val="0"/>
          <w:szCs w:val="22"/>
          <w:lang w:eastAsia="en-US"/>
        </w:rPr>
        <w:t xml:space="preserve"> in the cystic fibrosis transmembrane conductance regulator (CFTR) gene. </w:t>
      </w:r>
    </w:p>
    <w:p w:rsidR="00C47C3B" w:rsidRPr="00C47C3B" w:rsidRDefault="00C47C3B" w:rsidP="00C47C3B">
      <w:pPr>
        <w:widowControl w:val="0"/>
        <w:numPr>
          <w:ilvl w:val="1"/>
          <w:numId w:val="1"/>
        </w:numPr>
        <w:spacing w:after="120"/>
        <w:jc w:val="both"/>
        <w:rPr>
          <w:rFonts w:asciiTheme="minorHAnsi" w:hAnsiTheme="minorHAnsi" w:cs="Arial"/>
          <w:snapToGrid w:val="0"/>
          <w:szCs w:val="22"/>
          <w:lang w:eastAsia="en-US"/>
        </w:rPr>
      </w:pPr>
      <w:r w:rsidRPr="00C47C3B">
        <w:rPr>
          <w:rFonts w:asciiTheme="minorHAnsi" w:hAnsiTheme="minorHAnsi" w:cs="Arial"/>
          <w:iCs/>
          <w:snapToGrid w:val="0"/>
          <w:szCs w:val="22"/>
          <w:lang w:eastAsia="en-US"/>
        </w:rPr>
        <w:t xml:space="preserve">The first submission for </w:t>
      </w:r>
      <w:proofErr w:type="spellStart"/>
      <w:r w:rsidRPr="00C47C3B">
        <w:rPr>
          <w:rFonts w:asciiTheme="minorHAnsi" w:hAnsiTheme="minorHAnsi" w:cs="Arial"/>
          <w:iCs/>
          <w:snapToGrid w:val="0"/>
          <w:szCs w:val="22"/>
          <w:lang w:eastAsia="en-US"/>
        </w:rPr>
        <w:t>lumacaftor</w:t>
      </w:r>
      <w:proofErr w:type="spellEnd"/>
      <w:r w:rsidRPr="00C47C3B">
        <w:rPr>
          <w:rFonts w:asciiTheme="minorHAnsi" w:hAnsiTheme="minorHAnsi" w:cs="Arial"/>
          <w:iCs/>
          <w:snapToGrid w:val="0"/>
          <w:szCs w:val="22"/>
          <w:lang w:eastAsia="en-US"/>
        </w:rPr>
        <w:t>/</w:t>
      </w:r>
      <w:proofErr w:type="spellStart"/>
      <w:r w:rsidRPr="00C47C3B">
        <w:rPr>
          <w:rFonts w:asciiTheme="minorHAnsi" w:hAnsiTheme="minorHAnsi" w:cs="Arial"/>
          <w:iCs/>
          <w:snapToGrid w:val="0"/>
          <w:szCs w:val="22"/>
          <w:lang w:eastAsia="en-US"/>
        </w:rPr>
        <w:t>ivacaftor</w:t>
      </w:r>
      <w:proofErr w:type="spellEnd"/>
      <w:r w:rsidRPr="00C47C3B">
        <w:rPr>
          <w:rFonts w:asciiTheme="minorHAnsi" w:hAnsiTheme="minorHAnsi" w:cs="Arial"/>
          <w:iCs/>
          <w:snapToGrid w:val="0"/>
          <w:szCs w:val="22"/>
          <w:lang w:eastAsia="en-US"/>
        </w:rPr>
        <w:t xml:space="preserve"> was considered by the PBAC in March 2016, and a minor resubmission was considered in November 2016. </w:t>
      </w:r>
    </w:p>
    <w:p w:rsidR="00C47C3B" w:rsidRPr="00C47C3B" w:rsidRDefault="00C47C3B" w:rsidP="00C47C3B">
      <w:pPr>
        <w:spacing w:after="120"/>
        <w:ind w:left="720"/>
        <w:jc w:val="both"/>
        <w:rPr>
          <w:rFonts w:asciiTheme="minorHAnsi" w:hAnsiTheme="minorHAnsi" w:cs="Arial"/>
          <w:snapToGrid w:val="0"/>
          <w:szCs w:val="22"/>
          <w:lang w:eastAsia="en-US"/>
        </w:rPr>
      </w:pP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Table </w:t>
      </w:r>
      <w:r w:rsidRPr="00C47C3B">
        <w:rPr>
          <w:rFonts w:ascii="Arial Narrow" w:eastAsiaTheme="minorHAnsi" w:hAnsi="Arial Narrow" w:cstheme="minorBidi"/>
          <w:b/>
          <w:noProof/>
          <w:sz w:val="20"/>
          <w:szCs w:val="22"/>
          <w:lang w:eastAsia="en-US"/>
        </w:rPr>
        <w:t>1</w:t>
      </w:r>
      <w:r w:rsidRPr="00C47C3B">
        <w:rPr>
          <w:rFonts w:ascii="Arial Narrow" w:eastAsiaTheme="minorHAnsi" w:hAnsi="Arial Narrow" w:cstheme="minorBidi"/>
          <w:b/>
          <w:sz w:val="20"/>
          <w:szCs w:val="22"/>
          <w:lang w:eastAsia="en-US"/>
        </w:rPr>
        <w:t>: Key components of the clinical issue addressed by the resubmission</w:t>
      </w:r>
    </w:p>
    <w:tbl>
      <w:tblPr>
        <w:tblStyle w:val="TableGrid"/>
        <w:tblW w:w="0" w:type="auto"/>
        <w:tblLook w:val="04A0" w:firstRow="1" w:lastRow="0" w:firstColumn="1" w:lastColumn="0" w:noHBand="0" w:noVBand="1"/>
        <w:tblCaption w:val="Key components of the clinical issue addressed by the resubmission"/>
      </w:tblPr>
      <w:tblGrid>
        <w:gridCol w:w="1127"/>
        <w:gridCol w:w="7889"/>
      </w:tblGrid>
      <w:tr w:rsidR="00C47C3B" w:rsidRPr="00C47C3B" w:rsidTr="009F446F">
        <w:trPr>
          <w:cantSplit/>
          <w:tblHeader/>
        </w:trPr>
        <w:tc>
          <w:tcPr>
            <w:tcW w:w="1127" w:type="dxa"/>
            <w:shd w:val="clear" w:color="auto" w:fill="auto"/>
          </w:tcPr>
          <w:p w:rsidR="00C47C3B" w:rsidRPr="00C47C3B" w:rsidRDefault="00C47C3B" w:rsidP="00C47C3B">
            <w:pPr>
              <w:spacing w:before="40" w:after="4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Component</w:t>
            </w:r>
          </w:p>
        </w:tc>
        <w:tc>
          <w:tcPr>
            <w:tcW w:w="7889" w:type="dxa"/>
            <w:shd w:val="clear" w:color="auto" w:fill="auto"/>
          </w:tcPr>
          <w:p w:rsidR="00C47C3B" w:rsidRPr="00C47C3B" w:rsidRDefault="00C47C3B" w:rsidP="00C47C3B">
            <w:pPr>
              <w:spacing w:before="40" w:after="4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Description</w:t>
            </w:r>
          </w:p>
        </w:tc>
      </w:tr>
      <w:tr w:rsidR="00C47C3B" w:rsidRPr="00C47C3B" w:rsidTr="009F446F">
        <w:trPr>
          <w:cantSplit/>
        </w:trPr>
        <w:tc>
          <w:tcPr>
            <w:tcW w:w="1127" w:type="dxa"/>
            <w:shd w:val="clear" w:color="auto" w:fill="auto"/>
          </w:tcPr>
          <w:p w:rsidR="00C47C3B" w:rsidRPr="00C47C3B" w:rsidRDefault="00C47C3B" w:rsidP="00C47C3B">
            <w:pPr>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Population</w:t>
            </w:r>
          </w:p>
        </w:tc>
        <w:tc>
          <w:tcPr>
            <w:tcW w:w="7889" w:type="dxa"/>
            <w:shd w:val="clear" w:color="auto" w:fill="auto"/>
          </w:tcPr>
          <w:p w:rsidR="00C47C3B" w:rsidRPr="00C47C3B" w:rsidRDefault="00C47C3B" w:rsidP="00C47C3B">
            <w:pPr>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 xml:space="preserve">CF patients aged ≥12 years who are homozygous for the </w:t>
            </w:r>
            <w:r w:rsidRPr="00C47C3B">
              <w:rPr>
                <w:rFonts w:ascii="Arial Narrow" w:eastAsiaTheme="minorHAnsi" w:hAnsi="Arial Narrow" w:cstheme="minorBidi"/>
                <w:iCs/>
                <w:sz w:val="20"/>
                <w:szCs w:val="22"/>
                <w:lang w:eastAsia="en-US"/>
              </w:rPr>
              <w:t xml:space="preserve">F508del </w:t>
            </w:r>
            <w:r w:rsidRPr="00C47C3B">
              <w:rPr>
                <w:rFonts w:ascii="Arial Narrow" w:eastAsiaTheme="minorHAnsi" w:hAnsi="Arial Narrow" w:cstheme="minorBidi"/>
                <w:sz w:val="20"/>
                <w:szCs w:val="22"/>
                <w:lang w:eastAsia="en-US"/>
              </w:rPr>
              <w:t>mutation</w:t>
            </w:r>
            <w:r w:rsidRPr="00C47C3B">
              <w:rPr>
                <w:rFonts w:ascii="Arial Narrow" w:eastAsiaTheme="minorHAnsi" w:hAnsi="Arial Narrow" w:cstheme="minorBidi"/>
                <w:iCs/>
                <w:sz w:val="20"/>
                <w:szCs w:val="22"/>
                <w:lang w:eastAsia="en-US"/>
              </w:rPr>
              <w:t xml:space="preserve"> in the CFTR gene</w:t>
            </w:r>
          </w:p>
        </w:tc>
      </w:tr>
      <w:tr w:rsidR="00C47C3B" w:rsidRPr="00C47C3B" w:rsidTr="009F446F">
        <w:trPr>
          <w:cantSplit/>
        </w:trPr>
        <w:tc>
          <w:tcPr>
            <w:tcW w:w="1127" w:type="dxa"/>
            <w:shd w:val="clear" w:color="auto" w:fill="auto"/>
          </w:tcPr>
          <w:p w:rsidR="00C47C3B" w:rsidRPr="00C47C3B" w:rsidRDefault="00C47C3B" w:rsidP="00C47C3B">
            <w:pPr>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Intervention</w:t>
            </w:r>
          </w:p>
        </w:tc>
        <w:tc>
          <w:tcPr>
            <w:tcW w:w="7889" w:type="dxa"/>
            <w:shd w:val="clear" w:color="auto" w:fill="auto"/>
          </w:tcPr>
          <w:p w:rsidR="00C47C3B" w:rsidRPr="00C47C3B" w:rsidRDefault="00C47C3B" w:rsidP="00C47C3B">
            <w:pPr>
              <w:spacing w:before="40" w:after="40"/>
              <w:rPr>
                <w:rFonts w:ascii="Arial Narrow" w:eastAsiaTheme="minorHAnsi" w:hAnsi="Arial Narrow" w:cstheme="minorBidi"/>
                <w:sz w:val="20"/>
                <w:szCs w:val="22"/>
                <w:lang w:eastAsia="en-US"/>
              </w:rPr>
            </w:pPr>
            <w:proofErr w:type="spellStart"/>
            <w:r w:rsidRPr="00C47C3B">
              <w:rPr>
                <w:rFonts w:ascii="Arial Narrow" w:eastAsiaTheme="minorHAnsi" w:hAnsi="Arial Narrow" w:cstheme="minorBidi"/>
                <w:sz w:val="20"/>
                <w:szCs w:val="22"/>
                <w:lang w:eastAsia="en-US"/>
              </w:rPr>
              <w:t>Lumacaftor</w:t>
            </w:r>
            <w:proofErr w:type="spellEnd"/>
            <w:r w:rsidRPr="00C47C3B">
              <w:rPr>
                <w:rFonts w:ascii="Arial Narrow" w:eastAsiaTheme="minorHAnsi" w:hAnsi="Arial Narrow" w:cstheme="minorBidi"/>
                <w:sz w:val="20"/>
                <w:szCs w:val="22"/>
                <w:lang w:eastAsia="en-US"/>
              </w:rPr>
              <w:t xml:space="preserve"> 400 mg/</w:t>
            </w:r>
            <w:proofErr w:type="spellStart"/>
            <w:r w:rsidRPr="00C47C3B">
              <w:rPr>
                <w:rFonts w:ascii="Arial Narrow" w:eastAsiaTheme="minorHAnsi" w:hAnsi="Arial Narrow" w:cstheme="minorBidi"/>
                <w:sz w:val="20"/>
                <w:szCs w:val="22"/>
                <w:lang w:eastAsia="en-US"/>
              </w:rPr>
              <w:t>ivacaftor</w:t>
            </w:r>
            <w:proofErr w:type="spellEnd"/>
            <w:r w:rsidRPr="00C47C3B">
              <w:rPr>
                <w:rFonts w:ascii="Arial Narrow" w:eastAsiaTheme="minorHAnsi" w:hAnsi="Arial Narrow" w:cstheme="minorBidi"/>
                <w:sz w:val="20"/>
                <w:szCs w:val="22"/>
                <w:lang w:eastAsia="en-US"/>
              </w:rPr>
              <w:t xml:space="preserve"> 250 mg twice daily</w:t>
            </w:r>
          </w:p>
        </w:tc>
      </w:tr>
      <w:tr w:rsidR="00C47C3B" w:rsidRPr="00C47C3B" w:rsidTr="009F446F">
        <w:trPr>
          <w:cantSplit/>
        </w:trPr>
        <w:tc>
          <w:tcPr>
            <w:tcW w:w="1127" w:type="dxa"/>
            <w:shd w:val="clear" w:color="auto" w:fill="auto"/>
          </w:tcPr>
          <w:p w:rsidR="00C47C3B" w:rsidRPr="00C47C3B" w:rsidRDefault="00C47C3B" w:rsidP="00C47C3B">
            <w:pPr>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Comparator</w:t>
            </w:r>
          </w:p>
        </w:tc>
        <w:tc>
          <w:tcPr>
            <w:tcW w:w="7889" w:type="dxa"/>
            <w:shd w:val="clear" w:color="auto" w:fill="auto"/>
          </w:tcPr>
          <w:p w:rsidR="00C47C3B" w:rsidRPr="00C47C3B" w:rsidRDefault="00C47C3B" w:rsidP="00C47C3B">
            <w:pPr>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Best supportive care</w:t>
            </w:r>
          </w:p>
        </w:tc>
      </w:tr>
      <w:tr w:rsidR="00C47C3B" w:rsidRPr="00C47C3B" w:rsidTr="009F446F">
        <w:trPr>
          <w:cantSplit/>
        </w:trPr>
        <w:tc>
          <w:tcPr>
            <w:tcW w:w="1127" w:type="dxa"/>
            <w:shd w:val="clear" w:color="auto" w:fill="auto"/>
          </w:tcPr>
          <w:p w:rsidR="00C47C3B" w:rsidRPr="00C47C3B" w:rsidRDefault="00C47C3B" w:rsidP="00C47C3B">
            <w:pPr>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Outcomes</w:t>
            </w:r>
          </w:p>
        </w:tc>
        <w:tc>
          <w:tcPr>
            <w:tcW w:w="7889" w:type="dxa"/>
            <w:shd w:val="clear" w:color="auto" w:fill="auto"/>
          </w:tcPr>
          <w:p w:rsidR="00C47C3B" w:rsidRPr="00C47C3B" w:rsidRDefault="00C47C3B" w:rsidP="00C47C3B">
            <w:pPr>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pp</w:t>
            </w:r>
            <w:r w:rsidRPr="00C47C3B">
              <w:rPr>
                <w:rFonts w:ascii="Arial Narrow" w:eastAsiaTheme="minorHAnsi" w:hAnsi="Arial Narrow" w:cstheme="minorBidi"/>
                <w:sz w:val="20"/>
                <w:lang w:eastAsia="en-US"/>
              </w:rPr>
              <w:t>FEV</w:t>
            </w:r>
            <w:r w:rsidRPr="00C47C3B">
              <w:rPr>
                <w:rFonts w:ascii="Arial Narrow" w:eastAsiaTheme="minorHAnsi" w:hAnsi="Arial Narrow" w:cstheme="minorBidi"/>
                <w:sz w:val="20"/>
                <w:vertAlign w:val="subscript"/>
                <w:lang w:eastAsia="en-US"/>
              </w:rPr>
              <w:t>1</w:t>
            </w:r>
            <w:r w:rsidRPr="00C47C3B">
              <w:rPr>
                <w:rFonts w:ascii="Arial Narrow" w:eastAsiaTheme="minorHAnsi" w:hAnsi="Arial Narrow" w:cstheme="minorBidi"/>
                <w:sz w:val="20"/>
                <w:szCs w:val="22"/>
                <w:lang w:eastAsia="en-US"/>
              </w:rPr>
              <w:t>; pulmonary exacerbations (including those requiring hospitalisation and/or IV antibiotics); changes in BMI and quality of life (using the CFQ-R).</w:t>
            </w:r>
          </w:p>
        </w:tc>
      </w:tr>
      <w:tr w:rsidR="00C47C3B" w:rsidRPr="00C47C3B" w:rsidTr="009F446F">
        <w:trPr>
          <w:cantSplit/>
        </w:trPr>
        <w:tc>
          <w:tcPr>
            <w:tcW w:w="1127" w:type="dxa"/>
            <w:shd w:val="clear" w:color="auto" w:fill="auto"/>
          </w:tcPr>
          <w:p w:rsidR="00C47C3B" w:rsidRPr="00C47C3B" w:rsidRDefault="00C47C3B" w:rsidP="00C47C3B">
            <w:pPr>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Clinical claim</w:t>
            </w:r>
          </w:p>
        </w:tc>
        <w:tc>
          <w:tcPr>
            <w:tcW w:w="7889" w:type="dxa"/>
            <w:shd w:val="clear" w:color="auto" w:fill="auto"/>
          </w:tcPr>
          <w:p w:rsidR="00C47C3B" w:rsidRPr="00C47C3B" w:rsidRDefault="00C47C3B" w:rsidP="00C47C3B">
            <w:pPr>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 xml:space="preserve">In CF patients aged ≥12 years who are homozygous for the </w:t>
            </w:r>
            <w:r w:rsidRPr="00C47C3B">
              <w:rPr>
                <w:rFonts w:ascii="Arial Narrow" w:eastAsiaTheme="minorHAnsi" w:hAnsi="Arial Narrow" w:cstheme="minorBidi"/>
                <w:iCs/>
                <w:sz w:val="20"/>
                <w:szCs w:val="22"/>
                <w:lang w:eastAsia="en-US"/>
              </w:rPr>
              <w:t xml:space="preserve">F508del </w:t>
            </w:r>
            <w:proofErr w:type="gramStart"/>
            <w:r w:rsidRPr="00C47C3B">
              <w:rPr>
                <w:rFonts w:ascii="Arial Narrow" w:eastAsiaTheme="minorHAnsi" w:hAnsi="Arial Narrow" w:cstheme="minorBidi"/>
                <w:sz w:val="20"/>
                <w:szCs w:val="22"/>
                <w:lang w:eastAsia="en-US"/>
              </w:rPr>
              <w:t>mutation,</w:t>
            </w:r>
            <w:proofErr w:type="gramEnd"/>
            <w:r w:rsidRPr="00C47C3B">
              <w:rPr>
                <w:rFonts w:ascii="Arial Narrow" w:eastAsiaTheme="minorHAnsi" w:hAnsi="Arial Narrow" w:cstheme="minorBidi"/>
                <w:sz w:val="20"/>
                <w:szCs w:val="22"/>
                <w:lang w:eastAsia="en-US"/>
              </w:rPr>
              <w:t xml:space="preserve"> </w:t>
            </w:r>
            <w:proofErr w:type="spellStart"/>
            <w:r w:rsidRPr="00C47C3B">
              <w:rPr>
                <w:rFonts w:ascii="Arial Narrow" w:eastAsiaTheme="minorHAnsi" w:hAnsi="Arial Narrow" w:cstheme="minorBidi"/>
                <w:sz w:val="20"/>
                <w:szCs w:val="22"/>
                <w:lang w:eastAsia="en-US"/>
              </w:rPr>
              <w:t>lumacaftor</w:t>
            </w:r>
            <w:proofErr w:type="spellEnd"/>
            <w:r w:rsidRPr="00C47C3B">
              <w:rPr>
                <w:rFonts w:ascii="Arial Narrow" w:eastAsiaTheme="minorHAnsi" w:hAnsi="Arial Narrow" w:cstheme="minorBidi"/>
                <w:sz w:val="20"/>
                <w:szCs w:val="22"/>
                <w:lang w:eastAsia="en-US"/>
              </w:rPr>
              <w:t>/</w:t>
            </w:r>
            <w:proofErr w:type="spellStart"/>
            <w:r w:rsidRPr="00C47C3B">
              <w:rPr>
                <w:rFonts w:ascii="Arial Narrow" w:eastAsiaTheme="minorHAnsi" w:hAnsi="Arial Narrow" w:cstheme="minorBidi"/>
                <w:sz w:val="20"/>
                <w:szCs w:val="22"/>
                <w:lang w:eastAsia="en-US"/>
              </w:rPr>
              <w:t>ivacaftor</w:t>
            </w:r>
            <w:proofErr w:type="spellEnd"/>
            <w:r w:rsidRPr="00C47C3B">
              <w:rPr>
                <w:rFonts w:ascii="Arial Narrow" w:eastAsiaTheme="minorHAnsi" w:hAnsi="Arial Narrow" w:cstheme="minorBidi"/>
                <w:sz w:val="20"/>
                <w:szCs w:val="22"/>
                <w:lang w:eastAsia="en-US"/>
              </w:rPr>
              <w:t xml:space="preserve"> is more effective than best supportive care in improving the outcomes above and is of similar safety. </w:t>
            </w:r>
          </w:p>
        </w:tc>
      </w:tr>
    </w:tbl>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Source: Compiled during the evaluation.</w:t>
      </w:r>
    </w:p>
    <w:p w:rsidR="00C47C3B" w:rsidRPr="00C47C3B" w:rsidRDefault="00C47C3B" w:rsidP="00C47C3B">
      <w:pPr>
        <w:keepNext/>
        <w:rPr>
          <w:rFonts w:ascii="Arial Narrow" w:hAnsi="Arial Narrow" w:cs="Arial"/>
          <w:iCs/>
          <w:snapToGrid w:val="0"/>
          <w:sz w:val="16"/>
          <w:szCs w:val="16"/>
          <w:lang w:eastAsia="en-US"/>
        </w:rPr>
      </w:pPr>
      <w:r w:rsidRPr="00C47C3B">
        <w:rPr>
          <w:rFonts w:ascii="Arial Narrow" w:hAnsi="Arial Narrow" w:cs="Arial"/>
          <w:snapToGrid w:val="0"/>
          <w:sz w:val="16"/>
          <w:szCs w:val="16"/>
          <w:lang w:eastAsia="en-US"/>
        </w:rPr>
        <w:t xml:space="preserve">Abbreviations: CF = cystic fibrosis; CFTR = </w:t>
      </w:r>
      <w:r w:rsidRPr="00C47C3B">
        <w:rPr>
          <w:rFonts w:ascii="Arial Narrow" w:hAnsi="Arial Narrow" w:cs="Arial"/>
          <w:iCs/>
          <w:snapToGrid w:val="0"/>
          <w:sz w:val="16"/>
          <w:szCs w:val="16"/>
          <w:lang w:eastAsia="en-US"/>
        </w:rPr>
        <w:t>cystic fibrosis transmembrane conductance regulator; pp</w:t>
      </w:r>
      <w:r w:rsidRPr="00C47C3B">
        <w:rPr>
          <w:rFonts w:ascii="Arial Narrow" w:hAnsi="Arial Narrow" w:cs="Arial"/>
          <w:snapToGrid w:val="0"/>
          <w:sz w:val="16"/>
          <w:lang w:eastAsia="en-US"/>
        </w:rPr>
        <w:t>FEV</w:t>
      </w:r>
      <w:r w:rsidRPr="00C47C3B">
        <w:rPr>
          <w:rFonts w:ascii="Arial Narrow" w:hAnsi="Arial Narrow" w:cs="Arial"/>
          <w:snapToGrid w:val="0"/>
          <w:sz w:val="16"/>
          <w:vertAlign w:val="subscript"/>
          <w:lang w:eastAsia="en-US"/>
        </w:rPr>
        <w:t>1</w:t>
      </w:r>
      <w:r w:rsidRPr="00C47C3B">
        <w:rPr>
          <w:rFonts w:ascii="Arial Narrow" w:hAnsi="Arial Narrow" w:cs="Arial"/>
          <w:iCs/>
          <w:snapToGrid w:val="0"/>
          <w:sz w:val="16"/>
          <w:szCs w:val="16"/>
          <w:lang w:eastAsia="en-US"/>
        </w:rPr>
        <w:t xml:space="preserve"> = percent predicted forced expiratory volume in 1 second; BMI = body mass index; CFQ-R = cystic fibrosis questionnaire – revised.</w:t>
      </w:r>
    </w:p>
    <w:p w:rsidR="00C47C3B" w:rsidRPr="00C47C3B" w:rsidRDefault="00C47C3B" w:rsidP="00C47C3B">
      <w:pPr>
        <w:keepNext/>
        <w:rPr>
          <w:rFonts w:ascii="Arial Narrow" w:hAnsi="Arial Narrow" w:cs="Arial"/>
          <w:iCs/>
          <w:snapToGrid w:val="0"/>
          <w:sz w:val="16"/>
          <w:szCs w:val="16"/>
          <w:lang w:eastAsia="en-US"/>
        </w:rPr>
      </w:pPr>
    </w:p>
    <w:p w:rsidR="00C47C3B" w:rsidRPr="0073784D" w:rsidRDefault="00C47C3B" w:rsidP="0073784D">
      <w:pPr>
        <w:pStyle w:val="PBACHeading1"/>
        <w:spacing w:before="240" w:after="120"/>
        <w:rPr>
          <w:rFonts w:asciiTheme="minorHAnsi" w:hAnsiTheme="minorHAnsi" w:cstheme="minorHAnsi"/>
          <w:sz w:val="32"/>
        </w:rPr>
      </w:pPr>
      <w:bookmarkStart w:id="33" w:name="_Toc482713669"/>
      <w:r w:rsidRPr="0073784D">
        <w:rPr>
          <w:rFonts w:asciiTheme="minorHAnsi" w:hAnsiTheme="minorHAnsi" w:cstheme="minorHAnsi"/>
          <w:sz w:val="32"/>
        </w:rPr>
        <w:t>Requested listing</w:t>
      </w:r>
      <w:bookmarkEnd w:id="33"/>
    </w:p>
    <w:p w:rsidR="00C47C3B" w:rsidRPr="00C47C3B" w:rsidRDefault="00C47C3B" w:rsidP="00ED4A83">
      <w:pPr>
        <w:widowControl w:val="0"/>
        <w:numPr>
          <w:ilvl w:val="1"/>
          <w:numId w:val="21"/>
        </w:numPr>
        <w:spacing w:after="12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Suggestions and additions proposed by the Secretariat to the requested listing are added in italics and suggested deletions are crossed out with strikethrough.</w:t>
      </w:r>
    </w:p>
    <w:p w:rsidR="00C47C3B" w:rsidRPr="00C47C3B" w:rsidRDefault="00C47C3B" w:rsidP="00C47C3B">
      <w:pPr>
        <w:spacing w:after="120"/>
        <w:jc w:val="both"/>
        <w:rPr>
          <w:rFonts w:asciiTheme="minorHAnsi" w:hAnsiTheme="minorHAnsi" w:cs="Arial"/>
          <w:snapToGrid w:val="0"/>
          <w:szCs w:val="20"/>
          <w:lang w:eastAsia="en-US"/>
        </w:rPr>
      </w:pPr>
    </w:p>
    <w:tbl>
      <w:tblPr>
        <w:tblW w:w="0" w:type="auto"/>
        <w:tblInd w:w="108" w:type="dxa"/>
        <w:tblLayout w:type="fixed"/>
        <w:tblLook w:val="0000" w:firstRow="0" w:lastRow="0" w:firstColumn="0" w:lastColumn="0" w:noHBand="0" w:noVBand="0"/>
      </w:tblPr>
      <w:tblGrid>
        <w:gridCol w:w="3828"/>
        <w:gridCol w:w="567"/>
        <w:gridCol w:w="708"/>
        <w:gridCol w:w="1701"/>
        <w:gridCol w:w="1560"/>
        <w:gridCol w:w="770"/>
      </w:tblGrid>
      <w:tr w:rsidR="00C47C3B" w:rsidRPr="00C47C3B" w:rsidTr="009F446F">
        <w:trPr>
          <w:trHeight w:val="471"/>
        </w:trPr>
        <w:tc>
          <w:tcPr>
            <w:tcW w:w="3828" w:type="dxa"/>
            <w:tcBorders>
              <w:bottom w:val="single" w:sz="4" w:space="0" w:color="auto"/>
            </w:tcBorders>
          </w:tcPr>
          <w:p w:rsidR="00C47C3B" w:rsidRPr="00C47C3B" w:rsidRDefault="00C47C3B" w:rsidP="00C47C3B">
            <w:pPr>
              <w:keepNext/>
              <w:ind w:left="-108"/>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Name, Restriction,</w:t>
            </w:r>
          </w:p>
          <w:p w:rsidR="00C47C3B" w:rsidRPr="00C47C3B" w:rsidRDefault="00C47C3B" w:rsidP="00C47C3B">
            <w:pPr>
              <w:keepNext/>
              <w:ind w:left="-108"/>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Manner of administration and form</w:t>
            </w:r>
          </w:p>
        </w:tc>
        <w:tc>
          <w:tcPr>
            <w:tcW w:w="567" w:type="dxa"/>
            <w:tcBorders>
              <w:bottom w:val="single" w:sz="4" w:space="0" w:color="auto"/>
            </w:tcBorders>
          </w:tcPr>
          <w:p w:rsidR="00C47C3B" w:rsidRPr="00C47C3B" w:rsidRDefault="00C47C3B" w:rsidP="00C47C3B">
            <w:pPr>
              <w:keepNext/>
              <w:ind w:left="-108"/>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Max.</w:t>
            </w:r>
          </w:p>
          <w:p w:rsidR="00C47C3B" w:rsidRPr="00C47C3B" w:rsidRDefault="00C47C3B" w:rsidP="00C47C3B">
            <w:pPr>
              <w:keepNext/>
              <w:ind w:left="-108"/>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Qty</w:t>
            </w:r>
          </w:p>
        </w:tc>
        <w:tc>
          <w:tcPr>
            <w:tcW w:w="708" w:type="dxa"/>
            <w:tcBorders>
              <w:bottom w:val="single" w:sz="4" w:space="0" w:color="auto"/>
            </w:tcBorders>
          </w:tcPr>
          <w:p w:rsidR="00C47C3B" w:rsidRPr="00C47C3B" w:rsidRDefault="00C47C3B" w:rsidP="00C47C3B">
            <w:pPr>
              <w:keepNext/>
              <w:ind w:left="-108"/>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№.of</w:t>
            </w:r>
          </w:p>
          <w:p w:rsidR="00C47C3B" w:rsidRPr="00C47C3B" w:rsidRDefault="00C47C3B" w:rsidP="00C47C3B">
            <w:pPr>
              <w:keepNext/>
              <w:ind w:left="-108"/>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Rpts</w:t>
            </w:r>
          </w:p>
        </w:tc>
        <w:tc>
          <w:tcPr>
            <w:tcW w:w="1701" w:type="dxa"/>
            <w:tcBorders>
              <w:bottom w:val="single" w:sz="4" w:space="0" w:color="auto"/>
            </w:tcBorders>
          </w:tcPr>
          <w:p w:rsidR="00C47C3B" w:rsidRPr="00C47C3B" w:rsidRDefault="00C47C3B" w:rsidP="00C47C3B">
            <w:pPr>
              <w:keepNext/>
              <w:ind w:left="-108"/>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Dispensed Price for Max. Qty</w:t>
            </w:r>
          </w:p>
        </w:tc>
        <w:tc>
          <w:tcPr>
            <w:tcW w:w="2330" w:type="dxa"/>
            <w:gridSpan w:val="2"/>
            <w:tcBorders>
              <w:bottom w:val="single" w:sz="4" w:space="0" w:color="auto"/>
            </w:tcBorders>
          </w:tcPr>
          <w:p w:rsidR="00C47C3B" w:rsidRPr="00C47C3B" w:rsidRDefault="00C47C3B" w:rsidP="00C47C3B">
            <w:pPr>
              <w:keepNext/>
              <w:jc w:val="both"/>
              <w:rPr>
                <w:rFonts w:ascii="Arial Narrow" w:hAnsi="Arial Narrow" w:cs="Arial"/>
                <w:snapToGrid w:val="0"/>
                <w:sz w:val="20"/>
                <w:szCs w:val="20"/>
                <w:lang w:val="fr-FR" w:eastAsia="en-US"/>
              </w:rPr>
            </w:pPr>
            <w:r w:rsidRPr="00C47C3B">
              <w:rPr>
                <w:rFonts w:ascii="Arial Narrow" w:hAnsi="Arial Narrow" w:cs="Arial"/>
                <w:snapToGrid w:val="0"/>
                <w:sz w:val="20"/>
                <w:szCs w:val="20"/>
                <w:lang w:eastAsia="en-US"/>
              </w:rPr>
              <w:t>Proprietary Name and Manufacturer</w:t>
            </w:r>
          </w:p>
        </w:tc>
      </w:tr>
      <w:tr w:rsidR="00C47C3B" w:rsidRPr="00C47C3B" w:rsidTr="009F446F">
        <w:trPr>
          <w:trHeight w:val="577"/>
        </w:trPr>
        <w:tc>
          <w:tcPr>
            <w:tcW w:w="3828" w:type="dxa"/>
          </w:tcPr>
          <w:p w:rsidR="00C47C3B" w:rsidRPr="00C47C3B" w:rsidRDefault="00C47C3B" w:rsidP="00C47C3B">
            <w:pPr>
              <w:keepNext/>
              <w:ind w:left="-108"/>
              <w:rPr>
                <w:rFonts w:ascii="Arial Narrow" w:hAnsi="Arial Narrow" w:cs="Arial"/>
                <w:snapToGrid w:val="0"/>
                <w:sz w:val="20"/>
                <w:szCs w:val="20"/>
                <w:lang w:eastAsia="en-US"/>
              </w:rPr>
            </w:pPr>
            <w:r w:rsidRPr="00C47C3B">
              <w:rPr>
                <w:rFonts w:ascii="Arial Narrow" w:hAnsi="Arial Narrow" w:cs="Arial"/>
                <w:smallCaps/>
                <w:snapToGrid w:val="0"/>
                <w:sz w:val="20"/>
                <w:szCs w:val="20"/>
                <w:lang w:eastAsia="en-US"/>
              </w:rPr>
              <w:t>LUMACAFTOR + IVACAFTOR</w:t>
            </w:r>
          </w:p>
          <w:p w:rsidR="00C47C3B" w:rsidRPr="00C47C3B" w:rsidRDefault="00C47C3B" w:rsidP="00C47C3B">
            <w:pPr>
              <w:keepNext/>
              <w:ind w:left="-108"/>
              <w:rPr>
                <w:rFonts w:ascii="Arial Narrow" w:hAnsi="Arial Narrow" w:cs="Arial"/>
                <w:snapToGrid w:val="0"/>
                <w:sz w:val="20"/>
                <w:szCs w:val="20"/>
                <w:lang w:eastAsia="en-US"/>
              </w:rPr>
            </w:pPr>
            <w:proofErr w:type="spellStart"/>
            <w:r w:rsidRPr="00C47C3B">
              <w:rPr>
                <w:rFonts w:ascii="Arial Narrow" w:hAnsi="Arial Narrow" w:cs="Arial"/>
                <w:snapToGrid w:val="0"/>
                <w:sz w:val="20"/>
                <w:szCs w:val="20"/>
                <w:lang w:eastAsia="en-US"/>
              </w:rPr>
              <w:t>lumacaftor</w:t>
            </w:r>
            <w:proofErr w:type="spellEnd"/>
            <w:r w:rsidRPr="00C47C3B">
              <w:rPr>
                <w:rFonts w:ascii="Arial Narrow" w:hAnsi="Arial Narrow" w:cs="Arial"/>
                <w:snapToGrid w:val="0"/>
                <w:sz w:val="20"/>
                <w:szCs w:val="20"/>
                <w:lang w:eastAsia="en-US"/>
              </w:rPr>
              <w:t xml:space="preserve"> 200 mg + </w:t>
            </w:r>
            <w:proofErr w:type="spellStart"/>
            <w:r w:rsidRPr="00C47C3B">
              <w:rPr>
                <w:rFonts w:ascii="Arial Narrow" w:hAnsi="Arial Narrow" w:cs="Arial"/>
                <w:snapToGrid w:val="0"/>
                <w:sz w:val="20"/>
                <w:szCs w:val="20"/>
                <w:lang w:eastAsia="en-US"/>
              </w:rPr>
              <w:t>ivacaftor</w:t>
            </w:r>
            <w:proofErr w:type="spellEnd"/>
            <w:r w:rsidRPr="00C47C3B">
              <w:rPr>
                <w:rFonts w:ascii="Arial Narrow" w:hAnsi="Arial Narrow" w:cs="Arial"/>
                <w:snapToGrid w:val="0"/>
                <w:sz w:val="20"/>
                <w:szCs w:val="20"/>
                <w:lang w:eastAsia="en-US"/>
              </w:rPr>
              <w:t> 125 mg tablet</w:t>
            </w:r>
          </w:p>
        </w:tc>
        <w:tc>
          <w:tcPr>
            <w:tcW w:w="567" w:type="dxa"/>
          </w:tcPr>
          <w:p w:rsidR="00C47C3B" w:rsidRPr="00C47C3B" w:rsidRDefault="00C47C3B" w:rsidP="00C47C3B">
            <w:pPr>
              <w:keepNext/>
              <w:ind w:left="-108"/>
              <w:jc w:val="both"/>
              <w:rPr>
                <w:rFonts w:ascii="Arial Narrow" w:hAnsi="Arial Narrow" w:cs="Arial"/>
                <w:snapToGrid w:val="0"/>
                <w:sz w:val="20"/>
                <w:szCs w:val="20"/>
                <w:lang w:eastAsia="en-US"/>
              </w:rPr>
            </w:pPr>
          </w:p>
          <w:p w:rsidR="00C47C3B" w:rsidRPr="00C47C3B" w:rsidRDefault="00C47C3B" w:rsidP="00C47C3B">
            <w:pPr>
              <w:keepNext/>
              <w:ind w:left="-108"/>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112</w:t>
            </w:r>
          </w:p>
        </w:tc>
        <w:tc>
          <w:tcPr>
            <w:tcW w:w="708" w:type="dxa"/>
          </w:tcPr>
          <w:p w:rsidR="00C47C3B" w:rsidRPr="00C47C3B" w:rsidRDefault="00C47C3B" w:rsidP="00C47C3B">
            <w:pPr>
              <w:keepNext/>
              <w:ind w:left="-108"/>
              <w:jc w:val="both"/>
              <w:rPr>
                <w:rFonts w:ascii="Arial Narrow" w:hAnsi="Arial Narrow" w:cs="Arial"/>
                <w:snapToGrid w:val="0"/>
                <w:sz w:val="20"/>
                <w:szCs w:val="20"/>
                <w:lang w:eastAsia="en-US"/>
              </w:rPr>
            </w:pPr>
          </w:p>
          <w:p w:rsidR="00C47C3B" w:rsidRPr="00C47C3B" w:rsidRDefault="00C47C3B" w:rsidP="00C47C3B">
            <w:pPr>
              <w:keepNext/>
              <w:ind w:left="-108"/>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5</w:t>
            </w:r>
          </w:p>
        </w:tc>
        <w:tc>
          <w:tcPr>
            <w:tcW w:w="1701" w:type="dxa"/>
          </w:tcPr>
          <w:p w:rsidR="00C47C3B" w:rsidRPr="00C47C3B" w:rsidRDefault="00C47C3B" w:rsidP="00C47C3B">
            <w:pPr>
              <w:keepNext/>
              <w:ind w:left="-108"/>
              <w:jc w:val="both"/>
              <w:rPr>
                <w:rFonts w:ascii="Arial Narrow" w:hAnsi="Arial Narrow" w:cs="Arial"/>
                <w:snapToGrid w:val="0"/>
                <w:sz w:val="20"/>
                <w:szCs w:val="20"/>
                <w:lang w:eastAsia="en-US"/>
              </w:rPr>
            </w:pPr>
          </w:p>
          <w:p w:rsidR="00C47C3B" w:rsidRPr="00C47C3B" w:rsidRDefault="00C47C3B" w:rsidP="00C47C3B">
            <w:pPr>
              <w:keepNext/>
              <w:ind w:left="-108"/>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r w:rsidRPr="00C47C3B">
              <w:rPr>
                <w:rFonts w:ascii="Arial Narrow" w:hAnsi="Arial Narrow" w:cs="Arial"/>
                <w:noProof/>
                <w:snapToGrid w:val="0"/>
                <w:color w:val="000000"/>
                <w:sz w:val="20"/>
                <w:szCs w:val="20"/>
                <w:highlight w:val="black"/>
                <w:lang w:eastAsia="en-US"/>
              </w:rPr>
              <w:t>''''''''''''''''</w:t>
            </w:r>
          </w:p>
        </w:tc>
        <w:tc>
          <w:tcPr>
            <w:tcW w:w="1560" w:type="dxa"/>
          </w:tcPr>
          <w:p w:rsidR="00C47C3B" w:rsidRPr="00C47C3B" w:rsidRDefault="00C47C3B" w:rsidP="00C47C3B">
            <w:pPr>
              <w:keepNext/>
              <w:jc w:val="both"/>
              <w:rPr>
                <w:rFonts w:ascii="Arial Narrow" w:hAnsi="Arial Narrow" w:cs="Arial"/>
                <w:snapToGrid w:val="0"/>
                <w:sz w:val="20"/>
                <w:szCs w:val="20"/>
                <w:lang w:eastAsia="en-US"/>
              </w:rPr>
            </w:pPr>
          </w:p>
          <w:p w:rsidR="00C47C3B" w:rsidRPr="00C47C3B" w:rsidRDefault="00C47C3B" w:rsidP="00C47C3B">
            <w:pPr>
              <w:keepNext/>
              <w:jc w:val="both"/>
              <w:rPr>
                <w:rFonts w:ascii="Arial Narrow" w:hAnsi="Arial Narrow" w:cs="Arial"/>
                <w:snapToGrid w:val="0"/>
                <w:sz w:val="20"/>
                <w:szCs w:val="20"/>
                <w:lang w:eastAsia="en-US"/>
              </w:rPr>
            </w:pPr>
            <w:proofErr w:type="spellStart"/>
            <w:r w:rsidRPr="00C47C3B">
              <w:rPr>
                <w:rFonts w:ascii="Arial Narrow" w:hAnsi="Arial Narrow" w:cs="Arial"/>
                <w:snapToGrid w:val="0"/>
                <w:sz w:val="20"/>
                <w:szCs w:val="20"/>
                <w:lang w:eastAsia="en-US"/>
              </w:rPr>
              <w:t>Orkambi</w:t>
            </w:r>
            <w:proofErr w:type="spellEnd"/>
            <w:r w:rsidRPr="00C47C3B">
              <w:rPr>
                <w:rFonts w:ascii="Arial Narrow" w:hAnsi="Arial Narrow" w:cs="Arial"/>
                <w:snapToGrid w:val="0"/>
                <w:sz w:val="20"/>
                <w:szCs w:val="20"/>
                <w:lang w:eastAsia="en-US"/>
              </w:rPr>
              <w:t>®</w:t>
            </w:r>
          </w:p>
        </w:tc>
        <w:tc>
          <w:tcPr>
            <w:tcW w:w="770" w:type="dxa"/>
          </w:tcPr>
          <w:p w:rsidR="00C47C3B" w:rsidRPr="00C47C3B" w:rsidRDefault="00C47C3B" w:rsidP="00C47C3B">
            <w:pPr>
              <w:keepNext/>
              <w:jc w:val="both"/>
              <w:rPr>
                <w:rFonts w:ascii="Arial Narrow" w:hAnsi="Arial Narrow" w:cs="Arial"/>
                <w:snapToGrid w:val="0"/>
                <w:sz w:val="20"/>
                <w:szCs w:val="20"/>
                <w:lang w:eastAsia="en-US"/>
              </w:rPr>
            </w:pPr>
          </w:p>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VR</w:t>
            </w:r>
          </w:p>
        </w:tc>
      </w:tr>
    </w:tbl>
    <w:p w:rsidR="00C47C3B" w:rsidRPr="00C47C3B" w:rsidRDefault="00C47C3B" w:rsidP="00C47C3B">
      <w:pPr>
        <w:jc w:val="both"/>
        <w:rPr>
          <w:rFonts w:ascii="Arial" w:hAnsi="Arial" w:cs="Arial"/>
          <w:snapToGrid w:val="0"/>
          <w:sz w:val="2"/>
          <w:szCs w:val="2"/>
          <w:lang w:eastAsia="en-US"/>
        </w:rPr>
      </w:pPr>
    </w:p>
    <w:tbl>
      <w:tblPr>
        <w:tblW w:w="0" w:type="auto"/>
        <w:tblInd w:w="108" w:type="dxa"/>
        <w:tblLayout w:type="fixed"/>
        <w:tblLook w:val="0000" w:firstRow="0" w:lastRow="0" w:firstColumn="0" w:lastColumn="0" w:noHBand="0" w:noVBand="0"/>
      </w:tblPr>
      <w:tblGrid>
        <w:gridCol w:w="1843"/>
        <w:gridCol w:w="7291"/>
      </w:tblGrid>
      <w:tr w:rsidR="00C47C3B" w:rsidRPr="00C47C3B" w:rsidTr="009F446F">
        <w:trPr>
          <w:cantSplit/>
          <w:trHeight w:val="360"/>
        </w:trPr>
        <w:tc>
          <w:tcPr>
            <w:tcW w:w="1843"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keepLines/>
              <w:jc w:val="both"/>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Category/Program</w:t>
            </w:r>
          </w:p>
        </w:tc>
        <w:tc>
          <w:tcPr>
            <w:tcW w:w="7291"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keepLines/>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Section 100 – Highly Specialised Drugs Program</w:t>
            </w:r>
          </w:p>
        </w:tc>
      </w:tr>
      <w:tr w:rsidR="00C47C3B" w:rsidRPr="00C47C3B" w:rsidTr="009F446F">
        <w:trPr>
          <w:trHeight w:val="360"/>
        </w:trPr>
        <w:tc>
          <w:tcPr>
            <w:tcW w:w="1843"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Prescriber type:</w:t>
            </w:r>
          </w:p>
        </w:tc>
        <w:tc>
          <w:tcPr>
            <w:tcW w:w="7291"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fldChar w:fldCharType="begin">
                <w:ffData>
                  <w:name w:val=""/>
                  <w:enabled/>
                  <w:calcOnExit w:val="0"/>
                  <w:checkBox>
                    <w:sizeAuto/>
                    <w:default w:val="1"/>
                  </w:checkBox>
                </w:ffData>
              </w:fldChar>
            </w:r>
            <w:r w:rsidRPr="00C47C3B">
              <w:rPr>
                <w:rFonts w:ascii="Arial Narrow" w:hAnsi="Arial Narrow" w:cs="Arial"/>
                <w:snapToGrid w:val="0"/>
                <w:sz w:val="20"/>
                <w:szCs w:val="20"/>
                <w:lang w:eastAsia="en-US"/>
              </w:rPr>
              <w:instrText xml:space="preserve"> FORMCHECKBOX </w:instrText>
            </w:r>
            <w:r w:rsidR="00190149">
              <w:rPr>
                <w:rFonts w:ascii="Arial Narrow" w:hAnsi="Arial Narrow" w:cs="Arial"/>
                <w:snapToGrid w:val="0"/>
                <w:sz w:val="20"/>
                <w:szCs w:val="20"/>
                <w:lang w:eastAsia="en-US"/>
              </w:rPr>
            </w:r>
            <w:r w:rsidR="00190149">
              <w:rPr>
                <w:rFonts w:ascii="Arial Narrow" w:hAnsi="Arial Narrow" w:cs="Arial"/>
                <w:snapToGrid w:val="0"/>
                <w:sz w:val="20"/>
                <w:szCs w:val="20"/>
                <w:lang w:eastAsia="en-US"/>
              </w:rPr>
              <w:fldChar w:fldCharType="separate"/>
            </w:r>
            <w:r w:rsidRPr="00C47C3B">
              <w:rPr>
                <w:rFonts w:ascii="Arial Narrow" w:hAnsi="Arial Narrow" w:cs="Arial"/>
                <w:snapToGrid w:val="0"/>
                <w:sz w:val="20"/>
                <w:szCs w:val="20"/>
                <w:lang w:eastAsia="en-US"/>
              </w:rPr>
              <w:fldChar w:fldCharType="end"/>
            </w:r>
            <w:r w:rsidRPr="00C47C3B">
              <w:rPr>
                <w:rFonts w:ascii="Arial Narrow" w:hAnsi="Arial Narrow" w:cs="Arial"/>
                <w:snapToGrid w:val="0"/>
                <w:sz w:val="20"/>
                <w:szCs w:val="20"/>
                <w:lang w:eastAsia="en-US"/>
              </w:rPr>
              <w:t xml:space="preserve">Medical Practitioners  </w:t>
            </w:r>
          </w:p>
        </w:tc>
      </w:tr>
      <w:tr w:rsidR="00C47C3B" w:rsidRPr="00C47C3B" w:rsidTr="009F446F">
        <w:trPr>
          <w:trHeight w:val="360"/>
        </w:trPr>
        <w:tc>
          <w:tcPr>
            <w:tcW w:w="1843"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PBS Indication:</w:t>
            </w:r>
          </w:p>
        </w:tc>
        <w:tc>
          <w:tcPr>
            <w:tcW w:w="7291"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Cystic fibrosis</w:t>
            </w:r>
          </w:p>
        </w:tc>
      </w:tr>
      <w:tr w:rsidR="00C47C3B" w:rsidRPr="00C47C3B" w:rsidTr="009F446F">
        <w:trPr>
          <w:trHeight w:val="360"/>
        </w:trPr>
        <w:tc>
          <w:tcPr>
            <w:tcW w:w="1843"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Arial"/>
                <w:i/>
                <w:snapToGrid w:val="0"/>
                <w:sz w:val="20"/>
                <w:szCs w:val="20"/>
                <w:highlight w:val="yellow"/>
                <w:lang w:eastAsia="en-US"/>
              </w:rPr>
            </w:pPr>
            <w:r w:rsidRPr="00C47C3B">
              <w:rPr>
                <w:rFonts w:ascii="Arial Narrow" w:hAnsi="Arial Narrow" w:cs="Arial"/>
                <w:b/>
                <w:snapToGrid w:val="0"/>
                <w:sz w:val="20"/>
                <w:szCs w:val="20"/>
                <w:lang w:eastAsia="en-US"/>
              </w:rPr>
              <w:t>Restriction Level / Method:</w:t>
            </w:r>
          </w:p>
          <w:p w:rsidR="00C47C3B" w:rsidRPr="00C47C3B" w:rsidRDefault="00C47C3B" w:rsidP="00C47C3B">
            <w:pPr>
              <w:rPr>
                <w:rFonts w:ascii="Arial Narrow" w:hAnsi="Arial Narrow" w:cs="Arial"/>
                <w:i/>
                <w:snapToGrid w:val="0"/>
                <w:sz w:val="20"/>
                <w:szCs w:val="20"/>
                <w:lang w:eastAsia="en-US"/>
              </w:rPr>
            </w:pPr>
          </w:p>
          <w:p w:rsidR="00C47C3B" w:rsidRPr="00C47C3B" w:rsidRDefault="00C47C3B" w:rsidP="00C47C3B">
            <w:pPr>
              <w:jc w:val="both"/>
              <w:rPr>
                <w:rFonts w:ascii="Arial Narrow" w:hAnsi="Arial Narrow" w:cs="Arial"/>
                <w:i/>
                <w:snapToGrid w:val="0"/>
                <w:sz w:val="20"/>
                <w:szCs w:val="20"/>
                <w:lang w:eastAsia="en-US"/>
              </w:rPr>
            </w:pPr>
          </w:p>
        </w:tc>
        <w:tc>
          <w:tcPr>
            <w:tcW w:w="7291"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C47C3B">
              <w:rPr>
                <w:rFonts w:ascii="Arial Narrow" w:hAnsi="Arial Narrow" w:cs="Arial"/>
                <w:snapToGrid w:val="0"/>
                <w:sz w:val="20"/>
                <w:szCs w:val="20"/>
                <w:lang w:eastAsia="en-US"/>
              </w:rPr>
              <w:instrText xml:space="preserve"> FORMCHECKBOX </w:instrText>
            </w:r>
            <w:r w:rsidR="00190149">
              <w:rPr>
                <w:rFonts w:ascii="Arial Narrow" w:hAnsi="Arial Narrow" w:cs="Arial"/>
                <w:snapToGrid w:val="0"/>
                <w:sz w:val="20"/>
                <w:szCs w:val="20"/>
                <w:lang w:eastAsia="en-US"/>
              </w:rPr>
            </w:r>
            <w:r w:rsidR="00190149">
              <w:rPr>
                <w:rFonts w:ascii="Arial Narrow" w:hAnsi="Arial Narrow" w:cs="Arial"/>
                <w:snapToGrid w:val="0"/>
                <w:sz w:val="20"/>
                <w:szCs w:val="20"/>
                <w:lang w:eastAsia="en-US"/>
              </w:rPr>
              <w:fldChar w:fldCharType="separate"/>
            </w:r>
            <w:r w:rsidRPr="00C47C3B">
              <w:rPr>
                <w:rFonts w:ascii="Arial Narrow" w:hAnsi="Arial Narrow" w:cs="Arial"/>
                <w:snapToGrid w:val="0"/>
                <w:sz w:val="20"/>
                <w:szCs w:val="20"/>
                <w:lang w:eastAsia="en-US"/>
              </w:rPr>
              <w:fldChar w:fldCharType="end"/>
            </w:r>
            <w:r w:rsidRPr="00C47C3B">
              <w:rPr>
                <w:rFonts w:ascii="Arial Narrow" w:hAnsi="Arial Narrow" w:cs="Arial"/>
                <w:snapToGrid w:val="0"/>
                <w:sz w:val="20"/>
                <w:szCs w:val="20"/>
                <w:lang w:eastAsia="en-US"/>
              </w:rPr>
              <w:t>Restricted benefit</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fldChar w:fldCharType="begin">
                <w:ffData>
                  <w:name w:val=""/>
                  <w:enabled/>
                  <w:calcOnExit w:val="0"/>
                  <w:checkBox>
                    <w:sizeAuto/>
                    <w:default w:val="1"/>
                  </w:checkBox>
                </w:ffData>
              </w:fldChar>
            </w:r>
            <w:r w:rsidRPr="00C47C3B">
              <w:rPr>
                <w:rFonts w:ascii="Arial Narrow" w:hAnsi="Arial Narrow" w:cs="Arial"/>
                <w:snapToGrid w:val="0"/>
                <w:sz w:val="20"/>
                <w:szCs w:val="20"/>
                <w:lang w:eastAsia="en-US"/>
              </w:rPr>
              <w:instrText xml:space="preserve"> FORMCHECKBOX </w:instrText>
            </w:r>
            <w:r w:rsidR="00190149">
              <w:rPr>
                <w:rFonts w:ascii="Arial Narrow" w:hAnsi="Arial Narrow" w:cs="Arial"/>
                <w:snapToGrid w:val="0"/>
                <w:sz w:val="20"/>
                <w:szCs w:val="20"/>
                <w:lang w:eastAsia="en-US"/>
              </w:rPr>
            </w:r>
            <w:r w:rsidR="00190149">
              <w:rPr>
                <w:rFonts w:ascii="Arial Narrow" w:hAnsi="Arial Narrow" w:cs="Arial"/>
                <w:snapToGrid w:val="0"/>
                <w:sz w:val="20"/>
                <w:szCs w:val="20"/>
                <w:lang w:eastAsia="en-US"/>
              </w:rPr>
              <w:fldChar w:fldCharType="separate"/>
            </w:r>
            <w:r w:rsidRPr="00C47C3B">
              <w:rPr>
                <w:rFonts w:ascii="Arial Narrow" w:hAnsi="Arial Narrow" w:cs="Arial"/>
                <w:snapToGrid w:val="0"/>
                <w:sz w:val="20"/>
                <w:szCs w:val="20"/>
                <w:lang w:eastAsia="en-US"/>
              </w:rPr>
              <w:fldChar w:fldCharType="end"/>
            </w:r>
            <w:r w:rsidRPr="00C47C3B">
              <w:rPr>
                <w:rFonts w:ascii="Arial Narrow" w:hAnsi="Arial Narrow" w:cs="Arial"/>
                <w:snapToGrid w:val="0"/>
                <w:sz w:val="20"/>
                <w:szCs w:val="20"/>
                <w:lang w:eastAsia="en-US"/>
              </w:rPr>
              <w:t>Authority Required - In Writing</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C47C3B">
              <w:rPr>
                <w:rFonts w:ascii="Arial Narrow" w:hAnsi="Arial Narrow" w:cs="Arial"/>
                <w:snapToGrid w:val="0"/>
                <w:sz w:val="20"/>
                <w:szCs w:val="20"/>
                <w:lang w:eastAsia="en-US"/>
              </w:rPr>
              <w:instrText xml:space="preserve"> FORMCHECKBOX </w:instrText>
            </w:r>
            <w:r w:rsidR="00190149">
              <w:rPr>
                <w:rFonts w:ascii="Arial Narrow" w:hAnsi="Arial Narrow" w:cs="Arial"/>
                <w:snapToGrid w:val="0"/>
                <w:sz w:val="20"/>
                <w:szCs w:val="20"/>
                <w:lang w:eastAsia="en-US"/>
              </w:rPr>
            </w:r>
            <w:r w:rsidR="00190149">
              <w:rPr>
                <w:rFonts w:ascii="Arial Narrow" w:hAnsi="Arial Narrow" w:cs="Arial"/>
                <w:snapToGrid w:val="0"/>
                <w:sz w:val="20"/>
                <w:szCs w:val="20"/>
                <w:lang w:eastAsia="en-US"/>
              </w:rPr>
              <w:fldChar w:fldCharType="separate"/>
            </w:r>
            <w:r w:rsidRPr="00C47C3B">
              <w:rPr>
                <w:rFonts w:ascii="Arial Narrow" w:hAnsi="Arial Narrow" w:cs="Arial"/>
                <w:snapToGrid w:val="0"/>
                <w:sz w:val="20"/>
                <w:szCs w:val="20"/>
                <w:lang w:eastAsia="en-US"/>
              </w:rPr>
              <w:fldChar w:fldCharType="end"/>
            </w:r>
            <w:r w:rsidRPr="00C47C3B">
              <w:rPr>
                <w:rFonts w:ascii="Arial Narrow" w:hAnsi="Arial Narrow" w:cs="Arial"/>
                <w:snapToGrid w:val="0"/>
                <w:sz w:val="20"/>
                <w:szCs w:val="20"/>
                <w:lang w:eastAsia="en-US"/>
              </w:rPr>
              <w:t>Authority Required - Telephone</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fldChar w:fldCharType="begin">
                <w:ffData>
                  <w:name w:val=""/>
                  <w:enabled/>
                  <w:calcOnExit w:val="0"/>
                  <w:checkBox>
                    <w:sizeAuto/>
                    <w:default w:val="0"/>
                  </w:checkBox>
                </w:ffData>
              </w:fldChar>
            </w:r>
            <w:r w:rsidRPr="00C47C3B">
              <w:rPr>
                <w:rFonts w:ascii="Arial Narrow" w:hAnsi="Arial Narrow" w:cs="Arial"/>
                <w:snapToGrid w:val="0"/>
                <w:sz w:val="20"/>
                <w:szCs w:val="20"/>
                <w:lang w:eastAsia="en-US"/>
              </w:rPr>
              <w:instrText xml:space="preserve"> FORMCHECKBOX </w:instrText>
            </w:r>
            <w:r w:rsidR="00190149">
              <w:rPr>
                <w:rFonts w:ascii="Arial Narrow" w:hAnsi="Arial Narrow" w:cs="Arial"/>
                <w:snapToGrid w:val="0"/>
                <w:sz w:val="20"/>
                <w:szCs w:val="20"/>
                <w:lang w:eastAsia="en-US"/>
              </w:rPr>
            </w:r>
            <w:r w:rsidR="00190149">
              <w:rPr>
                <w:rFonts w:ascii="Arial Narrow" w:hAnsi="Arial Narrow" w:cs="Arial"/>
                <w:snapToGrid w:val="0"/>
                <w:sz w:val="20"/>
                <w:szCs w:val="20"/>
                <w:lang w:eastAsia="en-US"/>
              </w:rPr>
              <w:fldChar w:fldCharType="separate"/>
            </w:r>
            <w:r w:rsidRPr="00C47C3B">
              <w:rPr>
                <w:rFonts w:ascii="Arial Narrow" w:hAnsi="Arial Narrow" w:cs="Arial"/>
                <w:snapToGrid w:val="0"/>
                <w:sz w:val="20"/>
                <w:szCs w:val="20"/>
                <w:lang w:eastAsia="en-US"/>
              </w:rPr>
              <w:fldChar w:fldCharType="end"/>
            </w:r>
            <w:r w:rsidRPr="00C47C3B">
              <w:rPr>
                <w:rFonts w:ascii="Arial Narrow" w:hAnsi="Arial Narrow" w:cs="Arial"/>
                <w:snapToGrid w:val="0"/>
                <w:sz w:val="20"/>
                <w:szCs w:val="20"/>
                <w:lang w:eastAsia="en-US"/>
              </w:rPr>
              <w:t>Authority Required - Emergency</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C47C3B">
              <w:rPr>
                <w:rFonts w:ascii="Arial Narrow" w:hAnsi="Arial Narrow" w:cs="Arial"/>
                <w:snapToGrid w:val="0"/>
                <w:sz w:val="20"/>
                <w:szCs w:val="20"/>
                <w:lang w:eastAsia="en-US"/>
              </w:rPr>
              <w:instrText xml:space="preserve"> FORMCHECKBOX </w:instrText>
            </w:r>
            <w:r w:rsidR="00190149">
              <w:rPr>
                <w:rFonts w:ascii="Arial Narrow" w:hAnsi="Arial Narrow" w:cs="Arial"/>
                <w:snapToGrid w:val="0"/>
                <w:sz w:val="20"/>
                <w:szCs w:val="20"/>
                <w:lang w:eastAsia="en-US"/>
              </w:rPr>
            </w:r>
            <w:r w:rsidR="00190149">
              <w:rPr>
                <w:rFonts w:ascii="Arial Narrow" w:hAnsi="Arial Narrow" w:cs="Arial"/>
                <w:snapToGrid w:val="0"/>
                <w:sz w:val="20"/>
                <w:szCs w:val="20"/>
                <w:lang w:eastAsia="en-US"/>
              </w:rPr>
              <w:fldChar w:fldCharType="separate"/>
            </w:r>
            <w:r w:rsidRPr="00C47C3B">
              <w:rPr>
                <w:rFonts w:ascii="Arial Narrow" w:hAnsi="Arial Narrow" w:cs="Arial"/>
                <w:snapToGrid w:val="0"/>
                <w:sz w:val="20"/>
                <w:szCs w:val="20"/>
                <w:lang w:eastAsia="en-US"/>
              </w:rPr>
              <w:fldChar w:fldCharType="end"/>
            </w:r>
            <w:r w:rsidRPr="00C47C3B">
              <w:rPr>
                <w:rFonts w:ascii="Arial Narrow" w:hAnsi="Arial Narrow" w:cs="Arial"/>
                <w:snapToGrid w:val="0"/>
                <w:sz w:val="20"/>
                <w:szCs w:val="20"/>
                <w:lang w:eastAsia="en-US"/>
              </w:rPr>
              <w:t>Authority Required - Electronic</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C47C3B">
              <w:rPr>
                <w:rFonts w:ascii="Arial Narrow" w:hAnsi="Arial Narrow" w:cs="Arial"/>
                <w:snapToGrid w:val="0"/>
                <w:sz w:val="20"/>
                <w:szCs w:val="20"/>
                <w:lang w:eastAsia="en-US"/>
              </w:rPr>
              <w:instrText xml:space="preserve"> FORMCHECKBOX </w:instrText>
            </w:r>
            <w:r w:rsidR="00190149">
              <w:rPr>
                <w:rFonts w:ascii="Arial Narrow" w:hAnsi="Arial Narrow" w:cs="Arial"/>
                <w:snapToGrid w:val="0"/>
                <w:sz w:val="20"/>
                <w:szCs w:val="20"/>
                <w:lang w:eastAsia="en-US"/>
              </w:rPr>
            </w:r>
            <w:r w:rsidR="00190149">
              <w:rPr>
                <w:rFonts w:ascii="Arial Narrow" w:hAnsi="Arial Narrow" w:cs="Arial"/>
                <w:snapToGrid w:val="0"/>
                <w:sz w:val="20"/>
                <w:szCs w:val="20"/>
                <w:lang w:eastAsia="en-US"/>
              </w:rPr>
              <w:fldChar w:fldCharType="separate"/>
            </w:r>
            <w:r w:rsidRPr="00C47C3B">
              <w:rPr>
                <w:rFonts w:ascii="Arial Narrow" w:hAnsi="Arial Narrow" w:cs="Arial"/>
                <w:snapToGrid w:val="0"/>
                <w:sz w:val="20"/>
                <w:szCs w:val="20"/>
                <w:lang w:eastAsia="en-US"/>
              </w:rPr>
              <w:fldChar w:fldCharType="end"/>
            </w:r>
            <w:r w:rsidRPr="00C47C3B">
              <w:rPr>
                <w:rFonts w:ascii="Arial Narrow" w:hAnsi="Arial Narrow" w:cs="Arial"/>
                <w:snapToGrid w:val="0"/>
                <w:sz w:val="20"/>
                <w:szCs w:val="20"/>
                <w:lang w:eastAsia="en-US"/>
              </w:rPr>
              <w:t>Streamlined</w:t>
            </w:r>
          </w:p>
        </w:tc>
      </w:tr>
      <w:tr w:rsidR="00C47C3B" w:rsidRPr="00C47C3B" w:rsidTr="009F446F">
        <w:trPr>
          <w:trHeight w:val="360"/>
        </w:trPr>
        <w:tc>
          <w:tcPr>
            <w:tcW w:w="1843"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Treatment criteria:</w:t>
            </w:r>
          </w:p>
          <w:p w:rsidR="00C47C3B" w:rsidRPr="00C47C3B" w:rsidRDefault="00C47C3B" w:rsidP="00C47C3B">
            <w:pPr>
              <w:jc w:val="both"/>
              <w:rPr>
                <w:rFonts w:ascii="Arial Narrow" w:hAnsi="Arial Narrow" w:cs="Arial"/>
                <w:i/>
                <w:snapToGrid w:val="0"/>
                <w:sz w:val="20"/>
                <w:szCs w:val="20"/>
                <w:lang w:eastAsia="en-US"/>
              </w:rPr>
            </w:pPr>
          </w:p>
          <w:p w:rsidR="00C47C3B" w:rsidRPr="00C47C3B" w:rsidRDefault="00C47C3B" w:rsidP="00C47C3B">
            <w:pPr>
              <w:jc w:val="both"/>
              <w:rPr>
                <w:rFonts w:ascii="Arial Narrow" w:hAnsi="Arial Narrow" w:cs="Arial"/>
                <w:snapToGrid w:val="0"/>
                <w:sz w:val="20"/>
                <w:szCs w:val="20"/>
                <w:lang w:eastAsia="en-US"/>
              </w:rPr>
            </w:pPr>
          </w:p>
        </w:tc>
        <w:tc>
          <w:tcPr>
            <w:tcW w:w="7291"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strike/>
                <w:snapToGrid w:val="0"/>
                <w:sz w:val="20"/>
                <w:szCs w:val="20"/>
                <w:lang w:eastAsia="en-US"/>
              </w:rPr>
            </w:pPr>
            <w:r w:rsidRPr="00C47C3B">
              <w:rPr>
                <w:rFonts w:ascii="Arial Narrow" w:hAnsi="Arial Narrow" w:cs="Arial"/>
                <w:strike/>
                <w:snapToGrid w:val="0"/>
                <w:sz w:val="20"/>
                <w:szCs w:val="20"/>
                <w:lang w:eastAsia="en-US"/>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p w:rsidR="00C47C3B" w:rsidRPr="00C47C3B" w:rsidRDefault="00C47C3B" w:rsidP="00C47C3B">
            <w:pPr>
              <w:jc w:val="both"/>
              <w:rPr>
                <w:rFonts w:ascii="Arial Narrow" w:hAnsi="Arial Narrow" w:cs="Arial"/>
                <w:strike/>
                <w:snapToGrid w:val="0"/>
                <w:sz w:val="20"/>
                <w:szCs w:val="20"/>
                <w:lang w:eastAsia="en-US"/>
              </w:rPr>
            </w:pPr>
            <w:r w:rsidRPr="00C47C3B">
              <w:rPr>
                <w:rFonts w:ascii="Arial Narrow" w:hAnsi="Arial Narrow" w:cs="Arial"/>
                <w:strike/>
                <w:snapToGrid w:val="0"/>
                <w:sz w:val="20"/>
                <w:szCs w:val="20"/>
                <w:lang w:eastAsia="en-US"/>
              </w:rPr>
              <w:t xml:space="preserve">AND </w:t>
            </w:r>
          </w:p>
          <w:p w:rsidR="00C47C3B" w:rsidRPr="00C47C3B" w:rsidRDefault="00C47C3B" w:rsidP="00C47C3B">
            <w:pPr>
              <w:jc w:val="both"/>
              <w:rPr>
                <w:rFonts w:ascii="Arial Narrow" w:hAnsi="Arial Narrow" w:cs="Arial"/>
                <w:strike/>
                <w:snapToGrid w:val="0"/>
                <w:sz w:val="20"/>
                <w:szCs w:val="20"/>
                <w:lang w:eastAsia="en-US"/>
              </w:rPr>
            </w:pPr>
            <w:r w:rsidRPr="00C47C3B">
              <w:rPr>
                <w:rFonts w:ascii="Arial Narrow" w:hAnsi="Arial Narrow" w:cs="Arial"/>
                <w:strike/>
                <w:snapToGrid w:val="0"/>
                <w:sz w:val="20"/>
                <w:szCs w:val="20"/>
                <w:lang w:eastAsia="en-US"/>
              </w:rPr>
              <w:t xml:space="preserve">Patient must be homozygous for the F508del mutation in the CFTR gene, </w:t>
            </w:r>
          </w:p>
          <w:p w:rsidR="00C47C3B" w:rsidRPr="00C47C3B" w:rsidRDefault="00C47C3B" w:rsidP="00C47C3B">
            <w:pPr>
              <w:jc w:val="both"/>
              <w:rPr>
                <w:rFonts w:ascii="Arial Narrow" w:hAnsi="Arial Narrow" w:cs="Arial"/>
                <w:strike/>
                <w:snapToGrid w:val="0"/>
                <w:sz w:val="20"/>
                <w:szCs w:val="20"/>
                <w:lang w:eastAsia="en-US"/>
              </w:rPr>
            </w:pPr>
            <w:r w:rsidRPr="00C47C3B">
              <w:rPr>
                <w:rFonts w:ascii="Arial Narrow" w:hAnsi="Arial Narrow" w:cs="Arial"/>
                <w:strike/>
                <w:snapToGrid w:val="0"/>
                <w:sz w:val="20"/>
                <w:szCs w:val="20"/>
                <w:lang w:eastAsia="en-US"/>
              </w:rPr>
              <w:t xml:space="preserve">AND </w:t>
            </w:r>
          </w:p>
          <w:p w:rsidR="00C47C3B" w:rsidRPr="00C47C3B" w:rsidRDefault="00C47C3B" w:rsidP="00C47C3B">
            <w:pPr>
              <w:jc w:val="both"/>
              <w:rPr>
                <w:rFonts w:ascii="Arial Narrow" w:hAnsi="Arial Narrow" w:cs="Arial"/>
                <w:strike/>
                <w:snapToGrid w:val="0"/>
                <w:sz w:val="20"/>
                <w:szCs w:val="20"/>
                <w:lang w:eastAsia="en-US"/>
              </w:rPr>
            </w:pPr>
            <w:r w:rsidRPr="00C47C3B">
              <w:rPr>
                <w:rFonts w:ascii="Arial Narrow" w:hAnsi="Arial Narrow" w:cs="Arial"/>
                <w:strike/>
                <w:snapToGrid w:val="0"/>
                <w:sz w:val="20"/>
                <w:szCs w:val="20"/>
                <w:lang w:eastAsia="en-US"/>
              </w:rPr>
              <w:t>The treatment must be given concomitantly with standard therapy for this condition.</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Must be treated by a specialist respiratory physician with expertise in cystic fibrosis, OR</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Must be treated in consultation with a specialist respiratory physician with expertise in cystic fibrosis if attendance is not possible due to geographic isolation;</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AND</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Must be treated in a centre with expertise in cystic fibrosis, OR</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i/>
                <w:snapToGrid w:val="0"/>
                <w:sz w:val="20"/>
                <w:szCs w:val="20"/>
                <w:lang w:eastAsia="en-US"/>
              </w:rPr>
              <w:t>Must be treated in consultation with a centre with expertise in cystic fibrosis if attendance is not possible due to geographic isolation.</w:t>
            </w:r>
          </w:p>
        </w:tc>
      </w:tr>
      <w:tr w:rsidR="00C47C3B" w:rsidRPr="00C47C3B" w:rsidTr="009F446F">
        <w:trPr>
          <w:trHeight w:val="360"/>
        </w:trPr>
        <w:tc>
          <w:tcPr>
            <w:tcW w:w="1843"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Clinical criteria:</w:t>
            </w:r>
          </w:p>
          <w:p w:rsidR="00C47C3B" w:rsidRPr="00C47C3B" w:rsidRDefault="00C47C3B" w:rsidP="00C47C3B">
            <w:pPr>
              <w:jc w:val="both"/>
              <w:rPr>
                <w:rFonts w:ascii="Arial Narrow" w:hAnsi="Arial Narrow" w:cs="Arial"/>
                <w:i/>
                <w:snapToGrid w:val="0"/>
                <w:sz w:val="20"/>
                <w:szCs w:val="20"/>
                <w:lang w:eastAsia="en-US"/>
              </w:rPr>
            </w:pPr>
          </w:p>
          <w:p w:rsidR="00C47C3B" w:rsidRPr="00C47C3B" w:rsidRDefault="00C47C3B" w:rsidP="00C47C3B">
            <w:pPr>
              <w:jc w:val="both"/>
              <w:rPr>
                <w:rFonts w:ascii="Arial Narrow" w:hAnsi="Arial Narrow" w:cs="Arial"/>
                <w:snapToGrid w:val="0"/>
                <w:sz w:val="20"/>
                <w:szCs w:val="20"/>
                <w:lang w:eastAsia="en-US"/>
              </w:rPr>
            </w:pPr>
          </w:p>
        </w:tc>
        <w:tc>
          <w:tcPr>
            <w:tcW w:w="7291"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i/>
                <w:strike/>
                <w:snapToGrid w:val="0"/>
                <w:sz w:val="20"/>
                <w:szCs w:val="20"/>
                <w:lang w:eastAsia="en-US"/>
              </w:rPr>
            </w:pPr>
            <w:r w:rsidRPr="00C47C3B">
              <w:rPr>
                <w:rFonts w:ascii="Arial Narrow" w:hAnsi="Arial Narrow" w:cs="Arial"/>
                <w:strike/>
                <w:snapToGrid w:val="0"/>
                <w:sz w:val="20"/>
                <w:szCs w:val="20"/>
                <w:lang w:eastAsia="en-US"/>
              </w:rPr>
              <w:t xml:space="preserve">Treatment of cystic fibrosis in patients age 12 years and older who are homozygous for the </w:t>
            </w:r>
            <w:r w:rsidRPr="00C47C3B">
              <w:rPr>
                <w:rFonts w:ascii="Arial Narrow" w:hAnsi="Arial Narrow" w:cs="Arial"/>
                <w:i/>
                <w:strike/>
                <w:snapToGrid w:val="0"/>
                <w:sz w:val="20"/>
                <w:szCs w:val="20"/>
                <w:lang w:eastAsia="en-US"/>
              </w:rPr>
              <w:t>F508del</w:t>
            </w:r>
            <w:r w:rsidRPr="00C47C3B">
              <w:rPr>
                <w:rFonts w:ascii="Arial Narrow" w:hAnsi="Arial Narrow" w:cs="Arial"/>
                <w:strike/>
                <w:snapToGrid w:val="0"/>
                <w:sz w:val="20"/>
                <w:szCs w:val="20"/>
                <w:lang w:eastAsia="en-US"/>
              </w:rPr>
              <w:t xml:space="preserve"> mutation in the CFTR gene.</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Patient must be homozygous for the F508del mutation in the cystic fibrosis transmembrane conductance regulator (CFTR) gene;</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 xml:space="preserve">AND </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 xml:space="preserve">Patient must have a sweat chloride value of greater than or equal to 60 </w:t>
            </w:r>
            <w:proofErr w:type="spellStart"/>
            <w:r w:rsidRPr="00C47C3B">
              <w:rPr>
                <w:rFonts w:ascii="Arial Narrow" w:hAnsi="Arial Narrow" w:cs="Arial"/>
                <w:i/>
                <w:snapToGrid w:val="0"/>
                <w:sz w:val="20"/>
                <w:szCs w:val="20"/>
                <w:lang w:eastAsia="en-US"/>
              </w:rPr>
              <w:t>mmol</w:t>
            </w:r>
            <w:proofErr w:type="spellEnd"/>
            <w:r w:rsidRPr="00C47C3B">
              <w:rPr>
                <w:rFonts w:ascii="Arial Narrow" w:hAnsi="Arial Narrow" w:cs="Arial"/>
                <w:i/>
                <w:snapToGrid w:val="0"/>
                <w:sz w:val="20"/>
                <w:szCs w:val="20"/>
                <w:lang w:eastAsia="en-US"/>
              </w:rPr>
              <w:t>/L;</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AND</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 xml:space="preserve">Patient must have a </w:t>
            </w:r>
            <w:r w:rsidRPr="00C47C3B">
              <w:rPr>
                <w:rFonts w:ascii="Arial Narrow" w:hAnsi="Arial Narrow" w:cs="Arial"/>
                <w:i/>
                <w:snapToGrid w:val="0"/>
                <w:sz w:val="20"/>
                <w:lang w:eastAsia="en-US"/>
              </w:rPr>
              <w:t>FEV</w:t>
            </w:r>
            <w:r w:rsidRPr="00C47C3B">
              <w:rPr>
                <w:rFonts w:ascii="Arial Narrow" w:hAnsi="Arial Narrow" w:cs="Arial"/>
                <w:i/>
                <w:snapToGrid w:val="0"/>
                <w:sz w:val="20"/>
                <w:vertAlign w:val="subscript"/>
                <w:lang w:eastAsia="en-US"/>
              </w:rPr>
              <w:t>1</w:t>
            </w:r>
            <w:r w:rsidRPr="00C47C3B">
              <w:rPr>
                <w:rFonts w:ascii="Arial Narrow" w:hAnsi="Arial Narrow" w:cs="Arial"/>
                <w:i/>
                <w:snapToGrid w:val="0"/>
                <w:sz w:val="18"/>
                <w:szCs w:val="20"/>
                <w:lang w:eastAsia="en-US"/>
              </w:rPr>
              <w:t xml:space="preserve"> </w:t>
            </w:r>
            <w:r w:rsidRPr="00C47C3B">
              <w:rPr>
                <w:rFonts w:ascii="Arial Narrow" w:hAnsi="Arial Narrow" w:cs="Arial"/>
                <w:i/>
                <w:snapToGrid w:val="0"/>
                <w:sz w:val="20"/>
                <w:szCs w:val="20"/>
                <w:lang w:eastAsia="en-US"/>
              </w:rPr>
              <w:t>of  ≥40% of predicted normal for age, sex, and height;</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AND</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 xml:space="preserve">Patient must have experienced chronic </w:t>
            </w:r>
            <w:proofErr w:type="spellStart"/>
            <w:r w:rsidRPr="00C47C3B">
              <w:rPr>
                <w:rFonts w:ascii="Arial Narrow" w:hAnsi="Arial Narrow" w:cs="Arial"/>
                <w:i/>
                <w:snapToGrid w:val="0"/>
                <w:sz w:val="20"/>
                <w:szCs w:val="20"/>
                <w:lang w:eastAsia="en-US"/>
              </w:rPr>
              <w:t>sinopulmonary</w:t>
            </w:r>
            <w:proofErr w:type="spellEnd"/>
            <w:r w:rsidRPr="00C47C3B">
              <w:rPr>
                <w:rFonts w:ascii="Arial Narrow" w:hAnsi="Arial Narrow" w:cs="Arial"/>
                <w:i/>
                <w:snapToGrid w:val="0"/>
                <w:sz w:val="20"/>
                <w:szCs w:val="20"/>
                <w:lang w:eastAsia="en-US"/>
              </w:rPr>
              <w:t xml:space="preserve"> disease, OR</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Patient must have experienced gastrointestinal abnormalities, OR</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Patient must have experienced nutritional abnormalities;</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AND</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i/>
                <w:snapToGrid w:val="0"/>
                <w:sz w:val="20"/>
                <w:szCs w:val="20"/>
                <w:lang w:eastAsia="en-US"/>
              </w:rPr>
              <w:t>The treatment must be given concomitantly with standard therapy for this condition.</w:t>
            </w:r>
          </w:p>
        </w:tc>
      </w:tr>
      <w:tr w:rsidR="00C47C3B" w:rsidRPr="00C47C3B" w:rsidTr="009F446F">
        <w:trPr>
          <w:trHeight w:val="360"/>
        </w:trPr>
        <w:tc>
          <w:tcPr>
            <w:tcW w:w="1843"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Population criteria:</w:t>
            </w:r>
          </w:p>
        </w:tc>
        <w:tc>
          <w:tcPr>
            <w:tcW w:w="7291"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Patient must be 12 years of age or older.</w:t>
            </w:r>
          </w:p>
        </w:tc>
      </w:tr>
      <w:tr w:rsidR="00C47C3B" w:rsidRPr="00C47C3B" w:rsidTr="009F446F">
        <w:trPr>
          <w:trHeight w:val="360"/>
        </w:trPr>
        <w:tc>
          <w:tcPr>
            <w:tcW w:w="1843"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Prescriber Instructions</w:t>
            </w:r>
          </w:p>
          <w:p w:rsidR="00C47C3B" w:rsidRPr="00C47C3B" w:rsidRDefault="00C47C3B" w:rsidP="00C47C3B">
            <w:pPr>
              <w:jc w:val="both"/>
              <w:rPr>
                <w:rFonts w:ascii="Arial Narrow" w:hAnsi="Arial Narrow" w:cs="Arial"/>
                <w:snapToGrid w:val="0"/>
                <w:sz w:val="20"/>
                <w:szCs w:val="20"/>
                <w:lang w:eastAsia="en-US"/>
              </w:rPr>
            </w:pPr>
          </w:p>
        </w:tc>
        <w:tc>
          <w:tcPr>
            <w:tcW w:w="7291"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strike/>
                <w:snapToGrid w:val="0"/>
                <w:sz w:val="20"/>
                <w:szCs w:val="20"/>
                <w:lang w:eastAsia="en-US"/>
              </w:rPr>
            </w:pPr>
            <w:r w:rsidRPr="00C47C3B">
              <w:rPr>
                <w:rFonts w:ascii="Arial Narrow" w:hAnsi="Arial Narrow" w:cs="Arial"/>
                <w:strike/>
                <w:snapToGrid w:val="0"/>
                <w:sz w:val="20"/>
                <w:szCs w:val="20"/>
                <w:lang w:eastAsia="en-US"/>
              </w:rPr>
              <w:t>The authority application must be in writing and must include:</w:t>
            </w:r>
          </w:p>
          <w:p w:rsidR="00C47C3B" w:rsidRPr="00C47C3B" w:rsidRDefault="00C47C3B" w:rsidP="00C47C3B">
            <w:pPr>
              <w:jc w:val="both"/>
              <w:rPr>
                <w:rFonts w:ascii="Arial Narrow" w:hAnsi="Arial Narrow" w:cs="Arial"/>
                <w:strike/>
                <w:snapToGrid w:val="0"/>
                <w:sz w:val="20"/>
                <w:szCs w:val="20"/>
                <w:lang w:eastAsia="en-US"/>
              </w:rPr>
            </w:pPr>
            <w:r w:rsidRPr="00C47C3B">
              <w:rPr>
                <w:rFonts w:ascii="Arial Narrow" w:hAnsi="Arial Narrow" w:cs="Arial"/>
                <w:strike/>
                <w:snapToGrid w:val="0"/>
                <w:sz w:val="20"/>
                <w:szCs w:val="20"/>
                <w:lang w:eastAsia="en-US"/>
              </w:rPr>
              <w:t>(1) a completed authority prescription form; and</w:t>
            </w:r>
          </w:p>
          <w:p w:rsidR="00C47C3B" w:rsidRPr="00C47C3B" w:rsidRDefault="00C47C3B" w:rsidP="00C47C3B">
            <w:pPr>
              <w:jc w:val="both"/>
              <w:rPr>
                <w:rFonts w:ascii="Arial Narrow" w:hAnsi="Arial Narrow" w:cs="Arial"/>
                <w:strike/>
                <w:snapToGrid w:val="0"/>
                <w:sz w:val="20"/>
                <w:szCs w:val="20"/>
                <w:lang w:eastAsia="en-US"/>
              </w:rPr>
            </w:pPr>
            <w:r w:rsidRPr="00C47C3B">
              <w:rPr>
                <w:rFonts w:ascii="Arial Narrow" w:hAnsi="Arial Narrow" w:cs="Arial"/>
                <w:strike/>
                <w:snapToGrid w:val="0"/>
                <w:sz w:val="20"/>
                <w:szCs w:val="20"/>
                <w:lang w:eastAsia="en-US"/>
              </w:rPr>
              <w:t xml:space="preserve">(2) a completed Cystic Fibrosis </w:t>
            </w:r>
            <w:proofErr w:type="spellStart"/>
            <w:r w:rsidRPr="00C47C3B">
              <w:rPr>
                <w:rFonts w:ascii="Arial Narrow" w:hAnsi="Arial Narrow" w:cs="Arial"/>
                <w:strike/>
                <w:snapToGrid w:val="0"/>
                <w:sz w:val="20"/>
                <w:szCs w:val="20"/>
                <w:lang w:eastAsia="en-US"/>
              </w:rPr>
              <w:t>Lumacaftor</w:t>
            </w:r>
            <w:proofErr w:type="spellEnd"/>
            <w:r w:rsidRPr="00C47C3B">
              <w:rPr>
                <w:rFonts w:ascii="Arial Narrow" w:hAnsi="Arial Narrow" w:cs="Arial"/>
                <w:strike/>
                <w:snapToGrid w:val="0"/>
                <w:sz w:val="20"/>
                <w:szCs w:val="20"/>
                <w:lang w:eastAsia="en-US"/>
              </w:rPr>
              <w:t xml:space="preserve"> with </w:t>
            </w:r>
            <w:proofErr w:type="spellStart"/>
            <w:r w:rsidRPr="00C47C3B">
              <w:rPr>
                <w:rFonts w:ascii="Arial Narrow" w:hAnsi="Arial Narrow" w:cs="Arial"/>
                <w:strike/>
                <w:snapToGrid w:val="0"/>
                <w:sz w:val="20"/>
                <w:szCs w:val="20"/>
                <w:lang w:eastAsia="en-US"/>
              </w:rPr>
              <w:t>Ivacaftor</w:t>
            </w:r>
            <w:proofErr w:type="spellEnd"/>
            <w:r w:rsidRPr="00C47C3B">
              <w:rPr>
                <w:rFonts w:ascii="Arial Narrow" w:hAnsi="Arial Narrow" w:cs="Arial"/>
                <w:strike/>
                <w:snapToGrid w:val="0"/>
                <w:sz w:val="20"/>
                <w:szCs w:val="20"/>
                <w:lang w:eastAsia="en-US"/>
              </w:rPr>
              <w:t xml:space="preserve"> Authority Application Supporting Information Form; and</w:t>
            </w:r>
          </w:p>
          <w:p w:rsidR="00C47C3B" w:rsidRPr="00C47C3B" w:rsidRDefault="00C47C3B" w:rsidP="00C47C3B">
            <w:pPr>
              <w:jc w:val="both"/>
              <w:rPr>
                <w:rFonts w:ascii="Arial Narrow" w:hAnsi="Arial Narrow" w:cs="Arial"/>
                <w:strike/>
                <w:snapToGrid w:val="0"/>
                <w:sz w:val="20"/>
                <w:szCs w:val="20"/>
                <w:lang w:eastAsia="en-US"/>
              </w:rPr>
            </w:pPr>
            <w:r w:rsidRPr="00C47C3B">
              <w:rPr>
                <w:rFonts w:ascii="Arial Narrow" w:hAnsi="Arial Narrow" w:cs="Arial"/>
                <w:strike/>
                <w:snapToGrid w:val="0"/>
                <w:sz w:val="20"/>
                <w:szCs w:val="20"/>
                <w:lang w:eastAsia="en-US"/>
              </w:rPr>
              <w:t>(3) a signed patient acknowledgement; or an acknowledgement signed by a parent or authorised guardian, if applicable; and</w:t>
            </w:r>
          </w:p>
          <w:p w:rsidR="00C47C3B" w:rsidRPr="00C47C3B" w:rsidRDefault="00C47C3B" w:rsidP="00C47C3B">
            <w:pPr>
              <w:jc w:val="both"/>
              <w:rPr>
                <w:rFonts w:ascii="Arial Narrow" w:hAnsi="Arial Narrow" w:cs="Arial"/>
                <w:strike/>
                <w:snapToGrid w:val="0"/>
                <w:sz w:val="20"/>
                <w:szCs w:val="20"/>
                <w:lang w:eastAsia="en-US"/>
              </w:rPr>
            </w:pPr>
            <w:r w:rsidRPr="00C47C3B">
              <w:rPr>
                <w:rFonts w:ascii="Arial Narrow" w:hAnsi="Arial Narrow" w:cs="Arial"/>
                <w:strike/>
                <w:snapToGrid w:val="0"/>
                <w:sz w:val="20"/>
                <w:szCs w:val="20"/>
                <w:lang w:eastAsia="en-US"/>
              </w:rPr>
              <w:t xml:space="preserve">(4) </w:t>
            </w:r>
            <w:proofErr w:type="gramStart"/>
            <w:r w:rsidRPr="00C47C3B">
              <w:rPr>
                <w:rFonts w:ascii="Arial Narrow" w:hAnsi="Arial Narrow" w:cs="Arial"/>
                <w:strike/>
                <w:snapToGrid w:val="0"/>
                <w:sz w:val="20"/>
                <w:szCs w:val="20"/>
                <w:lang w:eastAsia="en-US"/>
              </w:rPr>
              <w:t>a</w:t>
            </w:r>
            <w:proofErr w:type="gramEnd"/>
            <w:r w:rsidRPr="00C47C3B">
              <w:rPr>
                <w:rFonts w:ascii="Arial Narrow" w:hAnsi="Arial Narrow" w:cs="Arial"/>
                <w:strike/>
                <w:snapToGrid w:val="0"/>
                <w:sz w:val="20"/>
                <w:szCs w:val="20"/>
                <w:lang w:eastAsia="en-US"/>
              </w:rPr>
              <w:t xml:space="preserve"> copy of the pathology report detailing the molecular testing for the patient being homozygous for the F508del mutation on the CFTR gene.</w:t>
            </w:r>
          </w:p>
          <w:p w:rsidR="00C47C3B" w:rsidRPr="00C47C3B" w:rsidRDefault="00C47C3B" w:rsidP="00C47C3B">
            <w:pPr>
              <w:jc w:val="both"/>
              <w:rPr>
                <w:rFonts w:ascii="Arial Narrow" w:hAnsi="Arial Narrow" w:cs="Arial"/>
                <w:snapToGrid w:val="0"/>
                <w:sz w:val="20"/>
                <w:szCs w:val="20"/>
                <w:lang w:eastAsia="en-US"/>
              </w:rPr>
            </w:pP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lastRenderedPageBreak/>
              <w:t xml:space="preserve">Patients receiving PBS-subsidised treatment with this drug must be registered in the Australian Cystic Fibrosis Database Registry. </w:t>
            </w:r>
          </w:p>
          <w:p w:rsidR="00C47C3B" w:rsidRPr="00C47C3B" w:rsidRDefault="00C47C3B" w:rsidP="00C47C3B">
            <w:pPr>
              <w:jc w:val="both"/>
              <w:rPr>
                <w:rFonts w:ascii="Arial Narrow" w:hAnsi="Arial Narrow" w:cs="Arial"/>
                <w:i/>
                <w:snapToGrid w:val="0"/>
                <w:sz w:val="20"/>
                <w:szCs w:val="20"/>
                <w:lang w:eastAsia="en-US"/>
              </w:rPr>
            </w:pP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Treatment must not be given to a patient who has an acute upper or lower respiratory infection, pulmonary exacerbation, or changes in therapy (including antibiotics) for pulmonary disease in the last 4 weeks prior to commencing this drug.</w:t>
            </w:r>
          </w:p>
          <w:p w:rsidR="00C47C3B" w:rsidRPr="00C47C3B" w:rsidRDefault="00C47C3B" w:rsidP="00C47C3B">
            <w:pPr>
              <w:jc w:val="both"/>
              <w:rPr>
                <w:rFonts w:ascii="Arial Narrow" w:hAnsi="Arial Narrow" w:cs="Arial"/>
                <w:snapToGrid w:val="0"/>
                <w:sz w:val="20"/>
                <w:szCs w:val="20"/>
                <w:lang w:eastAsia="en-US"/>
              </w:rPr>
            </w:pP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The authority application must be in writing and must include:</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 a completed authority prescription form; and</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(2) a completed Cystic Fibrosis </w:t>
            </w:r>
            <w:proofErr w:type="spellStart"/>
            <w:r w:rsidRPr="00C47C3B">
              <w:rPr>
                <w:rFonts w:ascii="Arial Narrow" w:hAnsi="Arial Narrow" w:cs="Arial"/>
                <w:snapToGrid w:val="0"/>
                <w:sz w:val="20"/>
                <w:szCs w:val="20"/>
                <w:lang w:eastAsia="en-US"/>
              </w:rPr>
              <w:t>Lumacaftor</w:t>
            </w:r>
            <w:proofErr w:type="spellEnd"/>
            <w:r w:rsidRPr="00C47C3B">
              <w:rPr>
                <w:rFonts w:ascii="Arial Narrow" w:hAnsi="Arial Narrow" w:cs="Arial"/>
                <w:snapToGrid w:val="0"/>
                <w:sz w:val="20"/>
                <w:szCs w:val="20"/>
                <w:lang w:eastAsia="en-US"/>
              </w:rPr>
              <w:t xml:space="preserve"> with </w:t>
            </w:r>
            <w:proofErr w:type="spellStart"/>
            <w:r w:rsidRPr="00C47C3B">
              <w:rPr>
                <w:rFonts w:ascii="Arial Narrow" w:hAnsi="Arial Narrow" w:cs="Arial"/>
                <w:snapToGrid w:val="0"/>
                <w:sz w:val="20"/>
                <w:szCs w:val="20"/>
                <w:lang w:eastAsia="en-US"/>
              </w:rPr>
              <w:t>Ivacaftor</w:t>
            </w:r>
            <w:proofErr w:type="spellEnd"/>
            <w:r w:rsidRPr="00C47C3B">
              <w:rPr>
                <w:rFonts w:ascii="Arial Narrow" w:hAnsi="Arial Narrow" w:cs="Arial"/>
                <w:snapToGrid w:val="0"/>
                <w:sz w:val="20"/>
                <w:szCs w:val="20"/>
                <w:lang w:eastAsia="en-US"/>
              </w:rPr>
              <w:t xml:space="preserve"> Authority Application Supporting Information Form; and</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(3) a signed patient acknowledgement; or an acknowledgement signed by a parent or authorised guardian, if applicable; and</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snapToGrid w:val="0"/>
                <w:sz w:val="20"/>
                <w:szCs w:val="20"/>
                <w:lang w:eastAsia="en-US"/>
              </w:rPr>
              <w:t>(4) a copy of the pathology report detailing the molecular testing for the patient being homozygous for the F508del mutation on the CFTR gene</w:t>
            </w:r>
            <w:r w:rsidRPr="00C47C3B">
              <w:rPr>
                <w:rFonts w:ascii="Arial Narrow" w:hAnsi="Arial Narrow" w:cs="Arial"/>
                <w:i/>
                <w:snapToGrid w:val="0"/>
                <w:sz w:val="20"/>
                <w:szCs w:val="20"/>
                <w:lang w:eastAsia="en-US"/>
              </w:rPr>
              <w:t>; and</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 xml:space="preserve">(5) </w:t>
            </w:r>
            <w:proofErr w:type="gramStart"/>
            <w:r w:rsidRPr="00C47C3B">
              <w:rPr>
                <w:rFonts w:ascii="Arial Narrow" w:hAnsi="Arial Narrow" w:cs="Arial"/>
                <w:i/>
                <w:snapToGrid w:val="0"/>
                <w:sz w:val="20"/>
                <w:szCs w:val="20"/>
                <w:lang w:eastAsia="en-US"/>
              </w:rPr>
              <w:t>the</w:t>
            </w:r>
            <w:proofErr w:type="gramEnd"/>
            <w:r w:rsidRPr="00C47C3B">
              <w:rPr>
                <w:rFonts w:ascii="Arial Narrow" w:hAnsi="Arial Narrow" w:cs="Arial"/>
                <w:i/>
                <w:snapToGrid w:val="0"/>
                <w:sz w:val="20"/>
                <w:szCs w:val="20"/>
                <w:lang w:eastAsia="en-US"/>
              </w:rPr>
              <w:t xml:space="preserve"> result of a FEV</w:t>
            </w:r>
            <w:r w:rsidRPr="00C47C3B">
              <w:rPr>
                <w:rFonts w:ascii="Arial Narrow" w:hAnsi="Arial Narrow" w:cs="Arial"/>
                <w:i/>
                <w:snapToGrid w:val="0"/>
                <w:sz w:val="20"/>
                <w:szCs w:val="20"/>
                <w:vertAlign w:val="subscript"/>
                <w:lang w:eastAsia="en-US"/>
              </w:rPr>
              <w:t>1</w:t>
            </w:r>
            <w:r w:rsidRPr="00C47C3B">
              <w:rPr>
                <w:rFonts w:ascii="Arial Narrow" w:hAnsi="Arial Narrow" w:cs="Arial"/>
                <w:i/>
                <w:snapToGrid w:val="0"/>
                <w:sz w:val="20"/>
                <w:szCs w:val="20"/>
                <w:lang w:eastAsia="en-US"/>
              </w:rPr>
              <w:t xml:space="preserve"> measurement performed within a month prior to the date of application. Note: FEV</w:t>
            </w:r>
            <w:r w:rsidRPr="00C47C3B">
              <w:rPr>
                <w:rFonts w:ascii="Arial Narrow" w:hAnsi="Arial Narrow" w:cs="Arial"/>
                <w:i/>
                <w:snapToGrid w:val="0"/>
                <w:sz w:val="20"/>
                <w:szCs w:val="20"/>
                <w:vertAlign w:val="subscript"/>
                <w:lang w:eastAsia="en-US"/>
              </w:rPr>
              <w:t>1</w:t>
            </w:r>
            <w:r w:rsidRPr="00C47C3B">
              <w:rPr>
                <w:rFonts w:ascii="Arial Narrow" w:hAnsi="Arial Narrow" w:cs="Arial"/>
                <w:i/>
                <w:snapToGrid w:val="0"/>
                <w:sz w:val="20"/>
                <w:szCs w:val="20"/>
                <w:lang w:eastAsia="en-US"/>
              </w:rPr>
              <w:t>, must be measured in an accredited pulmonary function laboratory, with documented no acute infective exacerbation at the time FEV</w:t>
            </w:r>
            <w:r w:rsidRPr="00C47C3B">
              <w:rPr>
                <w:rFonts w:ascii="Arial Narrow" w:hAnsi="Arial Narrow" w:cs="Arial"/>
                <w:i/>
                <w:snapToGrid w:val="0"/>
                <w:sz w:val="20"/>
                <w:szCs w:val="20"/>
                <w:vertAlign w:val="subscript"/>
                <w:lang w:eastAsia="en-US"/>
              </w:rPr>
              <w:t>1</w:t>
            </w:r>
            <w:r w:rsidRPr="00C47C3B">
              <w:rPr>
                <w:rFonts w:ascii="Arial Narrow" w:hAnsi="Arial Narrow" w:cs="Arial"/>
                <w:i/>
                <w:snapToGrid w:val="0"/>
                <w:sz w:val="20"/>
                <w:szCs w:val="20"/>
                <w:lang w:eastAsia="en-US"/>
              </w:rPr>
              <w:t xml:space="preserve"> is measured; and</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 xml:space="preserve">(6) evidence that the patient has either chronic </w:t>
            </w:r>
            <w:proofErr w:type="spellStart"/>
            <w:r w:rsidRPr="00C47C3B">
              <w:rPr>
                <w:rFonts w:ascii="Arial Narrow" w:hAnsi="Arial Narrow" w:cs="Arial"/>
                <w:i/>
                <w:snapToGrid w:val="0"/>
                <w:sz w:val="20"/>
                <w:szCs w:val="20"/>
                <w:lang w:eastAsia="en-US"/>
              </w:rPr>
              <w:t>sinopulmonary</w:t>
            </w:r>
            <w:proofErr w:type="spellEnd"/>
            <w:r w:rsidRPr="00C47C3B">
              <w:rPr>
                <w:rFonts w:ascii="Arial Narrow" w:hAnsi="Arial Narrow" w:cs="Arial"/>
                <w:i/>
                <w:snapToGrid w:val="0"/>
                <w:sz w:val="20"/>
                <w:szCs w:val="20"/>
                <w:lang w:eastAsia="en-US"/>
              </w:rPr>
              <w:t xml:space="preserve"> disease or gastrointestinal and nutritional abnormalities; and</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 xml:space="preserve">(7) a copy of a current medication history </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(8) a copy of a sweat chloride result; and</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(9) height and weight measurements at the time of application; and</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i/>
                <w:snapToGrid w:val="0"/>
                <w:sz w:val="20"/>
                <w:szCs w:val="20"/>
                <w:lang w:eastAsia="en-US"/>
              </w:rPr>
              <w:t xml:space="preserve">(10) </w:t>
            </w:r>
            <w:proofErr w:type="gramStart"/>
            <w:r w:rsidRPr="00C47C3B">
              <w:rPr>
                <w:rFonts w:ascii="Arial Narrow" w:hAnsi="Arial Narrow" w:cs="Arial"/>
                <w:i/>
                <w:snapToGrid w:val="0"/>
                <w:sz w:val="20"/>
                <w:szCs w:val="20"/>
                <w:lang w:eastAsia="en-US"/>
              </w:rPr>
              <w:t>a</w:t>
            </w:r>
            <w:proofErr w:type="gramEnd"/>
            <w:r w:rsidRPr="00C47C3B">
              <w:rPr>
                <w:rFonts w:ascii="Arial Narrow" w:hAnsi="Arial Narrow" w:cs="Arial"/>
                <w:i/>
                <w:snapToGrid w:val="0"/>
                <w:sz w:val="20"/>
                <w:szCs w:val="20"/>
                <w:lang w:eastAsia="en-US"/>
              </w:rPr>
              <w:t xml:space="preserve"> baseline measurement of the number of days of CF-related hospitalisation (including hospital-in-the home) in the previous 12 months.</w:t>
            </w:r>
          </w:p>
        </w:tc>
      </w:tr>
      <w:tr w:rsidR="00C47C3B" w:rsidRPr="00C47C3B" w:rsidTr="009F446F">
        <w:trPr>
          <w:trHeight w:val="360"/>
        </w:trPr>
        <w:tc>
          <w:tcPr>
            <w:tcW w:w="1843"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lastRenderedPageBreak/>
              <w:t>Administrative Advice</w:t>
            </w:r>
          </w:p>
          <w:p w:rsidR="00C47C3B" w:rsidRPr="00C47C3B" w:rsidRDefault="00C47C3B" w:rsidP="00C47C3B">
            <w:pPr>
              <w:jc w:val="both"/>
              <w:rPr>
                <w:rFonts w:ascii="Arial Narrow" w:hAnsi="Arial Narrow" w:cs="Arial"/>
                <w:i/>
                <w:snapToGrid w:val="0"/>
                <w:sz w:val="20"/>
                <w:szCs w:val="20"/>
                <w:lang w:eastAsia="en-US"/>
              </w:rPr>
            </w:pPr>
          </w:p>
        </w:tc>
        <w:tc>
          <w:tcPr>
            <w:tcW w:w="7291" w:type="dxa"/>
            <w:tcBorders>
              <w:top w:val="single" w:sz="4" w:space="0" w:color="auto"/>
              <w:left w:val="single" w:sz="4" w:space="0" w:color="auto"/>
              <w:bottom w:val="single" w:sz="4" w:space="0" w:color="auto"/>
              <w:right w:val="single" w:sz="4" w:space="0" w:color="auto"/>
            </w:tcBorders>
          </w:tcPr>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Special pricing arrangements apply</w:t>
            </w:r>
          </w:p>
          <w:p w:rsidR="00C47C3B" w:rsidRPr="00C47C3B" w:rsidRDefault="00C47C3B" w:rsidP="00C47C3B">
            <w:pPr>
              <w:jc w:val="both"/>
              <w:rPr>
                <w:rFonts w:ascii="Arial Narrow" w:hAnsi="Arial Narrow" w:cs="Arial"/>
                <w:i/>
                <w:snapToGrid w:val="0"/>
                <w:sz w:val="20"/>
                <w:szCs w:val="20"/>
                <w:lang w:eastAsia="en-US"/>
              </w:rPr>
            </w:pPr>
          </w:p>
          <w:p w:rsidR="00C47C3B" w:rsidRPr="00C47C3B" w:rsidRDefault="00C47C3B" w:rsidP="00C47C3B">
            <w:pPr>
              <w:keepNext/>
              <w:jc w:val="both"/>
              <w:rPr>
                <w:rFonts w:ascii="Arial Narrow" w:hAnsi="Arial Narrow" w:cs="Arial"/>
                <w:i/>
                <w:snapToGrid w:val="0"/>
                <w:sz w:val="20"/>
                <w:szCs w:val="20"/>
                <w:lang w:val="en-US" w:eastAsia="en-US"/>
              </w:rPr>
            </w:pPr>
            <w:r w:rsidRPr="00C47C3B">
              <w:rPr>
                <w:rFonts w:ascii="Arial Narrow" w:hAnsi="Arial Narrow" w:cs="Arial"/>
                <w:i/>
                <w:snapToGrid w:val="0"/>
                <w:sz w:val="20"/>
                <w:szCs w:val="20"/>
                <w:lang w:val="en-US" w:eastAsia="en-US"/>
              </w:rPr>
              <w:t xml:space="preserve">No increase in the maximum number of repeats may be </w:t>
            </w:r>
            <w:proofErr w:type="spellStart"/>
            <w:r w:rsidRPr="00C47C3B">
              <w:rPr>
                <w:rFonts w:ascii="Arial Narrow" w:hAnsi="Arial Narrow" w:cs="Arial"/>
                <w:i/>
                <w:snapToGrid w:val="0"/>
                <w:sz w:val="20"/>
                <w:szCs w:val="20"/>
                <w:lang w:val="en-US" w:eastAsia="en-US"/>
              </w:rPr>
              <w:t>authorised</w:t>
            </w:r>
            <w:proofErr w:type="spellEnd"/>
            <w:r w:rsidRPr="00C47C3B">
              <w:rPr>
                <w:rFonts w:ascii="Arial Narrow" w:hAnsi="Arial Narrow" w:cs="Arial"/>
                <w:i/>
                <w:snapToGrid w:val="0"/>
                <w:sz w:val="20"/>
                <w:szCs w:val="20"/>
                <w:lang w:val="en-US" w:eastAsia="en-US"/>
              </w:rPr>
              <w:t>.</w:t>
            </w:r>
          </w:p>
          <w:p w:rsidR="00C47C3B" w:rsidRPr="00C47C3B" w:rsidRDefault="00C47C3B" w:rsidP="00C47C3B">
            <w:pPr>
              <w:keepNext/>
              <w:jc w:val="both"/>
              <w:rPr>
                <w:rFonts w:ascii="Arial Narrow" w:hAnsi="Arial Narrow" w:cs="Arial"/>
                <w:i/>
                <w:snapToGrid w:val="0"/>
                <w:sz w:val="20"/>
                <w:szCs w:val="20"/>
                <w:lang w:val="en-US" w:eastAsia="en-US"/>
              </w:rPr>
            </w:pPr>
          </w:p>
          <w:p w:rsidR="00C47C3B" w:rsidRPr="00C47C3B" w:rsidRDefault="00C47C3B" w:rsidP="00C47C3B">
            <w:pPr>
              <w:jc w:val="both"/>
              <w:rPr>
                <w:rFonts w:ascii="Arial Narrow" w:hAnsi="Arial Narrow" w:cs="Arial"/>
                <w:i/>
                <w:snapToGrid w:val="0"/>
                <w:sz w:val="20"/>
                <w:szCs w:val="20"/>
                <w:lang w:val="en-US" w:eastAsia="en-US"/>
              </w:rPr>
            </w:pPr>
            <w:r w:rsidRPr="00C47C3B">
              <w:rPr>
                <w:rFonts w:ascii="Arial Narrow" w:hAnsi="Arial Narrow" w:cs="Arial"/>
                <w:i/>
                <w:snapToGrid w:val="0"/>
                <w:sz w:val="20"/>
                <w:szCs w:val="20"/>
                <w:lang w:val="en-US" w:eastAsia="en-US"/>
              </w:rPr>
              <w:t xml:space="preserve">No increase in the maximum quantity or number of units may be </w:t>
            </w:r>
            <w:proofErr w:type="spellStart"/>
            <w:r w:rsidRPr="00C47C3B">
              <w:rPr>
                <w:rFonts w:ascii="Arial Narrow" w:hAnsi="Arial Narrow" w:cs="Arial"/>
                <w:i/>
                <w:snapToGrid w:val="0"/>
                <w:sz w:val="20"/>
                <w:szCs w:val="20"/>
                <w:lang w:val="en-US" w:eastAsia="en-US"/>
              </w:rPr>
              <w:t>authorised</w:t>
            </w:r>
            <w:proofErr w:type="spellEnd"/>
            <w:r w:rsidRPr="00C47C3B">
              <w:rPr>
                <w:rFonts w:ascii="Arial Narrow" w:hAnsi="Arial Narrow" w:cs="Arial"/>
                <w:i/>
                <w:snapToGrid w:val="0"/>
                <w:sz w:val="20"/>
                <w:szCs w:val="20"/>
                <w:lang w:val="en-US" w:eastAsia="en-US"/>
              </w:rPr>
              <w:t>.</w:t>
            </w:r>
          </w:p>
          <w:p w:rsidR="00C47C3B" w:rsidRPr="00C47C3B" w:rsidRDefault="00C47C3B" w:rsidP="00C47C3B">
            <w:pPr>
              <w:jc w:val="both"/>
              <w:rPr>
                <w:rFonts w:ascii="Arial Narrow" w:hAnsi="Arial Narrow" w:cs="Arial"/>
                <w:i/>
                <w:snapToGrid w:val="0"/>
                <w:sz w:val="20"/>
                <w:szCs w:val="20"/>
                <w:lang w:eastAsia="en-US"/>
              </w:rPr>
            </w:pP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Any queries concerning the arrangements to prescribe may be directed to the Department of Human Services on 1800 700 270 (hours of operation 8 a.m. to 5 p.m. EST Monday to Friday).</w:t>
            </w:r>
          </w:p>
          <w:p w:rsidR="00C47C3B" w:rsidRPr="00C47C3B" w:rsidRDefault="00C47C3B" w:rsidP="00C47C3B">
            <w:pPr>
              <w:jc w:val="both"/>
              <w:rPr>
                <w:rFonts w:ascii="Arial Narrow" w:hAnsi="Arial Narrow" w:cs="Arial"/>
                <w:i/>
                <w:snapToGrid w:val="0"/>
                <w:sz w:val="20"/>
                <w:szCs w:val="20"/>
                <w:lang w:eastAsia="en-US"/>
              </w:rPr>
            </w:pP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Prescribing information (including Authority Application forms and other relevant documentation as applicable) is available on the Department of Human Services website at www.humanservices.gov.au</w:t>
            </w:r>
          </w:p>
          <w:p w:rsidR="00C47C3B" w:rsidRPr="00C47C3B" w:rsidRDefault="00C47C3B" w:rsidP="00C47C3B">
            <w:pPr>
              <w:jc w:val="both"/>
              <w:rPr>
                <w:rFonts w:ascii="Arial Narrow" w:hAnsi="Arial Narrow" w:cs="Arial"/>
                <w:i/>
                <w:snapToGrid w:val="0"/>
                <w:sz w:val="20"/>
                <w:szCs w:val="20"/>
                <w:lang w:eastAsia="en-US"/>
              </w:rPr>
            </w:pP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Applications for authority to prescribe should be forwarded to:</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Department of Human Services</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Complex Drugs</w:t>
            </w:r>
          </w:p>
          <w:p w:rsidR="00C47C3B" w:rsidRPr="00C47C3B" w:rsidRDefault="00C47C3B" w:rsidP="00C47C3B">
            <w:pPr>
              <w:jc w:val="both"/>
              <w:rPr>
                <w:rFonts w:ascii="Arial Narrow" w:hAnsi="Arial Narrow" w:cs="Arial"/>
                <w:i/>
                <w:snapToGrid w:val="0"/>
                <w:sz w:val="20"/>
                <w:szCs w:val="20"/>
                <w:lang w:eastAsia="en-US"/>
              </w:rPr>
            </w:pPr>
            <w:r w:rsidRPr="00C47C3B">
              <w:rPr>
                <w:rFonts w:ascii="Arial Narrow" w:hAnsi="Arial Narrow" w:cs="Arial"/>
                <w:i/>
                <w:snapToGrid w:val="0"/>
                <w:sz w:val="20"/>
                <w:szCs w:val="20"/>
                <w:lang w:eastAsia="en-US"/>
              </w:rPr>
              <w:t>Reply Paid 9826</w:t>
            </w:r>
          </w:p>
          <w:p w:rsidR="00C47C3B" w:rsidRPr="00C47C3B" w:rsidRDefault="00C47C3B" w:rsidP="00C47C3B">
            <w:pPr>
              <w:jc w:val="both"/>
              <w:rPr>
                <w:rFonts w:ascii="Arial Narrow" w:hAnsi="Arial Narrow" w:cs="Arial"/>
                <w:snapToGrid w:val="0"/>
                <w:sz w:val="20"/>
                <w:szCs w:val="20"/>
                <w:lang w:eastAsia="en-US"/>
              </w:rPr>
            </w:pPr>
            <w:r w:rsidRPr="00C47C3B">
              <w:rPr>
                <w:rFonts w:ascii="Arial Narrow" w:hAnsi="Arial Narrow" w:cs="Arial"/>
                <w:i/>
                <w:snapToGrid w:val="0"/>
                <w:sz w:val="20"/>
                <w:szCs w:val="20"/>
                <w:lang w:eastAsia="en-US"/>
              </w:rPr>
              <w:t>HOBART TAS 7001</w:t>
            </w:r>
          </w:p>
        </w:tc>
      </w:tr>
    </w:tbl>
    <w:p w:rsidR="00C47C3B" w:rsidRPr="00C47C3B" w:rsidRDefault="00C47C3B" w:rsidP="00C47C3B">
      <w:pPr>
        <w:jc w:val="both"/>
        <w:rPr>
          <w:rFonts w:ascii="Arial Narrow" w:hAnsi="Arial Narrow" w:cs="Arial"/>
          <w:snapToGrid w:val="0"/>
          <w:sz w:val="16"/>
          <w:szCs w:val="16"/>
          <w:lang w:eastAsia="en-US"/>
        </w:rPr>
      </w:pPr>
    </w:p>
    <w:p w:rsidR="00C47C3B" w:rsidRPr="00C47C3B" w:rsidRDefault="00C47C3B" w:rsidP="00ED4A83">
      <w:pPr>
        <w:widowControl w:val="0"/>
        <w:numPr>
          <w:ilvl w:val="1"/>
          <w:numId w:val="21"/>
        </w:numPr>
        <w:spacing w:after="12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recommended dose is two tablets (each containing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 xml:space="preserve"> 200 mg/</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125 mg) taken orally every 12 hours. The treatment is ongoing for the lifetime of the patient. Dose reductions are recommended in the TGA approved product information (PI) for patients with moderate or severe hepatic impairment.</w:t>
      </w:r>
    </w:p>
    <w:p w:rsidR="00C47C3B" w:rsidRPr="00C47C3B" w:rsidRDefault="00C47C3B" w:rsidP="00ED4A83">
      <w:pPr>
        <w:widowControl w:val="0"/>
        <w:numPr>
          <w:ilvl w:val="1"/>
          <w:numId w:val="21"/>
        </w:numPr>
        <w:spacing w:after="120"/>
        <w:jc w:val="both"/>
        <w:rPr>
          <w:rFonts w:asciiTheme="minorHAnsi" w:hAnsiTheme="minorHAnsi" w:cs="Arial"/>
          <w:snapToGrid w:val="0"/>
          <w:szCs w:val="20"/>
          <w:lang w:eastAsia="en-US"/>
        </w:rPr>
      </w:pPr>
      <w:bookmarkStart w:id="34" w:name="_Hlk479594419"/>
      <w:r w:rsidRPr="00C47C3B">
        <w:rPr>
          <w:rFonts w:asciiTheme="minorHAnsi" w:hAnsiTheme="minorHAnsi" w:cs="Arial"/>
          <w:snapToGrid w:val="0"/>
          <w:szCs w:val="20"/>
          <w:lang w:eastAsia="en-US"/>
        </w:rPr>
        <w:t xml:space="preserve">No special pricing arrangements were proposed in relation to the DPMQ. However, the resubmission proposed to cap the gross cost to the PBS in the first five years of listing, by way of a reduction on the total projected expenditure. </w:t>
      </w:r>
      <w:bookmarkEnd w:id="34"/>
      <w:r w:rsidRPr="00C47C3B">
        <w:rPr>
          <w:rFonts w:asciiTheme="minorHAnsi" w:hAnsiTheme="minorHAnsi" w:cs="Arial"/>
          <w:snapToGrid w:val="0"/>
          <w:szCs w:val="20"/>
          <w:lang w:eastAsia="en-US"/>
        </w:rPr>
        <w:t xml:space="preserve">The resubmission also proposed a </w:t>
      </w:r>
      <w:r w:rsidRPr="00C47C3B">
        <w:rPr>
          <w:rFonts w:asciiTheme="minorHAnsi" w:hAnsiTheme="minorHAnsi" w:cs="Arial"/>
          <w:noProof/>
          <w:snapToGrid w:val="0"/>
          <w:color w:val="000000"/>
          <w:szCs w:val="20"/>
          <w:highlight w:val="black"/>
          <w:lang w:eastAsia="en-US"/>
        </w:rPr>
        <w:t>'''''''''''''''''''''''''''''''''''''''''' '''''''''''''''''''''''''''' ''''''''''''''''' ''' '''''''''''''''''' '''' '''''''''''' ''''''''''''''''''''''''''''''' '''''' ''''''''''''''' '''' '''''''''''''''''''' ''''''''''''''' '''''''''''' '''''' ''''''''''''''''' '''''' ''' '''''' '''''''''''' ''''''' '''''' ''''''''''''''''''''''''''' '''''''''' ''''''''''''''''''''''''</w:t>
      </w:r>
    </w:p>
    <w:p w:rsidR="00C47C3B" w:rsidRPr="00C47C3B" w:rsidRDefault="00C47C3B" w:rsidP="00ED4A83">
      <w:pPr>
        <w:widowControl w:val="0"/>
        <w:numPr>
          <w:ilvl w:val="1"/>
          <w:numId w:val="21"/>
        </w:numPr>
        <w:spacing w:after="12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lastRenderedPageBreak/>
        <w:t>The ESC noted that the TRAFFIC and TRANSPORT trials required patients to have a ppFEV</w:t>
      </w:r>
      <w:r w:rsidRPr="00C47C3B">
        <w:rPr>
          <w:rFonts w:asciiTheme="minorHAnsi" w:hAnsiTheme="minorHAnsi" w:cs="Arial"/>
          <w:snapToGrid w:val="0"/>
          <w:szCs w:val="20"/>
          <w:vertAlign w:val="subscript"/>
          <w:lang w:eastAsia="en-US"/>
        </w:rPr>
        <w:t>1</w:t>
      </w:r>
      <w:r w:rsidRPr="00C47C3B">
        <w:rPr>
          <w:rFonts w:asciiTheme="minorHAnsi" w:hAnsiTheme="minorHAnsi" w:cs="Arial"/>
          <w:snapToGrid w:val="0"/>
          <w:szCs w:val="20"/>
          <w:lang w:eastAsia="en-US"/>
        </w:rPr>
        <w:t xml:space="preserve"> of ≥40% and ≤90% adjusted for age, gender and height. The PBAC had previously determined that the efficacy and safety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in patients with ppFEV1 &lt;40% and &gt;90% had not been evaluated and is unknown (paragraph 2.2, March 2016 Public Summary Document (PSD)). The Secretariat has suggested including a clinical criterion that “Patient must have a FEV1 of ≥40% of predicted normal for age, sex, and height” in the above requested listing.</w:t>
      </w:r>
    </w:p>
    <w:p w:rsidR="00C47C3B" w:rsidRPr="00C47C3B" w:rsidRDefault="00C47C3B" w:rsidP="00ED4A83">
      <w:pPr>
        <w:widowControl w:val="0"/>
        <w:numPr>
          <w:ilvl w:val="1"/>
          <w:numId w:val="21"/>
        </w:numPr>
        <w:spacing w:after="12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The requested basis for listing is cost-effectiveness compared with the nominated comparator (best supportive care).</w:t>
      </w:r>
    </w:p>
    <w:p w:rsidR="00C47C3B" w:rsidRPr="00C47C3B" w:rsidRDefault="00C47C3B" w:rsidP="00C47C3B">
      <w:pPr>
        <w:spacing w:after="120"/>
        <w:ind w:left="720"/>
        <w:jc w:val="both"/>
        <w:rPr>
          <w:rFonts w:asciiTheme="minorHAnsi" w:hAnsiTheme="minorHAnsi" w:cs="Arial"/>
          <w:snapToGrid w:val="0"/>
          <w:szCs w:val="20"/>
          <w:lang w:eastAsia="en-US"/>
        </w:rPr>
      </w:pPr>
    </w:p>
    <w:p w:rsidR="00C47C3B" w:rsidRPr="0073784D" w:rsidRDefault="00C47C3B" w:rsidP="0073784D">
      <w:pPr>
        <w:pStyle w:val="PBACHeading1"/>
        <w:spacing w:before="240" w:after="120"/>
        <w:rPr>
          <w:rFonts w:asciiTheme="minorHAnsi" w:hAnsiTheme="minorHAnsi" w:cstheme="minorHAnsi"/>
          <w:sz w:val="32"/>
        </w:rPr>
      </w:pPr>
      <w:bookmarkStart w:id="35" w:name="_Toc482713670"/>
      <w:r w:rsidRPr="0073784D">
        <w:rPr>
          <w:rFonts w:asciiTheme="minorHAnsi" w:hAnsiTheme="minorHAnsi" w:cstheme="minorHAnsi"/>
          <w:sz w:val="32"/>
        </w:rPr>
        <w:t>Background</w:t>
      </w:r>
      <w:bookmarkEnd w:id="35"/>
    </w:p>
    <w:p w:rsidR="00C47C3B" w:rsidRPr="00C47C3B" w:rsidRDefault="00C47C3B" w:rsidP="00ED4A83">
      <w:pPr>
        <w:widowControl w:val="0"/>
        <w:numPr>
          <w:ilvl w:val="1"/>
          <w:numId w:val="13"/>
        </w:numPr>
        <w:spacing w:after="120"/>
        <w:ind w:left="720" w:hanging="720"/>
        <w:jc w:val="both"/>
        <w:rPr>
          <w:rFonts w:asciiTheme="minorHAnsi" w:hAnsiTheme="minorHAnsi" w:cs="Arial"/>
          <w:snapToGrid w:val="0"/>
          <w:lang w:eastAsia="en-US"/>
        </w:rPr>
      </w:pPr>
      <w:r w:rsidRPr="00C47C3B">
        <w:rPr>
          <w:rFonts w:asciiTheme="minorHAnsi" w:hAnsiTheme="minorHAnsi" w:cs="Arial"/>
          <w:snapToGrid w:val="0"/>
          <w:lang w:eastAsia="en-US"/>
        </w:rPr>
        <w:t xml:space="preserve">TGA status at the time of PBAC consideration: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was registered by the TGA for “the treatment of cystic fibrosis (CF) in patients aged 12 years and older who are homozygous for the F508del mutation in the CFTR gene” on 8 March 2016. </w:t>
      </w:r>
    </w:p>
    <w:p w:rsidR="00C47C3B" w:rsidRPr="00C47C3B" w:rsidRDefault="00C47C3B" w:rsidP="00ED4A83">
      <w:pPr>
        <w:widowControl w:val="0"/>
        <w:numPr>
          <w:ilvl w:val="1"/>
          <w:numId w:val="13"/>
        </w:numPr>
        <w:spacing w:after="120"/>
        <w:ind w:left="720" w:hanging="720"/>
        <w:jc w:val="both"/>
        <w:rPr>
          <w:rFonts w:asciiTheme="minorHAnsi" w:hAnsiTheme="minorHAnsi" w:cs="Arial"/>
          <w:snapToGrid w:val="0"/>
          <w:lang w:eastAsia="en-US"/>
        </w:rPr>
      </w:pPr>
      <w:r w:rsidRPr="00C47C3B">
        <w:rPr>
          <w:rFonts w:asciiTheme="minorHAnsi" w:hAnsiTheme="minorHAnsi" w:cs="Arial"/>
          <w:snapToGrid w:val="0"/>
          <w:lang w:eastAsia="en-US"/>
        </w:rPr>
        <w:t xml:space="preserve">A major submission for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was rejected at the March 2016 PBAC meeting on the basis of an unacceptably high and uncertain incremental cost</w:t>
      </w:r>
      <w:r w:rsidRPr="00C47C3B">
        <w:rPr>
          <w:rFonts w:asciiTheme="minorHAnsi" w:hAnsiTheme="minorHAnsi" w:cs="Arial"/>
          <w:snapToGrid w:val="0"/>
          <w:lang w:eastAsia="en-US"/>
        </w:rPr>
        <w:noBreakHyphen/>
        <w:t xml:space="preserve">effectiveness ratio at the requested price, and uncertainty around the impact of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on long-term improvements in lung function and survival (paragraph 7.1, March 2016 PSD). A minor resubmission was also rejected by the PBAC at its November 2016 meeting noting that the issues it previously identified in its consideration of the March 2016 submission had not been addressed. The PBAC further noted the continued uncertainty regarding long-term benefits of treatment on lung function and overall survival (paragraph 7.1, November 2016 PSD).</w:t>
      </w:r>
    </w:p>
    <w:p w:rsidR="00C47C3B" w:rsidRPr="00C47C3B" w:rsidRDefault="00C47C3B" w:rsidP="00ED4A83">
      <w:pPr>
        <w:widowControl w:val="0"/>
        <w:numPr>
          <w:ilvl w:val="1"/>
          <w:numId w:val="13"/>
        </w:numPr>
        <w:spacing w:after="120"/>
        <w:ind w:left="720" w:hanging="720"/>
        <w:jc w:val="both"/>
        <w:rPr>
          <w:rFonts w:asciiTheme="minorHAnsi" w:hAnsiTheme="minorHAnsi" w:cs="Arial"/>
          <w:snapToGrid w:val="0"/>
          <w:lang w:eastAsia="en-US"/>
        </w:rPr>
      </w:pPr>
      <w:r w:rsidRPr="00C47C3B">
        <w:rPr>
          <w:rFonts w:asciiTheme="minorHAnsi" w:hAnsiTheme="minorHAnsi" w:cs="Arial"/>
          <w:snapToGrid w:val="0"/>
          <w:lang w:eastAsia="en-US"/>
        </w:rPr>
        <w:t>A summary of the key differences between the March 2016 major submission, the November 2016 minor resubmission and the current resubmission is provided in Table 2.</w:t>
      </w:r>
    </w:p>
    <w:p w:rsidR="00C47C3B" w:rsidRPr="00C47C3B" w:rsidRDefault="00C47C3B" w:rsidP="00C47C3B">
      <w:pPr>
        <w:rPr>
          <w:rFonts w:asciiTheme="minorHAnsi" w:hAnsiTheme="minorHAnsi" w:cs="Arial"/>
          <w:snapToGrid w:val="0"/>
          <w:lang w:eastAsia="en-US"/>
        </w:rPr>
      </w:pPr>
      <w:r w:rsidRPr="00C47C3B">
        <w:rPr>
          <w:rFonts w:asciiTheme="minorHAnsi" w:hAnsiTheme="minorHAnsi" w:cs="Arial"/>
          <w:snapToGrid w:val="0"/>
          <w:lang w:eastAsia="en-US"/>
        </w:rPr>
        <w:br w:type="page"/>
      </w:r>
    </w:p>
    <w:p w:rsidR="00C47C3B" w:rsidRPr="00C47C3B" w:rsidRDefault="00C47C3B" w:rsidP="00C47C3B">
      <w:pPr>
        <w:keepNext/>
        <w:spacing w:after="60"/>
        <w:rPr>
          <w:rFonts w:ascii="Arial Narrow" w:eastAsiaTheme="minorHAnsi" w:hAnsi="Arial Narrow" w:cstheme="minorBidi"/>
          <w:b/>
          <w:sz w:val="20"/>
          <w:szCs w:val="22"/>
          <w:lang w:eastAsia="en-US"/>
        </w:rPr>
      </w:pPr>
      <w:bookmarkStart w:id="36" w:name="_Hlk481745455"/>
      <w:bookmarkStart w:id="37" w:name="_Hlk481745410"/>
      <w:r w:rsidRPr="00C47C3B">
        <w:rPr>
          <w:rFonts w:ascii="Arial Narrow" w:eastAsiaTheme="minorHAnsi" w:hAnsi="Arial Narrow" w:cstheme="minorBidi"/>
          <w:b/>
          <w:sz w:val="20"/>
          <w:szCs w:val="22"/>
          <w:lang w:eastAsia="en-US"/>
        </w:rPr>
        <w:lastRenderedPageBreak/>
        <w:t xml:space="preserve">Table </w:t>
      </w:r>
      <w:r w:rsidRPr="00C47C3B">
        <w:rPr>
          <w:rFonts w:ascii="Arial Narrow" w:eastAsiaTheme="minorHAnsi" w:hAnsi="Arial Narrow" w:cstheme="minorBidi"/>
          <w:b/>
          <w:noProof/>
          <w:sz w:val="20"/>
          <w:szCs w:val="22"/>
          <w:lang w:eastAsia="en-US"/>
        </w:rPr>
        <w:t>2</w:t>
      </w:r>
      <w:r w:rsidRPr="00C47C3B">
        <w:rPr>
          <w:rFonts w:ascii="Arial Narrow" w:eastAsiaTheme="minorHAnsi" w:hAnsi="Arial Narrow" w:cstheme="minorBidi"/>
          <w:b/>
          <w:sz w:val="20"/>
          <w:szCs w:val="22"/>
          <w:lang w:eastAsia="en-US"/>
        </w:rPr>
        <w:t>: Summary of the previous and current (re)submissions</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254"/>
        <w:gridCol w:w="3932"/>
        <w:gridCol w:w="3932"/>
      </w:tblGrid>
      <w:tr w:rsidR="00C47C3B" w:rsidRPr="00C47C3B" w:rsidTr="009F446F">
        <w:trPr>
          <w:tblHeader/>
        </w:trPr>
        <w:tc>
          <w:tcPr>
            <w:tcW w:w="688" w:type="pct"/>
            <w:tcBorders>
              <w:top w:val="single" w:sz="4" w:space="0" w:color="auto"/>
              <w:left w:val="single" w:sz="4" w:space="0" w:color="auto"/>
              <w:bottom w:val="single" w:sz="4" w:space="0" w:color="auto"/>
              <w:right w:val="single" w:sz="4" w:space="0" w:color="auto"/>
            </w:tcBorders>
            <w:vAlign w:val="center"/>
            <w:hideMark/>
          </w:tcPr>
          <w:p w:rsidR="00C47C3B" w:rsidRPr="00C47C3B" w:rsidRDefault="00C47C3B" w:rsidP="00C47C3B">
            <w:pPr>
              <w:keepNext/>
              <w:jc w:val="both"/>
              <w:rPr>
                <w:rFonts w:ascii="Arial Narrow" w:hAnsi="Arial Narrow" w:cs="Calibri"/>
                <w:b/>
                <w:snapToGrid w:val="0"/>
                <w:sz w:val="20"/>
                <w:szCs w:val="20"/>
              </w:rPr>
            </w:pPr>
            <w:r w:rsidRPr="00C47C3B">
              <w:rPr>
                <w:rFonts w:ascii="Arial Narrow" w:hAnsi="Arial Narrow" w:cs="Calibri"/>
                <w:b/>
                <w:snapToGrid w:val="0"/>
                <w:sz w:val="20"/>
                <w:szCs w:val="20"/>
              </w:rPr>
              <w:t>Component</w:t>
            </w:r>
          </w:p>
        </w:tc>
        <w:tc>
          <w:tcPr>
            <w:tcW w:w="2156" w:type="pct"/>
            <w:tcBorders>
              <w:top w:val="single" w:sz="4" w:space="0" w:color="auto"/>
              <w:left w:val="single" w:sz="4" w:space="0" w:color="auto"/>
              <w:bottom w:val="single" w:sz="4" w:space="0" w:color="auto"/>
              <w:right w:val="single" w:sz="4" w:space="0" w:color="auto"/>
            </w:tcBorders>
            <w:vAlign w:val="center"/>
            <w:hideMark/>
          </w:tcPr>
          <w:p w:rsidR="00C47C3B" w:rsidRPr="00C47C3B" w:rsidRDefault="00C47C3B" w:rsidP="00C47C3B">
            <w:pPr>
              <w:keepNext/>
              <w:jc w:val="center"/>
              <w:rPr>
                <w:rFonts w:ascii="Arial Narrow" w:hAnsi="Arial Narrow" w:cs="Calibri"/>
                <w:b/>
                <w:snapToGrid w:val="0"/>
                <w:sz w:val="20"/>
                <w:szCs w:val="20"/>
              </w:rPr>
            </w:pPr>
            <w:r w:rsidRPr="00C47C3B">
              <w:rPr>
                <w:rFonts w:ascii="Arial Narrow" w:hAnsi="Arial Narrow" w:cs="Calibri"/>
                <w:b/>
                <w:snapToGrid w:val="0"/>
                <w:sz w:val="20"/>
                <w:szCs w:val="20"/>
                <w:lang w:eastAsia="en-US"/>
              </w:rPr>
              <w:t>March 2016 major submission and November 2016 minor resubmission</w:t>
            </w:r>
          </w:p>
        </w:tc>
        <w:tc>
          <w:tcPr>
            <w:tcW w:w="2156" w:type="pct"/>
            <w:tcBorders>
              <w:top w:val="single" w:sz="4" w:space="0" w:color="auto"/>
              <w:left w:val="single" w:sz="4" w:space="0" w:color="auto"/>
              <w:bottom w:val="single" w:sz="4" w:space="0" w:color="auto"/>
              <w:right w:val="single" w:sz="4" w:space="0" w:color="auto"/>
            </w:tcBorders>
            <w:vAlign w:val="center"/>
          </w:tcPr>
          <w:p w:rsidR="00C47C3B" w:rsidRPr="00C47C3B" w:rsidRDefault="00C47C3B" w:rsidP="00C47C3B">
            <w:pPr>
              <w:keepNext/>
              <w:jc w:val="center"/>
              <w:rPr>
                <w:rFonts w:ascii="Arial Narrow" w:hAnsi="Arial Narrow" w:cs="Calibri"/>
                <w:b/>
                <w:snapToGrid w:val="0"/>
                <w:sz w:val="20"/>
                <w:szCs w:val="20"/>
                <w:lang w:eastAsia="en-US"/>
              </w:rPr>
            </w:pPr>
            <w:r w:rsidRPr="00C47C3B">
              <w:rPr>
                <w:rFonts w:ascii="Arial Narrow" w:hAnsi="Arial Narrow" w:cs="Calibri"/>
                <w:b/>
                <w:snapToGrid w:val="0"/>
                <w:sz w:val="20"/>
                <w:szCs w:val="20"/>
                <w:lang w:eastAsia="en-US"/>
              </w:rPr>
              <w:t>July 2017 major resubmission</w:t>
            </w:r>
          </w:p>
        </w:tc>
      </w:tr>
      <w:tr w:rsidR="00C47C3B" w:rsidRPr="00C47C3B" w:rsidTr="009F446F">
        <w:tc>
          <w:tcPr>
            <w:tcW w:w="688"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keepNext/>
              <w:jc w:val="both"/>
              <w:rPr>
                <w:rFonts w:ascii="Arial Narrow" w:hAnsi="Arial Narrow" w:cs="Calibri"/>
                <w:snapToGrid w:val="0"/>
                <w:sz w:val="20"/>
                <w:szCs w:val="20"/>
              </w:rPr>
            </w:pPr>
            <w:r w:rsidRPr="00C47C3B">
              <w:rPr>
                <w:rFonts w:ascii="Arial Narrow" w:hAnsi="Arial Narrow" w:cs="Calibri"/>
                <w:snapToGrid w:val="0"/>
                <w:sz w:val="20"/>
                <w:szCs w:val="20"/>
                <w:lang w:eastAsia="en-US"/>
              </w:rPr>
              <w:t>Requested PBS listing</w:t>
            </w:r>
          </w:p>
        </w:tc>
        <w:tc>
          <w:tcPr>
            <w:tcW w:w="2156"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keepNext/>
              <w:rPr>
                <w:rFonts w:ascii="Arial Narrow" w:hAnsi="Arial Narrow" w:cs="Calibri"/>
                <w:snapToGrid w:val="0"/>
                <w:sz w:val="20"/>
                <w:szCs w:val="20"/>
              </w:rPr>
            </w:pPr>
            <w:r w:rsidRPr="00C47C3B">
              <w:rPr>
                <w:rFonts w:ascii="Arial Narrow" w:hAnsi="Arial Narrow" w:cs="Calibri"/>
                <w:snapToGrid w:val="0"/>
                <w:sz w:val="20"/>
                <w:szCs w:val="20"/>
                <w:lang w:eastAsia="en-US"/>
              </w:rPr>
              <w:t>Treatment of cystic fibrosis in patients aged 12 years and older who are homozygous for the F508del mutation in the CFTR gene.</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keepNext/>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As per March 2016, with changes suggested by the Secretariat during the evaluation of the March 2016 submission. November 2016 suggested changes were not incorporated.</w:t>
            </w:r>
          </w:p>
        </w:tc>
      </w:tr>
      <w:tr w:rsidR="00C47C3B" w:rsidRPr="00C47C3B" w:rsidTr="009F446F">
        <w:tc>
          <w:tcPr>
            <w:tcW w:w="688"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jc w:val="both"/>
              <w:rPr>
                <w:rFonts w:ascii="Arial Narrow" w:hAnsi="Arial Narrow" w:cs="Calibri"/>
                <w:snapToGrid w:val="0"/>
                <w:sz w:val="20"/>
                <w:szCs w:val="20"/>
              </w:rPr>
            </w:pPr>
            <w:r w:rsidRPr="00C47C3B">
              <w:rPr>
                <w:rFonts w:ascii="Arial Narrow" w:hAnsi="Arial Narrow" w:cs="Calibri"/>
                <w:snapToGrid w:val="0"/>
                <w:sz w:val="20"/>
                <w:szCs w:val="20"/>
                <w:lang w:eastAsia="en-US"/>
              </w:rPr>
              <w:t>Requested price</w:t>
            </w:r>
          </w:p>
        </w:tc>
        <w:tc>
          <w:tcPr>
            <w:tcW w:w="2156"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S100 HSD public hospital DPMQ: $</w:t>
            </w:r>
            <w:r w:rsidRPr="00C47C3B">
              <w:rPr>
                <w:rFonts w:ascii="Arial Narrow" w:hAnsi="Arial Narrow" w:cs="Calibri"/>
                <w:noProof/>
                <w:snapToGrid w:val="0"/>
                <w:color w:val="000000"/>
                <w:sz w:val="20"/>
                <w:szCs w:val="20"/>
                <w:highlight w:val="black"/>
                <w:lang w:eastAsia="en-US"/>
              </w:rPr>
              <w:t>''''''''''''''''</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As per March 2016</w:t>
            </w:r>
          </w:p>
        </w:tc>
      </w:tr>
      <w:tr w:rsidR="00C47C3B" w:rsidRPr="00C47C3B" w:rsidTr="009F446F">
        <w:tc>
          <w:tcPr>
            <w:tcW w:w="688"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jc w:val="both"/>
              <w:rPr>
                <w:rFonts w:ascii="Arial Narrow" w:hAnsi="Arial Narrow" w:cs="Calibri"/>
                <w:snapToGrid w:val="0"/>
                <w:sz w:val="20"/>
                <w:szCs w:val="20"/>
              </w:rPr>
            </w:pPr>
            <w:r w:rsidRPr="00C47C3B">
              <w:rPr>
                <w:rFonts w:ascii="Arial Narrow" w:hAnsi="Arial Narrow" w:cs="Calibri"/>
                <w:snapToGrid w:val="0"/>
                <w:sz w:val="20"/>
                <w:szCs w:val="20"/>
                <w:lang w:eastAsia="en-US"/>
              </w:rPr>
              <w:t>Main comparator</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Best supportive care</w:t>
            </w:r>
          </w:p>
          <w:p w:rsidR="00C47C3B" w:rsidRPr="00C47C3B" w:rsidRDefault="00C47C3B" w:rsidP="00C47C3B">
            <w:pPr>
              <w:rPr>
                <w:rFonts w:ascii="Arial Narrow" w:hAnsi="Arial Narrow" w:cs="Calibri"/>
                <w:snapToGrid w:val="0"/>
                <w:sz w:val="20"/>
                <w:szCs w:val="20"/>
                <w:lang w:eastAsia="en-US"/>
              </w:rPr>
            </w:pPr>
          </w:p>
          <w:p w:rsidR="00C47C3B" w:rsidRPr="00C47C3B" w:rsidRDefault="00C47C3B" w:rsidP="00C47C3B">
            <w:pPr>
              <w:rPr>
                <w:rFonts w:ascii="Arial Narrow" w:hAnsi="Arial Narrow" w:cs="Calibri"/>
                <w:snapToGrid w:val="0"/>
                <w:sz w:val="20"/>
                <w:szCs w:val="20"/>
              </w:rPr>
            </w:pPr>
            <w:r w:rsidRPr="00C47C3B">
              <w:rPr>
                <w:rFonts w:ascii="Arial Narrow" w:hAnsi="Arial Narrow" w:cs="Calibri"/>
                <w:b/>
                <w:snapToGrid w:val="0"/>
                <w:sz w:val="20"/>
                <w:szCs w:val="20"/>
                <w:lang w:eastAsia="en-US"/>
              </w:rPr>
              <w:t>PBAC comment:</w:t>
            </w:r>
            <w:r w:rsidRPr="00C47C3B">
              <w:rPr>
                <w:rFonts w:ascii="Arial Narrow" w:hAnsi="Arial Narrow" w:cs="Calibri"/>
                <w:snapToGrid w:val="0"/>
                <w:sz w:val="20"/>
                <w:szCs w:val="20"/>
                <w:lang w:eastAsia="en-US"/>
              </w:rPr>
              <w:t xml:space="preserve"> Best supportive care was the appropriate comparator (7.4 of March 2016 PSD)</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As per March 2016</w:t>
            </w:r>
          </w:p>
        </w:tc>
      </w:tr>
      <w:tr w:rsidR="00C47C3B" w:rsidRPr="00C47C3B" w:rsidTr="009F446F">
        <w:tc>
          <w:tcPr>
            <w:tcW w:w="688"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jc w:val="both"/>
              <w:rPr>
                <w:rFonts w:ascii="Arial Narrow" w:hAnsi="Arial Narrow" w:cs="Calibri"/>
                <w:snapToGrid w:val="0"/>
                <w:sz w:val="20"/>
                <w:szCs w:val="20"/>
              </w:rPr>
            </w:pPr>
            <w:r w:rsidRPr="00C47C3B">
              <w:rPr>
                <w:rFonts w:ascii="Arial Narrow" w:hAnsi="Arial Narrow" w:cs="Calibri"/>
                <w:snapToGrid w:val="0"/>
                <w:sz w:val="20"/>
                <w:szCs w:val="20"/>
                <w:lang w:eastAsia="en-US"/>
              </w:rPr>
              <w:t>Clinical evidence</w:t>
            </w:r>
          </w:p>
        </w:tc>
        <w:tc>
          <w:tcPr>
            <w:tcW w:w="2156"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rPr>
                <w:rFonts w:ascii="Arial Narrow" w:hAnsi="Arial Narrow" w:cs="Calibri"/>
                <w:snapToGrid w:val="0"/>
                <w:sz w:val="20"/>
                <w:szCs w:val="20"/>
              </w:rPr>
            </w:pPr>
            <w:r w:rsidRPr="00C47C3B">
              <w:rPr>
                <w:rFonts w:ascii="Arial Narrow" w:hAnsi="Arial Narrow" w:cs="Calibri"/>
                <w:snapToGrid w:val="0"/>
                <w:sz w:val="20"/>
                <w:szCs w:val="20"/>
                <w:lang w:eastAsia="en-US"/>
              </w:rPr>
              <w:t xml:space="preserve">Two head-to-head trials comparing </w:t>
            </w:r>
            <w:proofErr w:type="spellStart"/>
            <w:r w:rsidRPr="00C47C3B">
              <w:rPr>
                <w:rFonts w:ascii="Arial Narrow" w:hAnsi="Arial Narrow" w:cs="Calibri"/>
                <w:snapToGrid w:val="0"/>
                <w:sz w:val="20"/>
                <w:szCs w:val="20"/>
                <w:lang w:eastAsia="en-US"/>
              </w:rPr>
              <w:t>lumacaftor</w:t>
            </w:r>
            <w:proofErr w:type="spellEnd"/>
            <w:r w:rsidRPr="00C47C3B">
              <w:rPr>
                <w:rFonts w:ascii="Arial Narrow" w:hAnsi="Arial Narrow" w:cs="Calibri"/>
                <w:snapToGrid w:val="0"/>
                <w:sz w:val="20"/>
                <w:szCs w:val="20"/>
                <w:lang w:eastAsia="en-US"/>
              </w:rPr>
              <w:t>/</w:t>
            </w:r>
            <w:proofErr w:type="spellStart"/>
            <w:r w:rsidRPr="00C47C3B">
              <w:rPr>
                <w:rFonts w:ascii="Arial Narrow" w:hAnsi="Arial Narrow" w:cs="Calibri"/>
                <w:snapToGrid w:val="0"/>
                <w:sz w:val="20"/>
                <w:szCs w:val="20"/>
                <w:lang w:eastAsia="en-US"/>
              </w:rPr>
              <w:t>ivacaftor</w:t>
            </w:r>
            <w:proofErr w:type="spellEnd"/>
            <w:r w:rsidRPr="00C47C3B">
              <w:rPr>
                <w:rFonts w:ascii="Arial Narrow" w:hAnsi="Arial Narrow" w:cs="Calibri"/>
                <w:snapToGrid w:val="0"/>
                <w:sz w:val="20"/>
                <w:szCs w:val="20"/>
                <w:lang w:eastAsia="en-US"/>
              </w:rPr>
              <w:t xml:space="preserve"> to placebo at 24 weeks; TRAFFIC (n=374) and TRANSPORT (n=376). Supportive evidence for further 24 weeks from one extension study (PROGRESS, n=516).</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As per March 2016 with the addition of extension study PROGRESS to week 96.</w:t>
            </w:r>
          </w:p>
        </w:tc>
      </w:tr>
      <w:tr w:rsidR="00C47C3B" w:rsidRPr="00C47C3B" w:rsidTr="009F446F">
        <w:tc>
          <w:tcPr>
            <w:tcW w:w="688"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jc w:val="both"/>
              <w:rPr>
                <w:rFonts w:ascii="Arial Narrow" w:hAnsi="Arial Narrow" w:cs="Calibri"/>
                <w:snapToGrid w:val="0"/>
                <w:sz w:val="20"/>
                <w:szCs w:val="20"/>
              </w:rPr>
            </w:pPr>
            <w:r w:rsidRPr="00C47C3B">
              <w:rPr>
                <w:rFonts w:ascii="Arial Narrow" w:hAnsi="Arial Narrow" w:cs="Calibri"/>
                <w:snapToGrid w:val="0"/>
                <w:sz w:val="20"/>
                <w:szCs w:val="20"/>
                <w:lang w:eastAsia="en-US"/>
              </w:rPr>
              <w:t>Key effectiveness data</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snapToGrid w:val="0"/>
              <w:ind w:right="63"/>
              <w:contextualSpacing/>
              <w:rPr>
                <w:rFonts w:ascii="Arial Narrow" w:hAnsi="Arial Narrow" w:cs="Calibri"/>
                <w:snapToGrid w:val="0"/>
                <w:color w:val="000000"/>
                <w:sz w:val="20"/>
                <w:szCs w:val="20"/>
              </w:rPr>
            </w:pPr>
            <w:r w:rsidRPr="00C47C3B">
              <w:rPr>
                <w:rFonts w:ascii="Arial Narrow" w:hAnsi="Arial Narrow" w:cs="Calibri"/>
                <w:snapToGrid w:val="0"/>
                <w:color w:val="000000"/>
                <w:sz w:val="20"/>
                <w:szCs w:val="20"/>
              </w:rPr>
              <w:t>Absolute increase in ppFEV</w:t>
            </w:r>
            <w:r w:rsidRPr="00C47C3B">
              <w:rPr>
                <w:rFonts w:ascii="Arial Narrow" w:hAnsi="Arial Narrow" w:cs="Calibri"/>
                <w:snapToGrid w:val="0"/>
                <w:color w:val="000000"/>
                <w:sz w:val="20"/>
                <w:szCs w:val="20"/>
                <w:vertAlign w:val="subscript"/>
              </w:rPr>
              <w:t>1</w:t>
            </w:r>
            <w:r w:rsidRPr="00C47C3B">
              <w:rPr>
                <w:rFonts w:ascii="Arial Narrow" w:hAnsi="Arial Narrow" w:cs="Calibri"/>
                <w:snapToGrid w:val="0"/>
                <w:color w:val="000000"/>
                <w:sz w:val="20"/>
                <w:szCs w:val="20"/>
              </w:rPr>
              <w:t xml:space="preserve"> of 2.8% (measured as the average of weeks 16 and 24).  Reduction in the annualised rate of pulmonary exacerbations, including those that required hospitalisation and/or IV antibiotics.</w:t>
            </w:r>
          </w:p>
          <w:p w:rsidR="00C47C3B" w:rsidRPr="00C47C3B" w:rsidRDefault="00C47C3B" w:rsidP="00C47C3B">
            <w:pPr>
              <w:snapToGrid w:val="0"/>
              <w:ind w:right="63"/>
              <w:contextualSpacing/>
              <w:rPr>
                <w:rFonts w:ascii="Arial Narrow" w:hAnsi="Arial Narrow" w:cs="Calibri"/>
                <w:snapToGrid w:val="0"/>
                <w:color w:val="000000"/>
                <w:sz w:val="20"/>
                <w:szCs w:val="20"/>
              </w:rPr>
            </w:pPr>
          </w:p>
          <w:p w:rsidR="00C47C3B" w:rsidRPr="00C47C3B" w:rsidRDefault="00C47C3B" w:rsidP="00C47C3B">
            <w:pPr>
              <w:snapToGrid w:val="0"/>
              <w:ind w:right="63"/>
              <w:contextualSpacing/>
              <w:rPr>
                <w:rFonts w:ascii="Arial Narrow" w:hAnsi="Arial Narrow" w:cs="Calibri"/>
                <w:snapToGrid w:val="0"/>
                <w:color w:val="000000"/>
                <w:sz w:val="20"/>
                <w:szCs w:val="20"/>
                <w:lang w:eastAsia="en-US"/>
              </w:rPr>
            </w:pPr>
            <w:r w:rsidRPr="00C47C3B">
              <w:rPr>
                <w:rFonts w:ascii="Arial Narrow" w:hAnsi="Arial Narrow" w:cs="Calibri"/>
                <w:b/>
                <w:snapToGrid w:val="0"/>
                <w:color w:val="000000"/>
                <w:sz w:val="20"/>
                <w:szCs w:val="20"/>
              </w:rPr>
              <w:t xml:space="preserve">PBAC comment: </w:t>
            </w:r>
            <w:r w:rsidRPr="00C47C3B">
              <w:rPr>
                <w:rFonts w:ascii="Arial Narrow" w:hAnsi="Arial Narrow" w:cs="Arial"/>
                <w:snapToGrid w:val="0"/>
                <w:sz w:val="20"/>
                <w:szCs w:val="20"/>
                <w:lang w:eastAsia="en-US"/>
              </w:rPr>
              <w:t>“…it was uncertain whether this observed improvement in p</w:t>
            </w:r>
            <w:r w:rsidRPr="00C47C3B">
              <w:rPr>
                <w:rFonts w:ascii="Arial Narrow" w:hAnsi="Arial Narrow" w:cs="Calibri"/>
                <w:snapToGrid w:val="0"/>
                <w:color w:val="000000"/>
                <w:sz w:val="20"/>
                <w:szCs w:val="20"/>
              </w:rPr>
              <w:t>pFEV</w:t>
            </w:r>
            <w:r w:rsidRPr="00C47C3B">
              <w:rPr>
                <w:rFonts w:ascii="Arial Narrow" w:hAnsi="Arial Narrow" w:cs="Calibri"/>
                <w:snapToGrid w:val="0"/>
                <w:color w:val="000000"/>
                <w:sz w:val="20"/>
                <w:szCs w:val="20"/>
                <w:vertAlign w:val="subscript"/>
              </w:rPr>
              <w:t>1</w:t>
            </w:r>
            <w:r w:rsidRPr="00C47C3B">
              <w:rPr>
                <w:rFonts w:ascii="Arial Narrow" w:hAnsi="Arial Narrow" w:cs="Arial"/>
                <w:snapToGrid w:val="0"/>
                <w:sz w:val="20"/>
                <w:szCs w:val="20"/>
                <w:vertAlign w:val="subscript"/>
                <w:lang w:eastAsia="en-US"/>
              </w:rPr>
              <w:t xml:space="preserve"> </w:t>
            </w:r>
            <w:r w:rsidRPr="00C47C3B">
              <w:rPr>
                <w:rFonts w:ascii="Arial Narrow" w:hAnsi="Arial Narrow" w:cs="Arial"/>
                <w:snapToGrid w:val="0"/>
                <w:sz w:val="20"/>
                <w:szCs w:val="20"/>
                <w:lang w:eastAsia="en-US"/>
              </w:rPr>
              <w:t xml:space="preserve">[2.81%] represented a clinically significant difference, noting that this was considerably smaller than the improvement of 10.58% (95% CI: 8.57, 12.59) demonstrated for </w:t>
            </w:r>
            <w:proofErr w:type="spellStart"/>
            <w:r w:rsidRPr="00C47C3B">
              <w:rPr>
                <w:rFonts w:ascii="Arial Narrow" w:hAnsi="Arial Narrow" w:cs="Arial"/>
                <w:snapToGrid w:val="0"/>
                <w:sz w:val="20"/>
                <w:szCs w:val="20"/>
                <w:lang w:eastAsia="en-US"/>
              </w:rPr>
              <w:t>ivacaftor</w:t>
            </w:r>
            <w:proofErr w:type="spellEnd"/>
            <w:r w:rsidRPr="00C47C3B">
              <w:rPr>
                <w:rFonts w:ascii="Arial Narrow" w:hAnsi="Arial Narrow" w:cs="Arial"/>
                <w:snapToGrid w:val="0"/>
                <w:sz w:val="20"/>
                <w:szCs w:val="20"/>
                <w:lang w:eastAsia="en-US"/>
              </w:rPr>
              <w:t xml:space="preserve"> monotherapy.” (paragraph 7.6 of March 2016 PSD)</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 xml:space="preserve">The increase in </w:t>
            </w:r>
            <w:r w:rsidRPr="00C47C3B">
              <w:rPr>
                <w:rFonts w:ascii="Arial Narrow" w:hAnsi="Arial Narrow" w:cs="Calibri"/>
                <w:snapToGrid w:val="0"/>
                <w:color w:val="000000"/>
                <w:sz w:val="20"/>
                <w:szCs w:val="20"/>
              </w:rPr>
              <w:t>ppFEV</w:t>
            </w:r>
            <w:r w:rsidRPr="00C47C3B">
              <w:rPr>
                <w:rFonts w:ascii="Arial Narrow" w:hAnsi="Arial Narrow" w:cs="Calibri"/>
                <w:snapToGrid w:val="0"/>
                <w:color w:val="000000"/>
                <w:sz w:val="20"/>
                <w:szCs w:val="20"/>
                <w:vertAlign w:val="subscript"/>
              </w:rPr>
              <w:t>1</w:t>
            </w:r>
            <w:r w:rsidRPr="00C47C3B">
              <w:rPr>
                <w:rFonts w:ascii="Arial Narrow" w:hAnsi="Arial Narrow" w:cs="Calibri"/>
                <w:snapToGrid w:val="0"/>
                <w:sz w:val="20"/>
                <w:szCs w:val="20"/>
                <w:lang w:eastAsia="en-US"/>
              </w:rPr>
              <w:t xml:space="preserve"> observed in TRAFFIC and TRANSPORT at week 24 in </w:t>
            </w:r>
            <w:proofErr w:type="spellStart"/>
            <w:r w:rsidRPr="00C47C3B">
              <w:rPr>
                <w:rFonts w:ascii="Arial Narrow" w:hAnsi="Arial Narrow" w:cs="Calibri"/>
                <w:snapToGrid w:val="0"/>
                <w:sz w:val="20"/>
                <w:szCs w:val="20"/>
                <w:lang w:eastAsia="en-US"/>
              </w:rPr>
              <w:t>lumacaftor</w:t>
            </w:r>
            <w:proofErr w:type="spellEnd"/>
            <w:r w:rsidRPr="00C47C3B">
              <w:rPr>
                <w:rFonts w:ascii="Arial Narrow" w:hAnsi="Arial Narrow" w:cs="Calibri"/>
                <w:snapToGrid w:val="0"/>
                <w:sz w:val="20"/>
                <w:szCs w:val="20"/>
                <w:lang w:eastAsia="en-US"/>
              </w:rPr>
              <w:t>/</w:t>
            </w:r>
            <w:proofErr w:type="spellStart"/>
            <w:r w:rsidRPr="00C47C3B">
              <w:rPr>
                <w:rFonts w:ascii="Arial Narrow" w:hAnsi="Arial Narrow" w:cs="Calibri"/>
                <w:snapToGrid w:val="0"/>
                <w:sz w:val="20"/>
                <w:szCs w:val="20"/>
                <w:lang w:eastAsia="en-US"/>
              </w:rPr>
              <w:t>ivacaftor</w:t>
            </w:r>
            <w:proofErr w:type="spellEnd"/>
            <w:r w:rsidRPr="00C47C3B">
              <w:rPr>
                <w:rFonts w:ascii="Arial Narrow" w:hAnsi="Arial Narrow" w:cs="Calibri"/>
                <w:snapToGrid w:val="0"/>
                <w:sz w:val="20"/>
                <w:szCs w:val="20"/>
                <w:lang w:eastAsia="en-US"/>
              </w:rPr>
              <w:t xml:space="preserve"> treated patients was not maintained at week 72 or 96. While p</w:t>
            </w:r>
            <w:r w:rsidRPr="00C47C3B">
              <w:rPr>
                <w:rFonts w:ascii="Arial Narrow" w:hAnsi="Arial Narrow" w:cs="Calibri"/>
                <w:snapToGrid w:val="0"/>
                <w:color w:val="000000"/>
                <w:sz w:val="20"/>
                <w:szCs w:val="20"/>
              </w:rPr>
              <w:t>pFEV</w:t>
            </w:r>
            <w:r w:rsidRPr="00C47C3B">
              <w:rPr>
                <w:rFonts w:ascii="Arial Narrow" w:hAnsi="Arial Narrow" w:cs="Calibri"/>
                <w:snapToGrid w:val="0"/>
                <w:color w:val="000000"/>
                <w:sz w:val="20"/>
                <w:szCs w:val="20"/>
                <w:vertAlign w:val="subscript"/>
              </w:rPr>
              <w:t>1</w:t>
            </w:r>
            <w:r w:rsidRPr="00C47C3B">
              <w:rPr>
                <w:rFonts w:ascii="Arial Narrow" w:hAnsi="Arial Narrow" w:cs="Calibri"/>
                <w:snapToGrid w:val="0"/>
                <w:color w:val="000000"/>
                <w:sz w:val="20"/>
                <w:szCs w:val="20"/>
              </w:rPr>
              <w:t xml:space="preserve"> di</w:t>
            </w:r>
            <w:r w:rsidRPr="00C47C3B">
              <w:rPr>
                <w:rFonts w:ascii="Arial Narrow" w:hAnsi="Arial Narrow" w:cs="Calibri"/>
                <w:snapToGrid w:val="0"/>
                <w:sz w:val="20"/>
                <w:szCs w:val="20"/>
                <w:lang w:eastAsia="en-US"/>
              </w:rPr>
              <w:t>d remain above the original pre-treatment baseline at these time points, this difference was not statistically significant.</w:t>
            </w:r>
          </w:p>
          <w:p w:rsidR="00C47C3B" w:rsidRPr="00C47C3B" w:rsidRDefault="00C47C3B" w:rsidP="00C47C3B">
            <w:pPr>
              <w:rPr>
                <w:rFonts w:ascii="Arial Narrow" w:hAnsi="Arial Narrow" w:cs="Calibri"/>
                <w:snapToGrid w:val="0"/>
                <w:sz w:val="20"/>
                <w:szCs w:val="20"/>
                <w:lang w:eastAsia="en-US"/>
              </w:rPr>
            </w:pPr>
          </w:p>
          <w:p w:rsidR="00C47C3B" w:rsidRPr="00C47C3B" w:rsidRDefault="00C47C3B" w:rsidP="00C47C3B">
            <w:pPr>
              <w:rPr>
                <w:rFonts w:ascii="Arial Narrow" w:hAnsi="Arial Narrow" w:cs="Calibri"/>
                <w:snapToGrid w:val="0"/>
                <w:sz w:val="20"/>
                <w:szCs w:val="20"/>
                <w:lang w:eastAsia="en-US"/>
              </w:rPr>
            </w:pPr>
          </w:p>
        </w:tc>
      </w:tr>
      <w:tr w:rsidR="00C47C3B" w:rsidRPr="00C47C3B" w:rsidTr="009F446F">
        <w:tc>
          <w:tcPr>
            <w:tcW w:w="688"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jc w:val="both"/>
              <w:rPr>
                <w:rFonts w:ascii="Arial Narrow" w:hAnsi="Arial Narrow" w:cs="Calibri"/>
                <w:snapToGrid w:val="0"/>
                <w:sz w:val="20"/>
                <w:szCs w:val="20"/>
              </w:rPr>
            </w:pPr>
            <w:r w:rsidRPr="00C47C3B">
              <w:rPr>
                <w:rFonts w:ascii="Arial Narrow" w:hAnsi="Arial Narrow" w:cs="Calibri"/>
                <w:snapToGrid w:val="0"/>
                <w:sz w:val="20"/>
                <w:szCs w:val="20"/>
                <w:lang w:eastAsia="en-US"/>
              </w:rPr>
              <w:t>Clinical claim</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Superior in terms of comparative effectiveness and equivalent in terms of comparative safety over best supportive care.</w:t>
            </w:r>
          </w:p>
          <w:p w:rsidR="00C47C3B" w:rsidRPr="00C47C3B" w:rsidRDefault="00C47C3B" w:rsidP="00C47C3B">
            <w:pPr>
              <w:rPr>
                <w:rFonts w:ascii="Arial Narrow" w:hAnsi="Arial Narrow" w:cs="Calibri"/>
                <w:snapToGrid w:val="0"/>
                <w:sz w:val="20"/>
                <w:szCs w:val="20"/>
                <w:lang w:eastAsia="en-US"/>
              </w:rPr>
            </w:pPr>
          </w:p>
          <w:p w:rsidR="00C47C3B" w:rsidRPr="00C47C3B" w:rsidRDefault="00C47C3B" w:rsidP="00C47C3B">
            <w:pPr>
              <w:rPr>
                <w:rFonts w:ascii="Arial Narrow" w:hAnsi="Arial Narrow" w:cs="Calibri"/>
                <w:snapToGrid w:val="0"/>
                <w:color w:val="0000FF"/>
                <w:sz w:val="20"/>
                <w:szCs w:val="20"/>
                <w:lang w:eastAsia="en-US"/>
              </w:rPr>
            </w:pPr>
            <w:r w:rsidRPr="00C47C3B">
              <w:rPr>
                <w:rFonts w:ascii="Arial Narrow" w:hAnsi="Arial Narrow" w:cs="Calibri"/>
                <w:b/>
                <w:snapToGrid w:val="0"/>
                <w:sz w:val="20"/>
                <w:szCs w:val="20"/>
                <w:lang w:eastAsia="en-US"/>
              </w:rPr>
              <w:t>PBAC comment</w:t>
            </w:r>
            <w:r w:rsidRPr="00C47C3B">
              <w:rPr>
                <w:rFonts w:ascii="Arial Narrow" w:hAnsi="Arial Narrow" w:cs="Calibri"/>
                <w:snapToGrid w:val="0"/>
                <w:sz w:val="20"/>
                <w:szCs w:val="20"/>
                <w:lang w:eastAsia="en-US"/>
              </w:rPr>
              <w:t xml:space="preserve">: “The extrapolation of short-term results to longer term efficacy was uncertain” and “long-term safety of </w:t>
            </w:r>
            <w:proofErr w:type="spellStart"/>
            <w:r w:rsidRPr="00C47C3B">
              <w:rPr>
                <w:rFonts w:ascii="Arial Narrow" w:hAnsi="Arial Narrow" w:cs="Calibri"/>
                <w:snapToGrid w:val="0"/>
                <w:sz w:val="20"/>
                <w:szCs w:val="20"/>
                <w:lang w:eastAsia="en-US"/>
              </w:rPr>
              <w:t>lumacaftor</w:t>
            </w:r>
            <w:proofErr w:type="spellEnd"/>
            <w:r w:rsidRPr="00C47C3B">
              <w:rPr>
                <w:rFonts w:ascii="Arial Narrow" w:hAnsi="Arial Narrow" w:cs="Calibri"/>
                <w:snapToGrid w:val="0"/>
                <w:sz w:val="20"/>
                <w:szCs w:val="20"/>
                <w:lang w:eastAsia="en-US"/>
              </w:rPr>
              <w:t>/</w:t>
            </w:r>
            <w:proofErr w:type="spellStart"/>
            <w:r w:rsidRPr="00C47C3B">
              <w:rPr>
                <w:rFonts w:ascii="Arial Narrow" w:hAnsi="Arial Narrow" w:cs="Calibri"/>
                <w:snapToGrid w:val="0"/>
                <w:sz w:val="20"/>
                <w:szCs w:val="20"/>
                <w:lang w:eastAsia="en-US"/>
              </w:rPr>
              <w:t>ivacaftor</w:t>
            </w:r>
            <w:proofErr w:type="spellEnd"/>
            <w:r w:rsidRPr="00C47C3B">
              <w:rPr>
                <w:rFonts w:ascii="Arial Narrow" w:hAnsi="Arial Narrow" w:cs="Calibri"/>
                <w:snapToGrid w:val="0"/>
                <w:sz w:val="20"/>
                <w:szCs w:val="20"/>
                <w:lang w:eastAsia="en-US"/>
              </w:rPr>
              <w:t xml:space="preserve"> is unknown” (paragraph 7.7 and 7.10 of March 2016 PSD)</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 xml:space="preserve">The resubmission claimed that longer-term data from the PROGRESS study provided further evidence that </w:t>
            </w:r>
            <w:proofErr w:type="spellStart"/>
            <w:r w:rsidRPr="00C47C3B">
              <w:rPr>
                <w:rFonts w:ascii="Arial Narrow" w:hAnsi="Arial Narrow" w:cs="Calibri"/>
                <w:snapToGrid w:val="0"/>
                <w:sz w:val="20"/>
                <w:szCs w:val="20"/>
                <w:lang w:eastAsia="en-US"/>
              </w:rPr>
              <w:t>lumacaftor</w:t>
            </w:r>
            <w:proofErr w:type="spellEnd"/>
            <w:r w:rsidRPr="00C47C3B">
              <w:rPr>
                <w:rFonts w:ascii="Arial Narrow" w:hAnsi="Arial Narrow" w:cs="Calibri"/>
                <w:snapToGrid w:val="0"/>
                <w:sz w:val="20"/>
                <w:szCs w:val="20"/>
                <w:lang w:eastAsia="en-US"/>
              </w:rPr>
              <w:t>/</w:t>
            </w:r>
            <w:proofErr w:type="spellStart"/>
            <w:r w:rsidRPr="00C47C3B">
              <w:rPr>
                <w:rFonts w:ascii="Arial Narrow" w:hAnsi="Arial Narrow" w:cs="Calibri"/>
                <w:snapToGrid w:val="0"/>
                <w:sz w:val="20"/>
                <w:szCs w:val="20"/>
                <w:lang w:eastAsia="en-US"/>
              </w:rPr>
              <w:t>ivacaftor</w:t>
            </w:r>
            <w:proofErr w:type="spellEnd"/>
            <w:r w:rsidRPr="00C47C3B">
              <w:rPr>
                <w:rFonts w:ascii="Arial Narrow" w:hAnsi="Arial Narrow" w:cs="Calibri"/>
                <w:snapToGrid w:val="0"/>
                <w:sz w:val="20"/>
                <w:szCs w:val="20"/>
                <w:lang w:eastAsia="en-US"/>
              </w:rPr>
              <w:t xml:space="preserve"> is a disease modifying therapy, and the longer-term safety profile was consistent with the previous data in TRAFFIC and TRANSPORT.</w:t>
            </w:r>
          </w:p>
        </w:tc>
      </w:tr>
      <w:tr w:rsidR="00C47C3B" w:rsidRPr="00C47C3B" w:rsidTr="009F446F">
        <w:tc>
          <w:tcPr>
            <w:tcW w:w="688"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jc w:val="both"/>
              <w:rPr>
                <w:rFonts w:ascii="Arial Narrow" w:hAnsi="Arial Narrow" w:cs="Calibri"/>
                <w:snapToGrid w:val="0"/>
                <w:sz w:val="20"/>
                <w:szCs w:val="20"/>
              </w:rPr>
            </w:pPr>
            <w:r w:rsidRPr="00C47C3B">
              <w:rPr>
                <w:rFonts w:ascii="Arial Narrow" w:hAnsi="Arial Narrow" w:cs="Calibri"/>
                <w:snapToGrid w:val="0"/>
                <w:sz w:val="20"/>
                <w:szCs w:val="20"/>
                <w:lang w:eastAsia="en-US"/>
              </w:rPr>
              <w:t>Economic evaluation</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Cost-utility model with cost/QALY of:</w:t>
            </w:r>
          </w:p>
          <w:p w:rsidR="00C47C3B" w:rsidRPr="00C47C3B" w:rsidRDefault="00C47C3B" w:rsidP="00ED4A83">
            <w:pPr>
              <w:widowControl w:val="0"/>
              <w:numPr>
                <w:ilvl w:val="0"/>
                <w:numId w:val="20"/>
              </w:numPr>
              <w:ind w:left="306"/>
              <w:contextualSpacing/>
              <w:jc w:val="both"/>
              <w:rPr>
                <w:rFonts w:ascii="Arial Narrow" w:hAnsi="Arial Narrow" w:cs="Calibri"/>
                <w:b/>
                <w:snapToGrid w:val="0"/>
                <w:sz w:val="20"/>
                <w:szCs w:val="20"/>
                <w:lang w:eastAsia="en-US"/>
              </w:rPr>
            </w:pPr>
            <w:r w:rsidRPr="00C47C3B">
              <w:rPr>
                <w:rFonts w:ascii="Arial Narrow" w:hAnsi="Arial Narrow" w:cs="Calibri"/>
                <w:snapToGrid w:val="0"/>
                <w:sz w:val="20"/>
                <w:szCs w:val="20"/>
                <w:lang w:eastAsia="en-US"/>
              </w:rPr>
              <w:t>March 2016: $</w:t>
            </w:r>
            <w:r w:rsidRPr="00C47C3B">
              <w:rPr>
                <w:rFonts w:ascii="Arial Narrow" w:hAnsi="Arial Narrow" w:cs="Calibri"/>
                <w:noProof/>
                <w:snapToGrid w:val="0"/>
                <w:color w:val="000000"/>
                <w:sz w:val="20"/>
                <w:szCs w:val="20"/>
                <w:highlight w:val="black"/>
                <w:lang w:eastAsia="en-US"/>
              </w:rPr>
              <w:t>'''''''''''''''''</w:t>
            </w:r>
            <w:r w:rsidRPr="00C47C3B">
              <w:rPr>
                <w:rFonts w:ascii="Arial Narrow" w:hAnsi="Arial Narrow" w:cs="Calibri"/>
                <w:snapToGrid w:val="0"/>
                <w:sz w:val="20"/>
                <w:szCs w:val="20"/>
                <w:lang w:eastAsia="en-US"/>
              </w:rPr>
              <w:t>more than $200,000.</w:t>
            </w:r>
          </w:p>
          <w:p w:rsidR="00C47C3B" w:rsidRPr="00C47C3B" w:rsidRDefault="00C47C3B" w:rsidP="00ED4A83">
            <w:pPr>
              <w:widowControl w:val="0"/>
              <w:numPr>
                <w:ilvl w:val="0"/>
                <w:numId w:val="20"/>
              </w:numPr>
              <w:ind w:left="306"/>
              <w:contextualSpacing/>
              <w:jc w:val="both"/>
              <w:rPr>
                <w:rFonts w:ascii="Arial Narrow" w:hAnsi="Arial Narrow" w:cs="Calibri"/>
                <w:b/>
                <w:snapToGrid w:val="0"/>
                <w:sz w:val="20"/>
                <w:szCs w:val="20"/>
                <w:lang w:eastAsia="en-US"/>
              </w:rPr>
            </w:pPr>
            <w:r w:rsidRPr="00C47C3B">
              <w:rPr>
                <w:rFonts w:ascii="Arial Narrow" w:hAnsi="Arial Narrow" w:cs="Calibri"/>
                <w:snapToGrid w:val="0"/>
                <w:sz w:val="20"/>
                <w:szCs w:val="20"/>
                <w:lang w:eastAsia="en-US"/>
              </w:rPr>
              <w:t xml:space="preserve">November 2016: </w:t>
            </w:r>
            <w:r w:rsidRPr="00C47C3B">
              <w:rPr>
                <w:rFonts w:ascii="Arial Narrow" w:hAnsi="Arial Narrow" w:cs="Calibri"/>
                <w:noProof/>
                <w:snapToGrid w:val="0"/>
                <w:color w:val="000000"/>
                <w:sz w:val="20"/>
                <w:szCs w:val="20"/>
                <w:highlight w:val="black"/>
                <w:lang w:eastAsia="en-US"/>
              </w:rPr>
              <w:t>'''''''''''''''''''''</w:t>
            </w:r>
            <w:r w:rsidRPr="00C47C3B">
              <w:rPr>
                <w:rFonts w:ascii="Arial Narrow" w:hAnsi="Arial Narrow" w:cs="Calibri"/>
                <w:snapToGrid w:val="0"/>
                <w:sz w:val="20"/>
                <w:szCs w:val="20"/>
                <w:lang w:eastAsia="en-US"/>
              </w:rPr>
              <w:t xml:space="preserve">more than $200,000 (revised to include a financial cap and reduce time to patent expiry and time to </w:t>
            </w:r>
            <w:r w:rsidRPr="00C47C3B">
              <w:rPr>
                <w:rFonts w:ascii="Arial Narrow" w:hAnsi="Arial Narrow" w:cs="Calibri"/>
                <w:noProof/>
                <w:snapToGrid w:val="0"/>
                <w:color w:val="000000"/>
                <w:sz w:val="20"/>
                <w:szCs w:val="20"/>
                <w:highlight w:val="black"/>
                <w:lang w:eastAsia="en-US"/>
              </w:rPr>
              <w:t>''''''''''</w:t>
            </w:r>
            <w:r w:rsidRPr="00C47C3B">
              <w:rPr>
                <w:rFonts w:ascii="Arial Narrow" w:hAnsi="Arial Narrow" w:cs="Calibri"/>
                <w:snapToGrid w:val="0"/>
                <w:sz w:val="20"/>
                <w:szCs w:val="20"/>
                <w:lang w:eastAsia="en-US"/>
              </w:rPr>
              <w:t xml:space="preserve"> price reduction). </w:t>
            </w:r>
          </w:p>
          <w:p w:rsidR="00C47C3B" w:rsidRPr="00C47C3B" w:rsidRDefault="00C47C3B" w:rsidP="00C47C3B">
            <w:pPr>
              <w:rPr>
                <w:rFonts w:ascii="Arial Narrow" w:hAnsi="Arial Narrow" w:cs="Calibri"/>
                <w:b/>
                <w:snapToGrid w:val="0"/>
                <w:sz w:val="20"/>
                <w:szCs w:val="20"/>
                <w:lang w:eastAsia="en-US"/>
              </w:rPr>
            </w:pPr>
          </w:p>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b/>
                <w:snapToGrid w:val="0"/>
                <w:sz w:val="20"/>
                <w:szCs w:val="20"/>
                <w:lang w:eastAsia="en-US"/>
              </w:rPr>
              <w:t>PBAC comment</w:t>
            </w:r>
            <w:r w:rsidRPr="00C47C3B">
              <w:rPr>
                <w:rFonts w:ascii="Arial Narrow" w:hAnsi="Arial Narrow" w:cs="Calibri"/>
                <w:snapToGrid w:val="0"/>
                <w:sz w:val="20"/>
                <w:szCs w:val="20"/>
                <w:lang w:eastAsia="en-US"/>
              </w:rPr>
              <w:t xml:space="preserve">: “Unacceptably high and uncertain ICER at the requested price and uncertainty around the impact of </w:t>
            </w:r>
            <w:proofErr w:type="spellStart"/>
            <w:r w:rsidRPr="00C47C3B">
              <w:rPr>
                <w:rFonts w:ascii="Arial Narrow" w:hAnsi="Arial Narrow" w:cs="Calibri"/>
                <w:snapToGrid w:val="0"/>
                <w:sz w:val="20"/>
                <w:szCs w:val="20"/>
                <w:lang w:eastAsia="en-US"/>
              </w:rPr>
              <w:t>lumacaftor</w:t>
            </w:r>
            <w:proofErr w:type="spellEnd"/>
            <w:r w:rsidRPr="00C47C3B">
              <w:rPr>
                <w:rFonts w:ascii="Arial Narrow" w:hAnsi="Arial Narrow" w:cs="Calibri"/>
                <w:snapToGrid w:val="0"/>
                <w:sz w:val="20"/>
                <w:szCs w:val="20"/>
                <w:lang w:eastAsia="en-US"/>
              </w:rPr>
              <w:t>/</w:t>
            </w:r>
            <w:proofErr w:type="spellStart"/>
            <w:r w:rsidRPr="00C47C3B">
              <w:rPr>
                <w:rFonts w:ascii="Arial Narrow" w:hAnsi="Arial Narrow" w:cs="Calibri"/>
                <w:snapToGrid w:val="0"/>
                <w:sz w:val="20"/>
                <w:szCs w:val="20"/>
                <w:lang w:eastAsia="en-US"/>
              </w:rPr>
              <w:t>ivacaftor</w:t>
            </w:r>
            <w:proofErr w:type="spellEnd"/>
            <w:r w:rsidRPr="00C47C3B">
              <w:rPr>
                <w:rFonts w:ascii="Arial Narrow" w:hAnsi="Arial Narrow" w:cs="Calibri"/>
                <w:snapToGrid w:val="0"/>
                <w:sz w:val="20"/>
                <w:szCs w:val="20"/>
                <w:lang w:eastAsia="en-US"/>
              </w:rPr>
              <w:t xml:space="preserve"> on long-term improvements on lung function and overall survival (paragraph 7.1 of March 2016 PSD) </w:t>
            </w:r>
          </w:p>
          <w:p w:rsidR="00C47C3B" w:rsidRPr="00C47C3B" w:rsidRDefault="00C47C3B" w:rsidP="00C47C3B">
            <w:pPr>
              <w:rPr>
                <w:rFonts w:ascii="Arial Narrow" w:hAnsi="Arial Narrow" w:cs="Calibri"/>
                <w:snapToGrid w:val="0"/>
                <w:sz w:val="20"/>
                <w:szCs w:val="20"/>
              </w:rPr>
            </w:pPr>
            <w:r w:rsidRPr="00C47C3B">
              <w:rPr>
                <w:rFonts w:ascii="Arial Narrow" w:hAnsi="Arial Narrow" w:cs="Calibri"/>
                <w:snapToGrid w:val="0"/>
                <w:sz w:val="20"/>
                <w:szCs w:val="20"/>
                <w:lang w:eastAsia="en-US"/>
              </w:rPr>
              <w:t>There was “continuing uncertainty regarding long-</w:t>
            </w:r>
            <w:r w:rsidRPr="00C47C3B">
              <w:rPr>
                <w:rFonts w:ascii="Arial Narrow" w:hAnsi="Arial Narrow" w:cs="Calibri"/>
                <w:snapToGrid w:val="0"/>
                <w:sz w:val="20"/>
                <w:szCs w:val="20"/>
                <w:lang w:eastAsia="en-US"/>
              </w:rPr>
              <w:lastRenderedPageBreak/>
              <w:t>term benefits of treatment” and the ICER was likely under-estimated. (paragraph 7.1 and 7.3 of November 2016 PSD)</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lastRenderedPageBreak/>
              <w:t>Cost-utility model with cost/QALY of:</w:t>
            </w:r>
          </w:p>
          <w:p w:rsidR="00C47C3B" w:rsidRPr="00C47C3B" w:rsidRDefault="00C47C3B" w:rsidP="00ED4A83">
            <w:pPr>
              <w:widowControl w:val="0"/>
              <w:numPr>
                <w:ilvl w:val="0"/>
                <w:numId w:val="20"/>
              </w:numPr>
              <w:ind w:left="306"/>
              <w:contextualSpacing/>
              <w:jc w:val="both"/>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 xml:space="preserve">Base Case 1: $105,000 - $200,000. </w:t>
            </w:r>
          </w:p>
          <w:p w:rsidR="00C47C3B" w:rsidRPr="00C47C3B" w:rsidRDefault="00C47C3B" w:rsidP="00ED4A83">
            <w:pPr>
              <w:widowControl w:val="0"/>
              <w:numPr>
                <w:ilvl w:val="0"/>
                <w:numId w:val="20"/>
              </w:numPr>
              <w:ind w:left="306"/>
              <w:contextualSpacing/>
              <w:jc w:val="both"/>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Base Case 2: $105,000 - $200,000.</w:t>
            </w:r>
          </w:p>
        </w:tc>
      </w:tr>
      <w:tr w:rsidR="00C47C3B" w:rsidRPr="00C47C3B" w:rsidTr="009F446F">
        <w:tc>
          <w:tcPr>
            <w:tcW w:w="688"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rPr>
                <w:rFonts w:ascii="Arial Narrow" w:hAnsi="Arial Narrow" w:cs="Calibri"/>
                <w:snapToGrid w:val="0"/>
                <w:sz w:val="20"/>
                <w:szCs w:val="20"/>
              </w:rPr>
            </w:pPr>
            <w:r w:rsidRPr="00C47C3B">
              <w:rPr>
                <w:rFonts w:ascii="Arial Narrow" w:hAnsi="Arial Narrow" w:cs="Calibri"/>
                <w:snapToGrid w:val="0"/>
                <w:sz w:val="20"/>
                <w:szCs w:val="20"/>
                <w:lang w:eastAsia="en-US"/>
              </w:rPr>
              <w:lastRenderedPageBreak/>
              <w:t>Number of patients</w:t>
            </w:r>
          </w:p>
        </w:tc>
        <w:tc>
          <w:tcPr>
            <w:tcW w:w="2156"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rPr>
                <w:rFonts w:ascii="Arial Narrow" w:hAnsi="Arial Narrow" w:cs="Calibri"/>
                <w:snapToGrid w:val="0"/>
                <w:sz w:val="20"/>
                <w:szCs w:val="20"/>
              </w:rPr>
            </w:pPr>
            <w:r w:rsidRPr="00C47C3B">
              <w:rPr>
                <w:rFonts w:ascii="Arial Narrow" w:hAnsi="Arial Narrow" w:cs="Calibri"/>
                <w:snapToGrid w:val="0"/>
                <w:sz w:val="20"/>
                <w:szCs w:val="20"/>
                <w:lang w:eastAsia="en-US"/>
              </w:rPr>
              <w:t>Less than 10,000 in Year 1 increasing to less than 10,000 in Year 5.</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Less than 10,000  in Year 1 increasing to less than 10,000 in Year 5</w:t>
            </w:r>
          </w:p>
        </w:tc>
      </w:tr>
      <w:tr w:rsidR="00C47C3B" w:rsidRPr="00C47C3B" w:rsidTr="009F446F">
        <w:tc>
          <w:tcPr>
            <w:tcW w:w="688"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rPr>
                <w:rFonts w:ascii="Arial Narrow" w:hAnsi="Arial Narrow" w:cs="Calibri"/>
                <w:snapToGrid w:val="0"/>
                <w:sz w:val="20"/>
                <w:szCs w:val="20"/>
              </w:rPr>
            </w:pPr>
            <w:r w:rsidRPr="00C47C3B">
              <w:rPr>
                <w:rFonts w:ascii="Arial Narrow" w:hAnsi="Arial Narrow" w:cs="Calibri"/>
                <w:snapToGrid w:val="0"/>
                <w:sz w:val="20"/>
                <w:szCs w:val="20"/>
                <w:lang w:eastAsia="en-US"/>
              </w:rPr>
              <w:t>Estimated net cost to PBS</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More than $100 million in Year 1 increasing to more than $100 million in Year 5 for a total of more than $100 million over the first 5 years of listing.</w:t>
            </w:r>
            <w:r w:rsidRPr="00C47C3B" w:rsidDel="006979AE">
              <w:rPr>
                <w:rFonts w:ascii="Arial Narrow" w:hAnsi="Arial Narrow" w:cs="Calibri"/>
                <w:snapToGrid w:val="0"/>
                <w:sz w:val="20"/>
                <w:szCs w:val="20"/>
                <w:lang w:eastAsia="en-US"/>
              </w:rPr>
              <w:t xml:space="preserve"> </w:t>
            </w:r>
            <w:r w:rsidRPr="00C47C3B">
              <w:rPr>
                <w:rFonts w:ascii="Arial Narrow" w:hAnsi="Arial Narrow" w:cs="Calibri"/>
                <w:snapToGrid w:val="0"/>
                <w:sz w:val="20"/>
                <w:szCs w:val="20"/>
                <w:lang w:eastAsia="en-US"/>
              </w:rPr>
              <w:t>(March 2016).</w:t>
            </w:r>
          </w:p>
          <w:p w:rsidR="00C47C3B" w:rsidRPr="00C47C3B" w:rsidRDefault="00C47C3B" w:rsidP="00C47C3B">
            <w:pPr>
              <w:rPr>
                <w:rFonts w:ascii="Arial Narrow" w:hAnsi="Arial Narrow" w:cs="Calibri"/>
                <w:b/>
                <w:snapToGrid w:val="0"/>
                <w:sz w:val="20"/>
                <w:szCs w:val="20"/>
                <w:lang w:eastAsia="en-US"/>
              </w:rPr>
            </w:pPr>
          </w:p>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b/>
                <w:snapToGrid w:val="0"/>
                <w:sz w:val="20"/>
                <w:szCs w:val="20"/>
                <w:lang w:eastAsia="en-US"/>
              </w:rPr>
              <w:t>PBAC comment</w:t>
            </w:r>
            <w:r w:rsidRPr="00C47C3B">
              <w:rPr>
                <w:rFonts w:ascii="Arial Narrow" w:hAnsi="Arial Narrow" w:cs="Calibri"/>
                <w:snapToGrid w:val="0"/>
                <w:sz w:val="20"/>
                <w:szCs w:val="20"/>
                <w:lang w:eastAsia="en-US"/>
              </w:rPr>
              <w:t xml:space="preserve">: “noted the significant opportunity cost of listing </w:t>
            </w:r>
            <w:proofErr w:type="spellStart"/>
            <w:r w:rsidRPr="00C47C3B">
              <w:rPr>
                <w:rFonts w:ascii="Arial Narrow" w:hAnsi="Arial Narrow" w:cs="Calibri"/>
                <w:snapToGrid w:val="0"/>
                <w:sz w:val="20"/>
                <w:szCs w:val="20"/>
                <w:lang w:eastAsia="en-US"/>
              </w:rPr>
              <w:t>lumacaftor</w:t>
            </w:r>
            <w:proofErr w:type="spellEnd"/>
            <w:r w:rsidRPr="00C47C3B">
              <w:rPr>
                <w:rFonts w:ascii="Arial Narrow" w:hAnsi="Arial Narrow" w:cs="Calibri"/>
                <w:snapToGrid w:val="0"/>
                <w:sz w:val="20"/>
                <w:szCs w:val="20"/>
                <w:lang w:eastAsia="en-US"/>
              </w:rPr>
              <w:t>/</w:t>
            </w:r>
            <w:proofErr w:type="spellStart"/>
            <w:r w:rsidRPr="00C47C3B">
              <w:rPr>
                <w:rFonts w:ascii="Arial Narrow" w:hAnsi="Arial Narrow" w:cs="Calibri"/>
                <w:snapToGrid w:val="0"/>
                <w:sz w:val="20"/>
                <w:szCs w:val="20"/>
                <w:lang w:eastAsia="en-US"/>
              </w:rPr>
              <w:t>ivacaftor</w:t>
            </w:r>
            <w:proofErr w:type="spellEnd"/>
            <w:r w:rsidRPr="00C47C3B">
              <w:rPr>
                <w:rFonts w:ascii="Arial Narrow" w:hAnsi="Arial Narrow" w:cs="Calibri"/>
                <w:snapToGrid w:val="0"/>
                <w:sz w:val="20"/>
                <w:szCs w:val="20"/>
                <w:lang w:eastAsia="en-US"/>
              </w:rPr>
              <w:t xml:space="preserve">, particularly in the context of the uncertainty of the long-term improvements in lung function” (paragraph 7.16 of March 2016 PSD) </w:t>
            </w:r>
          </w:p>
          <w:p w:rsidR="00C47C3B" w:rsidRPr="00C47C3B" w:rsidRDefault="00C47C3B" w:rsidP="00C47C3B">
            <w:pPr>
              <w:rPr>
                <w:rFonts w:ascii="Arial Narrow" w:hAnsi="Arial Narrow" w:cs="Calibri"/>
                <w:snapToGrid w:val="0"/>
                <w:sz w:val="20"/>
                <w:szCs w:val="20"/>
                <w:lang w:eastAsia="en-US"/>
              </w:rPr>
            </w:pPr>
          </w:p>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Cap on the first five years gross PBS cost (without co-payments deducted) to $</w:t>
            </w:r>
            <w:r w:rsidRPr="00C47C3B">
              <w:rPr>
                <w:rFonts w:ascii="Arial Narrow" w:hAnsi="Arial Narrow" w:cs="Calibri"/>
                <w:noProof/>
                <w:snapToGrid w:val="0"/>
                <w:color w:val="000000"/>
                <w:sz w:val="20"/>
                <w:szCs w:val="20"/>
                <w:highlight w:val="black"/>
                <w:lang w:eastAsia="en-US"/>
              </w:rPr>
              <w:t>'''''''''' ''''''''''''''''</w:t>
            </w:r>
            <w:r w:rsidRPr="00C47C3B">
              <w:rPr>
                <w:rFonts w:ascii="Arial Narrow" w:hAnsi="Arial Narrow" w:cs="Calibri"/>
                <w:snapToGrid w:val="0"/>
                <w:sz w:val="20"/>
                <w:szCs w:val="20"/>
                <w:lang w:eastAsia="en-US"/>
              </w:rPr>
              <w:t xml:space="preserve"> (November 2016).</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 xml:space="preserve">Proposal to cap the gross cost to the PBS (without co-payment deducted) to more than $100 million in each of the first 5 years of listing. </w:t>
            </w:r>
          </w:p>
        </w:tc>
      </w:tr>
      <w:tr w:rsidR="00C47C3B" w:rsidRPr="00C47C3B" w:rsidTr="009F446F">
        <w:tc>
          <w:tcPr>
            <w:tcW w:w="688" w:type="pct"/>
            <w:tcBorders>
              <w:top w:val="single" w:sz="4" w:space="0" w:color="auto"/>
              <w:left w:val="single" w:sz="4" w:space="0" w:color="auto"/>
              <w:bottom w:val="single" w:sz="4" w:space="0" w:color="auto"/>
              <w:right w:val="single" w:sz="4" w:space="0" w:color="auto"/>
            </w:tcBorders>
            <w:hideMark/>
          </w:tcPr>
          <w:p w:rsidR="00C47C3B" w:rsidRPr="00C47C3B" w:rsidRDefault="00C47C3B" w:rsidP="00C47C3B">
            <w:pPr>
              <w:rPr>
                <w:rFonts w:ascii="Arial Narrow" w:hAnsi="Arial Narrow" w:cs="Calibri"/>
                <w:snapToGrid w:val="0"/>
                <w:sz w:val="20"/>
                <w:szCs w:val="20"/>
                <w:highlight w:val="yellow"/>
              </w:rPr>
            </w:pPr>
            <w:r w:rsidRPr="00C47C3B">
              <w:rPr>
                <w:rFonts w:ascii="Arial Narrow" w:hAnsi="Arial Narrow" w:cs="Calibri"/>
                <w:snapToGrid w:val="0"/>
                <w:sz w:val="20"/>
                <w:szCs w:val="20"/>
                <w:lang w:eastAsia="en-US"/>
              </w:rPr>
              <w:t>Risk sharing arrangement and pay-for-performance</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The sponsor was open to discussing the details of the requested listing and the final pricing arrangement. (March 2016).</w:t>
            </w:r>
          </w:p>
          <w:p w:rsidR="00C47C3B" w:rsidRPr="00C47C3B" w:rsidRDefault="00C47C3B" w:rsidP="00C47C3B">
            <w:pPr>
              <w:rPr>
                <w:rFonts w:ascii="Arial Narrow" w:hAnsi="Arial Narrow" w:cs="Calibri"/>
                <w:snapToGrid w:val="0"/>
                <w:sz w:val="20"/>
                <w:szCs w:val="20"/>
                <w:lang w:eastAsia="en-US"/>
              </w:rPr>
            </w:pPr>
          </w:p>
          <w:p w:rsidR="00C47C3B" w:rsidRPr="00C47C3B" w:rsidRDefault="00C47C3B" w:rsidP="00C47C3B">
            <w:pPr>
              <w:rPr>
                <w:rFonts w:ascii="Arial Narrow" w:hAnsi="Arial Narrow" w:cs="Calibri"/>
                <w:snapToGrid w:val="0"/>
                <w:sz w:val="20"/>
                <w:szCs w:val="20"/>
              </w:rPr>
            </w:pPr>
            <w:r w:rsidRPr="00C47C3B">
              <w:rPr>
                <w:rFonts w:ascii="Arial Narrow" w:hAnsi="Arial Narrow" w:cs="Calibri"/>
                <w:snapToGrid w:val="0"/>
                <w:sz w:val="20"/>
                <w:szCs w:val="20"/>
                <w:lang w:eastAsia="en-US"/>
              </w:rPr>
              <w:t xml:space="preserve">Proposal to cap the gross cost to the PBS (without co-payments deducted) as above and the sponsor indicated a willingness to discuss </w:t>
            </w:r>
            <w:r w:rsidRPr="00C47C3B">
              <w:rPr>
                <w:rFonts w:ascii="Arial Narrow" w:hAnsi="Arial Narrow" w:cs="Calibri"/>
                <w:noProof/>
                <w:snapToGrid w:val="0"/>
                <w:color w:val="000000"/>
                <w:sz w:val="20"/>
                <w:szCs w:val="20"/>
                <w:highlight w:val="black"/>
                <w:lang w:eastAsia="en-US"/>
              </w:rPr>
              <w:t xml:space="preserve">'''' ''''''''''''''''''''''''''''''''''''''''''''''' '''''''''''''''''''''''''''''' </w:t>
            </w:r>
            <w:r w:rsidRPr="00C47C3B">
              <w:rPr>
                <w:rFonts w:ascii="Arial Narrow" w:hAnsi="Arial Narrow" w:cs="Calibri"/>
                <w:snapToGrid w:val="0"/>
                <w:sz w:val="20"/>
                <w:szCs w:val="20"/>
                <w:lang w:eastAsia="en-US"/>
              </w:rPr>
              <w:t>(November 2016)</w:t>
            </w:r>
          </w:p>
        </w:tc>
        <w:tc>
          <w:tcPr>
            <w:tcW w:w="2156" w:type="pct"/>
            <w:tcBorders>
              <w:top w:val="single" w:sz="4" w:space="0" w:color="auto"/>
              <w:left w:val="single" w:sz="4" w:space="0" w:color="auto"/>
              <w:bottom w:val="single" w:sz="4" w:space="0" w:color="auto"/>
              <w:right w:val="single" w:sz="4" w:space="0" w:color="auto"/>
            </w:tcBorders>
          </w:tcPr>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 xml:space="preserve">Proposal to cap the gross cost to the PBS (without co-payments deducted) as above. </w:t>
            </w:r>
          </w:p>
          <w:p w:rsidR="00C47C3B" w:rsidRPr="00C47C3B" w:rsidRDefault="00C47C3B" w:rsidP="00C47C3B">
            <w:pPr>
              <w:rPr>
                <w:rFonts w:ascii="Arial Narrow" w:hAnsi="Arial Narrow" w:cs="Calibri"/>
                <w:snapToGrid w:val="0"/>
                <w:sz w:val="20"/>
                <w:szCs w:val="20"/>
                <w:lang w:eastAsia="en-US"/>
              </w:rPr>
            </w:pPr>
            <w:r w:rsidRPr="00C47C3B">
              <w:rPr>
                <w:rFonts w:ascii="Arial Narrow" w:hAnsi="Arial Narrow" w:cs="Calibri"/>
                <w:snapToGrid w:val="0"/>
                <w:sz w:val="20"/>
                <w:szCs w:val="20"/>
                <w:lang w:eastAsia="en-US"/>
              </w:rPr>
              <w:t xml:space="preserve">In addition, a proposal was presented to </w:t>
            </w:r>
            <w:r w:rsidRPr="00C47C3B">
              <w:rPr>
                <w:rFonts w:ascii="Arial Narrow" w:hAnsi="Arial Narrow" w:cs="Calibri"/>
                <w:noProof/>
                <w:snapToGrid w:val="0"/>
                <w:color w:val="000000"/>
                <w:sz w:val="20"/>
                <w:szCs w:val="20"/>
                <w:highlight w:val="black"/>
                <w:lang w:eastAsia="en-US"/>
              </w:rPr>
              <w:t xml:space="preserve">'''''''''''''' ''' ''''''''''''''''''''''''''''''' '''''''''''''''''''''''''''''''' '''''''''''''''''''''' ''' '''''''''''' ''''''''''''''''''' ''''' '''''''''''''' '''''''''''''''''''''''''''''''''''''' ''''''''' ''''''''''''''''' '''''''''' '''''''''''''''''''' ''''' '''''''''''''''' ''''''''''''''' '''''''' '''''''''''''''''''''' '''''''' ''' '''''''' ''''''''''''' '''' ''''''''' ''''''''''''''''''''' ''''''''''''''''''''''''''' ''' '''''''''''' '''''''''''''''''''''''''''''''''''''''' '''''''''''''''''' ''''' '''''''''''' ''''''''''' '''''''''''' ''''''' ''''''''''''''''''''''''''''' ''''''''''''''''''''''' ''''' '''''''''''''''''''' '''' '''''''' '''''''''''''''''''' ''''''''''' </w:t>
            </w:r>
          </w:p>
        </w:tc>
      </w:tr>
    </w:tbl>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Source: Resubmission table, page (</w:t>
      </w:r>
      <w:proofErr w:type="spellStart"/>
      <w:r w:rsidRPr="00C47C3B">
        <w:rPr>
          <w:rFonts w:ascii="Arial Narrow" w:hAnsi="Arial Narrow" w:cs="Arial"/>
          <w:snapToGrid w:val="0"/>
          <w:sz w:val="16"/>
          <w:szCs w:val="16"/>
          <w:lang w:eastAsia="en-US"/>
        </w:rPr>
        <w:t>i</w:t>
      </w:r>
      <w:proofErr w:type="spellEnd"/>
      <w:r w:rsidRPr="00C47C3B">
        <w:rPr>
          <w:rFonts w:ascii="Arial Narrow" w:hAnsi="Arial Narrow" w:cs="Arial"/>
          <w:snapToGrid w:val="0"/>
          <w:sz w:val="16"/>
          <w:szCs w:val="16"/>
          <w:lang w:eastAsia="en-US"/>
        </w:rPr>
        <w:t>) to (iii) of July 2017 resubmission and compiled during the evaluation.</w:t>
      </w:r>
    </w:p>
    <w:p w:rsidR="00C47C3B" w:rsidRPr="00C47C3B" w:rsidRDefault="00C47C3B" w:rsidP="00C47C3B">
      <w:pPr>
        <w:keepNext/>
        <w:spacing w:after="120"/>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Abbreviations: ICER, incremental cost effectiveness ratio; ACFDR, Australian Cystic Fibrosis Disease Registry; PSD, Public Summary Document.</w:t>
      </w:r>
    </w:p>
    <w:p w:rsidR="00C47C3B" w:rsidRPr="00C47C3B" w:rsidRDefault="00C47C3B" w:rsidP="00C47C3B">
      <w:pPr>
        <w:spacing w:after="120"/>
        <w:ind w:left="720"/>
        <w:jc w:val="both"/>
        <w:rPr>
          <w:rFonts w:asciiTheme="minorHAnsi" w:hAnsiTheme="minorHAnsi" w:cs="Arial"/>
          <w:i/>
          <w:snapToGrid w:val="0"/>
          <w:szCs w:val="20"/>
          <w:lang w:eastAsia="en-US"/>
        </w:rPr>
      </w:pPr>
      <w:bookmarkStart w:id="38" w:name="_Toc476306884"/>
      <w:bookmarkStart w:id="39" w:name="_Toc482713671"/>
      <w:bookmarkEnd w:id="36"/>
      <w:bookmarkEnd w:id="37"/>
      <w:r w:rsidRPr="00C47C3B">
        <w:rPr>
          <w:rFonts w:asciiTheme="minorHAnsi" w:hAnsiTheme="minorHAnsi" w:cs="Arial"/>
          <w:i/>
          <w:snapToGrid w:val="0"/>
          <w:szCs w:val="20"/>
          <w:lang w:eastAsia="en-US"/>
        </w:rPr>
        <w:t>For more detail on PBAC’s view, see section 7 “PBAC outcome.”</w:t>
      </w:r>
    </w:p>
    <w:p w:rsidR="00C47C3B" w:rsidRPr="00C47C3B" w:rsidRDefault="00C47C3B" w:rsidP="00C47C3B">
      <w:pPr>
        <w:spacing w:after="120"/>
        <w:ind w:left="720"/>
        <w:jc w:val="both"/>
        <w:rPr>
          <w:rFonts w:asciiTheme="minorHAnsi" w:hAnsiTheme="minorHAnsi" w:cs="Arial"/>
          <w:i/>
          <w:snapToGrid w:val="0"/>
          <w:szCs w:val="20"/>
          <w:lang w:eastAsia="en-US"/>
        </w:rPr>
      </w:pPr>
    </w:p>
    <w:p w:rsidR="00C47C3B" w:rsidRPr="0073784D" w:rsidRDefault="00C47C3B" w:rsidP="0073784D">
      <w:pPr>
        <w:pStyle w:val="PBACHeading1"/>
        <w:spacing w:before="240" w:after="120"/>
        <w:rPr>
          <w:rFonts w:asciiTheme="minorHAnsi" w:hAnsiTheme="minorHAnsi" w:cstheme="minorHAnsi"/>
          <w:sz w:val="32"/>
        </w:rPr>
      </w:pPr>
      <w:r w:rsidRPr="0073784D">
        <w:rPr>
          <w:rFonts w:asciiTheme="minorHAnsi" w:hAnsiTheme="minorHAnsi" w:cstheme="minorHAnsi"/>
          <w:sz w:val="32"/>
        </w:rPr>
        <w:t>Population and disease</w:t>
      </w:r>
      <w:bookmarkEnd w:id="38"/>
      <w:bookmarkEnd w:id="39"/>
    </w:p>
    <w:p w:rsidR="00C47C3B" w:rsidRPr="00C47C3B" w:rsidRDefault="00C47C3B" w:rsidP="00ED4A83">
      <w:pPr>
        <w:widowControl w:val="0"/>
        <w:numPr>
          <w:ilvl w:val="1"/>
          <w:numId w:val="14"/>
        </w:numPr>
        <w:spacing w:before="120" w:after="16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CF is an autosomal recessive disease caused by mutations in the CFTR gene. CF is a progressive multi-organ disease that primarily affects the pulmonary and digestive systems. </w:t>
      </w:r>
    </w:p>
    <w:p w:rsidR="00C47C3B" w:rsidRPr="00C47C3B" w:rsidRDefault="00C47C3B" w:rsidP="00ED4A83">
      <w:pPr>
        <w:widowControl w:val="0"/>
        <w:numPr>
          <w:ilvl w:val="1"/>
          <w:numId w:val="14"/>
        </w:numPr>
        <w:spacing w:before="120" w:after="16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As per the March 2016 and November 2016 submissions, the major resubmission proposed that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 xml:space="preserve"> 400 mg/</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250 mg twice daily be administered in addition to current best supportive care in patients aged 12 years and older who are homozygous for the F508 deletion mutation in the CFTR gene. The ESC noted that over 90% of the Australian cystic fibrosis patient population have at least one F508del mutation, and around 50% are homozygous for the mutation, in the CFTR </w:t>
      </w:r>
      <w:r w:rsidRPr="00C47C3B">
        <w:rPr>
          <w:rFonts w:asciiTheme="minorHAnsi" w:hAnsiTheme="minorHAnsi" w:cs="Arial"/>
          <w:snapToGrid w:val="0"/>
          <w:szCs w:val="20"/>
          <w:lang w:eastAsia="en-US"/>
        </w:rPr>
        <w:lastRenderedPageBreak/>
        <w:t>gene</w:t>
      </w:r>
      <w:r w:rsidRPr="00C47C3B">
        <w:rPr>
          <w:rFonts w:asciiTheme="minorHAnsi" w:hAnsiTheme="minorHAnsi" w:cs="Arial"/>
          <w:snapToGrid w:val="0"/>
          <w:szCs w:val="20"/>
          <w:vertAlign w:val="superscript"/>
          <w:lang w:eastAsia="en-US"/>
        </w:rPr>
        <w:footnoteReference w:id="5"/>
      </w:r>
      <w:r w:rsidRPr="00C47C3B">
        <w:rPr>
          <w:rFonts w:asciiTheme="minorHAnsi" w:hAnsiTheme="minorHAnsi" w:cs="Arial"/>
          <w:snapToGrid w:val="0"/>
          <w:szCs w:val="20"/>
          <w:lang w:eastAsia="en-US"/>
        </w:rPr>
        <w:t>.</w:t>
      </w:r>
    </w:p>
    <w:p w:rsidR="00C47C3B" w:rsidRPr="00C47C3B" w:rsidRDefault="00C47C3B" w:rsidP="00ED4A83">
      <w:pPr>
        <w:widowControl w:val="0"/>
        <w:numPr>
          <w:ilvl w:val="1"/>
          <w:numId w:val="14"/>
        </w:numPr>
        <w:spacing w:before="120" w:after="16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evaluation noted that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was approved for use in patients aged 6-11 years of age by the US Food and Drug Administration (FDA) on 28 September 2016 and asked the sponsor to </w:t>
      </w:r>
      <w:proofErr w:type="gramStart"/>
      <w:r w:rsidRPr="00C47C3B">
        <w:rPr>
          <w:rFonts w:asciiTheme="minorHAnsi" w:hAnsiTheme="minorHAnsi" w:cs="Arial"/>
          <w:snapToGrid w:val="0"/>
          <w:szCs w:val="20"/>
          <w:lang w:eastAsia="en-US"/>
        </w:rPr>
        <w:t>advise</w:t>
      </w:r>
      <w:proofErr w:type="gramEnd"/>
      <w:r w:rsidRPr="00C47C3B">
        <w:rPr>
          <w:rFonts w:asciiTheme="minorHAnsi" w:hAnsiTheme="minorHAnsi" w:cs="Arial"/>
          <w:snapToGrid w:val="0"/>
          <w:szCs w:val="20"/>
          <w:lang w:eastAsia="en-US"/>
        </w:rPr>
        <w:t xml:space="preserve"> of current plans for seeking to extend Australian marketing approval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to this age group. The PSCR and pre-PBAC response did not address this request for information. </w:t>
      </w:r>
      <w:r w:rsidRPr="00C47C3B">
        <w:rPr>
          <w:rFonts w:asciiTheme="minorHAnsi" w:hAnsiTheme="minorHAnsi" w:cs="Arial"/>
          <w:noProof/>
          <w:snapToGrid w:val="0"/>
          <w:color w:val="000000"/>
          <w:highlight w:val="black"/>
          <w:lang w:eastAsia="en-US"/>
        </w:rPr>
        <w:t>''''''' '''''''' '''''''''''''' ''''''' ''''''''''' '''''''' ''' '''''''''''''''''' ''''' '''''''''''''''''''''' '''''''' '''''' '''''''''''''''' ''''' ''''' '''''''' '''''''''' ''''' ''''''''''''' ''' ''''''''' ''''''''''''''' '''' ''''''''''''''''''''' ''''''' '''''''''''''''''''''' '''''''' ''''''' '''''' '''''' ''' ''' ''''''''''''''''' ''''''''''''''''''''''' ''''''''''' '''''''''''''</w:t>
      </w:r>
    </w:p>
    <w:p w:rsidR="00C47C3B" w:rsidRPr="00C47C3B" w:rsidRDefault="00C47C3B" w:rsidP="00ED4A83">
      <w:pPr>
        <w:widowControl w:val="0"/>
        <w:numPr>
          <w:ilvl w:val="1"/>
          <w:numId w:val="14"/>
        </w:numPr>
        <w:spacing w:before="120" w:after="16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The evaluation also noted that on 27 March 2017, the sponsor announced</w:t>
      </w:r>
      <w:r w:rsidRPr="00C47C3B">
        <w:rPr>
          <w:rFonts w:asciiTheme="minorHAnsi" w:hAnsiTheme="minorHAnsi" w:cs="Arial"/>
          <w:snapToGrid w:val="0"/>
          <w:vertAlign w:val="superscript"/>
          <w:lang w:eastAsia="en-US"/>
        </w:rPr>
        <w:footnoteReference w:id="6"/>
      </w:r>
      <w:r w:rsidRPr="00C47C3B">
        <w:rPr>
          <w:rFonts w:asciiTheme="minorHAnsi" w:hAnsiTheme="minorHAnsi" w:cs="Arial"/>
          <w:snapToGrid w:val="0"/>
          <w:szCs w:val="20"/>
          <w:lang w:eastAsia="en-US"/>
        </w:rPr>
        <w:t xml:space="preserve"> results from two Phase 3 studies of a </w:t>
      </w:r>
      <w:proofErr w:type="spellStart"/>
      <w:r w:rsidRPr="00C47C3B">
        <w:rPr>
          <w:rFonts w:asciiTheme="minorHAnsi" w:hAnsiTheme="minorHAnsi" w:cs="Arial"/>
          <w:snapToGrid w:val="0"/>
          <w:szCs w:val="20"/>
          <w:lang w:eastAsia="en-US"/>
        </w:rPr>
        <w:t>tezacaftor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combination treatment that showed statistically significant improvements in lung function (ppFEV1) in patients aged 12 and older who were homozygous for the F508del mutation. The sponsor also announced plans to submit a New Drug Application to the FDA and a Marketing Authorization Application to the European Medicines Agency in the third quarter of 2017 for the combination therapy. The evaluation noted that if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was PBS listed for the requested indication it would likely be used as a comparator for </w:t>
      </w:r>
      <w:proofErr w:type="spellStart"/>
      <w:r w:rsidRPr="00C47C3B">
        <w:rPr>
          <w:rFonts w:asciiTheme="minorHAnsi" w:hAnsiTheme="minorHAnsi" w:cs="Arial"/>
          <w:snapToGrid w:val="0"/>
          <w:szCs w:val="20"/>
          <w:lang w:eastAsia="en-US"/>
        </w:rPr>
        <w:t>tezacaftor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in a future submission to the PBAC. The evaluation asked the sponsor to </w:t>
      </w:r>
      <w:proofErr w:type="gramStart"/>
      <w:r w:rsidRPr="00C47C3B">
        <w:rPr>
          <w:rFonts w:asciiTheme="minorHAnsi" w:hAnsiTheme="minorHAnsi" w:cs="Arial"/>
          <w:snapToGrid w:val="0"/>
          <w:szCs w:val="20"/>
          <w:lang w:eastAsia="en-US"/>
        </w:rPr>
        <w:t>advise</w:t>
      </w:r>
      <w:proofErr w:type="gramEnd"/>
      <w:r w:rsidRPr="00C47C3B">
        <w:rPr>
          <w:rFonts w:asciiTheme="minorHAnsi" w:hAnsiTheme="minorHAnsi" w:cs="Arial"/>
          <w:snapToGrid w:val="0"/>
          <w:szCs w:val="20"/>
          <w:lang w:eastAsia="en-US"/>
        </w:rPr>
        <w:t xml:space="preserve"> of current plans for seeking Australian marketing approval for </w:t>
      </w:r>
      <w:proofErr w:type="spellStart"/>
      <w:r w:rsidRPr="00C47C3B">
        <w:rPr>
          <w:rFonts w:asciiTheme="minorHAnsi" w:hAnsiTheme="minorHAnsi" w:cs="Arial"/>
          <w:snapToGrid w:val="0"/>
          <w:szCs w:val="20"/>
          <w:lang w:eastAsia="en-US"/>
        </w:rPr>
        <w:t>tezacaftor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The PSCR and pre-PBAC response did not address this request for information. </w:t>
      </w:r>
      <w:r w:rsidRPr="00C47C3B">
        <w:rPr>
          <w:rFonts w:asciiTheme="minorHAnsi" w:hAnsiTheme="minorHAnsi" w:cs="Arial"/>
          <w:noProof/>
          <w:snapToGrid w:val="0"/>
          <w:color w:val="000000"/>
          <w:highlight w:val="black"/>
          <w:lang w:eastAsia="en-US"/>
        </w:rPr>
        <w:t>''''''' '''''''' ''''''''''''''' '''''' ''''''''''' '''''''' ''' '''''''''''''' '''' ''''''''''''' ''' '''''''''''''''''''' '''''' '''''''''''''''''''''''''''''''''' ''''' ''''''' '''''''' '''''''''''''' '''' ''''''''''''</w:t>
      </w:r>
      <w:r w:rsidRPr="00C47C3B">
        <w:rPr>
          <w:rFonts w:asciiTheme="minorHAnsi" w:hAnsiTheme="minorHAnsi" w:cs="Arial"/>
          <w:snapToGrid w:val="0"/>
          <w:lang w:eastAsia="en-US"/>
        </w:rPr>
        <w:t xml:space="preserve"> In addition, the PBAC was also aware that phase 1 and 2 clinical trials are currently ongoing for triple therapy regimens of </w:t>
      </w:r>
      <w:proofErr w:type="spellStart"/>
      <w:r w:rsidRPr="00C47C3B">
        <w:rPr>
          <w:rFonts w:asciiTheme="minorHAnsi" w:hAnsiTheme="minorHAnsi" w:cs="Arial"/>
          <w:snapToGrid w:val="0"/>
          <w:lang w:eastAsia="en-US"/>
        </w:rPr>
        <w:t>tezacaftor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plus a “next generation corrector” in various CF populations, including patients homozygous for F508del</w:t>
      </w:r>
      <w:r w:rsidRPr="00C47C3B">
        <w:rPr>
          <w:rFonts w:asciiTheme="minorHAnsi" w:hAnsiTheme="minorHAnsi" w:cs="Arial"/>
          <w:snapToGrid w:val="0"/>
          <w:vertAlign w:val="superscript"/>
          <w:lang w:eastAsia="en-US"/>
        </w:rPr>
        <w:footnoteReference w:id="7"/>
      </w:r>
      <w:r w:rsidRPr="00C47C3B">
        <w:rPr>
          <w:rFonts w:asciiTheme="minorHAnsi" w:hAnsiTheme="minorHAnsi" w:cs="Arial"/>
          <w:snapToGrid w:val="0"/>
          <w:lang w:eastAsia="en-US"/>
        </w:rPr>
        <w:t>.</w:t>
      </w:r>
    </w:p>
    <w:p w:rsidR="00C47C3B" w:rsidRPr="00C47C3B" w:rsidRDefault="00C47C3B" w:rsidP="00C47C3B">
      <w:pPr>
        <w:spacing w:after="120"/>
        <w:ind w:firstLine="709"/>
        <w:jc w:val="both"/>
        <w:rPr>
          <w:rFonts w:asciiTheme="minorHAnsi" w:hAnsiTheme="minorHAnsi" w:cs="Arial"/>
          <w:i/>
          <w:snapToGrid w:val="0"/>
          <w:szCs w:val="20"/>
          <w:lang w:eastAsia="en-US"/>
        </w:rPr>
      </w:pPr>
      <w:r w:rsidRPr="00C47C3B">
        <w:rPr>
          <w:rFonts w:asciiTheme="minorHAnsi" w:hAnsiTheme="minorHAnsi" w:cs="Arial"/>
          <w:i/>
          <w:snapToGrid w:val="0"/>
          <w:szCs w:val="20"/>
          <w:lang w:eastAsia="en-US"/>
        </w:rPr>
        <w:t>For more detail on PBAC’s view, see section 7 “PBAC outcome.”</w:t>
      </w:r>
    </w:p>
    <w:p w:rsidR="00C47C3B" w:rsidRPr="00C47C3B" w:rsidRDefault="00C47C3B" w:rsidP="00C47C3B">
      <w:pPr>
        <w:spacing w:after="120"/>
        <w:ind w:firstLine="709"/>
        <w:jc w:val="both"/>
        <w:rPr>
          <w:rFonts w:asciiTheme="minorHAnsi" w:hAnsiTheme="minorHAnsi" w:cs="Arial"/>
          <w:i/>
          <w:snapToGrid w:val="0"/>
          <w:szCs w:val="20"/>
          <w:lang w:eastAsia="en-US"/>
        </w:rPr>
      </w:pPr>
    </w:p>
    <w:p w:rsidR="00C47C3B" w:rsidRPr="0073784D" w:rsidRDefault="00C47C3B" w:rsidP="0073784D">
      <w:pPr>
        <w:pStyle w:val="PBACHeading1"/>
        <w:spacing w:before="240" w:after="120"/>
        <w:rPr>
          <w:rFonts w:asciiTheme="minorHAnsi" w:hAnsiTheme="minorHAnsi" w:cstheme="minorHAnsi"/>
          <w:sz w:val="32"/>
        </w:rPr>
      </w:pPr>
      <w:bookmarkStart w:id="40" w:name="_Toc413139275"/>
      <w:bookmarkStart w:id="41" w:name="_Toc476306885"/>
      <w:bookmarkStart w:id="42" w:name="_Toc482713672"/>
      <w:r w:rsidRPr="0073784D">
        <w:rPr>
          <w:rFonts w:asciiTheme="minorHAnsi" w:hAnsiTheme="minorHAnsi" w:cstheme="minorHAnsi"/>
          <w:sz w:val="32"/>
        </w:rPr>
        <w:t>Comparator</w:t>
      </w:r>
      <w:bookmarkEnd w:id="40"/>
      <w:bookmarkEnd w:id="41"/>
      <w:bookmarkEnd w:id="42"/>
    </w:p>
    <w:p w:rsidR="00C47C3B" w:rsidRPr="00C47C3B" w:rsidRDefault="00C47C3B" w:rsidP="00ED4A83">
      <w:pPr>
        <w:widowControl w:val="0"/>
        <w:numPr>
          <w:ilvl w:val="1"/>
          <w:numId w:val="15"/>
        </w:numPr>
        <w:spacing w:before="120" w:after="16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Best supportive care (BSC) was nominated as the comparator. The PBAC previously accepted that this is the appropriate comparator (paragraph 7.4, March 2016 PSD).</w:t>
      </w:r>
    </w:p>
    <w:p w:rsidR="00C47C3B" w:rsidRPr="0073784D" w:rsidRDefault="00C47C3B" w:rsidP="0073784D">
      <w:pPr>
        <w:pStyle w:val="PBACHeading1"/>
        <w:spacing w:before="240" w:after="120"/>
        <w:rPr>
          <w:rFonts w:asciiTheme="minorHAnsi" w:hAnsiTheme="minorHAnsi" w:cstheme="minorHAnsi"/>
          <w:sz w:val="32"/>
        </w:rPr>
      </w:pPr>
      <w:bookmarkStart w:id="43" w:name="_Toc413139276"/>
      <w:bookmarkStart w:id="44" w:name="_Toc476306886"/>
      <w:bookmarkStart w:id="45" w:name="_Toc482713673"/>
      <w:r w:rsidRPr="0073784D">
        <w:rPr>
          <w:rFonts w:asciiTheme="minorHAnsi" w:hAnsiTheme="minorHAnsi" w:cstheme="minorHAnsi"/>
          <w:sz w:val="32"/>
        </w:rPr>
        <w:lastRenderedPageBreak/>
        <w:t>Consideration of the evidence</w:t>
      </w:r>
      <w:bookmarkEnd w:id="43"/>
      <w:bookmarkEnd w:id="44"/>
      <w:bookmarkEnd w:id="45"/>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bookmarkStart w:id="46" w:name="_Toc413139277"/>
      <w:bookmarkStart w:id="47" w:name="_Toc476306887"/>
      <w:bookmarkStart w:id="48" w:name="_Toc482713674"/>
      <w:r w:rsidRPr="00C47C3B">
        <w:rPr>
          <w:rFonts w:asciiTheme="minorHAnsi" w:hAnsiTheme="minorHAnsi" w:cs="Arial"/>
          <w:b/>
          <w:i/>
          <w:snapToGrid w:val="0"/>
          <w:sz w:val="28"/>
          <w:szCs w:val="28"/>
          <w:lang w:eastAsia="en-US"/>
        </w:rPr>
        <w:t>Sponsor hearing</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The sponsor requested a hearing for this item. The clinician discussed what outcomes are informative for deciding which treatments are useful for CF and noted that very few treatments modify the course of the disease. The clinician noted that the pattern of response in terms of FEV</w:t>
      </w:r>
      <w:r w:rsidRPr="00C47C3B">
        <w:rPr>
          <w:rFonts w:asciiTheme="minorHAnsi" w:hAnsiTheme="minorHAnsi" w:cs="Arial"/>
          <w:snapToGrid w:val="0"/>
          <w:szCs w:val="20"/>
          <w:vertAlign w:val="subscript"/>
          <w:lang w:eastAsia="en-US"/>
        </w:rPr>
        <w:t>1</w:t>
      </w:r>
      <w:r w:rsidRPr="00C47C3B">
        <w:rPr>
          <w:rFonts w:asciiTheme="minorHAnsi" w:hAnsiTheme="minorHAnsi" w:cs="Arial"/>
          <w:snapToGrid w:val="0"/>
          <w:szCs w:val="20"/>
          <w:lang w:eastAsia="en-US"/>
        </w:rPr>
        <w:t xml:space="preserve">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is similar but less than that demonstrated with </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for the class III gating patient population who typically have milder disease than the homozygous F508del population of interest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The clinician stressed the importance of reducing the rate of decline in lung function. Further, the clinician claimed that a change in FEV</w:t>
      </w:r>
      <w:r w:rsidRPr="00C47C3B">
        <w:rPr>
          <w:rFonts w:asciiTheme="minorHAnsi" w:hAnsiTheme="minorHAnsi" w:cs="Arial"/>
          <w:snapToGrid w:val="0"/>
          <w:szCs w:val="20"/>
          <w:vertAlign w:val="subscript"/>
          <w:lang w:eastAsia="en-US"/>
        </w:rPr>
        <w:t>1</w:t>
      </w:r>
      <w:r w:rsidRPr="00C47C3B">
        <w:rPr>
          <w:rFonts w:asciiTheme="minorHAnsi" w:hAnsiTheme="minorHAnsi" w:cs="Arial"/>
          <w:snapToGrid w:val="0"/>
          <w:szCs w:val="20"/>
          <w:lang w:eastAsia="en-US"/>
        </w:rPr>
        <w:t xml:space="preserve"> was not a good predictor of the longer-term decline in lung function, or long-term health outcomes, which some evidence suggests may be influenced by metabolic affects. Specifically, the clinician was of the opinion that the short-term change in FEV</w:t>
      </w:r>
      <w:r w:rsidRPr="00C47C3B">
        <w:rPr>
          <w:rFonts w:asciiTheme="minorHAnsi" w:hAnsiTheme="minorHAnsi" w:cs="Arial"/>
          <w:snapToGrid w:val="0"/>
          <w:szCs w:val="20"/>
          <w:vertAlign w:val="subscript"/>
          <w:lang w:eastAsia="en-US"/>
        </w:rPr>
        <w:t>1</w:t>
      </w:r>
      <w:r w:rsidRPr="00C47C3B">
        <w:rPr>
          <w:rFonts w:asciiTheme="minorHAnsi" w:hAnsiTheme="minorHAnsi" w:cs="Arial"/>
          <w:snapToGrid w:val="0"/>
          <w:szCs w:val="20"/>
          <w:lang w:eastAsia="en-US"/>
        </w:rPr>
        <w:t xml:space="preserve"> demonstrated in trials is independent of the long-term rate of decline. In response to a question from the PBAC regarding the utility of the propensity matched analysis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treated patients in the PROGRESS extension study against a historical cohort drawn from the US CF registry (see paragraph 6.19), the clinician noted that patients in the US tend to perform worse on average than patients in other countries such as the UK. The PBAC considered that the hearing was informative as it provided a clinical perspective on the outcomes of interest in the treatment of CF.</w:t>
      </w:r>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r w:rsidRPr="00C47C3B">
        <w:rPr>
          <w:rFonts w:asciiTheme="minorHAnsi" w:hAnsiTheme="minorHAnsi" w:cs="Arial"/>
          <w:b/>
          <w:i/>
          <w:snapToGrid w:val="0"/>
          <w:sz w:val="28"/>
          <w:szCs w:val="28"/>
          <w:lang w:eastAsia="en-US"/>
        </w:rPr>
        <w:t>Consumer comments</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PBAC noted and welcomed the input from individuals (214) and one organisation via the Consumer Comments facility on the PBS website. The comments described a range of benefits of treatment with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including improvement in lung function, reduction in chest infections and exacerbations, weight gain, fewer hospital visits, fewer medications to be consumed on a daily basis, slowing disease progression, improvement in quality of life and enabling greater participation in society (including less time off work and school for illness). The comments noted that the very high cost of the drug on the private market puts it out of the financial reach of Australian patients. The comments also noted that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is a treatment which targets the underlying genetic defect which causes CF, rather than treating the symptoms of the disease.</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PBAC noted the advice received from Cystic Fibrosis Australia (CFA) that CFA considers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to be an essential medicine that treats the underlying cause of the disease. CFA stated that treatment with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slows decline in lung function, reduces hospitalisations, exacerbations and antibiotic use, and increases BMI. The CFA further noted the anxiety and depression experienced by patients with CF. </w:t>
      </w:r>
      <w:proofErr w:type="gramStart"/>
      <w:r w:rsidRPr="00C47C3B">
        <w:rPr>
          <w:rFonts w:asciiTheme="minorHAnsi" w:hAnsiTheme="minorHAnsi" w:cs="Arial"/>
          <w:snapToGrid w:val="0"/>
          <w:szCs w:val="20"/>
          <w:lang w:eastAsia="en-US"/>
        </w:rPr>
        <w:t>The</w:t>
      </w:r>
      <w:proofErr w:type="gramEnd"/>
      <w:r w:rsidRPr="00C47C3B">
        <w:rPr>
          <w:rFonts w:asciiTheme="minorHAnsi" w:hAnsiTheme="minorHAnsi" w:cs="Arial"/>
          <w:snapToGrid w:val="0"/>
          <w:szCs w:val="20"/>
          <w:lang w:eastAsia="en-US"/>
        </w:rPr>
        <w:t xml:space="preserve"> PBAC noted that this advice was supportive of the evidence provided in the submission.</w:t>
      </w:r>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r w:rsidRPr="00C47C3B">
        <w:rPr>
          <w:rFonts w:asciiTheme="minorHAnsi" w:hAnsiTheme="minorHAnsi" w:cs="Arial"/>
          <w:b/>
          <w:i/>
          <w:snapToGrid w:val="0"/>
          <w:sz w:val="28"/>
          <w:szCs w:val="28"/>
          <w:lang w:eastAsia="en-US"/>
        </w:rPr>
        <w:lastRenderedPageBreak/>
        <w:t>Clinical trials</w:t>
      </w:r>
      <w:bookmarkEnd w:id="46"/>
      <w:bookmarkEnd w:id="47"/>
      <w:bookmarkEnd w:id="48"/>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resubmission was based on the same two head-to-head trials as the March 2016 major submission, TRAFFIC (n=374) and TRANSPORT (n=376), comparing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 xml:space="preserve"> 400 mg/</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250 mg twice daily to placebo. Of the patients in these trials, 516 patients received the same dose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in an extension study, PROGRESS. While data at 24 weeks in this study had been presented in the original submission, the current resubmission presented further data at 72 weeks and 96 weeks of the extension phase (</w:t>
      </w:r>
      <w:r w:rsidRPr="00C47C3B">
        <w:rPr>
          <w:rFonts w:asciiTheme="minorHAnsi" w:hAnsiTheme="minorHAnsi" w:cs="Arial"/>
          <w:snapToGrid w:val="0"/>
          <w:lang w:eastAsia="en-US"/>
        </w:rPr>
        <w:t xml:space="preserve">i.e. up to 120 weeks of treatment for those in the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treatment group in TRAFFIC/TRANSPORT)</w:t>
      </w:r>
      <w:r w:rsidRPr="00C47C3B">
        <w:rPr>
          <w:rFonts w:asciiTheme="minorHAnsi" w:hAnsiTheme="minorHAnsi" w:cs="Arial"/>
          <w:snapToGrid w:val="0"/>
          <w:szCs w:val="20"/>
          <w:lang w:eastAsia="en-US"/>
        </w:rPr>
        <w:t>.</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Details of the trials presented in the resubmission are provided in Table 3.</w:t>
      </w:r>
    </w:p>
    <w:p w:rsidR="00C47C3B" w:rsidRPr="00C47C3B" w:rsidRDefault="00C47C3B" w:rsidP="00C47C3B">
      <w:pPr>
        <w:spacing w:after="120"/>
        <w:jc w:val="both"/>
        <w:rPr>
          <w:rFonts w:asciiTheme="minorHAnsi" w:hAnsiTheme="minorHAnsi" w:cs="Arial"/>
          <w:snapToGrid w:val="0"/>
          <w:szCs w:val="20"/>
          <w:lang w:eastAsia="en-US"/>
        </w:rPr>
      </w:pP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Table </w:t>
      </w:r>
      <w:r w:rsidRPr="00C47C3B">
        <w:rPr>
          <w:rFonts w:ascii="Arial Narrow" w:eastAsiaTheme="minorHAnsi" w:hAnsi="Arial Narrow" w:cstheme="minorBidi"/>
          <w:b/>
          <w:noProof/>
          <w:sz w:val="20"/>
          <w:szCs w:val="22"/>
          <w:lang w:eastAsia="en-US"/>
        </w:rPr>
        <w:t>3</w:t>
      </w:r>
      <w:r w:rsidRPr="00C47C3B">
        <w:rPr>
          <w:rFonts w:ascii="Arial Narrow" w:eastAsiaTheme="minorHAnsi" w:hAnsi="Arial Narrow" w:cstheme="minorBidi"/>
          <w:b/>
          <w:sz w:val="20"/>
          <w:szCs w:val="22"/>
          <w:lang w:eastAsia="en-US"/>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48"/>
        <w:gridCol w:w="5825"/>
        <w:gridCol w:w="2109"/>
      </w:tblGrid>
      <w:tr w:rsidR="00C47C3B" w:rsidRPr="00C47C3B" w:rsidTr="009F446F">
        <w:trPr>
          <w:cantSplit/>
        </w:trPr>
        <w:tc>
          <w:tcPr>
            <w:tcW w:w="632" w:type="pct"/>
          </w:tcPr>
          <w:p w:rsidR="00C47C3B" w:rsidRPr="00C47C3B" w:rsidRDefault="00C47C3B" w:rsidP="00C47C3B">
            <w:pPr>
              <w:keepNext/>
              <w:jc w:val="both"/>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Trial ID</w:t>
            </w:r>
          </w:p>
        </w:tc>
        <w:tc>
          <w:tcPr>
            <w:tcW w:w="3207" w:type="pct"/>
          </w:tcPr>
          <w:p w:rsidR="00C47C3B" w:rsidRPr="00C47C3B" w:rsidRDefault="00C47C3B" w:rsidP="00C47C3B">
            <w:pPr>
              <w:keepNext/>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Protocol title/ Publication title</w:t>
            </w:r>
          </w:p>
        </w:tc>
        <w:tc>
          <w:tcPr>
            <w:tcW w:w="1161" w:type="pct"/>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Publication citation</w:t>
            </w:r>
          </w:p>
        </w:tc>
      </w:tr>
      <w:tr w:rsidR="00C47C3B" w:rsidRPr="00C47C3B" w:rsidTr="009F446F">
        <w:trPr>
          <w:cantSplit/>
        </w:trPr>
        <w:tc>
          <w:tcPr>
            <w:tcW w:w="5000" w:type="pct"/>
            <w:gridSpan w:val="3"/>
          </w:tcPr>
          <w:p w:rsidR="00C47C3B" w:rsidRPr="00C47C3B" w:rsidRDefault="00C47C3B" w:rsidP="00C47C3B">
            <w:pPr>
              <w:keepNext/>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Direct randomised trials</w:t>
            </w:r>
          </w:p>
        </w:tc>
      </w:tr>
      <w:tr w:rsidR="00C47C3B" w:rsidRPr="00C47C3B" w:rsidTr="009F446F">
        <w:trPr>
          <w:cantSplit/>
        </w:trPr>
        <w:tc>
          <w:tcPr>
            <w:tcW w:w="632" w:type="pct"/>
            <w:tcBorders>
              <w:bottom w:val="single" w:sz="4" w:space="0" w:color="auto"/>
            </w:tcBorders>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Traffic</w:t>
            </w:r>
          </w:p>
        </w:tc>
        <w:tc>
          <w:tcPr>
            <w:tcW w:w="3207" w:type="pct"/>
            <w:tcBorders>
              <w:bottom w:val="single" w:sz="4" w:space="0" w:color="auto"/>
            </w:tcBorders>
          </w:tcPr>
          <w:p w:rsidR="00C47C3B" w:rsidRPr="00C47C3B" w:rsidRDefault="00C47C3B" w:rsidP="00C47C3B">
            <w:pPr>
              <w:keepNext/>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Clinical study report VX12-809-103 </w:t>
            </w:r>
          </w:p>
          <w:p w:rsidR="00C47C3B" w:rsidRPr="00C47C3B" w:rsidRDefault="00C47C3B" w:rsidP="00C47C3B">
            <w:pPr>
              <w:keepNext/>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A Phase 3, Randomized, Double-Blind, Placebo-Controlled, Parallel-Group Study to Evaluate the Efficacy and Safety of </w:t>
            </w:r>
            <w:proofErr w:type="spellStart"/>
            <w:r w:rsidRPr="00C47C3B">
              <w:rPr>
                <w:rFonts w:ascii="Arial Narrow" w:hAnsi="Arial Narrow" w:cs="Arial"/>
                <w:snapToGrid w:val="0"/>
                <w:sz w:val="20"/>
                <w:szCs w:val="20"/>
                <w:lang w:eastAsia="en-US"/>
              </w:rPr>
              <w:t>Lumacaftor</w:t>
            </w:r>
            <w:proofErr w:type="spellEnd"/>
            <w:r w:rsidRPr="00C47C3B">
              <w:rPr>
                <w:rFonts w:ascii="Arial Narrow" w:hAnsi="Arial Narrow" w:cs="Arial"/>
                <w:snapToGrid w:val="0"/>
                <w:sz w:val="20"/>
                <w:szCs w:val="20"/>
                <w:lang w:eastAsia="en-US"/>
              </w:rPr>
              <w:t xml:space="preserve"> in Combination With </w:t>
            </w:r>
            <w:proofErr w:type="spellStart"/>
            <w:r w:rsidRPr="00C47C3B">
              <w:rPr>
                <w:rFonts w:ascii="Arial Narrow" w:hAnsi="Arial Narrow" w:cs="Arial"/>
                <w:snapToGrid w:val="0"/>
                <w:sz w:val="20"/>
                <w:szCs w:val="20"/>
                <w:lang w:eastAsia="en-US"/>
              </w:rPr>
              <w:t>Ivacaftor</w:t>
            </w:r>
            <w:proofErr w:type="spellEnd"/>
            <w:r w:rsidRPr="00C47C3B">
              <w:rPr>
                <w:rFonts w:ascii="Arial Narrow" w:hAnsi="Arial Narrow" w:cs="Arial"/>
                <w:snapToGrid w:val="0"/>
                <w:sz w:val="20"/>
                <w:szCs w:val="20"/>
                <w:lang w:eastAsia="en-US"/>
              </w:rPr>
              <w:t xml:space="preserve"> in Subjects Aged 12 Years and Older With Cystic Fibrosis, Homozygous for the F508del-CFTR Mutation</w:t>
            </w:r>
          </w:p>
          <w:p w:rsidR="00C47C3B" w:rsidRPr="00C47C3B" w:rsidRDefault="00C47C3B" w:rsidP="00C47C3B">
            <w:pPr>
              <w:keepNext/>
              <w:rPr>
                <w:rFonts w:ascii="Arial Narrow" w:hAnsi="Arial Narrow" w:cs="Arial"/>
                <w:snapToGrid w:val="0"/>
                <w:sz w:val="20"/>
                <w:szCs w:val="20"/>
                <w:lang w:eastAsia="en-US"/>
              </w:rPr>
            </w:pPr>
          </w:p>
        </w:tc>
        <w:tc>
          <w:tcPr>
            <w:tcW w:w="1161" w:type="pct"/>
            <w:tcBorders>
              <w:bottom w:val="single" w:sz="4" w:space="0" w:color="auto"/>
            </w:tcBorders>
          </w:tcPr>
          <w:p w:rsidR="00C47C3B" w:rsidRPr="00C47C3B" w:rsidRDefault="00C47C3B" w:rsidP="00C47C3B">
            <w:pPr>
              <w:keepNext/>
              <w:jc w:val="both"/>
              <w:rPr>
                <w:rFonts w:ascii="Arial Narrow" w:hAnsi="Arial Narrow" w:cs="Arial"/>
                <w:b/>
                <w:snapToGrid w:val="0"/>
                <w:sz w:val="20"/>
                <w:szCs w:val="20"/>
                <w:lang w:eastAsia="en-US"/>
              </w:rPr>
            </w:pPr>
            <w:r w:rsidRPr="00C47C3B">
              <w:rPr>
                <w:rFonts w:ascii="Arial Narrow" w:hAnsi="Arial Narrow" w:cs="Arial"/>
                <w:snapToGrid w:val="0"/>
                <w:sz w:val="20"/>
                <w:szCs w:val="20"/>
                <w:lang w:eastAsia="en-US"/>
              </w:rPr>
              <w:t>8 September 2014</w:t>
            </w:r>
          </w:p>
        </w:tc>
      </w:tr>
      <w:tr w:rsidR="00C47C3B" w:rsidRPr="00C47C3B" w:rsidTr="009F446F">
        <w:trPr>
          <w:cantSplit/>
        </w:trPr>
        <w:tc>
          <w:tcPr>
            <w:tcW w:w="632" w:type="pct"/>
            <w:tcBorders>
              <w:bottom w:val="nil"/>
            </w:tcBorders>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Transport</w:t>
            </w:r>
          </w:p>
        </w:tc>
        <w:tc>
          <w:tcPr>
            <w:tcW w:w="3207" w:type="pct"/>
            <w:tcBorders>
              <w:bottom w:val="single" w:sz="4" w:space="0" w:color="auto"/>
            </w:tcBorders>
          </w:tcPr>
          <w:p w:rsidR="00C47C3B" w:rsidRPr="00C47C3B" w:rsidRDefault="00C47C3B" w:rsidP="00C47C3B">
            <w:pPr>
              <w:keepNext/>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Clinical study report VX12-809-104  </w:t>
            </w:r>
          </w:p>
          <w:p w:rsidR="00C47C3B" w:rsidRPr="00C47C3B" w:rsidRDefault="00C47C3B" w:rsidP="00C47C3B">
            <w:pPr>
              <w:keepNext/>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A Phase 3, Randomized, Double-Blind, Placebo-Controlled, Parallel-Group Study to Evaluate the Efficacy and Safety of </w:t>
            </w:r>
            <w:proofErr w:type="spellStart"/>
            <w:r w:rsidRPr="00C47C3B">
              <w:rPr>
                <w:rFonts w:ascii="Arial Narrow" w:hAnsi="Arial Narrow" w:cs="Arial"/>
                <w:snapToGrid w:val="0"/>
                <w:sz w:val="20"/>
                <w:szCs w:val="20"/>
                <w:lang w:eastAsia="en-US"/>
              </w:rPr>
              <w:t>Lumacaftor</w:t>
            </w:r>
            <w:proofErr w:type="spellEnd"/>
            <w:r w:rsidRPr="00C47C3B">
              <w:rPr>
                <w:rFonts w:ascii="Arial Narrow" w:hAnsi="Arial Narrow" w:cs="Arial"/>
                <w:snapToGrid w:val="0"/>
                <w:sz w:val="20"/>
                <w:szCs w:val="20"/>
                <w:lang w:eastAsia="en-US"/>
              </w:rPr>
              <w:t xml:space="preserve"> in Combination With </w:t>
            </w:r>
            <w:proofErr w:type="spellStart"/>
            <w:r w:rsidRPr="00C47C3B">
              <w:rPr>
                <w:rFonts w:ascii="Arial Narrow" w:hAnsi="Arial Narrow" w:cs="Arial"/>
                <w:snapToGrid w:val="0"/>
                <w:sz w:val="20"/>
                <w:szCs w:val="20"/>
                <w:lang w:eastAsia="en-US"/>
              </w:rPr>
              <w:t>Ivacaftor</w:t>
            </w:r>
            <w:proofErr w:type="spellEnd"/>
            <w:r w:rsidRPr="00C47C3B">
              <w:rPr>
                <w:rFonts w:ascii="Arial Narrow" w:hAnsi="Arial Narrow" w:cs="Arial"/>
                <w:snapToGrid w:val="0"/>
                <w:sz w:val="20"/>
                <w:szCs w:val="20"/>
                <w:lang w:eastAsia="en-US"/>
              </w:rPr>
              <w:t xml:space="preserve"> in Subjects Aged 12 Years and Older With Cystic Fibrosis, Homozygous for the F508del-CFTR Mutation.</w:t>
            </w:r>
          </w:p>
          <w:p w:rsidR="00C47C3B" w:rsidRPr="00C47C3B" w:rsidRDefault="00C47C3B" w:rsidP="00C47C3B">
            <w:pPr>
              <w:keepNext/>
              <w:rPr>
                <w:rFonts w:ascii="Arial Narrow" w:hAnsi="Arial Narrow" w:cs="Arial"/>
                <w:snapToGrid w:val="0"/>
                <w:sz w:val="20"/>
                <w:szCs w:val="20"/>
                <w:lang w:eastAsia="en-US"/>
              </w:rPr>
            </w:pPr>
          </w:p>
        </w:tc>
        <w:tc>
          <w:tcPr>
            <w:tcW w:w="1161" w:type="pct"/>
            <w:tcBorders>
              <w:bottom w:val="single" w:sz="4" w:space="0" w:color="auto"/>
            </w:tcBorders>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 September 2014</w:t>
            </w:r>
          </w:p>
        </w:tc>
      </w:tr>
      <w:tr w:rsidR="00C47C3B" w:rsidRPr="00C47C3B" w:rsidTr="009F446F">
        <w:trPr>
          <w:cantSplit/>
        </w:trPr>
        <w:tc>
          <w:tcPr>
            <w:tcW w:w="632" w:type="pct"/>
            <w:tcBorders>
              <w:top w:val="nil"/>
            </w:tcBorders>
          </w:tcPr>
          <w:p w:rsidR="00C47C3B" w:rsidRPr="00C47C3B" w:rsidRDefault="00C47C3B" w:rsidP="00C47C3B">
            <w:pPr>
              <w:keepNext/>
              <w:jc w:val="both"/>
              <w:rPr>
                <w:rFonts w:ascii="Arial Narrow" w:hAnsi="Arial Narrow" w:cs="Arial"/>
                <w:snapToGrid w:val="0"/>
                <w:sz w:val="20"/>
                <w:szCs w:val="20"/>
                <w:lang w:eastAsia="en-US"/>
              </w:rPr>
            </w:pPr>
          </w:p>
        </w:tc>
        <w:tc>
          <w:tcPr>
            <w:tcW w:w="3207" w:type="pct"/>
            <w:tcBorders>
              <w:top w:val="single" w:sz="4" w:space="0" w:color="auto"/>
            </w:tcBorders>
          </w:tcPr>
          <w:p w:rsidR="00C47C3B" w:rsidRPr="00C47C3B" w:rsidRDefault="00C47C3B" w:rsidP="00C47C3B">
            <w:pPr>
              <w:keepNext/>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Wainwright CE, </w:t>
            </w:r>
            <w:proofErr w:type="spellStart"/>
            <w:r w:rsidRPr="00C47C3B">
              <w:rPr>
                <w:rFonts w:ascii="Arial Narrow" w:hAnsi="Arial Narrow" w:cs="Arial"/>
                <w:snapToGrid w:val="0"/>
                <w:sz w:val="20"/>
                <w:szCs w:val="20"/>
                <w:lang w:eastAsia="en-US"/>
              </w:rPr>
              <w:t>Elborn</w:t>
            </w:r>
            <w:proofErr w:type="spellEnd"/>
            <w:r w:rsidRPr="00C47C3B">
              <w:rPr>
                <w:rFonts w:ascii="Arial Narrow" w:hAnsi="Arial Narrow" w:cs="Arial"/>
                <w:snapToGrid w:val="0"/>
                <w:sz w:val="20"/>
                <w:szCs w:val="20"/>
                <w:lang w:eastAsia="en-US"/>
              </w:rPr>
              <w:t xml:space="preserve"> JS, Ramsey B, </w:t>
            </w:r>
            <w:proofErr w:type="spellStart"/>
            <w:r w:rsidRPr="00C47C3B">
              <w:rPr>
                <w:rFonts w:ascii="Arial Narrow" w:hAnsi="Arial Narrow" w:cs="Arial"/>
                <w:snapToGrid w:val="0"/>
                <w:sz w:val="20"/>
                <w:szCs w:val="20"/>
                <w:lang w:eastAsia="en-US"/>
              </w:rPr>
              <w:t>Marigowda</w:t>
            </w:r>
            <w:proofErr w:type="spellEnd"/>
            <w:r w:rsidRPr="00C47C3B">
              <w:rPr>
                <w:rFonts w:ascii="Arial Narrow" w:hAnsi="Arial Narrow" w:cs="Arial"/>
                <w:snapToGrid w:val="0"/>
                <w:sz w:val="20"/>
                <w:szCs w:val="20"/>
                <w:lang w:eastAsia="en-US"/>
              </w:rPr>
              <w:t xml:space="preserve"> G et al. </w:t>
            </w:r>
            <w:proofErr w:type="spellStart"/>
            <w:r w:rsidRPr="00C47C3B">
              <w:rPr>
                <w:rFonts w:ascii="Arial Narrow" w:hAnsi="Arial Narrow" w:cs="Arial"/>
                <w:snapToGrid w:val="0"/>
                <w:sz w:val="20"/>
                <w:szCs w:val="20"/>
                <w:lang w:eastAsia="en-US"/>
              </w:rPr>
              <w:t>Lumacaftor-Ivacaftor</w:t>
            </w:r>
            <w:proofErr w:type="spellEnd"/>
            <w:r w:rsidRPr="00C47C3B">
              <w:rPr>
                <w:rFonts w:ascii="Arial Narrow" w:hAnsi="Arial Narrow" w:cs="Arial"/>
                <w:snapToGrid w:val="0"/>
                <w:sz w:val="20"/>
                <w:szCs w:val="20"/>
                <w:lang w:eastAsia="en-US"/>
              </w:rPr>
              <w:t xml:space="preserve"> in Patients with Cystic Fibrosis Homozygous for Phe508del CFTR.</w:t>
            </w:r>
          </w:p>
        </w:tc>
        <w:tc>
          <w:tcPr>
            <w:tcW w:w="1161" w:type="pct"/>
            <w:tcBorders>
              <w:top w:val="single" w:sz="4" w:space="0" w:color="auto"/>
            </w:tcBorders>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New England Journal of Medicine 2015; 373:220-23</w:t>
            </w:r>
          </w:p>
        </w:tc>
      </w:tr>
      <w:tr w:rsidR="00C47C3B" w:rsidRPr="00C47C3B" w:rsidTr="009F446F">
        <w:trPr>
          <w:cantSplit/>
        </w:trPr>
        <w:tc>
          <w:tcPr>
            <w:tcW w:w="5000" w:type="pct"/>
            <w:gridSpan w:val="3"/>
          </w:tcPr>
          <w:p w:rsidR="00C47C3B" w:rsidRPr="00C47C3B" w:rsidRDefault="00C47C3B" w:rsidP="00C47C3B">
            <w:pPr>
              <w:keepNext/>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Rollover extension study</w:t>
            </w:r>
          </w:p>
        </w:tc>
      </w:tr>
      <w:tr w:rsidR="00C47C3B" w:rsidRPr="00C47C3B" w:rsidTr="009F446F">
        <w:trPr>
          <w:cantSplit/>
        </w:trPr>
        <w:tc>
          <w:tcPr>
            <w:tcW w:w="632" w:type="pct"/>
            <w:tcBorders>
              <w:bottom w:val="nil"/>
            </w:tcBorders>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Progress</w:t>
            </w:r>
          </w:p>
        </w:tc>
        <w:tc>
          <w:tcPr>
            <w:tcW w:w="3207" w:type="pct"/>
          </w:tcPr>
          <w:p w:rsidR="00C47C3B" w:rsidRPr="00C47C3B" w:rsidRDefault="00C47C3B" w:rsidP="00C47C3B">
            <w:pPr>
              <w:keepNext/>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Clinical study report VX12-809-105 </w:t>
            </w:r>
          </w:p>
          <w:p w:rsidR="00C47C3B" w:rsidRPr="00C47C3B" w:rsidRDefault="00C47C3B" w:rsidP="00C47C3B">
            <w:pPr>
              <w:keepNext/>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A Phase 3, Rollover Study to Evaluate the Safety and Efficacy of Long-term Treatment With </w:t>
            </w:r>
            <w:proofErr w:type="spellStart"/>
            <w:r w:rsidRPr="00C47C3B">
              <w:rPr>
                <w:rFonts w:ascii="Arial Narrow" w:hAnsi="Arial Narrow" w:cs="Arial"/>
                <w:snapToGrid w:val="0"/>
                <w:sz w:val="20"/>
                <w:szCs w:val="20"/>
                <w:lang w:eastAsia="en-US"/>
              </w:rPr>
              <w:t>Lumacaftor</w:t>
            </w:r>
            <w:proofErr w:type="spellEnd"/>
            <w:r w:rsidRPr="00C47C3B">
              <w:rPr>
                <w:rFonts w:ascii="Arial Narrow" w:hAnsi="Arial Narrow" w:cs="Arial"/>
                <w:snapToGrid w:val="0"/>
                <w:sz w:val="20"/>
                <w:szCs w:val="20"/>
                <w:lang w:eastAsia="en-US"/>
              </w:rPr>
              <w:t xml:space="preserve"> in Combination With </w:t>
            </w:r>
            <w:proofErr w:type="spellStart"/>
            <w:r w:rsidRPr="00C47C3B">
              <w:rPr>
                <w:rFonts w:ascii="Arial Narrow" w:hAnsi="Arial Narrow" w:cs="Arial"/>
                <w:snapToGrid w:val="0"/>
                <w:sz w:val="20"/>
                <w:szCs w:val="20"/>
                <w:lang w:eastAsia="en-US"/>
              </w:rPr>
              <w:t>Ivacaftor</w:t>
            </w:r>
            <w:proofErr w:type="spellEnd"/>
            <w:r w:rsidRPr="00C47C3B">
              <w:rPr>
                <w:rFonts w:ascii="Arial Narrow" w:hAnsi="Arial Narrow" w:cs="Arial"/>
                <w:snapToGrid w:val="0"/>
                <w:sz w:val="20"/>
                <w:szCs w:val="20"/>
                <w:lang w:eastAsia="en-US"/>
              </w:rPr>
              <w:t xml:space="preserve"> in Subjects Aged 12 Years and Older With Cystic Fibrosis, Homozygous or Heterozygous for the F508del-CFTR Mutation</w:t>
            </w:r>
          </w:p>
          <w:p w:rsidR="00C47C3B" w:rsidRPr="00C47C3B" w:rsidRDefault="00C47C3B" w:rsidP="00C47C3B">
            <w:pPr>
              <w:keepNext/>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Interim analysis 2 (IA2) at Week 24 </w:t>
            </w:r>
          </w:p>
          <w:p w:rsidR="00C47C3B" w:rsidRPr="00C47C3B" w:rsidRDefault="00C47C3B" w:rsidP="00C47C3B">
            <w:pPr>
              <w:keepNext/>
              <w:rPr>
                <w:rFonts w:ascii="Arial Narrow" w:hAnsi="Arial Narrow" w:cs="Arial"/>
                <w:snapToGrid w:val="0"/>
                <w:sz w:val="20"/>
                <w:szCs w:val="20"/>
                <w:lang w:eastAsia="en-US"/>
              </w:rPr>
            </w:pPr>
          </w:p>
        </w:tc>
        <w:tc>
          <w:tcPr>
            <w:tcW w:w="1161" w:type="pct"/>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18 May 2015</w:t>
            </w:r>
          </w:p>
        </w:tc>
      </w:tr>
      <w:tr w:rsidR="00C47C3B" w:rsidRPr="00C47C3B" w:rsidTr="009F446F">
        <w:trPr>
          <w:cantSplit/>
        </w:trPr>
        <w:tc>
          <w:tcPr>
            <w:tcW w:w="632" w:type="pct"/>
            <w:tcBorders>
              <w:top w:val="nil"/>
              <w:bottom w:val="nil"/>
            </w:tcBorders>
          </w:tcPr>
          <w:p w:rsidR="00C47C3B" w:rsidRPr="00C47C3B" w:rsidRDefault="00C47C3B" w:rsidP="00C47C3B">
            <w:pPr>
              <w:keepNext/>
              <w:jc w:val="both"/>
              <w:rPr>
                <w:rFonts w:ascii="Arial Narrow" w:hAnsi="Arial Narrow" w:cs="Arial"/>
                <w:snapToGrid w:val="0"/>
                <w:sz w:val="20"/>
                <w:szCs w:val="20"/>
                <w:lang w:eastAsia="en-US"/>
              </w:rPr>
            </w:pPr>
          </w:p>
        </w:tc>
        <w:tc>
          <w:tcPr>
            <w:tcW w:w="3207" w:type="pct"/>
          </w:tcPr>
          <w:p w:rsidR="00C47C3B" w:rsidRPr="00C47C3B" w:rsidRDefault="00C47C3B" w:rsidP="00C47C3B">
            <w:pPr>
              <w:keepNext/>
              <w:rPr>
                <w:rFonts w:ascii="Arial Narrow" w:hAnsi="Arial Narrow" w:cs="Arial"/>
                <w:snapToGrid w:val="0"/>
                <w:sz w:val="20"/>
                <w:szCs w:val="20"/>
                <w:lang w:eastAsia="en-US"/>
              </w:rPr>
            </w:pPr>
            <w:proofErr w:type="spellStart"/>
            <w:r w:rsidRPr="00C47C3B">
              <w:rPr>
                <w:rFonts w:ascii="Arial Narrow" w:hAnsi="Arial Narrow" w:cs="Arial"/>
                <w:snapToGrid w:val="0"/>
                <w:sz w:val="20"/>
                <w:szCs w:val="20"/>
                <w:lang w:eastAsia="en-US"/>
              </w:rPr>
              <w:t>Elborn</w:t>
            </w:r>
            <w:proofErr w:type="spellEnd"/>
            <w:r w:rsidRPr="00C47C3B">
              <w:rPr>
                <w:rFonts w:ascii="Arial Narrow" w:hAnsi="Arial Narrow" w:cs="Arial"/>
                <w:snapToGrid w:val="0"/>
                <w:sz w:val="20"/>
                <w:szCs w:val="20"/>
                <w:lang w:eastAsia="en-US"/>
              </w:rPr>
              <w:t xml:space="preserve">, J., Ramsey, B. and Boyle, M. B.  </w:t>
            </w:r>
            <w:proofErr w:type="spellStart"/>
            <w:r w:rsidRPr="00C47C3B">
              <w:rPr>
                <w:rFonts w:ascii="Arial Narrow" w:hAnsi="Arial Narrow" w:cs="Arial"/>
                <w:snapToGrid w:val="0"/>
                <w:sz w:val="20"/>
                <w:szCs w:val="20"/>
                <w:lang w:eastAsia="en-US"/>
              </w:rPr>
              <w:t>Lumacaftor</w:t>
            </w:r>
            <w:proofErr w:type="spellEnd"/>
            <w:r w:rsidRPr="00C47C3B">
              <w:rPr>
                <w:rFonts w:ascii="Arial Narrow" w:hAnsi="Arial Narrow" w:cs="Arial"/>
                <w:snapToGrid w:val="0"/>
                <w:sz w:val="20"/>
                <w:szCs w:val="20"/>
                <w:lang w:eastAsia="en-US"/>
              </w:rPr>
              <w:t xml:space="preserve"> in combination with </w:t>
            </w:r>
            <w:proofErr w:type="spellStart"/>
            <w:r w:rsidRPr="00C47C3B">
              <w:rPr>
                <w:rFonts w:ascii="Arial Narrow" w:hAnsi="Arial Narrow" w:cs="Arial"/>
                <w:snapToGrid w:val="0"/>
                <w:sz w:val="20"/>
                <w:szCs w:val="20"/>
                <w:lang w:eastAsia="en-US"/>
              </w:rPr>
              <w:t>ivacaftor</w:t>
            </w:r>
            <w:proofErr w:type="spellEnd"/>
            <w:r w:rsidRPr="00C47C3B">
              <w:rPr>
                <w:rFonts w:ascii="Arial Narrow" w:hAnsi="Arial Narrow" w:cs="Arial"/>
                <w:snapToGrid w:val="0"/>
                <w:sz w:val="20"/>
                <w:szCs w:val="20"/>
                <w:lang w:eastAsia="en-US"/>
              </w:rPr>
              <w:t xml:space="preserve"> in patients with cystic fibrosis who were homozygous for the F508del-CFTR mutation. </w:t>
            </w:r>
          </w:p>
        </w:tc>
        <w:tc>
          <w:tcPr>
            <w:tcW w:w="1161" w:type="pct"/>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The 38th annual European Cystic Fibrosis Conference, Brussels, Belgium, 10-12 June 2015</w:t>
            </w:r>
          </w:p>
        </w:tc>
      </w:tr>
      <w:tr w:rsidR="00C47C3B" w:rsidRPr="00C47C3B" w:rsidTr="009F446F">
        <w:trPr>
          <w:cantSplit/>
        </w:trPr>
        <w:tc>
          <w:tcPr>
            <w:tcW w:w="632" w:type="pct"/>
            <w:tcBorders>
              <w:top w:val="nil"/>
              <w:bottom w:val="nil"/>
            </w:tcBorders>
          </w:tcPr>
          <w:p w:rsidR="00C47C3B" w:rsidRPr="00C47C3B" w:rsidRDefault="00C47C3B" w:rsidP="00C47C3B">
            <w:pPr>
              <w:keepNext/>
              <w:jc w:val="both"/>
              <w:rPr>
                <w:rFonts w:ascii="Arial Narrow" w:hAnsi="Arial Narrow" w:cs="Arial"/>
                <w:snapToGrid w:val="0"/>
                <w:sz w:val="20"/>
                <w:szCs w:val="20"/>
                <w:lang w:eastAsia="en-US"/>
              </w:rPr>
            </w:pPr>
          </w:p>
        </w:tc>
        <w:tc>
          <w:tcPr>
            <w:tcW w:w="3207" w:type="pct"/>
          </w:tcPr>
          <w:p w:rsidR="00C47C3B" w:rsidRPr="00C47C3B" w:rsidRDefault="00C47C3B" w:rsidP="00C47C3B">
            <w:pPr>
              <w:keepNext/>
              <w:rPr>
                <w:rFonts w:ascii="Arial Narrow" w:hAnsi="Arial Narrow" w:cs="Arial"/>
                <w:snapToGrid w:val="0"/>
                <w:sz w:val="20"/>
                <w:szCs w:val="20"/>
                <w:lang w:eastAsia="en-US"/>
              </w:rPr>
            </w:pPr>
            <w:proofErr w:type="spellStart"/>
            <w:r w:rsidRPr="00C47C3B">
              <w:rPr>
                <w:rFonts w:ascii="Arial Narrow" w:hAnsi="Arial Narrow" w:cs="Arial"/>
                <w:snapToGrid w:val="0"/>
                <w:sz w:val="20"/>
                <w:szCs w:val="20"/>
                <w:lang w:eastAsia="en-US"/>
              </w:rPr>
              <w:t>Konstan</w:t>
            </w:r>
            <w:proofErr w:type="spellEnd"/>
            <w:r w:rsidRPr="00C47C3B">
              <w:rPr>
                <w:rFonts w:ascii="Arial Narrow" w:hAnsi="Arial Narrow" w:cs="Arial"/>
                <w:snapToGrid w:val="0"/>
                <w:sz w:val="20"/>
                <w:szCs w:val="20"/>
                <w:lang w:eastAsia="en-US"/>
              </w:rPr>
              <w:t xml:space="preserve">, M. W., </w:t>
            </w:r>
            <w:proofErr w:type="spellStart"/>
            <w:r w:rsidRPr="00C47C3B">
              <w:rPr>
                <w:rFonts w:ascii="Arial Narrow" w:hAnsi="Arial Narrow" w:cs="Arial"/>
                <w:snapToGrid w:val="0"/>
                <w:sz w:val="20"/>
                <w:szCs w:val="20"/>
                <w:lang w:eastAsia="en-US"/>
              </w:rPr>
              <w:t>McKone</w:t>
            </w:r>
            <w:proofErr w:type="spellEnd"/>
            <w:r w:rsidRPr="00C47C3B">
              <w:rPr>
                <w:rFonts w:ascii="Arial Narrow" w:hAnsi="Arial Narrow" w:cs="Arial"/>
                <w:snapToGrid w:val="0"/>
                <w:sz w:val="20"/>
                <w:szCs w:val="20"/>
                <w:lang w:eastAsia="en-US"/>
              </w:rPr>
              <w:t xml:space="preserve">, E. F., Moss, R. B., et al. (2017). </w:t>
            </w:r>
          </w:p>
          <w:p w:rsidR="00C47C3B" w:rsidRPr="00C47C3B" w:rsidRDefault="00C47C3B" w:rsidP="00C47C3B">
            <w:pPr>
              <w:keepNext/>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Assessment of safety and efficacy of long-term treatment with combination </w:t>
            </w:r>
            <w:proofErr w:type="spellStart"/>
            <w:r w:rsidRPr="00C47C3B">
              <w:rPr>
                <w:rFonts w:ascii="Arial Narrow" w:hAnsi="Arial Narrow" w:cs="Arial"/>
                <w:snapToGrid w:val="0"/>
                <w:sz w:val="20"/>
                <w:szCs w:val="20"/>
                <w:lang w:eastAsia="en-US"/>
              </w:rPr>
              <w:t>lumacaftor</w:t>
            </w:r>
            <w:proofErr w:type="spellEnd"/>
            <w:r w:rsidRPr="00C47C3B">
              <w:rPr>
                <w:rFonts w:ascii="Arial Narrow" w:hAnsi="Arial Narrow" w:cs="Arial"/>
                <w:snapToGrid w:val="0"/>
                <w:sz w:val="20"/>
                <w:szCs w:val="20"/>
                <w:lang w:eastAsia="en-US"/>
              </w:rPr>
              <w:t xml:space="preserve"> and </w:t>
            </w:r>
            <w:proofErr w:type="spellStart"/>
            <w:r w:rsidRPr="00C47C3B">
              <w:rPr>
                <w:rFonts w:ascii="Arial Narrow" w:hAnsi="Arial Narrow" w:cs="Arial"/>
                <w:snapToGrid w:val="0"/>
                <w:sz w:val="20"/>
                <w:szCs w:val="20"/>
                <w:lang w:eastAsia="en-US"/>
              </w:rPr>
              <w:t>ivacaftor</w:t>
            </w:r>
            <w:proofErr w:type="spellEnd"/>
            <w:r w:rsidRPr="00C47C3B">
              <w:rPr>
                <w:rFonts w:ascii="Arial Narrow" w:hAnsi="Arial Narrow" w:cs="Arial"/>
                <w:snapToGrid w:val="0"/>
                <w:sz w:val="20"/>
                <w:szCs w:val="20"/>
                <w:lang w:eastAsia="en-US"/>
              </w:rPr>
              <w:t xml:space="preserve"> therapy in patients with cystic fibrosis homozygous for the F508del-CFTR mutation (PROGRESS): A phase 3, extension study.</w:t>
            </w:r>
          </w:p>
        </w:tc>
        <w:tc>
          <w:tcPr>
            <w:tcW w:w="1161" w:type="pct"/>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The Lancet Respiratory Medicine 2017. 5 (2): 107-18.</w:t>
            </w:r>
          </w:p>
          <w:p w:rsidR="00C47C3B" w:rsidRPr="00C47C3B" w:rsidRDefault="00C47C3B" w:rsidP="00C47C3B">
            <w:pPr>
              <w:keepNext/>
              <w:jc w:val="both"/>
              <w:rPr>
                <w:rFonts w:ascii="Arial Narrow" w:hAnsi="Arial Narrow" w:cs="Arial"/>
                <w:snapToGrid w:val="0"/>
                <w:sz w:val="20"/>
                <w:szCs w:val="20"/>
                <w:lang w:eastAsia="en-US"/>
              </w:rPr>
            </w:pPr>
          </w:p>
        </w:tc>
      </w:tr>
      <w:tr w:rsidR="00C47C3B" w:rsidRPr="00C47C3B" w:rsidTr="009F446F">
        <w:trPr>
          <w:cantSplit/>
        </w:trPr>
        <w:tc>
          <w:tcPr>
            <w:tcW w:w="632" w:type="pct"/>
            <w:tcBorders>
              <w:top w:val="nil"/>
            </w:tcBorders>
          </w:tcPr>
          <w:p w:rsidR="00C47C3B" w:rsidRPr="00C47C3B" w:rsidRDefault="00C47C3B" w:rsidP="00C47C3B">
            <w:pPr>
              <w:keepNext/>
              <w:jc w:val="both"/>
              <w:rPr>
                <w:rFonts w:ascii="Arial Narrow" w:hAnsi="Arial Narrow" w:cs="Arial"/>
                <w:snapToGrid w:val="0"/>
                <w:sz w:val="20"/>
                <w:szCs w:val="20"/>
                <w:lang w:eastAsia="en-US"/>
              </w:rPr>
            </w:pPr>
          </w:p>
        </w:tc>
        <w:tc>
          <w:tcPr>
            <w:tcW w:w="3207" w:type="pct"/>
          </w:tcPr>
          <w:p w:rsidR="00C47C3B" w:rsidRPr="00C47C3B" w:rsidRDefault="00C47C3B" w:rsidP="00C47C3B">
            <w:pPr>
              <w:keepNext/>
              <w:rPr>
                <w:rFonts w:ascii="Arial Narrow" w:hAnsi="Arial Narrow" w:cs="Arial"/>
                <w:snapToGrid w:val="0"/>
                <w:sz w:val="20"/>
                <w:szCs w:val="20"/>
                <w:lang w:eastAsia="en-US"/>
              </w:rPr>
            </w:pPr>
            <w:proofErr w:type="spellStart"/>
            <w:r w:rsidRPr="00C47C3B">
              <w:rPr>
                <w:rFonts w:ascii="Arial Narrow" w:hAnsi="Arial Narrow" w:cs="Arial"/>
                <w:snapToGrid w:val="0"/>
                <w:sz w:val="20"/>
                <w:szCs w:val="20"/>
                <w:lang w:eastAsia="en-US"/>
              </w:rPr>
              <w:t>Konstan</w:t>
            </w:r>
            <w:proofErr w:type="spellEnd"/>
            <w:r w:rsidRPr="00C47C3B">
              <w:rPr>
                <w:rFonts w:ascii="Arial Narrow" w:hAnsi="Arial Narrow" w:cs="Arial"/>
                <w:snapToGrid w:val="0"/>
                <w:sz w:val="20"/>
                <w:szCs w:val="20"/>
                <w:lang w:eastAsia="en-US"/>
              </w:rPr>
              <w:t xml:space="preserve">, M., </w:t>
            </w:r>
            <w:proofErr w:type="spellStart"/>
            <w:r w:rsidRPr="00C47C3B">
              <w:rPr>
                <w:rFonts w:ascii="Arial Narrow" w:hAnsi="Arial Narrow" w:cs="Arial"/>
                <w:snapToGrid w:val="0"/>
                <w:sz w:val="20"/>
                <w:szCs w:val="20"/>
                <w:lang w:eastAsia="en-US"/>
              </w:rPr>
              <w:t>McKone</w:t>
            </w:r>
            <w:proofErr w:type="spellEnd"/>
            <w:r w:rsidRPr="00C47C3B">
              <w:rPr>
                <w:rFonts w:ascii="Arial Narrow" w:hAnsi="Arial Narrow" w:cs="Arial"/>
                <w:snapToGrid w:val="0"/>
                <w:sz w:val="20"/>
                <w:szCs w:val="20"/>
                <w:lang w:eastAsia="en-US"/>
              </w:rPr>
              <w:t>, E., Moss, R., et al.</w:t>
            </w:r>
          </w:p>
          <w:p w:rsidR="00C47C3B" w:rsidRPr="00C47C3B" w:rsidRDefault="00C47C3B" w:rsidP="00C47C3B">
            <w:pPr>
              <w:keepNext/>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Evidence of reduction in annual rate of FEV</w:t>
            </w:r>
            <w:r w:rsidRPr="00C47C3B">
              <w:rPr>
                <w:rFonts w:ascii="Arial Narrow" w:hAnsi="Arial Narrow" w:cs="Arial"/>
                <w:snapToGrid w:val="0"/>
                <w:sz w:val="20"/>
                <w:szCs w:val="20"/>
                <w:vertAlign w:val="subscript"/>
                <w:lang w:eastAsia="en-US"/>
              </w:rPr>
              <w:t>1</w:t>
            </w:r>
            <w:r w:rsidRPr="00C47C3B">
              <w:rPr>
                <w:rFonts w:ascii="Arial Narrow" w:hAnsi="Arial Narrow" w:cs="Arial"/>
                <w:snapToGrid w:val="0"/>
                <w:sz w:val="20"/>
                <w:szCs w:val="20"/>
                <w:lang w:eastAsia="en-US"/>
              </w:rPr>
              <w:t xml:space="preserve"> decline and sustained benefits with </w:t>
            </w:r>
            <w:proofErr w:type="spellStart"/>
            <w:r w:rsidRPr="00C47C3B">
              <w:rPr>
                <w:rFonts w:ascii="Arial Narrow" w:hAnsi="Arial Narrow" w:cs="Arial"/>
                <w:snapToGrid w:val="0"/>
                <w:sz w:val="20"/>
                <w:szCs w:val="20"/>
                <w:lang w:eastAsia="en-US"/>
              </w:rPr>
              <w:t>lumacaftor</w:t>
            </w:r>
            <w:proofErr w:type="spellEnd"/>
            <w:r w:rsidRPr="00C47C3B">
              <w:rPr>
                <w:rFonts w:ascii="Arial Narrow" w:hAnsi="Arial Narrow" w:cs="Arial"/>
                <w:snapToGrid w:val="0"/>
                <w:sz w:val="20"/>
                <w:szCs w:val="20"/>
                <w:lang w:eastAsia="en-US"/>
              </w:rPr>
              <w:t xml:space="preserve"> and </w:t>
            </w:r>
            <w:proofErr w:type="spellStart"/>
            <w:r w:rsidRPr="00C47C3B">
              <w:rPr>
                <w:rFonts w:ascii="Arial Narrow" w:hAnsi="Arial Narrow" w:cs="Arial"/>
                <w:snapToGrid w:val="0"/>
                <w:sz w:val="20"/>
                <w:szCs w:val="20"/>
                <w:lang w:eastAsia="en-US"/>
              </w:rPr>
              <w:t>ivacaftor</w:t>
            </w:r>
            <w:proofErr w:type="spellEnd"/>
            <w:r w:rsidRPr="00C47C3B">
              <w:rPr>
                <w:rFonts w:ascii="Arial Narrow" w:hAnsi="Arial Narrow" w:cs="Arial"/>
                <w:snapToGrid w:val="0"/>
                <w:sz w:val="20"/>
                <w:szCs w:val="20"/>
                <w:lang w:eastAsia="en-US"/>
              </w:rPr>
              <w:t xml:space="preserve"> (LUM/IVA) in patients (PTS) with CF homozygous for f508del-cftr.</w:t>
            </w:r>
          </w:p>
        </w:tc>
        <w:tc>
          <w:tcPr>
            <w:tcW w:w="1161" w:type="pct"/>
          </w:tcPr>
          <w:p w:rsidR="00C47C3B" w:rsidRPr="00C47C3B" w:rsidRDefault="00C47C3B" w:rsidP="00C47C3B">
            <w:pPr>
              <w:keepNext/>
              <w:jc w:val="both"/>
              <w:rPr>
                <w:rFonts w:ascii="Arial Narrow" w:hAnsi="Arial Narrow" w:cs="Arial"/>
                <w:b/>
                <w:snapToGrid w:val="0"/>
                <w:sz w:val="20"/>
                <w:szCs w:val="20"/>
                <w:lang w:eastAsia="en-US"/>
              </w:rPr>
            </w:pPr>
            <w:proofErr w:type="spellStart"/>
            <w:r w:rsidRPr="00C47C3B">
              <w:rPr>
                <w:rFonts w:ascii="Arial Narrow" w:hAnsi="Arial Narrow" w:cs="Arial"/>
                <w:snapToGrid w:val="0"/>
                <w:sz w:val="20"/>
                <w:szCs w:val="20"/>
                <w:lang w:eastAsia="en-US"/>
              </w:rPr>
              <w:t>Pediatric</w:t>
            </w:r>
            <w:proofErr w:type="spellEnd"/>
            <w:r w:rsidRPr="00C47C3B">
              <w:rPr>
                <w:rFonts w:ascii="Arial Narrow" w:hAnsi="Arial Narrow" w:cs="Arial"/>
                <w:snapToGrid w:val="0"/>
                <w:sz w:val="20"/>
                <w:szCs w:val="20"/>
                <w:lang w:eastAsia="en-US"/>
              </w:rPr>
              <w:t xml:space="preserve"> Pulmonology 2016. 51: 260.</w:t>
            </w:r>
          </w:p>
          <w:p w:rsidR="00C47C3B" w:rsidRPr="00C47C3B" w:rsidRDefault="00C47C3B" w:rsidP="00C47C3B">
            <w:pPr>
              <w:keepNext/>
              <w:jc w:val="both"/>
              <w:rPr>
                <w:rFonts w:ascii="Arial Narrow" w:hAnsi="Arial Narrow" w:cs="Arial"/>
                <w:snapToGrid w:val="0"/>
                <w:sz w:val="20"/>
                <w:szCs w:val="20"/>
                <w:lang w:eastAsia="en-US"/>
              </w:rPr>
            </w:pPr>
          </w:p>
        </w:tc>
      </w:tr>
    </w:tbl>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Source: Table B.2-3, page 64-65 of resubmission.</w:t>
      </w:r>
    </w:p>
    <w:p w:rsidR="00C47C3B" w:rsidRPr="00C47C3B" w:rsidRDefault="00C47C3B" w:rsidP="00C47C3B">
      <w:pPr>
        <w:jc w:val="both"/>
        <w:rPr>
          <w:rFonts w:ascii="Arial Narrow" w:hAnsi="Arial Narrow" w:cs="Arial"/>
          <w:snapToGrid w:val="0"/>
          <w:sz w:val="20"/>
          <w:szCs w:val="20"/>
          <w:lang w:eastAsia="en-US"/>
        </w:rPr>
      </w:pP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key features of the direct randomised trials and the extension study are </w:t>
      </w:r>
      <w:r w:rsidRPr="00C47C3B">
        <w:rPr>
          <w:rFonts w:asciiTheme="minorHAnsi" w:hAnsiTheme="minorHAnsi" w:cs="Arial"/>
          <w:snapToGrid w:val="0"/>
          <w:szCs w:val="20"/>
          <w:lang w:eastAsia="en-US"/>
        </w:rPr>
        <w:lastRenderedPageBreak/>
        <w:t xml:space="preserve">summarised in Table 4. </w:t>
      </w:r>
    </w:p>
    <w:p w:rsidR="00C47C3B" w:rsidRPr="00C47C3B" w:rsidRDefault="00C47C3B" w:rsidP="00C47C3B">
      <w:pPr>
        <w:spacing w:after="120"/>
        <w:jc w:val="both"/>
        <w:rPr>
          <w:rFonts w:asciiTheme="minorHAnsi" w:hAnsiTheme="minorHAnsi" w:cs="Arial"/>
          <w:snapToGrid w:val="0"/>
          <w:szCs w:val="20"/>
          <w:lang w:eastAsia="en-US"/>
        </w:rPr>
      </w:pP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Table </w:t>
      </w:r>
      <w:r w:rsidRPr="00C47C3B">
        <w:rPr>
          <w:rFonts w:ascii="Arial Narrow" w:eastAsiaTheme="minorHAnsi" w:hAnsi="Arial Narrow" w:cstheme="minorBidi"/>
          <w:b/>
          <w:noProof/>
          <w:sz w:val="20"/>
          <w:szCs w:val="22"/>
          <w:lang w:eastAsia="en-US"/>
        </w:rPr>
        <w:t>4</w:t>
      </w:r>
      <w:r w:rsidRPr="00C47C3B">
        <w:rPr>
          <w:rFonts w:ascii="Arial Narrow" w:eastAsiaTheme="minorHAnsi" w:hAnsi="Arial Narrow" w:cstheme="minorBidi"/>
          <w:b/>
          <w:sz w:val="20"/>
          <w:szCs w:val="22"/>
          <w:lang w:eastAsia="en-US"/>
        </w:rPr>
        <w:t xml:space="preserve">: Key features of the included evidence, </w:t>
      </w:r>
      <w:proofErr w:type="spellStart"/>
      <w:r w:rsidRPr="00C47C3B">
        <w:rPr>
          <w:rFonts w:ascii="Arial Narrow" w:eastAsiaTheme="minorHAnsi" w:hAnsi="Arial Narrow" w:cstheme="minorBidi"/>
          <w:b/>
          <w:sz w:val="20"/>
          <w:szCs w:val="22"/>
          <w:lang w:eastAsia="en-US"/>
        </w:rPr>
        <w:t>lumacaftor</w:t>
      </w:r>
      <w:proofErr w:type="spellEnd"/>
      <w:r w:rsidRPr="00C47C3B">
        <w:rPr>
          <w:rFonts w:ascii="Arial Narrow" w:eastAsiaTheme="minorHAnsi" w:hAnsi="Arial Narrow" w:cstheme="minorBidi"/>
          <w:b/>
          <w:sz w:val="20"/>
          <w:szCs w:val="22"/>
          <w:lang w:eastAsia="en-US"/>
        </w:rPr>
        <w:t>/</w:t>
      </w:r>
      <w:proofErr w:type="spellStart"/>
      <w:r w:rsidRPr="00C47C3B">
        <w:rPr>
          <w:rFonts w:ascii="Arial Narrow" w:eastAsiaTheme="minorHAnsi" w:hAnsi="Arial Narrow" w:cstheme="minorBidi"/>
          <w:b/>
          <w:sz w:val="20"/>
          <w:szCs w:val="22"/>
          <w:lang w:eastAsia="en-US"/>
        </w:rPr>
        <w:t>ivacaftor</w:t>
      </w:r>
      <w:proofErr w:type="spellEnd"/>
      <w:r w:rsidRPr="00C47C3B">
        <w:rPr>
          <w:rFonts w:ascii="Arial Narrow" w:eastAsiaTheme="minorHAnsi" w:hAnsi="Arial Narrow" w:cstheme="minorBidi"/>
          <w:b/>
          <w:sz w:val="20"/>
          <w:szCs w:val="22"/>
          <w:lang w:eastAsia="en-US"/>
        </w:rPr>
        <w:t xml:space="preserve"> vs. placebo</w:t>
      </w:r>
    </w:p>
    <w:tbl>
      <w:tblPr>
        <w:tblW w:w="49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71"/>
        <w:gridCol w:w="481"/>
        <w:gridCol w:w="1600"/>
        <w:gridCol w:w="709"/>
        <w:gridCol w:w="1370"/>
        <w:gridCol w:w="2033"/>
        <w:gridCol w:w="1644"/>
      </w:tblGrid>
      <w:tr w:rsidR="00C47C3B" w:rsidRPr="00C47C3B" w:rsidTr="009F446F">
        <w:tc>
          <w:tcPr>
            <w:tcW w:w="601" w:type="pct"/>
            <w:shd w:val="clear" w:color="auto" w:fill="auto"/>
            <w:vAlign w:val="center"/>
          </w:tcPr>
          <w:p w:rsidR="00C47C3B" w:rsidRPr="00C47C3B" w:rsidRDefault="00C47C3B" w:rsidP="00C47C3B">
            <w:pPr>
              <w:keepNext/>
              <w:jc w:val="both"/>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Trial</w:t>
            </w:r>
          </w:p>
        </w:tc>
        <w:tc>
          <w:tcPr>
            <w:tcW w:w="270" w:type="pct"/>
            <w:shd w:val="clear" w:color="auto" w:fill="auto"/>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N</w:t>
            </w:r>
          </w:p>
        </w:tc>
        <w:tc>
          <w:tcPr>
            <w:tcW w:w="898" w:type="pct"/>
            <w:shd w:val="clear" w:color="auto" w:fill="auto"/>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Design/ duration</w:t>
            </w:r>
          </w:p>
        </w:tc>
        <w:tc>
          <w:tcPr>
            <w:tcW w:w="398" w:type="pct"/>
            <w:shd w:val="clear" w:color="auto" w:fill="auto"/>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Risk of bias</w:t>
            </w:r>
          </w:p>
        </w:tc>
        <w:tc>
          <w:tcPr>
            <w:tcW w:w="769" w:type="pct"/>
            <w:shd w:val="clear" w:color="auto" w:fill="auto"/>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Patient population</w:t>
            </w:r>
          </w:p>
        </w:tc>
        <w:tc>
          <w:tcPr>
            <w:tcW w:w="1141" w:type="pct"/>
            <w:shd w:val="clear" w:color="auto" w:fill="auto"/>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Outcomes</w:t>
            </w:r>
          </w:p>
        </w:tc>
        <w:tc>
          <w:tcPr>
            <w:tcW w:w="923" w:type="pct"/>
            <w:shd w:val="clear" w:color="auto" w:fill="auto"/>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Use in modelled evaluation</w:t>
            </w:r>
          </w:p>
        </w:tc>
      </w:tr>
      <w:tr w:rsidR="00C47C3B" w:rsidRPr="00C47C3B" w:rsidTr="009F446F">
        <w:tc>
          <w:tcPr>
            <w:tcW w:w="601" w:type="pct"/>
            <w:shd w:val="clear" w:color="auto" w:fill="auto"/>
            <w:vAlign w:val="center"/>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TRAFFIC</w:t>
            </w:r>
          </w:p>
        </w:tc>
        <w:tc>
          <w:tcPr>
            <w:tcW w:w="270"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374</w:t>
            </w:r>
            <w:r w:rsidRPr="00C47C3B">
              <w:rPr>
                <w:rFonts w:ascii="Arial Narrow" w:hAnsi="Arial Narrow" w:cs="Arial"/>
                <w:snapToGrid w:val="0"/>
                <w:sz w:val="20"/>
                <w:szCs w:val="20"/>
                <w:vertAlign w:val="superscript"/>
                <w:lang w:eastAsia="en-US"/>
              </w:rPr>
              <w:t>a</w:t>
            </w:r>
          </w:p>
        </w:tc>
        <w:tc>
          <w:tcPr>
            <w:tcW w:w="898"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R, DB, MC</w:t>
            </w:r>
          </w:p>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24 weeks</w:t>
            </w:r>
          </w:p>
        </w:tc>
        <w:tc>
          <w:tcPr>
            <w:tcW w:w="398"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Low</w:t>
            </w:r>
          </w:p>
        </w:tc>
        <w:tc>
          <w:tcPr>
            <w:tcW w:w="769"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Aged 12 or older</w:t>
            </w:r>
          </w:p>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Homozygous for the F508del mutation</w:t>
            </w:r>
          </w:p>
        </w:tc>
        <w:tc>
          <w:tcPr>
            <w:tcW w:w="1141"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Absolute change in ppFEV</w:t>
            </w:r>
            <w:r w:rsidRPr="00C47C3B">
              <w:rPr>
                <w:rFonts w:ascii="Arial Narrow" w:hAnsi="Arial Narrow" w:cs="Arial"/>
                <w:snapToGrid w:val="0"/>
                <w:sz w:val="20"/>
                <w:szCs w:val="20"/>
                <w:vertAlign w:val="subscript"/>
                <w:lang w:eastAsia="en-US"/>
              </w:rPr>
              <w:t>1</w:t>
            </w:r>
            <w:r w:rsidRPr="00C47C3B">
              <w:rPr>
                <w:rFonts w:ascii="Arial Narrow" w:hAnsi="Arial Narrow" w:cs="Arial"/>
                <w:snapToGrid w:val="0"/>
                <w:sz w:val="20"/>
                <w:szCs w:val="20"/>
                <w:lang w:eastAsia="en-US"/>
              </w:rPr>
              <w:t>, BMI, CFQ-R, PEs, EQ-5D-3L</w:t>
            </w:r>
          </w:p>
        </w:tc>
        <w:tc>
          <w:tcPr>
            <w:tcW w:w="923"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Absolute change in ppFEV</w:t>
            </w:r>
            <w:r w:rsidRPr="00C47C3B">
              <w:rPr>
                <w:rFonts w:ascii="Arial Narrow" w:hAnsi="Arial Narrow" w:cs="Arial"/>
                <w:snapToGrid w:val="0"/>
                <w:sz w:val="20"/>
                <w:szCs w:val="20"/>
                <w:vertAlign w:val="subscript"/>
                <w:lang w:eastAsia="en-US"/>
              </w:rPr>
              <w:t>1</w:t>
            </w:r>
            <w:r w:rsidRPr="00C47C3B">
              <w:rPr>
                <w:rFonts w:ascii="Arial Narrow" w:hAnsi="Arial Narrow" w:cs="Arial"/>
                <w:snapToGrid w:val="0"/>
                <w:sz w:val="20"/>
                <w:szCs w:val="20"/>
                <w:lang w:eastAsia="en-US"/>
              </w:rPr>
              <w:t>, weight for age z-score, PEs</w:t>
            </w:r>
          </w:p>
        </w:tc>
      </w:tr>
      <w:tr w:rsidR="00C47C3B" w:rsidRPr="00C47C3B" w:rsidTr="009F446F">
        <w:tc>
          <w:tcPr>
            <w:tcW w:w="601" w:type="pct"/>
            <w:shd w:val="clear" w:color="auto" w:fill="auto"/>
            <w:vAlign w:val="center"/>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TRANSPORT</w:t>
            </w:r>
          </w:p>
        </w:tc>
        <w:tc>
          <w:tcPr>
            <w:tcW w:w="270"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376</w:t>
            </w:r>
            <w:r w:rsidRPr="00C47C3B">
              <w:rPr>
                <w:rFonts w:ascii="Arial Narrow" w:hAnsi="Arial Narrow" w:cs="Arial"/>
                <w:snapToGrid w:val="0"/>
                <w:sz w:val="20"/>
                <w:szCs w:val="20"/>
                <w:vertAlign w:val="superscript"/>
                <w:lang w:eastAsia="en-US"/>
              </w:rPr>
              <w:t>b</w:t>
            </w:r>
          </w:p>
        </w:tc>
        <w:tc>
          <w:tcPr>
            <w:tcW w:w="898"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R, DB, MC</w:t>
            </w:r>
          </w:p>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24 weeks</w:t>
            </w:r>
          </w:p>
        </w:tc>
        <w:tc>
          <w:tcPr>
            <w:tcW w:w="398"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Low</w:t>
            </w:r>
          </w:p>
        </w:tc>
        <w:tc>
          <w:tcPr>
            <w:tcW w:w="769"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Aged 12 or older</w:t>
            </w:r>
          </w:p>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Homozygous for the F508del mutation</w:t>
            </w:r>
          </w:p>
        </w:tc>
        <w:tc>
          <w:tcPr>
            <w:tcW w:w="1141"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Absolute change in ppFEV</w:t>
            </w:r>
            <w:r w:rsidRPr="00C47C3B">
              <w:rPr>
                <w:rFonts w:ascii="Arial Narrow" w:hAnsi="Arial Narrow" w:cs="Arial"/>
                <w:snapToGrid w:val="0"/>
                <w:sz w:val="20"/>
                <w:szCs w:val="20"/>
                <w:vertAlign w:val="subscript"/>
                <w:lang w:eastAsia="en-US"/>
              </w:rPr>
              <w:t>1</w:t>
            </w:r>
            <w:r w:rsidRPr="00C47C3B">
              <w:rPr>
                <w:rFonts w:ascii="Arial Narrow" w:hAnsi="Arial Narrow" w:cs="Arial"/>
                <w:snapToGrid w:val="0"/>
                <w:sz w:val="20"/>
                <w:szCs w:val="20"/>
                <w:lang w:eastAsia="en-US"/>
              </w:rPr>
              <w:t>, BMI, CFQ-R, PEs, EQ-5D-3L</w:t>
            </w:r>
          </w:p>
        </w:tc>
        <w:tc>
          <w:tcPr>
            <w:tcW w:w="923"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Absolute change in ppFEV</w:t>
            </w:r>
            <w:r w:rsidRPr="00C47C3B">
              <w:rPr>
                <w:rFonts w:ascii="Arial Narrow" w:hAnsi="Arial Narrow" w:cs="Arial"/>
                <w:snapToGrid w:val="0"/>
                <w:sz w:val="20"/>
                <w:szCs w:val="20"/>
                <w:vertAlign w:val="subscript"/>
                <w:lang w:eastAsia="en-US"/>
              </w:rPr>
              <w:t>1</w:t>
            </w:r>
            <w:r w:rsidRPr="00C47C3B">
              <w:rPr>
                <w:rFonts w:ascii="Arial Narrow" w:hAnsi="Arial Narrow" w:cs="Arial"/>
                <w:snapToGrid w:val="0"/>
                <w:sz w:val="20"/>
                <w:szCs w:val="20"/>
                <w:lang w:eastAsia="en-US"/>
              </w:rPr>
              <w:t>, weight for age z-score, PEs</w:t>
            </w:r>
          </w:p>
        </w:tc>
      </w:tr>
      <w:tr w:rsidR="00C47C3B" w:rsidRPr="00C47C3B" w:rsidTr="009F446F">
        <w:tc>
          <w:tcPr>
            <w:tcW w:w="601" w:type="pct"/>
            <w:shd w:val="clear" w:color="auto" w:fill="auto"/>
            <w:vAlign w:val="center"/>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PROGRESS</w:t>
            </w:r>
          </w:p>
        </w:tc>
        <w:tc>
          <w:tcPr>
            <w:tcW w:w="270" w:type="pct"/>
            <w:shd w:val="clear" w:color="auto" w:fill="auto"/>
            <w:vAlign w:val="center"/>
          </w:tcPr>
          <w:p w:rsidR="00C47C3B" w:rsidRPr="00C47C3B" w:rsidRDefault="00C47C3B" w:rsidP="00C47C3B">
            <w:pPr>
              <w:keepNext/>
              <w:jc w:val="center"/>
              <w:rPr>
                <w:rFonts w:ascii="Arial Narrow" w:hAnsi="Arial Narrow" w:cs="Arial"/>
                <w:snapToGrid w:val="0"/>
                <w:sz w:val="20"/>
                <w:szCs w:val="20"/>
                <w:vertAlign w:val="superscript"/>
                <w:lang w:eastAsia="en-US"/>
              </w:rPr>
            </w:pPr>
            <w:r w:rsidRPr="00C47C3B">
              <w:rPr>
                <w:rFonts w:ascii="Arial Narrow" w:hAnsi="Arial Narrow" w:cs="Arial"/>
                <w:snapToGrid w:val="0"/>
                <w:sz w:val="20"/>
                <w:szCs w:val="20"/>
                <w:lang w:eastAsia="en-US"/>
              </w:rPr>
              <w:t>516</w:t>
            </w:r>
            <w:r w:rsidRPr="00C47C3B">
              <w:rPr>
                <w:rFonts w:ascii="Arial Narrow" w:hAnsi="Arial Narrow" w:cs="Arial"/>
                <w:snapToGrid w:val="0"/>
                <w:sz w:val="20"/>
                <w:szCs w:val="20"/>
                <w:vertAlign w:val="superscript"/>
                <w:lang w:eastAsia="en-US"/>
              </w:rPr>
              <w:t>c</w:t>
            </w:r>
          </w:p>
        </w:tc>
        <w:tc>
          <w:tcPr>
            <w:tcW w:w="898"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Extension study for further 72/96 weeks with all patients receiving </w:t>
            </w:r>
            <w:proofErr w:type="spellStart"/>
            <w:r w:rsidRPr="00C47C3B">
              <w:rPr>
                <w:rFonts w:ascii="Arial Narrow" w:hAnsi="Arial Narrow" w:cs="Arial"/>
                <w:snapToGrid w:val="0"/>
                <w:sz w:val="20"/>
                <w:szCs w:val="20"/>
                <w:lang w:eastAsia="en-US"/>
              </w:rPr>
              <w:t>lumacaftor</w:t>
            </w:r>
            <w:proofErr w:type="spellEnd"/>
            <w:r w:rsidRPr="00C47C3B">
              <w:rPr>
                <w:rFonts w:ascii="Arial Narrow" w:hAnsi="Arial Narrow" w:cs="Arial"/>
                <w:snapToGrid w:val="0"/>
                <w:sz w:val="20"/>
                <w:szCs w:val="20"/>
                <w:lang w:eastAsia="en-US"/>
              </w:rPr>
              <w:t xml:space="preserve"> 400mg/ </w:t>
            </w:r>
            <w:proofErr w:type="spellStart"/>
            <w:r w:rsidRPr="00C47C3B">
              <w:rPr>
                <w:rFonts w:ascii="Arial Narrow" w:hAnsi="Arial Narrow" w:cs="Arial"/>
                <w:snapToGrid w:val="0"/>
                <w:sz w:val="20"/>
                <w:szCs w:val="20"/>
                <w:lang w:eastAsia="en-US"/>
              </w:rPr>
              <w:t>ivacaftor</w:t>
            </w:r>
            <w:proofErr w:type="spellEnd"/>
            <w:r w:rsidRPr="00C47C3B">
              <w:rPr>
                <w:rFonts w:ascii="Arial Narrow" w:hAnsi="Arial Narrow" w:cs="Arial"/>
                <w:snapToGrid w:val="0"/>
                <w:sz w:val="20"/>
                <w:szCs w:val="20"/>
                <w:lang w:eastAsia="en-US"/>
              </w:rPr>
              <w:t xml:space="preserve"> 250mg twice daily.</w:t>
            </w:r>
          </w:p>
        </w:tc>
        <w:tc>
          <w:tcPr>
            <w:tcW w:w="398"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High</w:t>
            </w:r>
          </w:p>
        </w:tc>
        <w:tc>
          <w:tcPr>
            <w:tcW w:w="769"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Aged 12 or older</w:t>
            </w:r>
          </w:p>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Homozygous for the F508del mutation rolling over from TRAFFIC and TRANSPORT</w:t>
            </w:r>
          </w:p>
        </w:tc>
        <w:tc>
          <w:tcPr>
            <w:tcW w:w="1141"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Safety of long-term treatment, absolute change in ppFEV</w:t>
            </w:r>
            <w:r w:rsidRPr="00C47C3B">
              <w:rPr>
                <w:rFonts w:ascii="Arial Narrow" w:hAnsi="Arial Narrow" w:cs="Arial"/>
                <w:snapToGrid w:val="0"/>
                <w:sz w:val="20"/>
                <w:szCs w:val="20"/>
                <w:vertAlign w:val="subscript"/>
                <w:lang w:eastAsia="en-US"/>
              </w:rPr>
              <w:t>1</w:t>
            </w:r>
            <w:r w:rsidRPr="00C47C3B">
              <w:rPr>
                <w:rFonts w:ascii="Arial Narrow" w:hAnsi="Arial Narrow" w:cs="Arial"/>
                <w:snapToGrid w:val="0"/>
                <w:sz w:val="20"/>
                <w:szCs w:val="20"/>
                <w:lang w:eastAsia="en-US"/>
              </w:rPr>
              <w:t>, BMI, CFQ-R, PEs</w:t>
            </w:r>
          </w:p>
        </w:tc>
        <w:tc>
          <w:tcPr>
            <w:tcW w:w="923" w:type="pct"/>
            <w:shd w:val="clear" w:color="auto" w:fill="auto"/>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Not used.</w:t>
            </w:r>
          </w:p>
        </w:tc>
      </w:tr>
    </w:tbl>
    <w:p w:rsidR="00C47C3B" w:rsidRPr="00C47C3B" w:rsidRDefault="00C47C3B" w:rsidP="00C47C3B">
      <w:pPr>
        <w:keepNext/>
        <w:spacing w:after="120"/>
        <w:contextualSpacing/>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Source: compiled during the evaluation</w:t>
      </w:r>
    </w:p>
    <w:p w:rsidR="00C47C3B" w:rsidRPr="00C47C3B" w:rsidRDefault="00C47C3B" w:rsidP="00C47C3B">
      <w:pPr>
        <w:keepNext/>
        <w:spacing w:after="120"/>
        <w:contextualSpacing/>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DB=double blind; MC=multi-centre; R=randomised; CFQ-R=cystic fibrosis questionnaire - revised; BMI=body mass index; PE = pulmonary exacerbation</w:t>
      </w:r>
    </w:p>
    <w:p w:rsidR="00C47C3B" w:rsidRPr="00C47C3B" w:rsidRDefault="00C47C3B" w:rsidP="00C47C3B">
      <w:pPr>
        <w:keepNext/>
        <w:spacing w:after="120"/>
        <w:contextualSpacing/>
        <w:rPr>
          <w:rFonts w:ascii="Arial Narrow" w:hAnsi="Arial Narrow" w:cs="Arial"/>
          <w:snapToGrid w:val="0"/>
          <w:sz w:val="16"/>
          <w:szCs w:val="16"/>
        </w:rPr>
      </w:pPr>
      <w:proofErr w:type="gramStart"/>
      <w:r w:rsidRPr="00C47C3B">
        <w:rPr>
          <w:rFonts w:ascii="Arial Narrow" w:hAnsi="Arial Narrow" w:cs="Arial"/>
          <w:snapToGrid w:val="0"/>
          <w:sz w:val="16"/>
          <w:szCs w:val="16"/>
          <w:vertAlign w:val="superscript"/>
          <w:lang w:eastAsia="en-US"/>
        </w:rPr>
        <w:t>a</w:t>
      </w:r>
      <w:proofErr w:type="gramEnd"/>
      <w:r w:rsidRPr="00C47C3B">
        <w:rPr>
          <w:rFonts w:ascii="Arial Narrow" w:hAnsi="Arial Narrow" w:cs="Arial"/>
          <w:snapToGrid w:val="0"/>
          <w:sz w:val="16"/>
          <w:szCs w:val="16"/>
          <w:vertAlign w:val="superscript"/>
          <w:lang w:eastAsia="en-US"/>
        </w:rPr>
        <w:t xml:space="preserve"> </w:t>
      </w:r>
      <w:r w:rsidRPr="00C47C3B">
        <w:rPr>
          <w:rFonts w:ascii="Arial Narrow" w:hAnsi="Arial Narrow" w:cs="Arial"/>
          <w:snapToGrid w:val="0"/>
          <w:sz w:val="16"/>
          <w:szCs w:val="16"/>
          <w:lang w:eastAsia="en-US"/>
        </w:rPr>
        <w:t>n=374 in the 2 arms of the trial included in the analysis. The trial had a third arm (</w:t>
      </w:r>
      <w:r w:rsidRPr="00C47C3B">
        <w:rPr>
          <w:rFonts w:ascii="Arial Narrow" w:hAnsi="Arial Narrow" w:cs="Arial"/>
          <w:snapToGrid w:val="0"/>
          <w:sz w:val="16"/>
          <w:szCs w:val="16"/>
        </w:rPr>
        <w:t xml:space="preserve">600 mg </w:t>
      </w:r>
      <w:proofErr w:type="spellStart"/>
      <w:r w:rsidRPr="00C47C3B">
        <w:rPr>
          <w:rFonts w:ascii="Arial Narrow" w:hAnsi="Arial Narrow" w:cs="Arial"/>
          <w:snapToGrid w:val="0"/>
          <w:sz w:val="16"/>
          <w:szCs w:val="16"/>
        </w:rPr>
        <w:t>lumacaftor</w:t>
      </w:r>
      <w:proofErr w:type="spellEnd"/>
      <w:r w:rsidRPr="00C47C3B">
        <w:rPr>
          <w:rFonts w:ascii="Arial Narrow" w:hAnsi="Arial Narrow" w:cs="Arial"/>
          <w:snapToGrid w:val="0"/>
          <w:sz w:val="16"/>
          <w:szCs w:val="16"/>
        </w:rPr>
        <w:t xml:space="preserve"> </w:t>
      </w:r>
      <w:proofErr w:type="spellStart"/>
      <w:r w:rsidRPr="00C47C3B">
        <w:rPr>
          <w:rFonts w:ascii="Arial Narrow" w:hAnsi="Arial Narrow" w:cs="Arial"/>
          <w:snapToGrid w:val="0"/>
          <w:sz w:val="16"/>
          <w:szCs w:val="16"/>
        </w:rPr>
        <w:t>qd</w:t>
      </w:r>
      <w:proofErr w:type="spellEnd"/>
      <w:r w:rsidRPr="00C47C3B">
        <w:rPr>
          <w:rFonts w:ascii="Arial Narrow" w:hAnsi="Arial Narrow" w:cs="Arial"/>
          <w:snapToGrid w:val="0"/>
          <w:sz w:val="16"/>
          <w:szCs w:val="16"/>
        </w:rPr>
        <w:t xml:space="preserve">, 250 mg </w:t>
      </w:r>
      <w:proofErr w:type="spellStart"/>
      <w:r w:rsidRPr="00C47C3B">
        <w:rPr>
          <w:rFonts w:ascii="Arial Narrow" w:hAnsi="Arial Narrow" w:cs="Arial"/>
          <w:snapToGrid w:val="0"/>
          <w:sz w:val="16"/>
          <w:szCs w:val="16"/>
        </w:rPr>
        <w:t>ivacaftor</w:t>
      </w:r>
      <w:proofErr w:type="spellEnd"/>
      <w:r w:rsidRPr="00C47C3B">
        <w:rPr>
          <w:rFonts w:ascii="Arial Narrow" w:hAnsi="Arial Narrow" w:cs="Arial"/>
          <w:snapToGrid w:val="0"/>
          <w:sz w:val="16"/>
          <w:szCs w:val="16"/>
        </w:rPr>
        <w:t xml:space="preserve"> q12h) with n=185</w:t>
      </w:r>
    </w:p>
    <w:p w:rsidR="00C47C3B" w:rsidRPr="00C47C3B" w:rsidRDefault="00C47C3B" w:rsidP="00C47C3B">
      <w:pPr>
        <w:keepNext/>
        <w:spacing w:after="120"/>
        <w:contextualSpacing/>
        <w:rPr>
          <w:rFonts w:ascii="Arial Narrow" w:hAnsi="Arial Narrow" w:cs="Arial"/>
          <w:snapToGrid w:val="0"/>
          <w:sz w:val="16"/>
          <w:szCs w:val="16"/>
        </w:rPr>
      </w:pPr>
      <w:proofErr w:type="gramStart"/>
      <w:r w:rsidRPr="00C47C3B">
        <w:rPr>
          <w:rFonts w:ascii="Arial Narrow" w:hAnsi="Arial Narrow" w:cs="Arial"/>
          <w:snapToGrid w:val="0"/>
          <w:sz w:val="16"/>
          <w:szCs w:val="16"/>
          <w:vertAlign w:val="superscript"/>
        </w:rPr>
        <w:t>b</w:t>
      </w:r>
      <w:proofErr w:type="gramEnd"/>
      <w:r w:rsidRPr="00C47C3B">
        <w:rPr>
          <w:rFonts w:ascii="Arial Narrow" w:hAnsi="Arial Narrow" w:cs="Arial"/>
          <w:snapToGrid w:val="0"/>
          <w:sz w:val="16"/>
          <w:szCs w:val="16"/>
          <w:vertAlign w:val="superscript"/>
        </w:rPr>
        <w:t xml:space="preserve"> </w:t>
      </w:r>
      <w:r w:rsidRPr="00C47C3B">
        <w:rPr>
          <w:rFonts w:ascii="Arial Narrow" w:hAnsi="Arial Narrow" w:cs="Arial"/>
          <w:snapToGrid w:val="0"/>
          <w:sz w:val="16"/>
          <w:szCs w:val="16"/>
          <w:lang w:eastAsia="en-US"/>
        </w:rPr>
        <w:t xml:space="preserve">n=376 in the 2 arms of the trial included in the analysis. The trial had a third arm </w:t>
      </w:r>
      <w:bookmarkStart w:id="49" w:name="_Hlk479592991"/>
      <w:r w:rsidRPr="00C47C3B">
        <w:rPr>
          <w:rFonts w:ascii="Arial Narrow" w:hAnsi="Arial Narrow" w:cs="Arial"/>
          <w:snapToGrid w:val="0"/>
          <w:sz w:val="16"/>
          <w:szCs w:val="16"/>
          <w:lang w:eastAsia="en-US"/>
        </w:rPr>
        <w:t>(</w:t>
      </w:r>
      <w:r w:rsidRPr="00C47C3B">
        <w:rPr>
          <w:rFonts w:ascii="Arial Narrow" w:hAnsi="Arial Narrow" w:cs="Arial"/>
          <w:snapToGrid w:val="0"/>
          <w:sz w:val="16"/>
          <w:szCs w:val="16"/>
        </w:rPr>
        <w:t xml:space="preserve">600 mg </w:t>
      </w:r>
      <w:proofErr w:type="spellStart"/>
      <w:r w:rsidRPr="00C47C3B">
        <w:rPr>
          <w:rFonts w:ascii="Arial Narrow" w:hAnsi="Arial Narrow" w:cs="Arial"/>
          <w:snapToGrid w:val="0"/>
          <w:sz w:val="16"/>
          <w:szCs w:val="16"/>
        </w:rPr>
        <w:t>lumacaftor</w:t>
      </w:r>
      <w:proofErr w:type="spellEnd"/>
      <w:r w:rsidRPr="00C47C3B">
        <w:rPr>
          <w:rFonts w:ascii="Arial Narrow" w:hAnsi="Arial Narrow" w:cs="Arial"/>
          <w:snapToGrid w:val="0"/>
          <w:sz w:val="16"/>
          <w:szCs w:val="16"/>
        </w:rPr>
        <w:t xml:space="preserve"> </w:t>
      </w:r>
      <w:proofErr w:type="spellStart"/>
      <w:r w:rsidRPr="00C47C3B">
        <w:rPr>
          <w:rFonts w:ascii="Arial Narrow" w:hAnsi="Arial Narrow" w:cs="Arial"/>
          <w:snapToGrid w:val="0"/>
          <w:sz w:val="16"/>
          <w:szCs w:val="16"/>
        </w:rPr>
        <w:t>qd</w:t>
      </w:r>
      <w:proofErr w:type="spellEnd"/>
      <w:r w:rsidRPr="00C47C3B">
        <w:rPr>
          <w:rFonts w:ascii="Arial Narrow" w:hAnsi="Arial Narrow" w:cs="Arial"/>
          <w:snapToGrid w:val="0"/>
          <w:sz w:val="16"/>
          <w:szCs w:val="16"/>
        </w:rPr>
        <w:t xml:space="preserve">, 250 mg </w:t>
      </w:r>
      <w:proofErr w:type="spellStart"/>
      <w:r w:rsidRPr="00C47C3B">
        <w:rPr>
          <w:rFonts w:ascii="Arial Narrow" w:hAnsi="Arial Narrow" w:cs="Arial"/>
          <w:snapToGrid w:val="0"/>
          <w:sz w:val="16"/>
          <w:szCs w:val="16"/>
        </w:rPr>
        <w:t>ivacaftor</w:t>
      </w:r>
      <w:proofErr w:type="spellEnd"/>
      <w:r w:rsidRPr="00C47C3B">
        <w:rPr>
          <w:rFonts w:ascii="Arial Narrow" w:hAnsi="Arial Narrow" w:cs="Arial"/>
          <w:snapToGrid w:val="0"/>
          <w:sz w:val="16"/>
          <w:szCs w:val="16"/>
        </w:rPr>
        <w:t xml:space="preserve"> q12h) with n=187</w:t>
      </w:r>
      <w:bookmarkEnd w:id="49"/>
    </w:p>
    <w:p w:rsidR="00C47C3B" w:rsidRPr="00C47C3B" w:rsidRDefault="00C47C3B" w:rsidP="00C47C3B">
      <w:pPr>
        <w:keepNext/>
        <w:spacing w:after="120"/>
        <w:contextualSpacing/>
        <w:rPr>
          <w:rFonts w:ascii="Arial Narrow" w:hAnsi="Arial Narrow" w:cs="Arial"/>
          <w:snapToGrid w:val="0"/>
          <w:sz w:val="16"/>
          <w:szCs w:val="16"/>
          <w:lang w:eastAsia="en-US"/>
        </w:rPr>
      </w:pPr>
      <w:proofErr w:type="gramStart"/>
      <w:r w:rsidRPr="00C47C3B">
        <w:rPr>
          <w:rFonts w:ascii="Arial Narrow" w:hAnsi="Arial Narrow" w:cs="Arial"/>
          <w:snapToGrid w:val="0"/>
          <w:sz w:val="16"/>
          <w:szCs w:val="16"/>
          <w:vertAlign w:val="superscript"/>
        </w:rPr>
        <w:t>c</w:t>
      </w:r>
      <w:proofErr w:type="gramEnd"/>
      <w:r w:rsidRPr="00C47C3B">
        <w:rPr>
          <w:rFonts w:ascii="Arial Narrow" w:hAnsi="Arial Narrow" w:cs="Arial"/>
          <w:snapToGrid w:val="0"/>
          <w:sz w:val="16"/>
          <w:szCs w:val="16"/>
        </w:rPr>
        <w:t xml:space="preserve"> n = 516 in the group included in the analysis, of whom 176 transitioned from placebo. The study had a second arm </w:t>
      </w:r>
      <w:r w:rsidRPr="00C47C3B">
        <w:rPr>
          <w:rFonts w:ascii="Arial Narrow" w:hAnsi="Arial Narrow" w:cs="Arial"/>
          <w:snapToGrid w:val="0"/>
          <w:sz w:val="16"/>
          <w:szCs w:val="16"/>
          <w:lang w:eastAsia="en-US"/>
        </w:rPr>
        <w:t>(</w:t>
      </w:r>
      <w:r w:rsidRPr="00C47C3B">
        <w:rPr>
          <w:rFonts w:ascii="Arial Narrow" w:hAnsi="Arial Narrow" w:cs="Arial"/>
          <w:snapToGrid w:val="0"/>
          <w:sz w:val="16"/>
          <w:szCs w:val="16"/>
        </w:rPr>
        <w:t xml:space="preserve">600 mg </w:t>
      </w:r>
      <w:proofErr w:type="spellStart"/>
      <w:r w:rsidRPr="00C47C3B">
        <w:rPr>
          <w:rFonts w:ascii="Arial Narrow" w:hAnsi="Arial Narrow" w:cs="Arial"/>
          <w:snapToGrid w:val="0"/>
          <w:sz w:val="16"/>
          <w:szCs w:val="16"/>
        </w:rPr>
        <w:t>lumacaftor</w:t>
      </w:r>
      <w:proofErr w:type="spellEnd"/>
      <w:r w:rsidRPr="00C47C3B">
        <w:rPr>
          <w:rFonts w:ascii="Arial Narrow" w:hAnsi="Arial Narrow" w:cs="Arial"/>
          <w:snapToGrid w:val="0"/>
          <w:sz w:val="16"/>
          <w:szCs w:val="16"/>
        </w:rPr>
        <w:t xml:space="preserve"> </w:t>
      </w:r>
      <w:proofErr w:type="spellStart"/>
      <w:r w:rsidRPr="00C47C3B">
        <w:rPr>
          <w:rFonts w:ascii="Arial Narrow" w:hAnsi="Arial Narrow" w:cs="Arial"/>
          <w:snapToGrid w:val="0"/>
          <w:sz w:val="16"/>
          <w:szCs w:val="16"/>
        </w:rPr>
        <w:t>qd</w:t>
      </w:r>
      <w:proofErr w:type="spellEnd"/>
      <w:r w:rsidRPr="00C47C3B">
        <w:rPr>
          <w:rFonts w:ascii="Arial Narrow" w:hAnsi="Arial Narrow" w:cs="Arial"/>
          <w:snapToGrid w:val="0"/>
          <w:sz w:val="16"/>
          <w:szCs w:val="16"/>
        </w:rPr>
        <w:t xml:space="preserve">, 250 mg </w:t>
      </w:r>
      <w:proofErr w:type="spellStart"/>
      <w:r w:rsidRPr="00C47C3B">
        <w:rPr>
          <w:rFonts w:ascii="Arial Narrow" w:hAnsi="Arial Narrow" w:cs="Arial"/>
          <w:snapToGrid w:val="0"/>
          <w:sz w:val="16"/>
          <w:szCs w:val="16"/>
        </w:rPr>
        <w:t>ivacaftor</w:t>
      </w:r>
      <w:proofErr w:type="spellEnd"/>
      <w:r w:rsidRPr="00C47C3B">
        <w:rPr>
          <w:rFonts w:ascii="Arial Narrow" w:hAnsi="Arial Narrow" w:cs="Arial"/>
          <w:snapToGrid w:val="0"/>
          <w:sz w:val="16"/>
          <w:szCs w:val="16"/>
        </w:rPr>
        <w:t xml:space="preserve"> q12h) with n=514</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t xml:space="preserve">A large proportion of patients in PROGRESS discontinued treatment prior to completion; 82% completed extension week 72, and 42% completed extension week 96. Reasons for discontinuation included adverse events (7%, n=38), refusal of further dosing (9%, n=46), terminated treatment by sponsor (4%, n=19) and “other” (33%, n=170). The latter largely occurred between week 72 and week 96 and the resubmission stated this was largely due to commercial drug availability in the US and subsequent closure of clinical trial sites. Accordingly, the main efficacy analyses in the resubmission were done for visits up to extension week 72, with sensitivity analyses done for visits up to extension week 96. The evaluation noted that this high attrition rate suggested an increased risk of bias in this study in respect of outcome reporting, the direction of which is unknown. It is unclear if patients who discontinued between weeks 72 and 96 performed “better” or “worse” on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than those who remained. However, the ESC noted that over 16% patients chose to discontinue treatment before week 96 due to adverse events or refusal of further dosing.</w:t>
      </w:r>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bookmarkStart w:id="50" w:name="_Toc413139278"/>
      <w:bookmarkStart w:id="51" w:name="_Toc476306888"/>
      <w:bookmarkStart w:id="52" w:name="_Toc482713675"/>
      <w:r w:rsidRPr="00C47C3B">
        <w:rPr>
          <w:rFonts w:asciiTheme="minorHAnsi" w:hAnsiTheme="minorHAnsi" w:cs="Arial"/>
          <w:b/>
          <w:i/>
          <w:snapToGrid w:val="0"/>
          <w:sz w:val="28"/>
          <w:szCs w:val="28"/>
          <w:lang w:eastAsia="en-US"/>
        </w:rPr>
        <w:t>Comparative effectiveness</w:t>
      </w:r>
      <w:bookmarkEnd w:id="50"/>
      <w:bookmarkEnd w:id="51"/>
      <w:bookmarkEnd w:id="52"/>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The primary outcome at 24 weeks in the TRAFFIC and TRANSPORT trials was an absolute increase in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0"/>
          <w:lang w:eastAsia="en-US"/>
        </w:rPr>
        <w:t xml:space="preserve"> of 2.8 percentage points (95% CI: 1.80, 3.82). The PBAC previously considered that it was uncertain whether the observed improvement in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0"/>
          <w:lang w:eastAsia="en-US"/>
        </w:rPr>
        <w:t xml:space="preserve"> represented a clinically significant difference noting that it was considerably smaller than the improvement of 10.58 percentage points (95% CI: 8.57, 12.59) demonstrated for </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monotherapy </w:t>
      </w:r>
      <w:r w:rsidRPr="00C47C3B">
        <w:rPr>
          <w:rFonts w:asciiTheme="minorHAnsi" w:hAnsiTheme="minorHAnsi" w:cs="Arial"/>
          <w:snapToGrid w:val="0"/>
          <w:lang w:eastAsia="en-US"/>
        </w:rPr>
        <w:t xml:space="preserve">for patients with cystic fibrosis with a </w:t>
      </w:r>
      <w:r w:rsidRPr="00C47C3B">
        <w:rPr>
          <w:rFonts w:asciiTheme="minorHAnsi" w:hAnsiTheme="minorHAnsi" w:cs="Arial"/>
          <w:snapToGrid w:val="0"/>
          <w:lang w:eastAsia="en-US"/>
        </w:rPr>
        <w:lastRenderedPageBreak/>
        <w:t>G551D or other class III gating mutation in the CFTR gene on at least one allele</w:t>
      </w:r>
      <w:r w:rsidRPr="00C47C3B">
        <w:rPr>
          <w:rFonts w:asciiTheme="minorHAnsi" w:hAnsiTheme="minorHAnsi" w:cs="Arial"/>
          <w:snapToGrid w:val="0"/>
          <w:szCs w:val="20"/>
          <w:lang w:eastAsia="en-US"/>
        </w:rPr>
        <w:t xml:space="preserve"> (paragraph 7.6, March 2016 PSD). In addition, the incremental improvements (compared with placebo) demonstrated in patients’ weight and quality of life as measured using the revised Cystic Fibrosis Questionnaire (CFQ-R) for </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monotherapy in this different patient population were considered more compelling than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w:t>
      </w:r>
    </w:p>
    <w:p w:rsidR="00C47C3B" w:rsidRPr="00C47C3B" w:rsidRDefault="00B2504F" w:rsidP="00C47C3B">
      <w:pPr>
        <w:widowControl w:val="0"/>
        <w:numPr>
          <w:ilvl w:val="1"/>
          <w:numId w:val="5"/>
        </w:numPr>
        <w:spacing w:after="120"/>
        <w:ind w:left="709" w:hanging="709"/>
        <w:jc w:val="both"/>
        <w:rPr>
          <w:rFonts w:asciiTheme="minorHAnsi" w:hAnsiTheme="minorHAnsi" w:cs="Arial"/>
          <w:snapToGrid w:val="0"/>
          <w:szCs w:val="20"/>
          <w:lang w:eastAsia="en-US"/>
        </w:rPr>
      </w:pPr>
      <w:r>
        <w:rPr>
          <w:rFonts w:asciiTheme="minorHAnsi" w:hAnsiTheme="minorHAnsi" w:cs="Arial"/>
          <w:snapToGrid w:val="0"/>
          <w:szCs w:val="20"/>
          <w:lang w:eastAsia="en-US"/>
        </w:rPr>
        <w:t xml:space="preserve">The PSCR </w:t>
      </w:r>
      <w:r w:rsidR="00C47C3B" w:rsidRPr="00C47C3B">
        <w:rPr>
          <w:rFonts w:asciiTheme="minorHAnsi" w:hAnsiTheme="minorHAnsi" w:cs="Arial"/>
          <w:snapToGrid w:val="0"/>
          <w:szCs w:val="20"/>
          <w:lang w:eastAsia="en-US"/>
        </w:rPr>
        <w:t>argued it was not appropriate to directly compare the magnitude of ppFEV</w:t>
      </w:r>
      <w:r w:rsidR="00C47C3B" w:rsidRPr="00C47C3B">
        <w:rPr>
          <w:rFonts w:asciiTheme="minorHAnsi" w:hAnsiTheme="minorHAnsi" w:cs="Arial"/>
          <w:snapToGrid w:val="0"/>
          <w:szCs w:val="20"/>
          <w:vertAlign w:val="subscript"/>
          <w:lang w:eastAsia="en-US"/>
        </w:rPr>
        <w:t>1</w:t>
      </w:r>
      <w:r w:rsidR="00C47C3B" w:rsidRPr="00C47C3B">
        <w:rPr>
          <w:rFonts w:asciiTheme="minorHAnsi" w:hAnsiTheme="minorHAnsi" w:cs="Arial"/>
          <w:snapToGrid w:val="0"/>
          <w:szCs w:val="20"/>
          <w:lang w:eastAsia="en-US"/>
        </w:rPr>
        <w:t xml:space="preserve"> improvement observed with </w:t>
      </w:r>
      <w:proofErr w:type="spellStart"/>
      <w:r w:rsidR="00C47C3B" w:rsidRPr="00C47C3B">
        <w:rPr>
          <w:rFonts w:asciiTheme="minorHAnsi" w:hAnsiTheme="minorHAnsi" w:cs="Arial"/>
          <w:snapToGrid w:val="0"/>
          <w:szCs w:val="20"/>
          <w:lang w:eastAsia="en-US"/>
        </w:rPr>
        <w:t>lumacaftor</w:t>
      </w:r>
      <w:proofErr w:type="spellEnd"/>
      <w:r w:rsidR="00C47C3B" w:rsidRPr="00C47C3B">
        <w:rPr>
          <w:rFonts w:asciiTheme="minorHAnsi" w:hAnsiTheme="minorHAnsi" w:cs="Arial"/>
          <w:snapToGrid w:val="0"/>
          <w:szCs w:val="20"/>
          <w:lang w:eastAsia="en-US"/>
        </w:rPr>
        <w:t>/</w:t>
      </w:r>
      <w:proofErr w:type="spellStart"/>
      <w:r w:rsidR="00C47C3B" w:rsidRPr="00C47C3B">
        <w:rPr>
          <w:rFonts w:asciiTheme="minorHAnsi" w:hAnsiTheme="minorHAnsi" w:cs="Arial"/>
          <w:snapToGrid w:val="0"/>
          <w:szCs w:val="20"/>
          <w:lang w:eastAsia="en-US"/>
        </w:rPr>
        <w:t>ivacaftor</w:t>
      </w:r>
      <w:proofErr w:type="spellEnd"/>
      <w:r w:rsidR="00C47C3B" w:rsidRPr="00C47C3B">
        <w:rPr>
          <w:rFonts w:asciiTheme="minorHAnsi" w:hAnsiTheme="minorHAnsi" w:cs="Arial"/>
          <w:snapToGrid w:val="0"/>
          <w:szCs w:val="20"/>
          <w:lang w:eastAsia="en-US"/>
        </w:rPr>
        <w:t xml:space="preserve"> with that observed with </w:t>
      </w:r>
      <w:proofErr w:type="spellStart"/>
      <w:r w:rsidR="00C47C3B" w:rsidRPr="00C47C3B">
        <w:rPr>
          <w:rFonts w:asciiTheme="minorHAnsi" w:hAnsiTheme="minorHAnsi" w:cs="Arial"/>
          <w:snapToGrid w:val="0"/>
          <w:szCs w:val="20"/>
          <w:lang w:eastAsia="en-US"/>
        </w:rPr>
        <w:t>ivacaftor</w:t>
      </w:r>
      <w:proofErr w:type="spellEnd"/>
      <w:r w:rsidR="00C47C3B" w:rsidRPr="00C47C3B">
        <w:rPr>
          <w:rFonts w:asciiTheme="minorHAnsi" w:hAnsiTheme="minorHAnsi" w:cs="Arial"/>
          <w:snapToGrid w:val="0"/>
          <w:szCs w:val="20"/>
          <w:lang w:eastAsia="en-US"/>
        </w:rPr>
        <w:t xml:space="preserve"> monotherapy because of differences in disease aetiology between the two treatment populations. Whilst acknowledging these differences in the genetic basis of the disease, the ESC nevertheless noted that the magnitude of the change in ppFEV</w:t>
      </w:r>
      <w:r w:rsidR="00C47C3B" w:rsidRPr="00C47C3B">
        <w:rPr>
          <w:rFonts w:asciiTheme="minorHAnsi" w:hAnsiTheme="minorHAnsi" w:cs="Arial"/>
          <w:snapToGrid w:val="0"/>
          <w:szCs w:val="20"/>
          <w:vertAlign w:val="subscript"/>
          <w:lang w:eastAsia="en-US"/>
        </w:rPr>
        <w:t>1</w:t>
      </w:r>
      <w:r w:rsidR="00C47C3B" w:rsidRPr="00C47C3B">
        <w:rPr>
          <w:rFonts w:asciiTheme="minorHAnsi" w:hAnsiTheme="minorHAnsi" w:cs="Arial"/>
          <w:snapToGrid w:val="0"/>
          <w:szCs w:val="20"/>
          <w:lang w:eastAsia="en-US"/>
        </w:rPr>
        <w:t xml:space="preserve"> was less than that for </w:t>
      </w:r>
      <w:proofErr w:type="spellStart"/>
      <w:r w:rsidR="00C47C3B" w:rsidRPr="00C47C3B">
        <w:rPr>
          <w:rFonts w:asciiTheme="minorHAnsi" w:hAnsiTheme="minorHAnsi" w:cs="Arial"/>
          <w:snapToGrid w:val="0"/>
          <w:szCs w:val="20"/>
          <w:lang w:eastAsia="en-US"/>
        </w:rPr>
        <w:t>ivacaftor</w:t>
      </w:r>
      <w:proofErr w:type="spellEnd"/>
      <w:r w:rsidR="00C47C3B" w:rsidRPr="00C47C3B">
        <w:rPr>
          <w:rFonts w:asciiTheme="minorHAnsi" w:hAnsiTheme="minorHAnsi" w:cs="Arial"/>
          <w:snapToGrid w:val="0"/>
          <w:szCs w:val="20"/>
          <w:lang w:eastAsia="en-US"/>
        </w:rPr>
        <w:t xml:space="preserve"> monotherapy in Class III gating mutations and that the clinical significance of the 2.81 percentage point improvement remained uncertain. </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The clinical evidence from the PROGRESS extension study indicated that there was a decline in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0"/>
          <w:lang w:eastAsia="en-US"/>
        </w:rPr>
        <w:t xml:space="preserve">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treated patients over time with the modest 2.81 percentage point improvement observed in TRAFFIC and TRANSPORT not being maintained at weeks 72 or 96 of the extension study. Using the pre-specified analysis methods, the ESC noted that the change in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0"/>
          <w:lang w:eastAsia="en-US"/>
        </w:rPr>
        <w:t xml:space="preserve"> from baseline in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treated patients was no longer statistically significant at extension weeks 72 or 96 (i.e. up to 120 continuous weeks of treatment). Patients who had been treated with placebo and transitioned to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treatment demonstrated a change of 1.5 percentage points in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0"/>
          <w:lang w:eastAsia="en-US"/>
        </w:rPr>
        <w:t xml:space="preserve"> after 72 weeks of treatment, although the difference with baseline was no longer statistically significant at 96 weeks. These data are illustrated in Table 5 and Figure 1. </w:t>
      </w: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lastRenderedPageBreak/>
        <w:t xml:space="preserve">Table </w:t>
      </w:r>
      <w:r w:rsidRPr="00C47C3B">
        <w:rPr>
          <w:rFonts w:ascii="Arial Narrow" w:eastAsiaTheme="minorHAnsi" w:hAnsi="Arial Narrow" w:cstheme="minorBidi"/>
          <w:b/>
          <w:noProof/>
          <w:sz w:val="20"/>
          <w:szCs w:val="22"/>
          <w:lang w:eastAsia="en-US"/>
        </w:rPr>
        <w:t>5</w:t>
      </w:r>
      <w:r w:rsidRPr="00C47C3B">
        <w:rPr>
          <w:rFonts w:ascii="Arial Narrow" w:eastAsiaTheme="minorHAnsi" w:hAnsi="Arial Narrow" w:cstheme="minorBidi"/>
          <w:b/>
          <w:sz w:val="20"/>
          <w:szCs w:val="22"/>
          <w:lang w:eastAsia="en-US"/>
        </w:rPr>
        <w:t>: Absolute changes from baseline in ppFEV1 in TRAFFIC or TRANSPORT and PROGRESS</w:t>
      </w:r>
    </w:p>
    <w:tbl>
      <w:tblPr>
        <w:tblStyle w:val="newstyle32"/>
        <w:tblW w:w="5000" w:type="pct"/>
        <w:tblLayout w:type="fixed"/>
        <w:tblLook w:val="04A0" w:firstRow="1" w:lastRow="0" w:firstColumn="1" w:lastColumn="0" w:noHBand="0" w:noVBand="1"/>
        <w:tblCaption w:val="Absolute changes from baseline in ppFEV1 in TRAFFIC or TRANSPORT and PROGRESS"/>
      </w:tblPr>
      <w:tblGrid>
        <w:gridCol w:w="1574"/>
        <w:gridCol w:w="1780"/>
        <w:gridCol w:w="1834"/>
        <w:gridCol w:w="1923"/>
        <w:gridCol w:w="1925"/>
      </w:tblGrid>
      <w:tr w:rsidR="00C47C3B" w:rsidRPr="00C47C3B" w:rsidTr="009F446F">
        <w:trPr>
          <w:cnfStyle w:val="100000000000" w:firstRow="1" w:lastRow="0" w:firstColumn="0" w:lastColumn="0" w:oddVBand="0" w:evenVBand="0" w:oddHBand="0" w:evenHBand="0" w:firstRowFirstColumn="0" w:firstRowLastColumn="0" w:lastRowFirstColumn="0" w:lastRowLastColumn="0"/>
          <w:trHeight w:val="300"/>
        </w:trPr>
        <w:tc>
          <w:tcPr>
            <w:tcW w:w="871" w:type="pct"/>
            <w:vMerge w:val="restart"/>
            <w:shd w:val="clear" w:color="auto" w:fill="auto"/>
            <w:noWrap/>
            <w:hideMark/>
          </w:tcPr>
          <w:p w:rsidR="00C47C3B" w:rsidRPr="00C47C3B" w:rsidRDefault="00C47C3B" w:rsidP="00C47C3B">
            <w:pPr>
              <w:keepNext/>
              <w:jc w:val="both"/>
              <w:rPr>
                <w:rFonts w:ascii="Arial Narrow" w:hAnsi="Arial Narrow" w:cs="Calibri"/>
                <w:snapToGrid w:val="0"/>
                <w:sz w:val="16"/>
                <w:szCs w:val="20"/>
                <w:lang w:eastAsia="en-US"/>
              </w:rPr>
            </w:pPr>
            <w:r w:rsidRPr="00C47C3B">
              <w:rPr>
                <w:rFonts w:ascii="Arial Narrow" w:hAnsi="Arial Narrow" w:cs="Calibri"/>
                <w:snapToGrid w:val="0"/>
                <w:sz w:val="16"/>
                <w:szCs w:val="20"/>
                <w:lang w:eastAsia="en-US"/>
              </w:rPr>
              <w:t> </w:t>
            </w:r>
          </w:p>
        </w:tc>
        <w:tc>
          <w:tcPr>
            <w:tcW w:w="2000" w:type="pct"/>
            <w:gridSpan w:val="2"/>
            <w:shd w:val="clear" w:color="auto" w:fill="auto"/>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TRAFFIC or TRANSPORT</w:t>
            </w:r>
          </w:p>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least squares mean, (95% CI), p value</w:t>
            </w:r>
            <w:r w:rsidRPr="00C47C3B">
              <w:rPr>
                <w:rFonts w:ascii="Arial Narrow" w:hAnsi="Arial Narrow" w:cs="Arial"/>
                <w:snapToGrid w:val="0"/>
                <w:sz w:val="20"/>
                <w:szCs w:val="20"/>
                <w:vertAlign w:val="superscript"/>
                <w:lang w:eastAsia="en-US"/>
              </w:rPr>
              <w:t>†</w:t>
            </w:r>
          </w:p>
        </w:tc>
        <w:tc>
          <w:tcPr>
            <w:tcW w:w="2129" w:type="pct"/>
            <w:gridSpan w:val="2"/>
            <w:shd w:val="clear" w:color="auto" w:fill="auto"/>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PROGRESS</w:t>
            </w:r>
          </w:p>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least squares mean, (95% CI), p value</w:t>
            </w:r>
            <w:r w:rsidRPr="00C47C3B">
              <w:rPr>
                <w:rFonts w:ascii="Arial Narrow" w:hAnsi="Arial Narrow" w:cs="Arial"/>
                <w:snapToGrid w:val="0"/>
                <w:sz w:val="20"/>
                <w:szCs w:val="20"/>
                <w:vertAlign w:val="superscript"/>
                <w:lang w:eastAsia="en-US"/>
              </w:rPr>
              <w:t>†</w:t>
            </w:r>
          </w:p>
        </w:tc>
      </w:tr>
      <w:tr w:rsidR="00C47C3B" w:rsidRPr="00C47C3B" w:rsidTr="009F446F">
        <w:trPr>
          <w:cantSplit w:val="0"/>
          <w:trHeight w:val="428"/>
        </w:trPr>
        <w:tc>
          <w:tcPr>
            <w:tcW w:w="871" w:type="pct"/>
            <w:vMerge/>
            <w:shd w:val="clear" w:color="auto" w:fill="auto"/>
            <w:hideMark/>
          </w:tcPr>
          <w:p w:rsidR="00C47C3B" w:rsidRPr="00C47C3B" w:rsidRDefault="00C47C3B" w:rsidP="00C47C3B">
            <w:pPr>
              <w:keepNext/>
              <w:jc w:val="both"/>
              <w:rPr>
                <w:rFonts w:ascii="Arial Narrow" w:hAnsi="Arial Narrow" w:cs="Calibri"/>
                <w:snapToGrid w:val="0"/>
                <w:sz w:val="16"/>
                <w:szCs w:val="20"/>
                <w:lang w:eastAsia="en-US"/>
              </w:rPr>
            </w:pPr>
          </w:p>
        </w:tc>
        <w:tc>
          <w:tcPr>
            <w:tcW w:w="985" w:type="pct"/>
            <w:shd w:val="clear" w:color="auto" w:fill="auto"/>
            <w:noWrap/>
            <w:hideMark/>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Placebo (n=371)</w:t>
            </w:r>
          </w:p>
        </w:tc>
        <w:tc>
          <w:tcPr>
            <w:tcW w:w="1015" w:type="pct"/>
            <w:shd w:val="clear" w:color="auto" w:fill="auto"/>
            <w:hideMark/>
          </w:tcPr>
          <w:p w:rsidR="00C47C3B" w:rsidRPr="00C47C3B" w:rsidRDefault="00C47C3B" w:rsidP="00C47C3B">
            <w:pPr>
              <w:keepNext/>
              <w:jc w:val="center"/>
              <w:rPr>
                <w:rFonts w:ascii="Arial Narrow" w:hAnsi="Arial Narrow" w:cs="Arial"/>
                <w:b/>
                <w:snapToGrid w:val="0"/>
                <w:sz w:val="20"/>
                <w:szCs w:val="20"/>
                <w:lang w:eastAsia="en-US"/>
              </w:rPr>
            </w:pPr>
            <w:proofErr w:type="spellStart"/>
            <w:r w:rsidRPr="00C47C3B">
              <w:rPr>
                <w:rFonts w:ascii="Arial Narrow" w:hAnsi="Arial Narrow" w:cs="Arial"/>
                <w:b/>
                <w:snapToGrid w:val="0"/>
                <w:sz w:val="20"/>
                <w:szCs w:val="20"/>
                <w:lang w:eastAsia="en-US"/>
              </w:rPr>
              <w:t>Lumacaftor</w:t>
            </w:r>
            <w:proofErr w:type="spellEnd"/>
            <w:r w:rsidRPr="00C47C3B">
              <w:rPr>
                <w:rFonts w:ascii="Arial Narrow" w:hAnsi="Arial Narrow" w:cs="Arial"/>
                <w:b/>
                <w:snapToGrid w:val="0"/>
                <w:sz w:val="20"/>
                <w:szCs w:val="20"/>
                <w:lang w:eastAsia="en-US"/>
              </w:rPr>
              <w:t>/</w:t>
            </w:r>
            <w:proofErr w:type="spellStart"/>
            <w:r w:rsidRPr="00C47C3B">
              <w:rPr>
                <w:rFonts w:ascii="Arial Narrow" w:hAnsi="Arial Narrow" w:cs="Arial"/>
                <w:b/>
                <w:snapToGrid w:val="0"/>
                <w:sz w:val="20"/>
                <w:szCs w:val="20"/>
                <w:lang w:eastAsia="en-US"/>
              </w:rPr>
              <w:t>ivacaftor</w:t>
            </w:r>
            <w:proofErr w:type="spellEnd"/>
            <w:r w:rsidRPr="00C47C3B">
              <w:rPr>
                <w:rFonts w:ascii="Arial Narrow" w:hAnsi="Arial Narrow" w:cs="Arial"/>
                <w:b/>
                <w:snapToGrid w:val="0"/>
                <w:sz w:val="20"/>
                <w:szCs w:val="20"/>
                <w:lang w:eastAsia="en-US"/>
              </w:rPr>
              <w:t xml:space="preserve">  (n=369)</w:t>
            </w:r>
          </w:p>
        </w:tc>
        <w:tc>
          <w:tcPr>
            <w:tcW w:w="1064" w:type="pct"/>
            <w:shd w:val="clear" w:color="auto" w:fill="auto"/>
            <w:hideMark/>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 xml:space="preserve">Placebo transitioned to </w:t>
            </w:r>
            <w:proofErr w:type="spellStart"/>
            <w:r w:rsidRPr="00C47C3B">
              <w:rPr>
                <w:rFonts w:ascii="Arial Narrow" w:hAnsi="Arial Narrow" w:cs="Arial"/>
                <w:b/>
                <w:snapToGrid w:val="0"/>
                <w:sz w:val="20"/>
                <w:szCs w:val="20"/>
                <w:lang w:eastAsia="en-US"/>
              </w:rPr>
              <w:t>lumacaftor</w:t>
            </w:r>
            <w:proofErr w:type="spellEnd"/>
            <w:r w:rsidRPr="00C47C3B">
              <w:rPr>
                <w:rFonts w:ascii="Arial Narrow" w:hAnsi="Arial Narrow" w:cs="Arial"/>
                <w:b/>
                <w:snapToGrid w:val="0"/>
                <w:sz w:val="20"/>
                <w:szCs w:val="20"/>
                <w:lang w:eastAsia="en-US"/>
              </w:rPr>
              <w:t>/</w:t>
            </w:r>
            <w:proofErr w:type="spellStart"/>
            <w:r w:rsidRPr="00C47C3B">
              <w:rPr>
                <w:rFonts w:ascii="Arial Narrow" w:hAnsi="Arial Narrow" w:cs="Arial"/>
                <w:b/>
                <w:snapToGrid w:val="0"/>
                <w:sz w:val="20"/>
                <w:szCs w:val="20"/>
                <w:lang w:eastAsia="en-US"/>
              </w:rPr>
              <w:t>ivacaftor</w:t>
            </w:r>
            <w:proofErr w:type="spellEnd"/>
            <w:r w:rsidRPr="00C47C3B">
              <w:rPr>
                <w:rFonts w:ascii="Arial Narrow" w:hAnsi="Arial Narrow" w:cs="Arial"/>
                <w:b/>
                <w:snapToGrid w:val="0"/>
                <w:sz w:val="20"/>
                <w:szCs w:val="20"/>
                <w:lang w:eastAsia="en-US"/>
              </w:rPr>
              <w:t xml:space="preserve"> (n=176)</w:t>
            </w:r>
          </w:p>
        </w:tc>
        <w:tc>
          <w:tcPr>
            <w:tcW w:w="1065" w:type="pct"/>
            <w:shd w:val="clear" w:color="auto" w:fill="auto"/>
            <w:hideMark/>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 xml:space="preserve">Continued </w:t>
            </w:r>
            <w:proofErr w:type="spellStart"/>
            <w:r w:rsidRPr="00C47C3B">
              <w:rPr>
                <w:rFonts w:ascii="Arial Narrow" w:hAnsi="Arial Narrow" w:cs="Arial"/>
                <w:b/>
                <w:snapToGrid w:val="0"/>
                <w:sz w:val="20"/>
                <w:szCs w:val="20"/>
                <w:lang w:eastAsia="en-US"/>
              </w:rPr>
              <w:t>lumacaftor</w:t>
            </w:r>
            <w:proofErr w:type="spellEnd"/>
            <w:r w:rsidRPr="00C47C3B">
              <w:rPr>
                <w:rFonts w:ascii="Arial Narrow" w:hAnsi="Arial Narrow" w:cs="Arial"/>
                <w:b/>
                <w:snapToGrid w:val="0"/>
                <w:sz w:val="20"/>
                <w:szCs w:val="20"/>
                <w:lang w:eastAsia="en-US"/>
              </w:rPr>
              <w:t>/</w:t>
            </w:r>
            <w:proofErr w:type="spellStart"/>
            <w:r w:rsidRPr="00C47C3B">
              <w:rPr>
                <w:rFonts w:ascii="Arial Narrow" w:hAnsi="Arial Narrow" w:cs="Arial"/>
                <w:b/>
                <w:snapToGrid w:val="0"/>
                <w:sz w:val="20"/>
                <w:szCs w:val="20"/>
                <w:lang w:eastAsia="en-US"/>
              </w:rPr>
              <w:t>ivacaftor</w:t>
            </w:r>
            <w:proofErr w:type="spellEnd"/>
            <w:r w:rsidRPr="00C47C3B">
              <w:rPr>
                <w:rFonts w:ascii="Arial Narrow" w:hAnsi="Arial Narrow" w:cs="Arial"/>
                <w:b/>
                <w:snapToGrid w:val="0"/>
                <w:sz w:val="20"/>
                <w:szCs w:val="20"/>
                <w:lang w:eastAsia="en-US"/>
              </w:rPr>
              <w:t xml:space="preserve"> (n=369*)</w:t>
            </w:r>
          </w:p>
        </w:tc>
      </w:tr>
      <w:tr w:rsidR="00C47C3B" w:rsidRPr="00C47C3B" w:rsidTr="009F446F">
        <w:trPr>
          <w:cantSplit w:val="0"/>
          <w:trHeight w:val="20"/>
        </w:trPr>
        <w:tc>
          <w:tcPr>
            <w:tcW w:w="871" w:type="pct"/>
            <w:noWrap/>
            <w:hideMark/>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Week 24</w:t>
            </w:r>
          </w:p>
        </w:tc>
        <w:tc>
          <w:tcPr>
            <w:tcW w:w="98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–0·4 (–1·2 to 0·4), p=0·3494</w:t>
            </w:r>
          </w:p>
        </w:tc>
        <w:tc>
          <w:tcPr>
            <w:tcW w:w="101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2·2 (1·3 to 3·0), p&lt;0·0001</w:t>
            </w:r>
          </w:p>
        </w:tc>
        <w:tc>
          <w:tcPr>
            <w:tcW w:w="1064"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6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r>
      <w:tr w:rsidR="00C47C3B" w:rsidRPr="00C47C3B" w:rsidTr="009F446F">
        <w:trPr>
          <w:cantSplit w:val="0"/>
          <w:trHeight w:val="20"/>
        </w:trPr>
        <w:tc>
          <w:tcPr>
            <w:tcW w:w="871" w:type="pct"/>
            <w:noWrap/>
            <w:hideMark/>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Extension week 72</w:t>
            </w:r>
          </w:p>
        </w:tc>
        <w:tc>
          <w:tcPr>
            <w:tcW w:w="98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1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64"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1·5 (0.2, 2·9), </w:t>
            </w:r>
            <w:r w:rsidRPr="00C47C3B">
              <w:rPr>
                <w:rFonts w:ascii="Arial Narrow" w:hAnsi="Arial Narrow" w:cs="Arial"/>
                <w:snapToGrid w:val="0"/>
                <w:sz w:val="20"/>
                <w:szCs w:val="20"/>
                <w:lang w:eastAsia="en-US"/>
              </w:rPr>
              <w:br/>
              <w:t>p=0·0254</w:t>
            </w:r>
          </w:p>
        </w:tc>
        <w:tc>
          <w:tcPr>
            <w:tcW w:w="106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0·5 (–0·4 to 1·5), p=0·2806</w:t>
            </w:r>
          </w:p>
        </w:tc>
      </w:tr>
      <w:tr w:rsidR="00C47C3B" w:rsidRPr="00C47C3B" w:rsidTr="009F446F">
        <w:trPr>
          <w:cantSplit w:val="0"/>
          <w:trHeight w:val="20"/>
        </w:trPr>
        <w:tc>
          <w:tcPr>
            <w:tcW w:w="871" w:type="pct"/>
            <w:noWrap/>
            <w:hideMark/>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Extension week 96</w:t>
            </w:r>
          </w:p>
        </w:tc>
        <w:tc>
          <w:tcPr>
            <w:tcW w:w="98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1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64"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0·8 (–0·8, 2·3), </w:t>
            </w:r>
            <w:r w:rsidRPr="00C47C3B">
              <w:rPr>
                <w:rFonts w:ascii="Arial Narrow" w:hAnsi="Arial Narrow" w:cs="Arial"/>
                <w:snapToGrid w:val="0"/>
                <w:sz w:val="20"/>
                <w:szCs w:val="20"/>
                <w:lang w:eastAsia="en-US"/>
              </w:rPr>
              <w:br/>
              <w:t>p=0·3495</w:t>
            </w:r>
          </w:p>
        </w:tc>
        <w:tc>
          <w:tcPr>
            <w:tcW w:w="106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0·5 (–0·7 to 1·6), p=0·4231</w:t>
            </w:r>
          </w:p>
        </w:tc>
      </w:tr>
    </w:tbl>
    <w:p w:rsidR="00C47C3B" w:rsidRPr="00C47C3B" w:rsidRDefault="00C47C3B" w:rsidP="00C47C3B">
      <w:pPr>
        <w:keepNext/>
        <w:rPr>
          <w:rFonts w:ascii="Arial Narrow" w:eastAsia="Calibri" w:hAnsi="Arial Narrow" w:cs="Arial"/>
          <w:snapToGrid w:val="0"/>
          <w:sz w:val="16"/>
          <w:szCs w:val="16"/>
          <w:lang w:val="en-US" w:eastAsia="zh-CN"/>
        </w:rPr>
      </w:pPr>
      <w:r w:rsidRPr="00C47C3B">
        <w:rPr>
          <w:rFonts w:ascii="Arial Narrow" w:eastAsia="Calibri" w:hAnsi="Arial Narrow" w:cs="Arial"/>
          <w:snapToGrid w:val="0"/>
          <w:sz w:val="16"/>
          <w:szCs w:val="16"/>
          <w:lang w:val="en-US" w:eastAsia="zh-CN"/>
        </w:rPr>
        <w:t xml:space="preserve">Source: Table B.7-2, </w:t>
      </w:r>
      <w:proofErr w:type="gramStart"/>
      <w:r w:rsidRPr="00C47C3B">
        <w:rPr>
          <w:rFonts w:ascii="Arial Narrow" w:eastAsia="Calibri" w:hAnsi="Arial Narrow" w:cs="Arial"/>
          <w:snapToGrid w:val="0"/>
          <w:sz w:val="16"/>
          <w:szCs w:val="16"/>
          <w:lang w:val="en-US" w:eastAsia="zh-CN"/>
        </w:rPr>
        <w:t>page 128 July 2017 resubmission</w:t>
      </w:r>
      <w:proofErr w:type="gramEnd"/>
      <w:r w:rsidRPr="00C47C3B">
        <w:rPr>
          <w:rFonts w:ascii="Arial Narrow" w:eastAsia="Calibri" w:hAnsi="Arial Narrow" w:cs="Arial"/>
          <w:snapToGrid w:val="0"/>
          <w:sz w:val="16"/>
          <w:szCs w:val="16"/>
          <w:lang w:val="en-US" w:eastAsia="zh-CN"/>
        </w:rPr>
        <w:t>.</w:t>
      </w:r>
    </w:p>
    <w:p w:rsidR="00C47C3B" w:rsidRPr="00C47C3B" w:rsidRDefault="00C47C3B" w:rsidP="00C47C3B">
      <w:pPr>
        <w:keepNext/>
        <w:rPr>
          <w:rFonts w:ascii="Arial Narrow" w:eastAsia="Calibri" w:hAnsi="Arial Narrow" w:cs="Arial"/>
          <w:snapToGrid w:val="0"/>
          <w:sz w:val="16"/>
          <w:szCs w:val="16"/>
          <w:lang w:val="en-US" w:eastAsia="zh-CN"/>
        </w:rPr>
      </w:pPr>
      <w:r w:rsidRPr="00C47C3B">
        <w:rPr>
          <w:rFonts w:ascii="Arial Narrow" w:eastAsia="Calibri" w:hAnsi="Arial Narrow" w:cs="Arial"/>
          <w:snapToGrid w:val="0"/>
          <w:sz w:val="16"/>
          <w:szCs w:val="16"/>
          <w:lang w:val="en-US" w:eastAsia="zh-CN"/>
        </w:rPr>
        <w:t>Abbreviations: pp</w:t>
      </w:r>
      <w:r w:rsidRPr="00C47C3B">
        <w:rPr>
          <w:rFonts w:ascii="Arial Narrow" w:hAnsi="Arial Narrow" w:cs="Arial"/>
          <w:snapToGrid w:val="0"/>
          <w:sz w:val="16"/>
          <w:lang w:eastAsia="en-US"/>
        </w:rPr>
        <w:t>FEV</w:t>
      </w:r>
      <w:r w:rsidRPr="00C47C3B">
        <w:rPr>
          <w:rFonts w:ascii="Arial Narrow" w:hAnsi="Arial Narrow" w:cs="Arial"/>
          <w:snapToGrid w:val="0"/>
          <w:sz w:val="16"/>
          <w:vertAlign w:val="subscript"/>
          <w:lang w:eastAsia="en-US"/>
        </w:rPr>
        <w:t>1</w:t>
      </w:r>
      <w:r w:rsidRPr="00C47C3B">
        <w:rPr>
          <w:rFonts w:ascii="Arial Narrow" w:hAnsi="Arial Narrow" w:cs="Arial"/>
          <w:snapToGrid w:val="0"/>
          <w:sz w:val="16"/>
          <w:szCs w:val="16"/>
          <w:vertAlign w:val="subscript"/>
          <w:lang w:val="en-US" w:eastAsia="en-US"/>
        </w:rPr>
        <w:t xml:space="preserve"> </w:t>
      </w:r>
      <w:r w:rsidRPr="00C47C3B">
        <w:rPr>
          <w:rFonts w:ascii="Arial Narrow" w:eastAsia="Calibri" w:hAnsi="Arial Narrow" w:cs="Arial"/>
          <w:snapToGrid w:val="0"/>
          <w:sz w:val="16"/>
          <w:szCs w:val="16"/>
          <w:lang w:val="en-US" w:eastAsia="zh-CN"/>
        </w:rPr>
        <w:t xml:space="preserve">= percent predicted </w:t>
      </w:r>
      <w:r w:rsidRPr="00C47C3B">
        <w:rPr>
          <w:rFonts w:ascii="Arial Narrow" w:hAnsi="Arial Narrow" w:cs="Arial"/>
          <w:snapToGrid w:val="0"/>
          <w:sz w:val="16"/>
          <w:lang w:eastAsia="en-US"/>
        </w:rPr>
        <w:t>FEV</w:t>
      </w:r>
      <w:r w:rsidRPr="00C47C3B">
        <w:rPr>
          <w:rFonts w:ascii="Arial Narrow" w:hAnsi="Arial Narrow" w:cs="Arial"/>
          <w:snapToGrid w:val="0"/>
          <w:sz w:val="16"/>
          <w:vertAlign w:val="subscript"/>
          <w:lang w:eastAsia="en-US"/>
        </w:rPr>
        <w:t>1</w:t>
      </w:r>
      <w:r w:rsidRPr="00C47C3B">
        <w:rPr>
          <w:rFonts w:ascii="Arial Narrow" w:eastAsia="Calibri" w:hAnsi="Arial Narrow" w:cs="Arial"/>
          <w:snapToGrid w:val="0"/>
          <w:sz w:val="16"/>
          <w:szCs w:val="16"/>
          <w:lang w:val="en-US" w:eastAsia="zh-CN"/>
        </w:rPr>
        <w:t xml:space="preserve">, </w:t>
      </w:r>
      <w:r w:rsidRPr="00C47C3B">
        <w:rPr>
          <w:rFonts w:ascii="Arial Narrow" w:eastAsia="Calibri" w:hAnsi="Arial Narrow" w:cs="Arial"/>
          <w:snapToGrid w:val="0"/>
          <w:sz w:val="16"/>
          <w:szCs w:val="16"/>
          <w:lang w:eastAsia="zh-CN"/>
        </w:rPr>
        <w:t>CI = confidence interval.</w:t>
      </w:r>
    </w:p>
    <w:p w:rsidR="00C47C3B" w:rsidRPr="00C47C3B" w:rsidRDefault="00C47C3B" w:rsidP="00C47C3B">
      <w:pPr>
        <w:keepNext/>
        <w:rPr>
          <w:rFonts w:ascii="Arial Narrow" w:eastAsia="Calibri" w:hAnsi="Arial Narrow" w:cs="Arial"/>
          <w:snapToGrid w:val="0"/>
          <w:sz w:val="16"/>
          <w:szCs w:val="16"/>
          <w:lang w:val="en-US" w:eastAsia="zh-CN"/>
        </w:rPr>
      </w:pPr>
      <w:r w:rsidRPr="00C47C3B">
        <w:rPr>
          <w:rFonts w:ascii="Arial Narrow" w:eastAsia="Calibri" w:hAnsi="Arial Narrow" w:cs="Arial"/>
          <w:snapToGrid w:val="0"/>
          <w:sz w:val="16"/>
          <w:szCs w:val="16"/>
          <w:lang w:val="en-US" w:eastAsia="zh-CN"/>
        </w:rPr>
        <w:t xml:space="preserve">†For the placebo and </w:t>
      </w:r>
      <w:proofErr w:type="spellStart"/>
      <w:r w:rsidRPr="00C47C3B">
        <w:rPr>
          <w:rFonts w:ascii="Arial Narrow" w:eastAsia="Calibri" w:hAnsi="Arial Narrow" w:cs="Arial"/>
          <w:snapToGrid w:val="0"/>
          <w:sz w:val="16"/>
          <w:szCs w:val="16"/>
          <w:lang w:val="en-US" w:eastAsia="zh-CN"/>
        </w:rPr>
        <w:t>lumacaftor</w:t>
      </w:r>
      <w:proofErr w:type="spellEnd"/>
      <w:r w:rsidRPr="00C47C3B">
        <w:rPr>
          <w:rFonts w:ascii="Arial Narrow" w:eastAsia="Calibri" w:hAnsi="Arial Narrow" w:cs="Arial"/>
          <w:snapToGrid w:val="0"/>
          <w:sz w:val="16"/>
          <w:szCs w:val="16"/>
          <w:lang w:val="en-US" w:eastAsia="zh-CN"/>
        </w:rPr>
        <w:t>/</w:t>
      </w:r>
      <w:proofErr w:type="spellStart"/>
      <w:r w:rsidRPr="00C47C3B">
        <w:rPr>
          <w:rFonts w:ascii="Arial Narrow" w:eastAsia="Calibri" w:hAnsi="Arial Narrow" w:cs="Arial"/>
          <w:snapToGrid w:val="0"/>
          <w:sz w:val="16"/>
          <w:szCs w:val="16"/>
          <w:lang w:val="en-US" w:eastAsia="zh-CN"/>
        </w:rPr>
        <w:t>ivacaftor</w:t>
      </w:r>
      <w:proofErr w:type="spellEnd"/>
      <w:r w:rsidRPr="00C47C3B">
        <w:rPr>
          <w:rFonts w:ascii="Arial Narrow" w:eastAsia="Calibri" w:hAnsi="Arial Narrow" w:cs="Arial"/>
          <w:snapToGrid w:val="0"/>
          <w:sz w:val="16"/>
          <w:szCs w:val="16"/>
          <w:lang w:val="en-US" w:eastAsia="zh-CN"/>
        </w:rPr>
        <w:t xml:space="preserve"> groups, baseline from TRAFFIC or TRANSPORT was used; for the placebo transitioned to </w:t>
      </w:r>
      <w:proofErr w:type="spellStart"/>
      <w:r w:rsidRPr="00C47C3B">
        <w:rPr>
          <w:rFonts w:ascii="Arial Narrow" w:eastAsia="Calibri" w:hAnsi="Arial Narrow" w:cs="Arial"/>
          <w:snapToGrid w:val="0"/>
          <w:sz w:val="16"/>
          <w:szCs w:val="16"/>
          <w:lang w:val="en-US" w:eastAsia="zh-CN"/>
        </w:rPr>
        <w:t>lumacaftor</w:t>
      </w:r>
      <w:proofErr w:type="spellEnd"/>
      <w:r w:rsidRPr="00C47C3B">
        <w:rPr>
          <w:rFonts w:ascii="Arial Narrow" w:eastAsia="Calibri" w:hAnsi="Arial Narrow" w:cs="Arial"/>
          <w:snapToGrid w:val="0"/>
          <w:sz w:val="16"/>
          <w:szCs w:val="16"/>
          <w:lang w:val="en-US" w:eastAsia="zh-CN"/>
        </w:rPr>
        <w:t>/</w:t>
      </w:r>
      <w:proofErr w:type="spellStart"/>
      <w:r w:rsidRPr="00C47C3B">
        <w:rPr>
          <w:rFonts w:ascii="Arial Narrow" w:eastAsia="Calibri" w:hAnsi="Arial Narrow" w:cs="Arial"/>
          <w:snapToGrid w:val="0"/>
          <w:sz w:val="16"/>
          <w:szCs w:val="16"/>
          <w:lang w:val="en-US" w:eastAsia="zh-CN"/>
        </w:rPr>
        <w:t>ivacaftor</w:t>
      </w:r>
      <w:proofErr w:type="spellEnd"/>
      <w:r w:rsidRPr="00C47C3B">
        <w:rPr>
          <w:rFonts w:ascii="Arial Narrow" w:eastAsia="Calibri" w:hAnsi="Arial Narrow" w:cs="Arial"/>
          <w:snapToGrid w:val="0"/>
          <w:sz w:val="16"/>
          <w:szCs w:val="16"/>
          <w:lang w:val="en-US" w:eastAsia="zh-CN"/>
        </w:rPr>
        <w:t xml:space="preserve"> group, baseline from PROGRESS was used. All p values (including for TRAFFIC or TRANSPORT data) are within treatment. </w:t>
      </w:r>
    </w:p>
    <w:p w:rsidR="00C47C3B" w:rsidRPr="00C47C3B" w:rsidRDefault="00C47C3B" w:rsidP="00C47C3B">
      <w:pPr>
        <w:keepNext/>
        <w:spacing w:after="120"/>
        <w:rPr>
          <w:rFonts w:ascii="Arial Narrow" w:eastAsia="Calibri" w:hAnsi="Arial Narrow" w:cs="Arial"/>
          <w:snapToGrid w:val="0"/>
          <w:sz w:val="16"/>
          <w:szCs w:val="16"/>
          <w:lang w:val="en-US" w:eastAsia="zh-CN"/>
        </w:rPr>
      </w:pPr>
      <w:r w:rsidRPr="00C47C3B">
        <w:rPr>
          <w:rFonts w:ascii="Arial Narrow" w:eastAsia="Calibri" w:hAnsi="Arial Narrow" w:cs="Arial"/>
          <w:snapToGrid w:val="0"/>
          <w:sz w:val="16"/>
          <w:szCs w:val="16"/>
          <w:lang w:val="en-US" w:eastAsia="zh-CN"/>
        </w:rPr>
        <w:t xml:space="preserve">* This number is as presented in the submission. 369 patients in TRAFFIC and TRANSPORT had received at least one dose of </w:t>
      </w:r>
      <w:proofErr w:type="spellStart"/>
      <w:r w:rsidRPr="00C47C3B">
        <w:rPr>
          <w:rFonts w:ascii="Arial Narrow" w:eastAsia="Calibri" w:hAnsi="Arial Narrow" w:cs="Arial"/>
          <w:snapToGrid w:val="0"/>
          <w:sz w:val="16"/>
          <w:szCs w:val="16"/>
          <w:lang w:val="en-US" w:eastAsia="zh-CN"/>
        </w:rPr>
        <w:t>lumacaftor</w:t>
      </w:r>
      <w:proofErr w:type="spellEnd"/>
      <w:r w:rsidRPr="00C47C3B">
        <w:rPr>
          <w:rFonts w:ascii="Arial Narrow" w:eastAsia="Calibri" w:hAnsi="Arial Narrow" w:cs="Arial"/>
          <w:snapToGrid w:val="0"/>
          <w:sz w:val="16"/>
          <w:szCs w:val="16"/>
          <w:lang w:val="en-US" w:eastAsia="zh-CN"/>
        </w:rPr>
        <w:t>/</w:t>
      </w:r>
      <w:proofErr w:type="spellStart"/>
      <w:r w:rsidRPr="00C47C3B">
        <w:rPr>
          <w:rFonts w:ascii="Arial Narrow" w:eastAsia="Calibri" w:hAnsi="Arial Narrow" w:cs="Arial"/>
          <w:snapToGrid w:val="0"/>
          <w:sz w:val="16"/>
          <w:szCs w:val="16"/>
          <w:lang w:val="en-US" w:eastAsia="zh-CN"/>
        </w:rPr>
        <w:t>ivacaftor</w:t>
      </w:r>
      <w:proofErr w:type="spellEnd"/>
      <w:r w:rsidRPr="00C47C3B">
        <w:rPr>
          <w:rFonts w:ascii="Arial Narrow" w:eastAsia="Calibri" w:hAnsi="Arial Narrow" w:cs="Arial"/>
          <w:snapToGrid w:val="0"/>
          <w:sz w:val="16"/>
          <w:szCs w:val="16"/>
          <w:lang w:val="en-US" w:eastAsia="zh-CN"/>
        </w:rPr>
        <w:t xml:space="preserve"> 400mg/250mg twice daily and therefore are included in safety analyses. 341 of these patients enrolled in PROGRESS study, and 340 received at least one dose.</w:t>
      </w:r>
    </w:p>
    <w:p w:rsidR="00C47C3B" w:rsidRPr="00C47C3B" w:rsidRDefault="00C47C3B" w:rsidP="00C47C3B">
      <w:pPr>
        <w:keepNext/>
        <w:spacing w:after="120"/>
        <w:rPr>
          <w:rFonts w:ascii="Arial Narrow" w:eastAsia="Calibri" w:hAnsi="Arial Narrow" w:cs="Arial"/>
          <w:snapToGrid w:val="0"/>
          <w:sz w:val="16"/>
          <w:szCs w:val="16"/>
          <w:lang w:val="en-US" w:eastAsia="zh-CN"/>
        </w:rPr>
      </w:pPr>
    </w:p>
    <w:p w:rsidR="00C47C3B" w:rsidRPr="00C47C3B" w:rsidRDefault="00C47C3B" w:rsidP="00C47C3B">
      <w:pPr>
        <w:keepNext/>
        <w:spacing w:after="60"/>
        <w:jc w:val="both"/>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Figure </w:t>
      </w:r>
      <w:r w:rsidRPr="00C47C3B">
        <w:rPr>
          <w:rFonts w:ascii="Arial Narrow" w:eastAsiaTheme="minorHAnsi" w:hAnsi="Arial Narrow" w:cstheme="minorBidi"/>
          <w:b/>
          <w:noProof/>
          <w:sz w:val="20"/>
          <w:szCs w:val="22"/>
          <w:lang w:eastAsia="en-US"/>
        </w:rPr>
        <w:t>1</w:t>
      </w:r>
      <w:r w:rsidRPr="00C47C3B">
        <w:rPr>
          <w:rFonts w:ascii="Arial Narrow" w:eastAsiaTheme="minorHAnsi" w:hAnsi="Arial Narrow" w:cstheme="minorBidi"/>
          <w:b/>
          <w:sz w:val="20"/>
          <w:szCs w:val="22"/>
          <w:lang w:eastAsia="en-US"/>
        </w:rPr>
        <w:t>: Absolute change in ppFEV1 in TRAFFIC, TRANSPORT and PROGRESS, least square mean</w:t>
      </w:r>
    </w:p>
    <w:p w:rsidR="00C47C3B" w:rsidRPr="00C47C3B" w:rsidRDefault="00C47C3B" w:rsidP="00C47C3B">
      <w:pPr>
        <w:jc w:val="both"/>
        <w:rPr>
          <w:rFonts w:ascii="Arial Narrow" w:eastAsia="Calibri" w:hAnsi="Arial Narrow" w:cs="Calibri"/>
          <w:snapToGrid w:val="0"/>
          <w:sz w:val="20"/>
          <w:szCs w:val="20"/>
          <w:lang w:val="en-US" w:eastAsia="zh-CN"/>
        </w:rPr>
      </w:pPr>
      <w:r w:rsidRPr="00C47C3B">
        <w:rPr>
          <w:rFonts w:ascii="Arial Narrow" w:eastAsia="Calibri" w:hAnsi="Arial Narrow" w:cs="Calibri"/>
          <w:noProof/>
          <w:snapToGrid w:val="0"/>
          <w:sz w:val="20"/>
          <w:szCs w:val="20"/>
        </w:rPr>
        <w:drawing>
          <wp:inline distT="0" distB="0" distL="0" distR="0" wp14:anchorId="0331B234" wp14:editId="248E1E41">
            <wp:extent cx="5731510" cy="1994127"/>
            <wp:effectExtent l="0" t="0" r="2540" b="6350"/>
            <wp:docPr id="1" name="Picture 1" title="Absolute change in ppFEV1 in TRAFFIC, TRANSPORT and PROGRESS, least square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994127"/>
                    </a:xfrm>
                    <a:prstGeom prst="rect">
                      <a:avLst/>
                    </a:prstGeom>
                    <a:noFill/>
                    <a:ln>
                      <a:noFill/>
                    </a:ln>
                  </pic:spPr>
                </pic:pic>
              </a:graphicData>
            </a:graphic>
          </wp:inline>
        </w:drawing>
      </w:r>
    </w:p>
    <w:p w:rsidR="00C47C3B" w:rsidRPr="00C47C3B" w:rsidRDefault="00C47C3B" w:rsidP="00C47C3B">
      <w:pPr>
        <w:keepNext/>
        <w:spacing w:after="120"/>
        <w:rPr>
          <w:rFonts w:ascii="Arial Narrow" w:eastAsia="Calibri" w:hAnsi="Arial Narrow" w:cs="Calibri"/>
          <w:snapToGrid w:val="0"/>
          <w:sz w:val="20"/>
          <w:szCs w:val="16"/>
          <w:lang w:val="en-US" w:eastAsia="zh-CN"/>
        </w:rPr>
      </w:pPr>
      <w:r w:rsidRPr="00C47C3B">
        <w:rPr>
          <w:rFonts w:ascii="Arial Narrow" w:eastAsia="Calibri" w:hAnsi="Arial Narrow" w:cs="Arial"/>
          <w:snapToGrid w:val="0"/>
          <w:sz w:val="16"/>
          <w:szCs w:val="16"/>
          <w:lang w:val="en-US" w:eastAsia="zh-CN"/>
        </w:rPr>
        <w:t xml:space="preserve">Source: </w:t>
      </w:r>
      <w:proofErr w:type="spellStart"/>
      <w:r w:rsidRPr="00C47C3B">
        <w:rPr>
          <w:rFonts w:ascii="Arial Narrow" w:eastAsia="Calibri" w:hAnsi="Arial Narrow" w:cs="Arial"/>
          <w:snapToGrid w:val="0"/>
          <w:sz w:val="16"/>
          <w:szCs w:val="16"/>
          <w:lang w:val="en-US" w:eastAsia="zh-CN"/>
        </w:rPr>
        <w:t>Konstan</w:t>
      </w:r>
      <w:proofErr w:type="spellEnd"/>
      <w:r w:rsidRPr="00C47C3B">
        <w:rPr>
          <w:rFonts w:ascii="Arial Narrow" w:eastAsia="Calibri" w:hAnsi="Arial Narrow" w:cs="Arial"/>
          <w:snapToGrid w:val="0"/>
          <w:sz w:val="16"/>
          <w:szCs w:val="16"/>
          <w:lang w:val="en-US" w:eastAsia="zh-CN"/>
        </w:rPr>
        <w:t xml:space="preserve"> et al, 2017</w:t>
      </w:r>
    </w:p>
    <w:p w:rsidR="00C47C3B" w:rsidRPr="00C47C3B" w:rsidRDefault="00B2504F" w:rsidP="00C47C3B">
      <w:pPr>
        <w:widowControl w:val="0"/>
        <w:numPr>
          <w:ilvl w:val="1"/>
          <w:numId w:val="5"/>
        </w:numPr>
        <w:spacing w:after="120"/>
        <w:ind w:left="709" w:hanging="709"/>
        <w:jc w:val="both"/>
        <w:rPr>
          <w:rFonts w:asciiTheme="minorHAnsi" w:hAnsiTheme="minorHAnsi" w:cs="Arial"/>
          <w:snapToGrid w:val="0"/>
          <w:szCs w:val="20"/>
          <w:lang w:eastAsia="en-US"/>
        </w:rPr>
      </w:pPr>
      <w:r>
        <w:rPr>
          <w:rFonts w:asciiTheme="minorHAnsi" w:hAnsiTheme="minorHAnsi" w:cs="Arial"/>
          <w:snapToGrid w:val="0"/>
          <w:szCs w:val="20"/>
          <w:lang w:eastAsia="en-US"/>
        </w:rPr>
        <w:t xml:space="preserve">The PSCR </w:t>
      </w:r>
      <w:r w:rsidR="00C47C3B" w:rsidRPr="00C47C3B">
        <w:rPr>
          <w:rFonts w:asciiTheme="minorHAnsi" w:hAnsiTheme="minorHAnsi" w:cs="Arial"/>
          <w:snapToGrid w:val="0"/>
          <w:szCs w:val="20"/>
          <w:lang w:eastAsia="en-US"/>
        </w:rPr>
        <w:t>argued that the main objective of CF treatment is to minimise the rate of deterioration over time and that it is not meaningful to simply compare the ppFEV</w:t>
      </w:r>
      <w:r w:rsidR="00C47C3B" w:rsidRPr="00C47C3B">
        <w:rPr>
          <w:rFonts w:asciiTheme="minorHAnsi" w:hAnsiTheme="minorHAnsi" w:cs="Arial"/>
          <w:snapToGrid w:val="0"/>
          <w:szCs w:val="20"/>
          <w:vertAlign w:val="subscript"/>
          <w:lang w:eastAsia="en-US"/>
        </w:rPr>
        <w:t>1</w:t>
      </w:r>
      <w:r w:rsidR="00C47C3B" w:rsidRPr="00C47C3B">
        <w:rPr>
          <w:rFonts w:asciiTheme="minorHAnsi" w:hAnsiTheme="minorHAnsi" w:cs="Arial"/>
          <w:snapToGrid w:val="0"/>
          <w:szCs w:val="20"/>
          <w:lang w:eastAsia="en-US"/>
        </w:rPr>
        <w:t xml:space="preserve"> at week 96 of PROGRESS for </w:t>
      </w:r>
      <w:proofErr w:type="spellStart"/>
      <w:r w:rsidR="00C47C3B" w:rsidRPr="00C47C3B">
        <w:rPr>
          <w:rFonts w:asciiTheme="minorHAnsi" w:hAnsiTheme="minorHAnsi" w:cs="Arial"/>
          <w:snapToGrid w:val="0"/>
          <w:szCs w:val="20"/>
          <w:lang w:eastAsia="en-US"/>
        </w:rPr>
        <w:t>lumacaftor</w:t>
      </w:r>
      <w:proofErr w:type="spellEnd"/>
      <w:r w:rsidR="00C47C3B" w:rsidRPr="00C47C3B">
        <w:rPr>
          <w:rFonts w:asciiTheme="minorHAnsi" w:hAnsiTheme="minorHAnsi" w:cs="Arial"/>
          <w:snapToGrid w:val="0"/>
          <w:szCs w:val="20"/>
          <w:lang w:eastAsia="en-US"/>
        </w:rPr>
        <w:t>/</w:t>
      </w:r>
      <w:proofErr w:type="spellStart"/>
      <w:r w:rsidR="00C47C3B" w:rsidRPr="00C47C3B">
        <w:rPr>
          <w:rFonts w:asciiTheme="minorHAnsi" w:hAnsiTheme="minorHAnsi" w:cs="Arial"/>
          <w:snapToGrid w:val="0"/>
          <w:szCs w:val="20"/>
          <w:lang w:eastAsia="en-US"/>
        </w:rPr>
        <w:t>ivacaftor</w:t>
      </w:r>
      <w:proofErr w:type="spellEnd"/>
      <w:r w:rsidR="00C47C3B" w:rsidRPr="00C47C3B">
        <w:rPr>
          <w:rFonts w:asciiTheme="minorHAnsi" w:hAnsiTheme="minorHAnsi" w:cs="Arial"/>
          <w:snapToGrid w:val="0"/>
          <w:szCs w:val="20"/>
          <w:lang w:eastAsia="en-US"/>
        </w:rPr>
        <w:t xml:space="preserve"> treated patients with their own baseline ppFEV</w:t>
      </w:r>
      <w:r w:rsidR="00C47C3B" w:rsidRPr="00C47C3B">
        <w:rPr>
          <w:rFonts w:asciiTheme="minorHAnsi" w:hAnsiTheme="minorHAnsi" w:cs="Arial"/>
          <w:snapToGrid w:val="0"/>
          <w:szCs w:val="20"/>
          <w:vertAlign w:val="subscript"/>
          <w:lang w:eastAsia="en-US"/>
        </w:rPr>
        <w:t>1</w:t>
      </w:r>
      <w:r w:rsidR="00C47C3B" w:rsidRPr="00C47C3B">
        <w:rPr>
          <w:rFonts w:asciiTheme="minorHAnsi" w:hAnsiTheme="minorHAnsi" w:cs="Arial"/>
          <w:snapToGrid w:val="0"/>
          <w:szCs w:val="20"/>
          <w:lang w:eastAsia="en-US"/>
        </w:rPr>
        <w:t xml:space="preserve"> given that, had those patients received BSC, they would have deteriorated to a greater extent over this time period. However, the ESC noted that the updated data from PROGRESS and the argument in the PSCR contradicted the assumption in the economic model that patients treated with </w:t>
      </w:r>
      <w:proofErr w:type="spellStart"/>
      <w:r w:rsidR="00C47C3B" w:rsidRPr="00C47C3B">
        <w:rPr>
          <w:rFonts w:asciiTheme="minorHAnsi" w:hAnsiTheme="minorHAnsi" w:cs="Arial"/>
          <w:snapToGrid w:val="0"/>
          <w:szCs w:val="20"/>
          <w:lang w:eastAsia="en-US"/>
        </w:rPr>
        <w:t>lumacaftor</w:t>
      </w:r>
      <w:proofErr w:type="spellEnd"/>
      <w:r w:rsidR="00C47C3B" w:rsidRPr="00C47C3B">
        <w:rPr>
          <w:rFonts w:asciiTheme="minorHAnsi" w:hAnsiTheme="minorHAnsi" w:cs="Arial"/>
          <w:snapToGrid w:val="0"/>
          <w:szCs w:val="20"/>
          <w:lang w:eastAsia="en-US"/>
        </w:rPr>
        <w:t>/</w:t>
      </w:r>
      <w:proofErr w:type="spellStart"/>
      <w:r w:rsidR="00C47C3B" w:rsidRPr="00C47C3B">
        <w:rPr>
          <w:rFonts w:asciiTheme="minorHAnsi" w:hAnsiTheme="minorHAnsi" w:cs="Arial"/>
          <w:snapToGrid w:val="0"/>
          <w:szCs w:val="20"/>
          <w:lang w:eastAsia="en-US"/>
        </w:rPr>
        <w:t>ivacaftor</w:t>
      </w:r>
      <w:proofErr w:type="spellEnd"/>
      <w:r w:rsidR="00C47C3B" w:rsidRPr="00C47C3B">
        <w:rPr>
          <w:rFonts w:asciiTheme="minorHAnsi" w:hAnsiTheme="minorHAnsi" w:cs="Arial"/>
          <w:snapToGrid w:val="0"/>
          <w:szCs w:val="20"/>
          <w:lang w:eastAsia="en-US"/>
        </w:rPr>
        <w:t xml:space="preserve"> do not experience a decline in pp</w:t>
      </w:r>
      <w:r w:rsidR="00C47C3B" w:rsidRPr="00C47C3B">
        <w:rPr>
          <w:rFonts w:asciiTheme="minorHAnsi" w:hAnsiTheme="minorHAnsi" w:cs="Arial"/>
          <w:snapToGrid w:val="0"/>
          <w:lang w:eastAsia="en-US"/>
        </w:rPr>
        <w:t>FEV</w:t>
      </w:r>
      <w:r w:rsidR="00C47C3B" w:rsidRPr="00C47C3B">
        <w:rPr>
          <w:rFonts w:asciiTheme="minorHAnsi" w:hAnsiTheme="minorHAnsi" w:cs="Arial"/>
          <w:snapToGrid w:val="0"/>
          <w:vertAlign w:val="subscript"/>
          <w:lang w:eastAsia="en-US"/>
        </w:rPr>
        <w:t>1</w:t>
      </w:r>
      <w:r w:rsidR="00C47C3B" w:rsidRPr="00C47C3B">
        <w:rPr>
          <w:rFonts w:asciiTheme="minorHAnsi" w:hAnsiTheme="minorHAnsi" w:cs="Arial"/>
          <w:snapToGrid w:val="0"/>
          <w:szCs w:val="20"/>
          <w:lang w:eastAsia="en-US"/>
        </w:rPr>
        <w:t xml:space="preserve"> over time.</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ESC also noted that the treatment gain of 10.58 percentage points in the clinical trial for </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for patients </w:t>
      </w:r>
      <w:r w:rsidRPr="00C47C3B">
        <w:rPr>
          <w:rFonts w:asciiTheme="minorHAnsi" w:hAnsiTheme="minorHAnsi" w:cs="Arial"/>
          <w:snapToGrid w:val="0"/>
          <w:lang w:eastAsia="en-US"/>
        </w:rPr>
        <w:t>with cystic fibrosis with a G551D or other class III gating mutation in the CFTR gene on at least one allele</w:t>
      </w:r>
      <w:r w:rsidRPr="00C47C3B">
        <w:rPr>
          <w:rFonts w:asciiTheme="minorHAnsi" w:hAnsiTheme="minorHAnsi" w:cs="Arial"/>
          <w:snapToGrid w:val="0"/>
          <w:szCs w:val="20"/>
          <w:lang w:eastAsia="en-US"/>
        </w:rPr>
        <w:t xml:space="preserve"> was maintained at up to 144 weeks of treatment (PSD, </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March 2014).</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lastRenderedPageBreak/>
        <w:t xml:space="preserve">The changes from baseline in pulmonary exacerbation (PE) events in TRAFFIC, TRANSPORT and PROGRESS are shown in Table 6. The annualised rates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were lower than the rates in the placebo group up to week 24.</w:t>
      </w:r>
    </w:p>
    <w:p w:rsidR="00C47C3B" w:rsidRPr="00C47C3B" w:rsidRDefault="00C47C3B" w:rsidP="00C47C3B">
      <w:pPr>
        <w:spacing w:after="120"/>
        <w:jc w:val="both"/>
        <w:rPr>
          <w:rFonts w:asciiTheme="minorHAnsi" w:hAnsiTheme="minorHAnsi" w:cs="Arial"/>
          <w:snapToGrid w:val="0"/>
          <w:szCs w:val="20"/>
          <w:lang w:eastAsia="en-US"/>
        </w:rPr>
      </w:pP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Table </w:t>
      </w:r>
      <w:r w:rsidRPr="00C47C3B">
        <w:rPr>
          <w:rFonts w:ascii="Arial Narrow" w:eastAsiaTheme="minorHAnsi" w:hAnsi="Arial Narrow" w:cstheme="minorBidi"/>
          <w:b/>
          <w:noProof/>
          <w:sz w:val="20"/>
          <w:szCs w:val="22"/>
          <w:lang w:eastAsia="en-US"/>
        </w:rPr>
        <w:t>6</w:t>
      </w:r>
      <w:r w:rsidRPr="00C47C3B">
        <w:rPr>
          <w:rFonts w:ascii="Arial Narrow" w:eastAsiaTheme="minorHAnsi" w:hAnsi="Arial Narrow" w:cstheme="minorBidi"/>
          <w:b/>
          <w:sz w:val="20"/>
          <w:szCs w:val="22"/>
          <w:lang w:eastAsia="en-US"/>
        </w:rPr>
        <w:t>: Changes from baseline in pulmonary exacerbation events in TRAFFIC or TRANSPORT and PROGRESS</w:t>
      </w:r>
    </w:p>
    <w:tbl>
      <w:tblPr>
        <w:tblStyle w:val="newstyle31"/>
        <w:tblW w:w="5000" w:type="pct"/>
        <w:tblLayout w:type="fixed"/>
        <w:tblLook w:val="04A0" w:firstRow="1" w:lastRow="0" w:firstColumn="1" w:lastColumn="0" w:noHBand="0" w:noVBand="1"/>
        <w:tblCaption w:val="Changes from baseline in pulmonary exacerbation events in TRAFFIC or TRANSPORT and PROGRESS"/>
      </w:tblPr>
      <w:tblGrid>
        <w:gridCol w:w="2722"/>
        <w:gridCol w:w="1578"/>
        <w:gridCol w:w="1579"/>
        <w:gridCol w:w="1578"/>
        <w:gridCol w:w="1579"/>
      </w:tblGrid>
      <w:tr w:rsidR="00C47C3B" w:rsidRPr="00C47C3B" w:rsidTr="009F446F">
        <w:trPr>
          <w:cnfStyle w:val="100000000000" w:firstRow="1" w:lastRow="0" w:firstColumn="0" w:lastColumn="0" w:oddVBand="0" w:evenVBand="0" w:oddHBand="0" w:evenHBand="0" w:firstRowFirstColumn="0" w:firstRowLastColumn="0" w:lastRowFirstColumn="0" w:lastRowLastColumn="0"/>
          <w:trHeight w:val="207"/>
        </w:trPr>
        <w:tc>
          <w:tcPr>
            <w:tcW w:w="1506" w:type="pct"/>
            <w:vMerge w:val="restart"/>
            <w:shd w:val="clear" w:color="auto" w:fill="auto"/>
            <w:noWrap/>
            <w:vAlign w:val="bottom"/>
            <w:hideMark/>
          </w:tcPr>
          <w:p w:rsidR="00C47C3B" w:rsidRPr="00C47C3B" w:rsidRDefault="00C47C3B" w:rsidP="00C47C3B">
            <w:pPr>
              <w:keepNext/>
              <w:ind w:left="0"/>
              <w:rPr>
                <w:rFonts w:ascii="Arial" w:hAnsi="Arial"/>
                <w:sz w:val="22"/>
                <w:szCs w:val="20"/>
              </w:rPr>
            </w:pPr>
            <w:r w:rsidRPr="00C47C3B">
              <w:rPr>
                <w:rFonts w:ascii="Arial Narrow" w:hAnsi="Arial Narrow"/>
                <w:sz w:val="20"/>
                <w:szCs w:val="20"/>
              </w:rPr>
              <w:t>Pulmonary exacerbation events per patient-year</w:t>
            </w:r>
          </w:p>
        </w:tc>
        <w:tc>
          <w:tcPr>
            <w:tcW w:w="1747" w:type="pct"/>
            <w:gridSpan w:val="2"/>
            <w:shd w:val="clear" w:color="auto" w:fill="auto"/>
            <w:noWrap/>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TRAFFIC or TRANSPORT*</w:t>
            </w:r>
          </w:p>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n (95% CI)</w:t>
            </w:r>
          </w:p>
        </w:tc>
        <w:tc>
          <w:tcPr>
            <w:tcW w:w="1747" w:type="pct"/>
            <w:gridSpan w:val="2"/>
            <w:shd w:val="clear" w:color="auto" w:fill="auto"/>
            <w:noWrap/>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PROGRESS*</w:t>
            </w:r>
          </w:p>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n (95% CI)</w:t>
            </w:r>
          </w:p>
        </w:tc>
      </w:tr>
      <w:tr w:rsidR="00C47C3B" w:rsidRPr="00C47C3B" w:rsidTr="009F446F">
        <w:trPr>
          <w:cantSplit w:val="0"/>
          <w:trHeight w:val="428"/>
        </w:trPr>
        <w:tc>
          <w:tcPr>
            <w:tcW w:w="1506" w:type="pct"/>
            <w:vMerge/>
            <w:shd w:val="clear" w:color="auto" w:fill="auto"/>
            <w:hideMark/>
          </w:tcPr>
          <w:p w:rsidR="00C47C3B" w:rsidRPr="00C47C3B" w:rsidRDefault="00C47C3B" w:rsidP="00C47C3B">
            <w:pPr>
              <w:keepNext/>
              <w:jc w:val="both"/>
              <w:rPr>
                <w:rFonts w:ascii="Arial Narrow" w:hAnsi="Arial Narrow" w:cs="Calibri"/>
                <w:sz w:val="16"/>
                <w:szCs w:val="16"/>
              </w:rPr>
            </w:pPr>
          </w:p>
        </w:tc>
        <w:tc>
          <w:tcPr>
            <w:tcW w:w="873" w:type="pct"/>
            <w:shd w:val="clear" w:color="auto" w:fill="auto"/>
            <w:noWrap/>
            <w:hideMark/>
          </w:tcPr>
          <w:p w:rsidR="00C47C3B" w:rsidRPr="00C47C3B" w:rsidRDefault="00C47C3B" w:rsidP="00C47C3B">
            <w:pPr>
              <w:keepNext/>
              <w:ind w:left="0"/>
              <w:jc w:val="center"/>
              <w:rPr>
                <w:rFonts w:ascii="Arial Narrow" w:hAnsi="Arial Narrow"/>
                <w:b/>
                <w:sz w:val="20"/>
                <w:szCs w:val="20"/>
              </w:rPr>
            </w:pPr>
            <w:r w:rsidRPr="00C47C3B">
              <w:rPr>
                <w:rFonts w:ascii="Arial Narrow" w:hAnsi="Arial Narrow"/>
                <w:b/>
                <w:sz w:val="20"/>
                <w:szCs w:val="20"/>
              </w:rPr>
              <w:t>Placebo (n=371)</w:t>
            </w:r>
          </w:p>
        </w:tc>
        <w:tc>
          <w:tcPr>
            <w:tcW w:w="874" w:type="pct"/>
            <w:shd w:val="clear" w:color="auto" w:fill="auto"/>
            <w:hideMark/>
          </w:tcPr>
          <w:p w:rsidR="00C47C3B" w:rsidRPr="00C47C3B" w:rsidRDefault="00C47C3B" w:rsidP="00C47C3B">
            <w:pPr>
              <w:keepNext/>
              <w:ind w:left="0"/>
              <w:jc w:val="center"/>
              <w:rPr>
                <w:rFonts w:ascii="Arial Narrow" w:hAnsi="Arial Narrow"/>
                <w:b/>
                <w:sz w:val="20"/>
                <w:szCs w:val="20"/>
              </w:rPr>
            </w:pPr>
            <w:proofErr w:type="spellStart"/>
            <w:r w:rsidRPr="00C47C3B">
              <w:rPr>
                <w:rFonts w:ascii="Arial Narrow" w:hAnsi="Arial Narrow"/>
                <w:b/>
                <w:sz w:val="20"/>
                <w:szCs w:val="20"/>
              </w:rPr>
              <w:t>Lumacaftor</w:t>
            </w:r>
            <w:proofErr w:type="spellEnd"/>
            <w:r w:rsidRPr="00C47C3B">
              <w:rPr>
                <w:rFonts w:ascii="Arial Narrow" w:hAnsi="Arial Narrow"/>
                <w:b/>
                <w:sz w:val="20"/>
                <w:szCs w:val="20"/>
              </w:rPr>
              <w:t xml:space="preserve">/ </w:t>
            </w:r>
            <w:proofErr w:type="spellStart"/>
            <w:r w:rsidRPr="00C47C3B">
              <w:rPr>
                <w:rFonts w:ascii="Arial Narrow" w:hAnsi="Arial Narrow"/>
                <w:b/>
                <w:sz w:val="20"/>
                <w:szCs w:val="20"/>
              </w:rPr>
              <w:t>ivacaftor</w:t>
            </w:r>
            <w:proofErr w:type="spellEnd"/>
            <w:r w:rsidRPr="00C47C3B">
              <w:rPr>
                <w:rFonts w:ascii="Arial Narrow" w:hAnsi="Arial Narrow"/>
                <w:b/>
                <w:sz w:val="20"/>
                <w:szCs w:val="20"/>
              </w:rPr>
              <w:t xml:space="preserve"> (n=369)</w:t>
            </w:r>
          </w:p>
        </w:tc>
        <w:tc>
          <w:tcPr>
            <w:tcW w:w="873" w:type="pct"/>
            <w:shd w:val="clear" w:color="auto" w:fill="auto"/>
            <w:hideMark/>
          </w:tcPr>
          <w:p w:rsidR="00C47C3B" w:rsidRPr="00C47C3B" w:rsidRDefault="00C47C3B" w:rsidP="00C47C3B">
            <w:pPr>
              <w:keepNext/>
              <w:ind w:left="0"/>
              <w:jc w:val="center"/>
              <w:rPr>
                <w:rFonts w:ascii="Arial Narrow" w:hAnsi="Arial Narrow"/>
                <w:b/>
                <w:sz w:val="20"/>
                <w:szCs w:val="20"/>
              </w:rPr>
            </w:pPr>
            <w:r w:rsidRPr="00C47C3B">
              <w:rPr>
                <w:rFonts w:ascii="Arial Narrow" w:hAnsi="Arial Narrow"/>
                <w:b/>
                <w:sz w:val="20"/>
                <w:szCs w:val="20"/>
              </w:rPr>
              <w:t xml:space="preserve">Placebo transitioned to </w:t>
            </w:r>
            <w:proofErr w:type="spellStart"/>
            <w:r w:rsidRPr="00C47C3B">
              <w:rPr>
                <w:rFonts w:ascii="Arial Narrow" w:hAnsi="Arial Narrow"/>
                <w:b/>
                <w:sz w:val="20"/>
                <w:szCs w:val="20"/>
              </w:rPr>
              <w:t>lumacaftor</w:t>
            </w:r>
            <w:proofErr w:type="spellEnd"/>
            <w:r w:rsidRPr="00C47C3B">
              <w:rPr>
                <w:rFonts w:ascii="Arial Narrow" w:hAnsi="Arial Narrow"/>
                <w:b/>
                <w:sz w:val="20"/>
                <w:szCs w:val="20"/>
              </w:rPr>
              <w:t xml:space="preserve">/ </w:t>
            </w:r>
            <w:proofErr w:type="spellStart"/>
            <w:r w:rsidRPr="00C47C3B">
              <w:rPr>
                <w:rFonts w:ascii="Arial Narrow" w:hAnsi="Arial Narrow"/>
                <w:b/>
                <w:sz w:val="20"/>
                <w:szCs w:val="20"/>
              </w:rPr>
              <w:t>ivacaftor</w:t>
            </w:r>
            <w:proofErr w:type="spellEnd"/>
            <w:r w:rsidRPr="00C47C3B" w:rsidDel="000815C7">
              <w:rPr>
                <w:rFonts w:ascii="Arial Narrow" w:hAnsi="Arial Narrow"/>
                <w:b/>
                <w:sz w:val="20"/>
                <w:szCs w:val="20"/>
              </w:rPr>
              <w:t xml:space="preserve"> </w:t>
            </w:r>
            <w:r w:rsidRPr="00C47C3B">
              <w:rPr>
                <w:rFonts w:ascii="Arial Narrow" w:hAnsi="Arial Narrow"/>
                <w:b/>
                <w:sz w:val="20"/>
                <w:szCs w:val="20"/>
              </w:rPr>
              <w:t>(n=176)</w:t>
            </w:r>
          </w:p>
        </w:tc>
        <w:tc>
          <w:tcPr>
            <w:tcW w:w="874" w:type="pct"/>
            <w:shd w:val="clear" w:color="auto" w:fill="auto"/>
            <w:hideMark/>
          </w:tcPr>
          <w:p w:rsidR="00C47C3B" w:rsidRPr="00C47C3B" w:rsidRDefault="00C47C3B" w:rsidP="00C47C3B">
            <w:pPr>
              <w:keepNext/>
              <w:ind w:left="0"/>
              <w:jc w:val="center"/>
              <w:rPr>
                <w:rFonts w:ascii="Arial Narrow" w:hAnsi="Arial Narrow"/>
                <w:b/>
                <w:sz w:val="20"/>
                <w:szCs w:val="20"/>
              </w:rPr>
            </w:pPr>
            <w:r w:rsidRPr="00C47C3B">
              <w:rPr>
                <w:rFonts w:ascii="Arial Narrow" w:hAnsi="Arial Narrow"/>
                <w:b/>
                <w:sz w:val="20"/>
                <w:szCs w:val="20"/>
              </w:rPr>
              <w:t xml:space="preserve">Continued </w:t>
            </w:r>
            <w:proofErr w:type="spellStart"/>
            <w:r w:rsidRPr="00C47C3B">
              <w:rPr>
                <w:rFonts w:ascii="Arial Narrow" w:hAnsi="Arial Narrow"/>
                <w:b/>
                <w:sz w:val="20"/>
                <w:szCs w:val="20"/>
              </w:rPr>
              <w:t>lumacaftor</w:t>
            </w:r>
            <w:proofErr w:type="spellEnd"/>
            <w:r w:rsidRPr="00C47C3B">
              <w:rPr>
                <w:rFonts w:ascii="Arial Narrow" w:hAnsi="Arial Narrow"/>
                <w:b/>
                <w:sz w:val="20"/>
                <w:szCs w:val="20"/>
              </w:rPr>
              <w:t xml:space="preserve">/ </w:t>
            </w:r>
            <w:proofErr w:type="spellStart"/>
            <w:r w:rsidRPr="00C47C3B">
              <w:rPr>
                <w:rFonts w:ascii="Arial Narrow" w:hAnsi="Arial Narrow"/>
                <w:b/>
                <w:sz w:val="20"/>
                <w:szCs w:val="20"/>
              </w:rPr>
              <w:t>ivacaftor</w:t>
            </w:r>
            <w:proofErr w:type="spellEnd"/>
            <w:r w:rsidRPr="00C47C3B">
              <w:rPr>
                <w:rFonts w:ascii="Arial Narrow" w:hAnsi="Arial Narrow"/>
                <w:b/>
                <w:sz w:val="20"/>
                <w:szCs w:val="20"/>
              </w:rPr>
              <w:t xml:space="preserve"> (n=369</w:t>
            </w:r>
            <w:r w:rsidRPr="00C47C3B">
              <w:rPr>
                <w:rFonts w:ascii="Arial Narrow" w:hAnsi="Arial Narrow"/>
                <w:b/>
                <w:sz w:val="20"/>
                <w:szCs w:val="20"/>
                <w:vertAlign w:val="superscript"/>
              </w:rPr>
              <w:t>!</w:t>
            </w:r>
            <w:r w:rsidRPr="00C47C3B">
              <w:rPr>
                <w:rFonts w:ascii="Arial Narrow" w:hAnsi="Arial Narrow"/>
                <w:b/>
                <w:sz w:val="20"/>
                <w:szCs w:val="20"/>
              </w:rPr>
              <w:t>)</w:t>
            </w:r>
          </w:p>
        </w:tc>
      </w:tr>
      <w:tr w:rsidR="00C47C3B" w:rsidRPr="00C47C3B" w:rsidTr="009F446F">
        <w:trPr>
          <w:cantSplit w:val="0"/>
          <w:trHeight w:val="20"/>
        </w:trPr>
        <w:tc>
          <w:tcPr>
            <w:tcW w:w="1506" w:type="pct"/>
            <w:noWrap/>
            <w:hideMark/>
          </w:tcPr>
          <w:p w:rsidR="00C47C3B" w:rsidRPr="00C47C3B" w:rsidRDefault="00C47C3B" w:rsidP="00C47C3B">
            <w:pPr>
              <w:keepNext/>
              <w:ind w:left="0"/>
              <w:jc w:val="both"/>
              <w:rPr>
                <w:rFonts w:ascii="Arial Narrow" w:hAnsi="Arial Narrow"/>
                <w:sz w:val="20"/>
                <w:szCs w:val="20"/>
              </w:rPr>
            </w:pPr>
            <w:r w:rsidRPr="00C47C3B">
              <w:rPr>
                <w:rFonts w:ascii="Arial Narrow" w:hAnsi="Arial Narrow"/>
                <w:sz w:val="20"/>
                <w:szCs w:val="20"/>
              </w:rPr>
              <w:t>All events</w:t>
            </w:r>
          </w:p>
        </w:tc>
        <w:tc>
          <w:tcPr>
            <w:tcW w:w="873"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1.14 (0.97 to 1.34)</w:t>
            </w:r>
          </w:p>
        </w:tc>
        <w:tc>
          <w:tcPr>
            <w:tcW w:w="874"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0.70 (0.57 to 0.84)</w:t>
            </w:r>
          </w:p>
        </w:tc>
        <w:tc>
          <w:tcPr>
            <w:tcW w:w="873"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0.69 (0.56 to 0.85)</w:t>
            </w:r>
          </w:p>
        </w:tc>
        <w:tc>
          <w:tcPr>
            <w:tcW w:w="874"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0.65 (0.56 to 0.75)</w:t>
            </w:r>
          </w:p>
        </w:tc>
      </w:tr>
      <w:tr w:rsidR="00C47C3B" w:rsidRPr="00C47C3B" w:rsidTr="009F446F">
        <w:trPr>
          <w:cantSplit w:val="0"/>
          <w:trHeight w:val="20"/>
        </w:trPr>
        <w:tc>
          <w:tcPr>
            <w:tcW w:w="1506" w:type="pct"/>
            <w:noWrap/>
            <w:hideMark/>
          </w:tcPr>
          <w:p w:rsidR="00C47C3B" w:rsidRPr="00C47C3B" w:rsidRDefault="00C47C3B" w:rsidP="00C47C3B">
            <w:pPr>
              <w:keepNext/>
              <w:ind w:left="0"/>
              <w:rPr>
                <w:rFonts w:ascii="Arial Narrow" w:hAnsi="Arial Narrow"/>
                <w:sz w:val="20"/>
                <w:szCs w:val="20"/>
              </w:rPr>
            </w:pPr>
            <w:r w:rsidRPr="00C47C3B">
              <w:rPr>
                <w:rFonts w:ascii="Arial Narrow" w:hAnsi="Arial Narrow"/>
                <w:sz w:val="20"/>
                <w:szCs w:val="20"/>
              </w:rPr>
              <w:t>Requiring hospital admission</w:t>
            </w:r>
          </w:p>
        </w:tc>
        <w:tc>
          <w:tcPr>
            <w:tcW w:w="873"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0.45 (0.36 to 0.57)</w:t>
            </w:r>
          </w:p>
        </w:tc>
        <w:tc>
          <w:tcPr>
            <w:tcW w:w="874"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0.17 (0.12 to 0.25)</w:t>
            </w:r>
          </w:p>
        </w:tc>
        <w:tc>
          <w:tcPr>
            <w:tcW w:w="873"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0.30 (0.22 to 0.40)</w:t>
            </w:r>
          </w:p>
        </w:tc>
        <w:tc>
          <w:tcPr>
            <w:tcW w:w="874"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0.24 (0.19 to 0.29)</w:t>
            </w:r>
          </w:p>
        </w:tc>
      </w:tr>
      <w:tr w:rsidR="00C47C3B" w:rsidRPr="00C47C3B" w:rsidTr="009F446F">
        <w:trPr>
          <w:cantSplit w:val="0"/>
          <w:trHeight w:val="20"/>
        </w:trPr>
        <w:tc>
          <w:tcPr>
            <w:tcW w:w="1506" w:type="pct"/>
            <w:hideMark/>
          </w:tcPr>
          <w:p w:rsidR="00C47C3B" w:rsidRPr="00C47C3B" w:rsidRDefault="00C47C3B" w:rsidP="00C47C3B">
            <w:pPr>
              <w:keepNext/>
              <w:ind w:left="0"/>
              <w:rPr>
                <w:rFonts w:ascii="Arial Narrow" w:hAnsi="Arial Narrow"/>
                <w:sz w:val="20"/>
                <w:szCs w:val="20"/>
              </w:rPr>
            </w:pPr>
            <w:r w:rsidRPr="00C47C3B">
              <w:rPr>
                <w:rFonts w:ascii="Arial Narrow" w:hAnsi="Arial Narrow"/>
                <w:sz w:val="20"/>
                <w:szCs w:val="20"/>
              </w:rPr>
              <w:t>Requiring intravenous antibiotics</w:t>
            </w:r>
          </w:p>
        </w:tc>
        <w:tc>
          <w:tcPr>
            <w:tcW w:w="873"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0.58 (0.47 to 0.72)</w:t>
            </w:r>
          </w:p>
        </w:tc>
        <w:tc>
          <w:tcPr>
            <w:tcW w:w="874"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0.25 (0.19 to 0.33)</w:t>
            </w:r>
          </w:p>
        </w:tc>
        <w:tc>
          <w:tcPr>
            <w:tcW w:w="873"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0.37 (0.29 to 0.49)</w:t>
            </w:r>
          </w:p>
        </w:tc>
        <w:tc>
          <w:tcPr>
            <w:tcW w:w="874" w:type="pct"/>
            <w:noWrap/>
            <w:vAlign w:val="center"/>
            <w:hideMark/>
          </w:tcPr>
          <w:p w:rsidR="00C47C3B" w:rsidRPr="00C47C3B" w:rsidRDefault="00C47C3B" w:rsidP="00C47C3B">
            <w:pPr>
              <w:keepNext/>
              <w:ind w:left="0"/>
              <w:jc w:val="center"/>
              <w:rPr>
                <w:rFonts w:ascii="Arial Narrow" w:hAnsi="Arial Narrow"/>
                <w:sz w:val="20"/>
                <w:szCs w:val="20"/>
              </w:rPr>
            </w:pPr>
            <w:r w:rsidRPr="00C47C3B">
              <w:rPr>
                <w:rFonts w:ascii="Arial Narrow" w:hAnsi="Arial Narrow"/>
                <w:sz w:val="20"/>
                <w:szCs w:val="20"/>
              </w:rPr>
              <w:t>0.32 (0.26 to 0.38)</w:t>
            </w:r>
          </w:p>
        </w:tc>
      </w:tr>
    </w:tbl>
    <w:p w:rsidR="00C47C3B" w:rsidRPr="00C47C3B" w:rsidRDefault="00C47C3B" w:rsidP="00C47C3B">
      <w:pPr>
        <w:keepNext/>
        <w:rPr>
          <w:rFonts w:ascii="Arial Narrow" w:eastAsia="Calibri" w:hAnsi="Arial Narrow" w:cs="Arial"/>
          <w:snapToGrid w:val="0"/>
          <w:sz w:val="16"/>
          <w:szCs w:val="16"/>
          <w:lang w:val="en-US" w:eastAsia="zh-CN"/>
        </w:rPr>
      </w:pPr>
      <w:r w:rsidRPr="00C47C3B">
        <w:rPr>
          <w:rFonts w:ascii="Arial Narrow" w:eastAsia="Calibri" w:hAnsi="Arial Narrow" w:cs="Arial"/>
          <w:snapToGrid w:val="0"/>
          <w:sz w:val="16"/>
          <w:szCs w:val="16"/>
          <w:lang w:val="en-US" w:eastAsia="zh-CN"/>
        </w:rPr>
        <w:t xml:space="preserve">Source: Table B.7-14, </w:t>
      </w:r>
      <w:proofErr w:type="gramStart"/>
      <w:r w:rsidRPr="00C47C3B">
        <w:rPr>
          <w:rFonts w:ascii="Arial Narrow" w:eastAsia="Calibri" w:hAnsi="Arial Narrow" w:cs="Arial"/>
          <w:snapToGrid w:val="0"/>
          <w:sz w:val="16"/>
          <w:szCs w:val="16"/>
          <w:lang w:val="en-US" w:eastAsia="zh-CN"/>
        </w:rPr>
        <w:t>page 133 July 2017 resubmission</w:t>
      </w:r>
      <w:proofErr w:type="gramEnd"/>
      <w:r w:rsidRPr="00C47C3B">
        <w:rPr>
          <w:rFonts w:ascii="Arial Narrow" w:eastAsia="Calibri" w:hAnsi="Arial Narrow" w:cs="Arial"/>
          <w:snapToGrid w:val="0"/>
          <w:sz w:val="16"/>
          <w:szCs w:val="16"/>
          <w:lang w:val="en-US" w:eastAsia="zh-CN"/>
        </w:rPr>
        <w:t>.</w:t>
      </w:r>
    </w:p>
    <w:p w:rsidR="00C47C3B" w:rsidRPr="00C47C3B" w:rsidRDefault="00C47C3B" w:rsidP="00C47C3B">
      <w:pPr>
        <w:keepNext/>
        <w:rPr>
          <w:rFonts w:ascii="Arial Narrow" w:eastAsia="Calibri" w:hAnsi="Arial Narrow" w:cs="Arial"/>
          <w:snapToGrid w:val="0"/>
          <w:sz w:val="16"/>
          <w:szCs w:val="16"/>
          <w:lang w:eastAsia="zh-CN"/>
        </w:rPr>
      </w:pPr>
      <w:r w:rsidRPr="00C47C3B">
        <w:rPr>
          <w:rFonts w:ascii="Arial Narrow" w:eastAsia="Calibri" w:hAnsi="Arial Narrow" w:cs="Arial"/>
          <w:snapToGrid w:val="0"/>
          <w:sz w:val="16"/>
          <w:szCs w:val="16"/>
          <w:lang w:eastAsia="zh-CN"/>
        </w:rPr>
        <w:t>Abbreviations: CI = confidence interval.</w:t>
      </w:r>
    </w:p>
    <w:p w:rsidR="00C47C3B" w:rsidRPr="00C47C3B" w:rsidRDefault="00C47C3B" w:rsidP="00C47C3B">
      <w:pPr>
        <w:spacing w:after="120"/>
        <w:rPr>
          <w:rFonts w:ascii="Arial Narrow" w:eastAsia="Calibri" w:hAnsi="Arial Narrow" w:cs="Calibri"/>
          <w:snapToGrid w:val="0"/>
          <w:sz w:val="16"/>
          <w:szCs w:val="16"/>
          <w:lang w:eastAsia="zh-CN"/>
        </w:rPr>
      </w:pPr>
      <w:r w:rsidRPr="00C47C3B">
        <w:rPr>
          <w:rFonts w:ascii="Arial Narrow" w:eastAsia="Calibri" w:hAnsi="Arial Narrow" w:cs="Calibri"/>
          <w:snapToGrid w:val="0"/>
          <w:sz w:val="16"/>
          <w:szCs w:val="16"/>
          <w:lang w:eastAsia="zh-CN"/>
        </w:rPr>
        <w:t xml:space="preserve">* The analyses for TRAFFIC or TRANSPORT included events through to week 24. The pulmonary exacerbations analyses for PROGRESS included events throughout the cumulative study period (TRAFFIC or TRANSPORT and PROGRESS), such that the placebo transitioned to </w:t>
      </w:r>
      <w:proofErr w:type="spellStart"/>
      <w:r w:rsidRPr="00C47C3B">
        <w:rPr>
          <w:rFonts w:ascii="Arial Narrow" w:eastAsia="Calibri" w:hAnsi="Arial Narrow" w:cs="Calibri"/>
          <w:snapToGrid w:val="0"/>
          <w:sz w:val="16"/>
          <w:szCs w:val="16"/>
          <w:lang w:eastAsia="zh-CN"/>
        </w:rPr>
        <w:t>lumacaftor</w:t>
      </w:r>
      <w:proofErr w:type="spellEnd"/>
      <w:r w:rsidRPr="00C47C3B">
        <w:rPr>
          <w:rFonts w:ascii="Arial Narrow" w:eastAsia="Calibri" w:hAnsi="Arial Narrow" w:cs="Calibri"/>
          <w:snapToGrid w:val="0"/>
          <w:sz w:val="16"/>
          <w:szCs w:val="16"/>
          <w:lang w:eastAsia="zh-CN"/>
        </w:rPr>
        <w:t>/</w:t>
      </w:r>
      <w:proofErr w:type="spellStart"/>
      <w:r w:rsidRPr="00C47C3B">
        <w:rPr>
          <w:rFonts w:ascii="Arial Narrow" w:eastAsia="Calibri" w:hAnsi="Arial Narrow" w:cs="Calibri"/>
          <w:snapToGrid w:val="0"/>
          <w:sz w:val="16"/>
          <w:szCs w:val="16"/>
          <w:lang w:eastAsia="zh-CN"/>
        </w:rPr>
        <w:t>ivacaftor</w:t>
      </w:r>
      <w:proofErr w:type="spellEnd"/>
      <w:r w:rsidRPr="00C47C3B">
        <w:rPr>
          <w:rFonts w:ascii="Arial Narrow" w:eastAsia="Calibri" w:hAnsi="Arial Narrow" w:cs="Calibri"/>
          <w:snapToGrid w:val="0"/>
          <w:sz w:val="16"/>
          <w:szCs w:val="16"/>
          <w:lang w:eastAsia="zh-CN"/>
        </w:rPr>
        <w:t xml:space="preserve"> group received up to 96 weeks of active treatment and the </w:t>
      </w:r>
      <w:proofErr w:type="spellStart"/>
      <w:r w:rsidRPr="00C47C3B">
        <w:rPr>
          <w:rFonts w:ascii="Arial Narrow" w:eastAsia="Calibri" w:hAnsi="Arial Narrow" w:cs="Calibri"/>
          <w:snapToGrid w:val="0"/>
          <w:sz w:val="16"/>
          <w:szCs w:val="16"/>
          <w:lang w:eastAsia="zh-CN"/>
        </w:rPr>
        <w:t>lumacaftor</w:t>
      </w:r>
      <w:proofErr w:type="spellEnd"/>
      <w:r w:rsidRPr="00C47C3B">
        <w:rPr>
          <w:rFonts w:ascii="Arial Narrow" w:eastAsia="Calibri" w:hAnsi="Arial Narrow" w:cs="Calibri"/>
          <w:snapToGrid w:val="0"/>
          <w:sz w:val="16"/>
          <w:szCs w:val="16"/>
          <w:lang w:eastAsia="zh-CN"/>
        </w:rPr>
        <w:t>/</w:t>
      </w:r>
      <w:proofErr w:type="spellStart"/>
      <w:r w:rsidRPr="00C47C3B">
        <w:rPr>
          <w:rFonts w:ascii="Arial Narrow" w:eastAsia="Calibri" w:hAnsi="Arial Narrow" w:cs="Calibri"/>
          <w:snapToGrid w:val="0"/>
          <w:sz w:val="16"/>
          <w:szCs w:val="16"/>
          <w:lang w:eastAsia="zh-CN"/>
        </w:rPr>
        <w:t>ivacaftor</w:t>
      </w:r>
      <w:proofErr w:type="spellEnd"/>
      <w:r w:rsidRPr="00C47C3B">
        <w:rPr>
          <w:rFonts w:ascii="Arial Narrow" w:eastAsia="Calibri" w:hAnsi="Arial Narrow" w:cs="Calibri"/>
          <w:snapToGrid w:val="0"/>
          <w:sz w:val="16"/>
          <w:szCs w:val="16"/>
          <w:lang w:eastAsia="zh-CN"/>
        </w:rPr>
        <w:t xml:space="preserve"> group received up to 120 weeks of active treatment.</w:t>
      </w:r>
    </w:p>
    <w:p w:rsidR="00C47C3B" w:rsidRPr="00C47C3B" w:rsidRDefault="00B2504F" w:rsidP="00C47C3B">
      <w:pPr>
        <w:widowControl w:val="0"/>
        <w:numPr>
          <w:ilvl w:val="1"/>
          <w:numId w:val="5"/>
        </w:numPr>
        <w:spacing w:after="120"/>
        <w:ind w:left="709" w:hanging="709"/>
        <w:jc w:val="both"/>
        <w:rPr>
          <w:rFonts w:asciiTheme="minorHAnsi" w:hAnsiTheme="minorHAnsi" w:cs="Arial"/>
          <w:snapToGrid w:val="0"/>
          <w:szCs w:val="20"/>
          <w:lang w:eastAsia="en-US"/>
        </w:rPr>
      </w:pPr>
      <w:r>
        <w:rPr>
          <w:rFonts w:asciiTheme="minorHAnsi" w:hAnsiTheme="minorHAnsi" w:cs="Arial"/>
          <w:snapToGrid w:val="0"/>
          <w:szCs w:val="20"/>
          <w:lang w:eastAsia="en-US"/>
        </w:rPr>
        <w:t xml:space="preserve">The PSCR </w:t>
      </w:r>
      <w:r w:rsidR="00C47C3B" w:rsidRPr="00C47C3B">
        <w:rPr>
          <w:rFonts w:asciiTheme="minorHAnsi" w:hAnsiTheme="minorHAnsi" w:cs="Arial"/>
          <w:snapToGrid w:val="0"/>
          <w:szCs w:val="20"/>
          <w:lang w:eastAsia="en-US"/>
        </w:rPr>
        <w:t xml:space="preserve">noted that the absolute PE event rate per patient-year for patients treated with </w:t>
      </w:r>
      <w:proofErr w:type="spellStart"/>
      <w:r w:rsidR="00C47C3B" w:rsidRPr="00C47C3B">
        <w:rPr>
          <w:rFonts w:asciiTheme="minorHAnsi" w:hAnsiTheme="minorHAnsi" w:cs="Arial"/>
          <w:snapToGrid w:val="0"/>
          <w:szCs w:val="20"/>
          <w:lang w:eastAsia="en-US"/>
        </w:rPr>
        <w:t>lumacaftor</w:t>
      </w:r>
      <w:proofErr w:type="spellEnd"/>
      <w:r w:rsidR="00C47C3B" w:rsidRPr="00C47C3B">
        <w:rPr>
          <w:rFonts w:asciiTheme="minorHAnsi" w:hAnsiTheme="minorHAnsi" w:cs="Arial"/>
          <w:snapToGrid w:val="0"/>
          <w:szCs w:val="20"/>
          <w:lang w:eastAsia="en-US"/>
        </w:rPr>
        <w:t>/</w:t>
      </w:r>
      <w:proofErr w:type="spellStart"/>
      <w:r w:rsidR="00C47C3B" w:rsidRPr="00C47C3B">
        <w:rPr>
          <w:rFonts w:asciiTheme="minorHAnsi" w:hAnsiTheme="minorHAnsi" w:cs="Arial"/>
          <w:snapToGrid w:val="0"/>
          <w:szCs w:val="20"/>
          <w:lang w:eastAsia="en-US"/>
        </w:rPr>
        <w:t>ivacaftor</w:t>
      </w:r>
      <w:proofErr w:type="spellEnd"/>
      <w:r w:rsidR="00C47C3B" w:rsidRPr="00C47C3B">
        <w:rPr>
          <w:rFonts w:asciiTheme="minorHAnsi" w:hAnsiTheme="minorHAnsi" w:cs="Arial"/>
          <w:snapToGrid w:val="0"/>
          <w:szCs w:val="20"/>
          <w:lang w:eastAsia="en-US"/>
        </w:rPr>
        <w:t xml:space="preserve"> in TRAFFIC/TRANSPORT remained similar in PROGRESS; that is, the rate of PEs is approximately halved by </w:t>
      </w:r>
      <w:proofErr w:type="spellStart"/>
      <w:r w:rsidR="00C47C3B" w:rsidRPr="00C47C3B">
        <w:rPr>
          <w:rFonts w:asciiTheme="minorHAnsi" w:hAnsiTheme="minorHAnsi" w:cs="Arial"/>
          <w:snapToGrid w:val="0"/>
          <w:szCs w:val="20"/>
          <w:lang w:eastAsia="en-US"/>
        </w:rPr>
        <w:t>lumacaftor</w:t>
      </w:r>
      <w:proofErr w:type="spellEnd"/>
      <w:r w:rsidR="00C47C3B" w:rsidRPr="00C47C3B">
        <w:rPr>
          <w:rFonts w:asciiTheme="minorHAnsi" w:hAnsiTheme="minorHAnsi" w:cs="Arial"/>
          <w:snapToGrid w:val="0"/>
          <w:szCs w:val="20"/>
          <w:lang w:eastAsia="en-US"/>
        </w:rPr>
        <w:t>/</w:t>
      </w:r>
      <w:proofErr w:type="spellStart"/>
      <w:r w:rsidR="00C47C3B" w:rsidRPr="00C47C3B">
        <w:rPr>
          <w:rFonts w:asciiTheme="minorHAnsi" w:hAnsiTheme="minorHAnsi" w:cs="Arial"/>
          <w:snapToGrid w:val="0"/>
          <w:szCs w:val="20"/>
          <w:lang w:eastAsia="en-US"/>
        </w:rPr>
        <w:t>ivacaftor</w:t>
      </w:r>
      <w:proofErr w:type="spellEnd"/>
      <w:r w:rsidR="00C47C3B" w:rsidRPr="00C47C3B">
        <w:rPr>
          <w:rFonts w:asciiTheme="minorHAnsi" w:hAnsiTheme="minorHAnsi" w:cs="Arial"/>
          <w:snapToGrid w:val="0"/>
          <w:szCs w:val="20"/>
          <w:lang w:eastAsia="en-US"/>
        </w:rPr>
        <w:t xml:space="preserve"> relative to placebo and this is maintained in patients who are treated for up to 120 weeks. The ESC further noted that the PE event rate in the patients treated with placebo in TRAFFIC/TRANSPORT fell after transition to </w:t>
      </w:r>
      <w:proofErr w:type="spellStart"/>
      <w:r w:rsidR="00C47C3B" w:rsidRPr="00C47C3B">
        <w:rPr>
          <w:rFonts w:asciiTheme="minorHAnsi" w:hAnsiTheme="minorHAnsi" w:cs="Arial"/>
          <w:snapToGrid w:val="0"/>
          <w:szCs w:val="20"/>
          <w:lang w:eastAsia="en-US"/>
        </w:rPr>
        <w:t>lumacaftor</w:t>
      </w:r>
      <w:proofErr w:type="spellEnd"/>
      <w:r w:rsidR="00C47C3B" w:rsidRPr="00C47C3B">
        <w:rPr>
          <w:rFonts w:asciiTheme="minorHAnsi" w:hAnsiTheme="minorHAnsi" w:cs="Arial"/>
          <w:snapToGrid w:val="0"/>
          <w:szCs w:val="20"/>
          <w:lang w:eastAsia="en-US"/>
        </w:rPr>
        <w:t>/</w:t>
      </w:r>
      <w:proofErr w:type="spellStart"/>
      <w:r w:rsidR="00C47C3B" w:rsidRPr="00C47C3B">
        <w:rPr>
          <w:rFonts w:asciiTheme="minorHAnsi" w:hAnsiTheme="minorHAnsi" w:cs="Arial"/>
          <w:snapToGrid w:val="0"/>
          <w:szCs w:val="20"/>
          <w:lang w:eastAsia="en-US"/>
        </w:rPr>
        <w:t>ivacaftor</w:t>
      </w:r>
      <w:proofErr w:type="spellEnd"/>
      <w:r w:rsidR="00C47C3B" w:rsidRPr="00C47C3B">
        <w:rPr>
          <w:rFonts w:asciiTheme="minorHAnsi" w:hAnsiTheme="minorHAnsi" w:cs="Arial"/>
          <w:snapToGrid w:val="0"/>
          <w:szCs w:val="20"/>
          <w:lang w:eastAsia="en-US"/>
        </w:rPr>
        <w:t xml:space="preserve"> treatment in PROGRESS. The ESC noted that it was unclear whether this decrease in PE events may have occurred independently of changes in ppFEV</w:t>
      </w:r>
      <w:r w:rsidR="00C47C3B" w:rsidRPr="00C47C3B">
        <w:rPr>
          <w:rFonts w:asciiTheme="minorHAnsi" w:hAnsiTheme="minorHAnsi" w:cs="Arial"/>
          <w:snapToGrid w:val="0"/>
          <w:szCs w:val="20"/>
          <w:vertAlign w:val="subscript"/>
          <w:lang w:eastAsia="en-US"/>
        </w:rPr>
        <w:t>1</w:t>
      </w:r>
      <w:r w:rsidR="00C47C3B" w:rsidRPr="00C47C3B">
        <w:rPr>
          <w:rFonts w:asciiTheme="minorHAnsi" w:hAnsiTheme="minorHAnsi" w:cs="Arial"/>
          <w:snapToGrid w:val="0"/>
          <w:szCs w:val="20"/>
          <w:lang w:eastAsia="en-US"/>
        </w:rPr>
        <w:t>.</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changes from baseline in CFQ-R in TRAFFIC, TRANSPORT and PROGRESS are shown in Table 7. The numerical improvement observed in CFQ-R at 24 weeks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treated patients was not statistically significantly different to the improvement observed in placebo treated patients. Furthermore, the ESC noted that while the improvement for the mean respiratory domain score seen at 24 weeks in the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treated group appeared to be maintained at weeks 72 and 96 of PROGRESS, the difference from baseline in the patients who transitioned from placebo to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was not statistically significant at weeks 72 and 96. </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ESC noted an improvement in the mean CFQ-R respiratory domain score compared with baseline at 72 weeks in PROGRESS for the group of patients who transitioned from placebo to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However, this improvement was not seen at 96 weeks, despite the improvements in PEs seen in this transition group.</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absolute change from baseline in body mass index (BMI) continued to increase through to 96 weeks in PROGRESS in patients previously treated with both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and placebo in TRAFFIC/TRANSPORT (see Table 7). </w:t>
      </w: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lastRenderedPageBreak/>
        <w:t xml:space="preserve">Table </w:t>
      </w:r>
      <w:r w:rsidRPr="00C47C3B">
        <w:rPr>
          <w:rFonts w:ascii="Arial Narrow" w:eastAsiaTheme="minorHAnsi" w:hAnsi="Arial Narrow" w:cstheme="minorBidi"/>
          <w:b/>
          <w:noProof/>
          <w:sz w:val="20"/>
          <w:szCs w:val="22"/>
          <w:lang w:eastAsia="en-US"/>
        </w:rPr>
        <w:t>7</w:t>
      </w:r>
      <w:r w:rsidRPr="00C47C3B">
        <w:rPr>
          <w:rFonts w:ascii="Arial Narrow" w:eastAsiaTheme="minorHAnsi" w:hAnsi="Arial Narrow" w:cstheme="minorBidi"/>
          <w:b/>
          <w:sz w:val="20"/>
          <w:szCs w:val="22"/>
          <w:lang w:eastAsia="en-US"/>
        </w:rPr>
        <w:t>: Changes from baseline in CFQ-R respiratory domain score and BMI in TRAFFIC, TRANSPORT and PROGRESS</w:t>
      </w:r>
    </w:p>
    <w:tbl>
      <w:tblPr>
        <w:tblStyle w:val="newstyle3"/>
        <w:tblW w:w="5000" w:type="pct"/>
        <w:tblLayout w:type="fixed"/>
        <w:tblLook w:val="04A0" w:firstRow="1" w:lastRow="0" w:firstColumn="1" w:lastColumn="0" w:noHBand="0" w:noVBand="1"/>
        <w:tblCaption w:val="Changes from baseline in CFQ-R respiratory domain score and BMI in TRAFFIC, TRANSPORT and PROGRESS"/>
      </w:tblPr>
      <w:tblGrid>
        <w:gridCol w:w="1540"/>
        <w:gridCol w:w="1863"/>
        <w:gridCol w:w="1907"/>
        <w:gridCol w:w="1861"/>
        <w:gridCol w:w="1865"/>
      </w:tblGrid>
      <w:tr w:rsidR="00C47C3B" w:rsidRPr="00C47C3B" w:rsidTr="009F446F">
        <w:trPr>
          <w:cnfStyle w:val="100000000000" w:firstRow="1" w:lastRow="0" w:firstColumn="0" w:lastColumn="0" w:oddVBand="0" w:evenVBand="0" w:oddHBand="0" w:evenHBand="0" w:firstRowFirstColumn="0" w:firstRowLastColumn="0" w:lastRowFirstColumn="0" w:lastRowLastColumn="0"/>
          <w:trHeight w:val="300"/>
        </w:trPr>
        <w:tc>
          <w:tcPr>
            <w:tcW w:w="852" w:type="pct"/>
            <w:vMerge w:val="restart"/>
            <w:shd w:val="clear" w:color="auto" w:fill="auto"/>
            <w:noWrap/>
            <w:hideMark/>
          </w:tcPr>
          <w:p w:rsidR="00C47C3B" w:rsidRPr="00C47C3B" w:rsidRDefault="00C47C3B" w:rsidP="00C47C3B">
            <w:pPr>
              <w:keepNext/>
              <w:jc w:val="both"/>
              <w:rPr>
                <w:rFonts w:ascii="Arial Narrow" w:hAnsi="Arial Narrow" w:cs="Calibri"/>
                <w:snapToGrid w:val="0"/>
                <w:sz w:val="16"/>
                <w:szCs w:val="16"/>
                <w:lang w:eastAsia="en-US"/>
              </w:rPr>
            </w:pPr>
            <w:r w:rsidRPr="00C47C3B">
              <w:rPr>
                <w:rFonts w:ascii="Arial Narrow" w:hAnsi="Arial Narrow" w:cs="Calibri"/>
                <w:snapToGrid w:val="0"/>
                <w:sz w:val="16"/>
                <w:szCs w:val="16"/>
                <w:lang w:eastAsia="en-US"/>
              </w:rPr>
              <w:t> </w:t>
            </w:r>
          </w:p>
        </w:tc>
        <w:tc>
          <w:tcPr>
            <w:tcW w:w="2086" w:type="pct"/>
            <w:gridSpan w:val="2"/>
            <w:shd w:val="clear" w:color="auto" w:fill="auto"/>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TRAFFIC or TRANSPORT</w:t>
            </w:r>
          </w:p>
        </w:tc>
        <w:tc>
          <w:tcPr>
            <w:tcW w:w="2062" w:type="pct"/>
            <w:gridSpan w:val="2"/>
            <w:shd w:val="clear" w:color="auto" w:fill="auto"/>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PROGRESS</w:t>
            </w:r>
          </w:p>
        </w:tc>
      </w:tr>
      <w:tr w:rsidR="00C47C3B" w:rsidRPr="00C47C3B" w:rsidTr="009F446F">
        <w:trPr>
          <w:cantSplit w:val="0"/>
          <w:trHeight w:val="463"/>
        </w:trPr>
        <w:tc>
          <w:tcPr>
            <w:tcW w:w="852" w:type="pct"/>
            <w:vMerge/>
            <w:shd w:val="clear" w:color="auto" w:fill="auto"/>
            <w:hideMark/>
          </w:tcPr>
          <w:p w:rsidR="00C47C3B" w:rsidRPr="00C47C3B" w:rsidRDefault="00C47C3B" w:rsidP="00C47C3B">
            <w:pPr>
              <w:keepNext/>
              <w:jc w:val="both"/>
              <w:rPr>
                <w:rFonts w:ascii="Arial Narrow" w:hAnsi="Arial Narrow" w:cs="Calibri"/>
                <w:snapToGrid w:val="0"/>
                <w:sz w:val="16"/>
                <w:szCs w:val="16"/>
                <w:lang w:eastAsia="en-US"/>
              </w:rPr>
            </w:pPr>
          </w:p>
        </w:tc>
        <w:tc>
          <w:tcPr>
            <w:tcW w:w="1031" w:type="pct"/>
            <w:shd w:val="clear" w:color="auto" w:fill="auto"/>
            <w:noWrap/>
            <w:hideMark/>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Placebo (n=371)</w:t>
            </w:r>
          </w:p>
        </w:tc>
        <w:tc>
          <w:tcPr>
            <w:tcW w:w="1055" w:type="pct"/>
            <w:shd w:val="clear" w:color="auto" w:fill="auto"/>
            <w:hideMark/>
          </w:tcPr>
          <w:p w:rsidR="00C47C3B" w:rsidRPr="00C47C3B" w:rsidRDefault="00C47C3B" w:rsidP="00C47C3B">
            <w:pPr>
              <w:keepNext/>
              <w:jc w:val="center"/>
              <w:rPr>
                <w:rFonts w:ascii="Arial Narrow" w:hAnsi="Arial Narrow" w:cs="Arial"/>
                <w:b/>
                <w:snapToGrid w:val="0"/>
                <w:sz w:val="20"/>
                <w:szCs w:val="20"/>
                <w:lang w:eastAsia="en-US"/>
              </w:rPr>
            </w:pPr>
            <w:proofErr w:type="spellStart"/>
            <w:r w:rsidRPr="00C47C3B">
              <w:rPr>
                <w:rFonts w:ascii="Arial Narrow" w:hAnsi="Arial Narrow" w:cs="Arial"/>
                <w:b/>
                <w:snapToGrid w:val="0"/>
                <w:sz w:val="20"/>
                <w:szCs w:val="20"/>
                <w:lang w:eastAsia="en-US"/>
              </w:rPr>
              <w:t>Lumacaftor</w:t>
            </w:r>
            <w:proofErr w:type="spellEnd"/>
            <w:r w:rsidRPr="00C47C3B">
              <w:rPr>
                <w:rFonts w:ascii="Arial Narrow" w:hAnsi="Arial Narrow" w:cs="Arial"/>
                <w:b/>
                <w:snapToGrid w:val="0"/>
                <w:sz w:val="20"/>
                <w:szCs w:val="20"/>
                <w:lang w:eastAsia="en-US"/>
              </w:rPr>
              <w:t xml:space="preserve">/ </w:t>
            </w:r>
            <w:proofErr w:type="spellStart"/>
            <w:r w:rsidRPr="00C47C3B">
              <w:rPr>
                <w:rFonts w:ascii="Arial Narrow" w:hAnsi="Arial Narrow" w:cs="Arial"/>
                <w:b/>
                <w:snapToGrid w:val="0"/>
                <w:sz w:val="20"/>
                <w:szCs w:val="20"/>
                <w:lang w:eastAsia="en-US"/>
              </w:rPr>
              <w:t>ivacaftor</w:t>
            </w:r>
            <w:proofErr w:type="spellEnd"/>
            <w:r w:rsidRPr="00C47C3B">
              <w:rPr>
                <w:rFonts w:ascii="Arial Narrow" w:hAnsi="Arial Narrow" w:cs="Arial"/>
                <w:b/>
                <w:snapToGrid w:val="0"/>
                <w:sz w:val="20"/>
                <w:szCs w:val="20"/>
                <w:lang w:eastAsia="en-US"/>
              </w:rPr>
              <w:t xml:space="preserve"> (n=369)</w:t>
            </w:r>
          </w:p>
        </w:tc>
        <w:tc>
          <w:tcPr>
            <w:tcW w:w="1030" w:type="pct"/>
            <w:shd w:val="clear" w:color="auto" w:fill="auto"/>
            <w:hideMark/>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 xml:space="preserve">Placebo transitioned to </w:t>
            </w:r>
            <w:proofErr w:type="spellStart"/>
            <w:r w:rsidRPr="00C47C3B">
              <w:rPr>
                <w:rFonts w:ascii="Arial Narrow" w:hAnsi="Arial Narrow" w:cs="Arial"/>
                <w:b/>
                <w:snapToGrid w:val="0"/>
                <w:sz w:val="20"/>
                <w:szCs w:val="20"/>
                <w:lang w:eastAsia="en-US"/>
              </w:rPr>
              <w:t>lumacaftor</w:t>
            </w:r>
            <w:proofErr w:type="spellEnd"/>
            <w:r w:rsidRPr="00C47C3B">
              <w:rPr>
                <w:rFonts w:ascii="Arial Narrow" w:hAnsi="Arial Narrow" w:cs="Arial"/>
                <w:b/>
                <w:snapToGrid w:val="0"/>
                <w:sz w:val="20"/>
                <w:szCs w:val="20"/>
                <w:lang w:eastAsia="en-US"/>
              </w:rPr>
              <w:t xml:space="preserve">/ </w:t>
            </w:r>
            <w:proofErr w:type="spellStart"/>
            <w:r w:rsidRPr="00C47C3B">
              <w:rPr>
                <w:rFonts w:ascii="Arial Narrow" w:hAnsi="Arial Narrow" w:cs="Arial"/>
                <w:b/>
                <w:snapToGrid w:val="0"/>
                <w:sz w:val="20"/>
                <w:szCs w:val="20"/>
                <w:lang w:eastAsia="en-US"/>
              </w:rPr>
              <w:t>ivacaftor</w:t>
            </w:r>
            <w:proofErr w:type="spellEnd"/>
            <w:r w:rsidRPr="00C47C3B">
              <w:rPr>
                <w:rFonts w:ascii="Arial Narrow" w:hAnsi="Arial Narrow" w:cs="Arial"/>
                <w:b/>
                <w:snapToGrid w:val="0"/>
                <w:sz w:val="20"/>
                <w:szCs w:val="20"/>
                <w:lang w:eastAsia="en-US"/>
              </w:rPr>
              <w:t xml:space="preserve"> (n=176)</w:t>
            </w:r>
          </w:p>
        </w:tc>
        <w:tc>
          <w:tcPr>
            <w:tcW w:w="1032" w:type="pct"/>
            <w:shd w:val="clear" w:color="auto" w:fill="auto"/>
            <w:hideMark/>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 xml:space="preserve">Continued </w:t>
            </w:r>
            <w:proofErr w:type="spellStart"/>
            <w:r w:rsidRPr="00C47C3B">
              <w:rPr>
                <w:rFonts w:ascii="Arial Narrow" w:hAnsi="Arial Narrow" w:cs="Arial"/>
                <w:b/>
                <w:snapToGrid w:val="0"/>
                <w:sz w:val="20"/>
                <w:szCs w:val="20"/>
                <w:lang w:eastAsia="en-US"/>
              </w:rPr>
              <w:t>lumacaftor</w:t>
            </w:r>
            <w:proofErr w:type="spellEnd"/>
            <w:r w:rsidRPr="00C47C3B">
              <w:rPr>
                <w:rFonts w:ascii="Arial Narrow" w:hAnsi="Arial Narrow" w:cs="Arial"/>
                <w:b/>
                <w:snapToGrid w:val="0"/>
                <w:sz w:val="20"/>
                <w:szCs w:val="20"/>
                <w:lang w:eastAsia="en-US"/>
              </w:rPr>
              <w:t xml:space="preserve">/ </w:t>
            </w:r>
            <w:proofErr w:type="spellStart"/>
            <w:r w:rsidRPr="00C47C3B">
              <w:rPr>
                <w:rFonts w:ascii="Arial Narrow" w:hAnsi="Arial Narrow" w:cs="Arial"/>
                <w:b/>
                <w:snapToGrid w:val="0"/>
                <w:sz w:val="20"/>
                <w:szCs w:val="20"/>
                <w:lang w:eastAsia="en-US"/>
              </w:rPr>
              <w:t>ivacaftor</w:t>
            </w:r>
            <w:proofErr w:type="spellEnd"/>
            <w:r w:rsidRPr="00C47C3B">
              <w:rPr>
                <w:rFonts w:ascii="Arial Narrow" w:hAnsi="Arial Narrow" w:cs="Arial"/>
                <w:b/>
                <w:snapToGrid w:val="0"/>
                <w:sz w:val="20"/>
                <w:szCs w:val="20"/>
                <w:lang w:eastAsia="en-US"/>
              </w:rPr>
              <w:t xml:space="preserve"> (n=369)</w:t>
            </w:r>
          </w:p>
        </w:tc>
      </w:tr>
      <w:tr w:rsidR="00C47C3B" w:rsidRPr="00C47C3B" w:rsidTr="009F446F">
        <w:trPr>
          <w:cantSplit w:val="0"/>
          <w:trHeight w:val="20"/>
        </w:trPr>
        <w:tc>
          <w:tcPr>
            <w:tcW w:w="5000" w:type="pct"/>
            <w:gridSpan w:val="5"/>
            <w:noWrap/>
            <w:hideMark/>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b/>
                <w:snapToGrid w:val="0"/>
                <w:sz w:val="20"/>
                <w:szCs w:val="20"/>
                <w:lang w:eastAsia="en-US"/>
              </w:rPr>
              <w:t>Absolute change from baseline in CFQ-R respiratory domain score</w:t>
            </w:r>
            <w:r w:rsidRPr="00C47C3B">
              <w:rPr>
                <w:rFonts w:ascii="Arial Narrow" w:hAnsi="Arial Narrow" w:cs="Arial"/>
                <w:snapToGrid w:val="0"/>
                <w:sz w:val="20"/>
                <w:szCs w:val="20"/>
                <w:lang w:eastAsia="en-US"/>
              </w:rPr>
              <w:t>, least squares mean, 95% CI, (points), p value</w:t>
            </w:r>
            <w:r w:rsidRPr="00C47C3B">
              <w:rPr>
                <w:rFonts w:ascii="Arial Narrow" w:hAnsi="Arial Narrow" w:cs="Arial"/>
                <w:snapToGrid w:val="0"/>
                <w:sz w:val="20"/>
                <w:szCs w:val="20"/>
                <w:vertAlign w:val="superscript"/>
                <w:lang w:eastAsia="en-US"/>
              </w:rPr>
              <w:t>†</w:t>
            </w:r>
          </w:p>
        </w:tc>
      </w:tr>
      <w:tr w:rsidR="00C47C3B" w:rsidRPr="00C47C3B" w:rsidTr="009F446F">
        <w:trPr>
          <w:cantSplit w:val="0"/>
          <w:trHeight w:val="309"/>
        </w:trPr>
        <w:tc>
          <w:tcPr>
            <w:tcW w:w="852" w:type="pct"/>
            <w:noWrap/>
            <w:hideMark/>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Week 24</w:t>
            </w:r>
          </w:p>
        </w:tc>
        <w:tc>
          <w:tcPr>
            <w:tcW w:w="1031"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1.9 (0.3 to 3.5)</w:t>
            </w:r>
          </w:p>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p=0.0213</w:t>
            </w:r>
          </w:p>
        </w:tc>
        <w:tc>
          <w:tcPr>
            <w:tcW w:w="105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4.1 (2.5 to 5.7) </w:t>
            </w:r>
            <w:r w:rsidRPr="00C47C3B">
              <w:rPr>
                <w:rFonts w:ascii="Arial Narrow" w:hAnsi="Arial Narrow" w:cs="Arial"/>
                <w:snapToGrid w:val="0"/>
                <w:sz w:val="20"/>
                <w:szCs w:val="20"/>
                <w:lang w:eastAsia="en-US"/>
              </w:rPr>
              <w:br/>
              <w:t>p&lt;0.0001</w:t>
            </w:r>
          </w:p>
        </w:tc>
        <w:tc>
          <w:tcPr>
            <w:tcW w:w="1030"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32"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r>
      <w:tr w:rsidR="00C47C3B" w:rsidRPr="00C47C3B" w:rsidTr="009F446F">
        <w:trPr>
          <w:cantSplit w:val="0"/>
          <w:trHeight w:val="491"/>
        </w:trPr>
        <w:tc>
          <w:tcPr>
            <w:tcW w:w="852" w:type="pct"/>
            <w:noWrap/>
            <w:hideMark/>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Extension week 72</w:t>
            </w:r>
          </w:p>
        </w:tc>
        <w:tc>
          <w:tcPr>
            <w:tcW w:w="1031"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5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30"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3.3 (0.7 to 5.9) </w:t>
            </w:r>
            <w:r w:rsidRPr="00C47C3B">
              <w:rPr>
                <w:rFonts w:ascii="Arial Narrow" w:hAnsi="Arial Narrow" w:cs="Arial"/>
                <w:snapToGrid w:val="0"/>
                <w:sz w:val="20"/>
                <w:szCs w:val="20"/>
                <w:lang w:eastAsia="en-US"/>
              </w:rPr>
              <w:br/>
              <w:t>p=0.0124</w:t>
            </w:r>
          </w:p>
        </w:tc>
        <w:tc>
          <w:tcPr>
            <w:tcW w:w="1032"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5.7 (3.8 to 7.5)</w:t>
            </w:r>
            <w:r w:rsidRPr="00C47C3B">
              <w:rPr>
                <w:rFonts w:ascii="Arial Narrow" w:hAnsi="Arial Narrow" w:cs="Arial"/>
                <w:snapToGrid w:val="0"/>
                <w:sz w:val="20"/>
                <w:szCs w:val="20"/>
                <w:lang w:eastAsia="en-US"/>
              </w:rPr>
              <w:br/>
              <w:t>p&lt;0.0001</w:t>
            </w:r>
          </w:p>
        </w:tc>
      </w:tr>
      <w:tr w:rsidR="00C47C3B" w:rsidRPr="00C47C3B" w:rsidTr="009F446F">
        <w:trPr>
          <w:cantSplit w:val="0"/>
          <w:trHeight w:val="20"/>
        </w:trPr>
        <w:tc>
          <w:tcPr>
            <w:tcW w:w="852" w:type="pct"/>
            <w:noWrap/>
            <w:hideMark/>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Extension week 96</w:t>
            </w:r>
          </w:p>
        </w:tc>
        <w:tc>
          <w:tcPr>
            <w:tcW w:w="1031"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55"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30"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0.5 (–2.7 to 3.6) p=0.7665</w:t>
            </w:r>
          </w:p>
        </w:tc>
        <w:tc>
          <w:tcPr>
            <w:tcW w:w="1032" w:type="pct"/>
            <w:noWrap/>
            <w:hideMark/>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 xml:space="preserve">3.5 (1.3 to 5.8) </w:t>
            </w:r>
            <w:r w:rsidRPr="00C47C3B">
              <w:rPr>
                <w:rFonts w:ascii="Arial Narrow" w:hAnsi="Arial Narrow" w:cs="Arial"/>
                <w:snapToGrid w:val="0"/>
                <w:sz w:val="20"/>
                <w:szCs w:val="20"/>
                <w:lang w:eastAsia="en-US"/>
              </w:rPr>
              <w:br/>
              <w:t>p=0.0018</w:t>
            </w:r>
          </w:p>
        </w:tc>
      </w:tr>
      <w:tr w:rsidR="00C47C3B" w:rsidRPr="00C47C3B" w:rsidTr="009F446F">
        <w:trPr>
          <w:cantSplit w:val="0"/>
          <w:trHeight w:val="20"/>
        </w:trPr>
        <w:tc>
          <w:tcPr>
            <w:tcW w:w="5000" w:type="pct"/>
            <w:gridSpan w:val="5"/>
            <w:noWrap/>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b/>
                <w:snapToGrid w:val="0"/>
                <w:sz w:val="20"/>
                <w:szCs w:val="20"/>
                <w:lang w:eastAsia="en-US"/>
              </w:rPr>
              <w:t>Absolute change from baseline in body-mass index</w:t>
            </w:r>
            <w:r w:rsidRPr="00C47C3B">
              <w:rPr>
                <w:rFonts w:ascii="Arial Narrow" w:hAnsi="Arial Narrow" w:cs="Arial"/>
                <w:snapToGrid w:val="0"/>
                <w:sz w:val="20"/>
                <w:szCs w:val="20"/>
                <w:lang w:eastAsia="en-US"/>
              </w:rPr>
              <w:t>, least squares mean, 95% CI, (kg/m</w:t>
            </w:r>
            <w:r w:rsidRPr="00C47C3B">
              <w:rPr>
                <w:rFonts w:ascii="Arial Narrow" w:hAnsi="Arial Narrow" w:cs="Arial"/>
                <w:snapToGrid w:val="0"/>
                <w:sz w:val="20"/>
                <w:szCs w:val="20"/>
                <w:vertAlign w:val="superscript"/>
                <w:lang w:eastAsia="en-US"/>
              </w:rPr>
              <w:t>2</w:t>
            </w:r>
            <w:r w:rsidRPr="00C47C3B">
              <w:rPr>
                <w:rFonts w:ascii="Arial Narrow" w:hAnsi="Arial Narrow" w:cs="Arial"/>
                <w:snapToGrid w:val="0"/>
                <w:sz w:val="20"/>
                <w:szCs w:val="20"/>
                <w:lang w:eastAsia="en-US"/>
              </w:rPr>
              <w:t>), p value†</w:t>
            </w:r>
          </w:p>
        </w:tc>
      </w:tr>
      <w:tr w:rsidR="00C47C3B" w:rsidRPr="00C47C3B" w:rsidTr="009F446F">
        <w:trPr>
          <w:cantSplit w:val="0"/>
          <w:trHeight w:val="310"/>
        </w:trPr>
        <w:tc>
          <w:tcPr>
            <w:tcW w:w="852" w:type="pct"/>
            <w:noWrap/>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Week 24</w:t>
            </w:r>
          </w:p>
        </w:tc>
        <w:tc>
          <w:tcPr>
            <w:tcW w:w="1031"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0.13 (0.04 to 0.23)</w:t>
            </w:r>
            <w:r w:rsidRPr="00C47C3B">
              <w:rPr>
                <w:rFonts w:ascii="Arial Narrow" w:hAnsi="Arial Narrow" w:cs="Arial"/>
                <w:snapToGrid w:val="0"/>
                <w:sz w:val="20"/>
                <w:szCs w:val="20"/>
                <w:lang w:eastAsia="en-US"/>
              </w:rPr>
              <w:br/>
              <w:t>p=0.0066</w:t>
            </w:r>
          </w:p>
        </w:tc>
        <w:tc>
          <w:tcPr>
            <w:tcW w:w="1055"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0.37 (0.28 to 0.47)</w:t>
            </w:r>
            <w:r w:rsidRPr="00C47C3B">
              <w:rPr>
                <w:rFonts w:ascii="Arial Narrow" w:hAnsi="Arial Narrow" w:cs="Arial"/>
                <w:snapToGrid w:val="0"/>
                <w:sz w:val="20"/>
                <w:szCs w:val="20"/>
                <w:lang w:eastAsia="en-US"/>
              </w:rPr>
              <w:br/>
              <w:t>p&lt;0.0001</w:t>
            </w:r>
          </w:p>
        </w:tc>
        <w:tc>
          <w:tcPr>
            <w:tcW w:w="1030"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32"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r>
      <w:tr w:rsidR="00C47C3B" w:rsidRPr="00C47C3B" w:rsidTr="009F446F">
        <w:trPr>
          <w:cantSplit w:val="0"/>
          <w:trHeight w:val="20"/>
        </w:trPr>
        <w:tc>
          <w:tcPr>
            <w:tcW w:w="852" w:type="pct"/>
            <w:noWrap/>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Extension week 72</w:t>
            </w:r>
          </w:p>
        </w:tc>
        <w:tc>
          <w:tcPr>
            <w:tcW w:w="1031"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55"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30"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0.62 (0.45 to 0.79) p&lt;0.0001</w:t>
            </w:r>
          </w:p>
        </w:tc>
        <w:tc>
          <w:tcPr>
            <w:tcW w:w="1032"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0.69 (0.56 to 0.81)</w:t>
            </w:r>
            <w:r w:rsidRPr="00C47C3B">
              <w:rPr>
                <w:rFonts w:ascii="Arial Narrow" w:hAnsi="Arial Narrow" w:cs="Arial"/>
                <w:snapToGrid w:val="0"/>
                <w:sz w:val="20"/>
                <w:szCs w:val="20"/>
                <w:lang w:eastAsia="en-US"/>
              </w:rPr>
              <w:br/>
              <w:t>p&lt;0.0001</w:t>
            </w:r>
          </w:p>
        </w:tc>
      </w:tr>
      <w:tr w:rsidR="00C47C3B" w:rsidRPr="00C47C3B" w:rsidTr="009F446F">
        <w:trPr>
          <w:cantSplit w:val="0"/>
          <w:trHeight w:val="20"/>
        </w:trPr>
        <w:tc>
          <w:tcPr>
            <w:tcW w:w="852" w:type="pct"/>
            <w:noWrap/>
          </w:tcPr>
          <w:p w:rsidR="00C47C3B" w:rsidRPr="00C47C3B" w:rsidRDefault="00C47C3B" w:rsidP="00C47C3B">
            <w:pPr>
              <w:keepNext/>
              <w:jc w:val="both"/>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Extension week 96</w:t>
            </w:r>
          </w:p>
        </w:tc>
        <w:tc>
          <w:tcPr>
            <w:tcW w:w="1031"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55"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w:t>
            </w:r>
          </w:p>
        </w:tc>
        <w:tc>
          <w:tcPr>
            <w:tcW w:w="1030"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0.76 (0.56 to 0.97) p&lt;0.0001</w:t>
            </w:r>
          </w:p>
        </w:tc>
        <w:tc>
          <w:tcPr>
            <w:tcW w:w="1032" w:type="pct"/>
            <w:noWrap/>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0.96 (0.81 to 1.11) p&lt;0.0001</w:t>
            </w:r>
          </w:p>
        </w:tc>
      </w:tr>
    </w:tbl>
    <w:p w:rsidR="00C47C3B" w:rsidRPr="00C47C3B" w:rsidRDefault="00C47C3B" w:rsidP="00C47C3B">
      <w:pPr>
        <w:keepNext/>
        <w:rPr>
          <w:rFonts w:ascii="Arial Narrow" w:eastAsia="Calibri" w:hAnsi="Arial Narrow" w:cs="Arial"/>
          <w:snapToGrid w:val="0"/>
          <w:sz w:val="16"/>
          <w:szCs w:val="16"/>
          <w:lang w:eastAsia="zh-CN"/>
        </w:rPr>
      </w:pPr>
      <w:r w:rsidRPr="00C47C3B">
        <w:rPr>
          <w:rFonts w:ascii="Arial Narrow" w:eastAsia="Calibri" w:hAnsi="Arial Narrow" w:cs="Arial"/>
          <w:snapToGrid w:val="0"/>
          <w:sz w:val="16"/>
          <w:szCs w:val="16"/>
          <w:lang w:eastAsia="zh-CN"/>
        </w:rPr>
        <w:t>Source: Table B.7-11 and B.7-12, page 129 and 131 July 2017 resubmission.</w:t>
      </w:r>
    </w:p>
    <w:p w:rsidR="00C47C3B" w:rsidRPr="00C47C3B" w:rsidRDefault="00C47C3B" w:rsidP="00C47C3B">
      <w:pPr>
        <w:keepNext/>
        <w:rPr>
          <w:rFonts w:ascii="Arial Narrow" w:eastAsia="Calibri" w:hAnsi="Arial Narrow" w:cs="Arial"/>
          <w:snapToGrid w:val="0"/>
          <w:sz w:val="16"/>
          <w:szCs w:val="16"/>
          <w:lang w:eastAsia="zh-CN"/>
        </w:rPr>
      </w:pPr>
      <w:r w:rsidRPr="00C47C3B">
        <w:rPr>
          <w:rFonts w:ascii="Arial Narrow" w:eastAsia="Calibri" w:hAnsi="Arial Narrow" w:cs="Arial"/>
          <w:snapToGrid w:val="0"/>
          <w:sz w:val="16"/>
          <w:szCs w:val="16"/>
          <w:lang w:eastAsia="zh-CN"/>
        </w:rPr>
        <w:t>Abbreviations: CFQ-R = Cystic Fibrosis Questionnaire-Revised; CI = confidence interval.</w:t>
      </w:r>
    </w:p>
    <w:p w:rsidR="00C47C3B" w:rsidRPr="00C47C3B" w:rsidRDefault="00C47C3B" w:rsidP="00C47C3B">
      <w:pPr>
        <w:keepNext/>
        <w:rPr>
          <w:rFonts w:ascii="Arial Narrow" w:eastAsia="Calibri" w:hAnsi="Arial Narrow" w:cs="Arial"/>
          <w:snapToGrid w:val="0"/>
          <w:sz w:val="16"/>
          <w:szCs w:val="16"/>
          <w:lang w:eastAsia="zh-CN"/>
        </w:rPr>
      </w:pPr>
      <w:r w:rsidRPr="00C47C3B">
        <w:rPr>
          <w:rFonts w:ascii="Arial Narrow" w:eastAsia="Calibri" w:hAnsi="Arial Narrow" w:cs="Arial"/>
          <w:snapToGrid w:val="0"/>
          <w:sz w:val="16"/>
          <w:szCs w:val="16"/>
          <w:lang w:eastAsia="zh-CN"/>
        </w:rPr>
        <w:t xml:space="preserve">†For the placebo and </w:t>
      </w:r>
      <w:proofErr w:type="spellStart"/>
      <w:r w:rsidRPr="00C47C3B">
        <w:rPr>
          <w:rFonts w:ascii="Arial Narrow" w:eastAsia="Calibri" w:hAnsi="Arial Narrow" w:cs="Arial"/>
          <w:snapToGrid w:val="0"/>
          <w:sz w:val="16"/>
          <w:szCs w:val="16"/>
          <w:lang w:eastAsia="zh-CN"/>
        </w:rPr>
        <w:t>lumacaftor</w:t>
      </w:r>
      <w:proofErr w:type="spellEnd"/>
      <w:r w:rsidRPr="00C47C3B">
        <w:rPr>
          <w:rFonts w:ascii="Arial Narrow" w:eastAsia="Calibri" w:hAnsi="Arial Narrow" w:cs="Arial"/>
          <w:snapToGrid w:val="0"/>
          <w:sz w:val="16"/>
          <w:szCs w:val="16"/>
          <w:lang w:eastAsia="zh-CN"/>
        </w:rPr>
        <w:t>/</w:t>
      </w:r>
      <w:proofErr w:type="spellStart"/>
      <w:r w:rsidRPr="00C47C3B">
        <w:rPr>
          <w:rFonts w:ascii="Arial Narrow" w:eastAsia="Calibri" w:hAnsi="Arial Narrow" w:cs="Arial"/>
          <w:snapToGrid w:val="0"/>
          <w:sz w:val="16"/>
          <w:szCs w:val="16"/>
          <w:lang w:eastAsia="zh-CN"/>
        </w:rPr>
        <w:t>ivacaftor</w:t>
      </w:r>
      <w:proofErr w:type="spellEnd"/>
      <w:r w:rsidRPr="00C47C3B">
        <w:rPr>
          <w:rFonts w:ascii="Arial Narrow" w:eastAsia="Calibri" w:hAnsi="Arial Narrow" w:cs="Arial"/>
          <w:snapToGrid w:val="0"/>
          <w:sz w:val="16"/>
          <w:szCs w:val="16"/>
          <w:lang w:eastAsia="zh-CN"/>
        </w:rPr>
        <w:t xml:space="preserve"> groups, baseline from TRAFFIC or TRANSPORT was used; for the placebo transitioned to </w:t>
      </w:r>
      <w:proofErr w:type="spellStart"/>
      <w:r w:rsidRPr="00C47C3B">
        <w:rPr>
          <w:rFonts w:ascii="Arial Narrow" w:eastAsia="Calibri" w:hAnsi="Arial Narrow" w:cs="Arial"/>
          <w:snapToGrid w:val="0"/>
          <w:sz w:val="16"/>
          <w:szCs w:val="16"/>
          <w:lang w:eastAsia="zh-CN"/>
        </w:rPr>
        <w:t>lumacaftor</w:t>
      </w:r>
      <w:proofErr w:type="spellEnd"/>
      <w:r w:rsidRPr="00C47C3B">
        <w:rPr>
          <w:rFonts w:ascii="Arial Narrow" w:eastAsia="Calibri" w:hAnsi="Arial Narrow" w:cs="Arial"/>
          <w:snapToGrid w:val="0"/>
          <w:sz w:val="16"/>
          <w:szCs w:val="16"/>
          <w:lang w:eastAsia="zh-CN"/>
        </w:rPr>
        <w:t>/</w:t>
      </w:r>
      <w:proofErr w:type="spellStart"/>
      <w:r w:rsidRPr="00C47C3B">
        <w:rPr>
          <w:rFonts w:ascii="Arial Narrow" w:eastAsia="Calibri" w:hAnsi="Arial Narrow" w:cs="Arial"/>
          <w:snapToGrid w:val="0"/>
          <w:sz w:val="16"/>
          <w:szCs w:val="16"/>
          <w:lang w:eastAsia="zh-CN"/>
        </w:rPr>
        <w:t>ivacaftor</w:t>
      </w:r>
      <w:proofErr w:type="spellEnd"/>
      <w:r w:rsidRPr="00C47C3B">
        <w:rPr>
          <w:rFonts w:ascii="Arial Narrow" w:eastAsia="Calibri" w:hAnsi="Arial Narrow" w:cs="Arial"/>
          <w:snapToGrid w:val="0"/>
          <w:sz w:val="16"/>
          <w:szCs w:val="16"/>
          <w:lang w:eastAsia="zh-CN"/>
        </w:rPr>
        <w:t xml:space="preserve"> group, baseline from PROGRESS was used. All p values (including for TRAFFIC or TRANSPORT data) are within treatment. </w:t>
      </w:r>
    </w:p>
    <w:p w:rsidR="00C47C3B" w:rsidRPr="00C47C3B" w:rsidRDefault="00C47C3B" w:rsidP="00C47C3B">
      <w:pPr>
        <w:keepNext/>
        <w:spacing w:after="120"/>
        <w:rPr>
          <w:rFonts w:ascii="Arial Narrow" w:eastAsia="Calibri" w:hAnsi="Arial Narrow" w:cs="Arial"/>
          <w:snapToGrid w:val="0"/>
          <w:sz w:val="16"/>
          <w:szCs w:val="16"/>
          <w:lang w:eastAsia="zh-CN"/>
        </w:rPr>
      </w:pPr>
      <w:r w:rsidRPr="00C47C3B">
        <w:rPr>
          <w:rFonts w:ascii="Arial Narrow" w:eastAsia="Calibri" w:hAnsi="Arial Narrow" w:cs="Arial"/>
          <w:snapToGrid w:val="0"/>
          <w:sz w:val="16"/>
          <w:szCs w:val="16"/>
          <w:lang w:eastAsia="zh-CN"/>
        </w:rPr>
        <w:t>All p values (including for TRAFFIC or TRANSPO</w:t>
      </w:r>
      <w:r w:rsidR="002D6558">
        <w:rPr>
          <w:rFonts w:ascii="Arial Narrow" w:eastAsia="Calibri" w:hAnsi="Arial Narrow" w:cs="Arial"/>
          <w:snapToGrid w:val="0"/>
          <w:sz w:val="16"/>
          <w:szCs w:val="16"/>
          <w:lang w:eastAsia="zh-CN"/>
        </w:rPr>
        <w:t>RT data) are within treatment.</w:t>
      </w:r>
    </w:p>
    <w:p w:rsidR="00C47C3B" w:rsidRPr="00C47C3B" w:rsidRDefault="00C47C3B" w:rsidP="00C47C3B">
      <w:pPr>
        <w:widowControl w:val="0"/>
        <w:numPr>
          <w:ilvl w:val="1"/>
          <w:numId w:val="5"/>
        </w:numPr>
        <w:spacing w:after="120"/>
        <w:ind w:left="709" w:hanging="708"/>
        <w:jc w:val="both"/>
        <w:rPr>
          <w:rFonts w:asciiTheme="minorHAnsi" w:hAnsiTheme="minorHAnsi" w:cs="Arial"/>
          <w:snapToGrid w:val="0"/>
          <w:szCs w:val="20"/>
          <w:lang w:val="en-US" w:eastAsia="en-US"/>
        </w:rPr>
      </w:pPr>
      <w:r w:rsidRPr="00C47C3B">
        <w:rPr>
          <w:rFonts w:asciiTheme="minorHAnsi" w:hAnsiTheme="minorHAnsi" w:cs="Arial"/>
          <w:snapToGrid w:val="0"/>
          <w:szCs w:val="20"/>
          <w:lang w:val="en-US" w:eastAsia="en-US"/>
        </w:rPr>
        <w:t>The resubmission claimed that the new longer-term efficacy data from PROGRESS demonstrated sustained improvements in key CF treatment outcomes that are associated with prolongation of life. Despite the progressive nature of CF, mean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0"/>
          <w:lang w:val="en-US" w:eastAsia="en-US"/>
        </w:rPr>
        <w:t xml:space="preserve"> remained above the pretreatment baseline after up to 120 weeks of cumulative exposure to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(although this difference was not statistically significant). The resubmission also claimed that the sustained benefits on PE rates and patient-reported respiratory symptoms, together with continued improvement in nutritional status, showed that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provides multisystem benefits that continue to dampen the expected disease trajectory over the longer term, and suggest that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is a disease modifying therapy in CF.</w:t>
      </w:r>
    </w:p>
    <w:p w:rsidR="00C47C3B" w:rsidRPr="00C47C3B" w:rsidRDefault="00C47C3B" w:rsidP="00C47C3B">
      <w:pPr>
        <w:widowControl w:val="0"/>
        <w:numPr>
          <w:ilvl w:val="1"/>
          <w:numId w:val="5"/>
        </w:numPr>
        <w:spacing w:after="120"/>
        <w:ind w:left="709" w:hanging="708"/>
        <w:jc w:val="both"/>
        <w:rPr>
          <w:rFonts w:asciiTheme="minorHAnsi" w:hAnsiTheme="minorHAnsi" w:cs="Arial"/>
          <w:snapToGrid w:val="0"/>
          <w:szCs w:val="20"/>
          <w:lang w:eastAsia="en-US"/>
        </w:rPr>
      </w:pPr>
      <w:r w:rsidRPr="00C47C3B">
        <w:rPr>
          <w:rFonts w:asciiTheme="minorHAnsi" w:hAnsiTheme="minorHAnsi" w:cs="Arial"/>
          <w:snapToGrid w:val="0"/>
          <w:szCs w:val="20"/>
          <w:lang w:val="en-US" w:eastAsia="en-US"/>
        </w:rPr>
        <w:t>To place the rate of decline in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0"/>
          <w:lang w:val="en-US" w:eastAsia="en-US"/>
        </w:rPr>
        <w:t xml:space="preserve"> observed in the PROGRESS study in context, the resubmission presented an analysis that compared the rate of decline with that of a matched control registry. In this analysis, 455 patients treated with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in PROGRESS were matched with 1,588 control patients from the US Cystic Fibrosis Foundation Patient Registry (CFFPR). Matching was performed using a propensity score approach, with matching being based on variables including age, sex, spirometry measures, nutrition and bacteriology. The ESC noted the groups appeared to be fairly well matched but that some key variables, including BMI and use of corticosteroids, were excluded from the propensity score model </w:t>
      </w:r>
      <w:r w:rsidRPr="00C47C3B">
        <w:rPr>
          <w:rFonts w:asciiTheme="minorHAnsi" w:hAnsiTheme="minorHAnsi" w:cs="Arial"/>
          <w:snapToGrid w:val="0"/>
          <w:szCs w:val="20"/>
          <w:lang w:eastAsia="en-US"/>
        </w:rPr>
        <w:t xml:space="preserve">and it was </w:t>
      </w:r>
      <w:r w:rsidRPr="00C47C3B">
        <w:rPr>
          <w:rFonts w:asciiTheme="minorHAnsi" w:hAnsiTheme="minorHAnsi" w:cs="Arial"/>
          <w:snapToGrid w:val="0"/>
          <w:szCs w:val="20"/>
          <w:lang w:eastAsia="en-US"/>
        </w:rPr>
        <w:lastRenderedPageBreak/>
        <w:t>therefore difficult to assess whether these variables were balanced between the treatment arms after matching. The ESC also noted the methodology was a single point-in-time rebalancing at baseline which did not adjust for the imbalance that is reintroduced subsequent to baseline. Accordingly, if there were any post-baseline differences in variables that were not due to the treatment, or if there were differences in data collection between the patients in PROGRESS and the CFFPR cohort, these may have confounded the outcomes.</w:t>
      </w:r>
    </w:p>
    <w:p w:rsidR="00C47C3B" w:rsidRPr="00C47C3B" w:rsidRDefault="00C47C3B" w:rsidP="00C47C3B">
      <w:pPr>
        <w:widowControl w:val="0"/>
        <w:numPr>
          <w:ilvl w:val="1"/>
          <w:numId w:val="5"/>
        </w:numPr>
        <w:spacing w:after="120"/>
        <w:ind w:left="709" w:hanging="708"/>
        <w:jc w:val="both"/>
        <w:rPr>
          <w:rFonts w:asciiTheme="minorHAnsi" w:hAnsiTheme="minorHAnsi" w:cs="Arial"/>
          <w:snapToGrid w:val="0"/>
          <w:szCs w:val="20"/>
          <w:lang w:val="en-US" w:eastAsia="en-US"/>
        </w:rPr>
      </w:pPr>
      <w:r w:rsidRPr="00C47C3B">
        <w:rPr>
          <w:rFonts w:asciiTheme="minorHAnsi" w:hAnsiTheme="minorHAnsi" w:cs="Arial"/>
          <w:snapToGrid w:val="0"/>
          <w:szCs w:val="20"/>
          <w:lang w:val="en-US" w:eastAsia="en-US"/>
        </w:rPr>
        <w:t xml:space="preserve">The estimated </w:t>
      </w:r>
      <w:proofErr w:type="spellStart"/>
      <w:r w:rsidRPr="00C47C3B">
        <w:rPr>
          <w:rFonts w:asciiTheme="minorHAnsi" w:hAnsiTheme="minorHAnsi" w:cs="Arial"/>
          <w:snapToGrid w:val="0"/>
          <w:szCs w:val="20"/>
          <w:lang w:val="en-US" w:eastAsia="en-US"/>
        </w:rPr>
        <w:t>annualised</w:t>
      </w:r>
      <w:proofErr w:type="spellEnd"/>
      <w:r w:rsidRPr="00C47C3B">
        <w:rPr>
          <w:rFonts w:asciiTheme="minorHAnsi" w:hAnsiTheme="minorHAnsi" w:cs="Arial"/>
          <w:snapToGrid w:val="0"/>
          <w:szCs w:val="20"/>
          <w:lang w:val="en-US" w:eastAsia="en-US"/>
        </w:rPr>
        <w:t xml:space="preserve"> rate of lung function decline in this analysis was -1.33 percentage points (95% CI: -1.80, -0.85) in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-treated patients. This rate was less than the rate in the matched CFFPR controls (-2.29 percentage points, 95% CI: -2.56, -2.03; p&lt;0.001) and represented a 42% decrease in the rate of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0"/>
          <w:lang w:val="en-US" w:eastAsia="en-US"/>
        </w:rPr>
        <w:t xml:space="preserve"> decline in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-treated patients compared with the matched controls (or conversely, </w:t>
      </w:r>
      <w:proofErr w:type="spellStart"/>
      <w:r w:rsidRPr="00C47C3B">
        <w:rPr>
          <w:rFonts w:asciiTheme="minorHAnsi" w:hAnsiTheme="minorHAnsi" w:cs="Arial"/>
          <w:snapToGrid w:val="0"/>
          <w:szCs w:val="20"/>
          <w:lang w:eastAsia="en-GB"/>
        </w:rPr>
        <w:t>lumacaftor</w:t>
      </w:r>
      <w:proofErr w:type="spellEnd"/>
      <w:r w:rsidRPr="00C47C3B">
        <w:rPr>
          <w:rFonts w:asciiTheme="minorHAnsi" w:hAnsiTheme="minorHAnsi" w:cs="Arial"/>
          <w:snapToGrid w:val="0"/>
          <w:szCs w:val="20"/>
          <w:lang w:eastAsia="en-GB"/>
        </w:rPr>
        <w:t>/</w:t>
      </w:r>
      <w:proofErr w:type="spellStart"/>
      <w:r w:rsidRPr="00C47C3B">
        <w:rPr>
          <w:rFonts w:asciiTheme="minorHAnsi" w:hAnsiTheme="minorHAnsi" w:cs="Arial"/>
          <w:snapToGrid w:val="0"/>
          <w:szCs w:val="20"/>
          <w:lang w:eastAsia="en-GB"/>
        </w:rPr>
        <w:t>ivacaftor</w:t>
      </w:r>
      <w:proofErr w:type="spellEnd"/>
      <w:r w:rsidRPr="00C47C3B">
        <w:rPr>
          <w:rFonts w:asciiTheme="minorHAnsi" w:hAnsiTheme="minorHAnsi" w:cs="Arial"/>
          <w:snapToGrid w:val="0"/>
          <w:szCs w:val="20"/>
          <w:lang w:eastAsia="en-GB"/>
        </w:rPr>
        <w:t xml:space="preserve"> treated patients experienced a decline in ppFEV</w:t>
      </w:r>
      <w:r w:rsidRPr="00C47C3B">
        <w:rPr>
          <w:rFonts w:asciiTheme="minorHAnsi" w:hAnsiTheme="minorHAnsi" w:cs="Arial"/>
          <w:snapToGrid w:val="0"/>
          <w:szCs w:val="20"/>
          <w:vertAlign w:val="subscript"/>
          <w:lang w:eastAsia="en-GB"/>
        </w:rPr>
        <w:t>1</w:t>
      </w:r>
      <w:r w:rsidRPr="00C47C3B">
        <w:rPr>
          <w:rFonts w:asciiTheme="minorHAnsi" w:hAnsiTheme="minorHAnsi" w:cs="Arial"/>
          <w:snapToGrid w:val="0"/>
          <w:szCs w:val="20"/>
          <w:lang w:eastAsia="en-GB"/>
        </w:rPr>
        <w:t xml:space="preserve"> that was 58% of the decline in the matched registry controls)</w:t>
      </w:r>
      <w:r w:rsidRPr="00C47C3B">
        <w:rPr>
          <w:rFonts w:asciiTheme="minorHAnsi" w:hAnsiTheme="minorHAnsi" w:cs="Arial"/>
          <w:snapToGrid w:val="0"/>
          <w:szCs w:val="20"/>
          <w:lang w:val="en-US" w:eastAsia="en-US"/>
        </w:rPr>
        <w:t>. The relative rates of decline are depicted in Figure 2 below.</w:t>
      </w:r>
    </w:p>
    <w:p w:rsidR="00C47C3B" w:rsidRPr="00C47C3B" w:rsidRDefault="00C47C3B" w:rsidP="00C47C3B">
      <w:pPr>
        <w:spacing w:after="120"/>
        <w:ind w:left="1"/>
        <w:jc w:val="both"/>
        <w:rPr>
          <w:rFonts w:asciiTheme="minorHAnsi" w:hAnsiTheme="minorHAnsi" w:cs="Arial"/>
          <w:snapToGrid w:val="0"/>
          <w:szCs w:val="20"/>
          <w:lang w:val="en-US" w:eastAsia="en-US"/>
        </w:rPr>
      </w:pPr>
    </w:p>
    <w:p w:rsidR="00C47C3B" w:rsidRPr="00C47C3B" w:rsidRDefault="00C47C3B" w:rsidP="00C47C3B">
      <w:pPr>
        <w:keepNext/>
        <w:spacing w:after="60"/>
        <w:jc w:val="both"/>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Figure </w:t>
      </w:r>
      <w:r w:rsidRPr="00C47C3B">
        <w:rPr>
          <w:rFonts w:ascii="Arial Narrow" w:eastAsiaTheme="minorHAnsi" w:hAnsi="Arial Narrow" w:cstheme="minorBidi"/>
          <w:b/>
          <w:noProof/>
          <w:sz w:val="20"/>
          <w:szCs w:val="22"/>
          <w:lang w:eastAsia="en-US"/>
        </w:rPr>
        <w:t>2</w:t>
      </w:r>
      <w:r w:rsidRPr="00C47C3B">
        <w:rPr>
          <w:rFonts w:ascii="Arial Narrow" w:eastAsiaTheme="minorHAnsi" w:hAnsi="Arial Narrow" w:cstheme="minorBidi"/>
          <w:b/>
          <w:sz w:val="20"/>
          <w:szCs w:val="22"/>
          <w:lang w:eastAsia="en-US"/>
        </w:rPr>
        <w:t xml:space="preserve">: Estimated annual rate of ppFEV1 decline with </w:t>
      </w:r>
      <w:proofErr w:type="spellStart"/>
      <w:r w:rsidRPr="00C47C3B">
        <w:rPr>
          <w:rFonts w:ascii="Arial Narrow" w:eastAsiaTheme="minorHAnsi" w:hAnsi="Arial Narrow" w:cstheme="minorBidi"/>
          <w:b/>
          <w:sz w:val="20"/>
          <w:szCs w:val="22"/>
          <w:lang w:eastAsia="en-US"/>
        </w:rPr>
        <w:t>lumacaftor</w:t>
      </w:r>
      <w:proofErr w:type="spellEnd"/>
      <w:r w:rsidRPr="00C47C3B">
        <w:rPr>
          <w:rFonts w:ascii="Arial Narrow" w:eastAsiaTheme="minorHAnsi" w:hAnsi="Arial Narrow" w:cstheme="minorBidi"/>
          <w:b/>
          <w:sz w:val="20"/>
          <w:szCs w:val="22"/>
          <w:lang w:eastAsia="en-US"/>
        </w:rPr>
        <w:t>/</w:t>
      </w:r>
      <w:proofErr w:type="spellStart"/>
      <w:r w:rsidRPr="00C47C3B">
        <w:rPr>
          <w:rFonts w:ascii="Arial Narrow" w:eastAsiaTheme="minorHAnsi" w:hAnsi="Arial Narrow" w:cstheme="minorBidi"/>
          <w:b/>
          <w:sz w:val="20"/>
          <w:szCs w:val="22"/>
          <w:lang w:eastAsia="en-US"/>
        </w:rPr>
        <w:t>ivacaftor</w:t>
      </w:r>
      <w:proofErr w:type="spellEnd"/>
      <w:r w:rsidRPr="00C47C3B">
        <w:rPr>
          <w:rFonts w:ascii="Arial Narrow" w:eastAsiaTheme="minorHAnsi" w:hAnsi="Arial Narrow" w:cstheme="minorBidi"/>
          <w:b/>
          <w:sz w:val="20"/>
          <w:szCs w:val="22"/>
          <w:lang w:eastAsia="en-US"/>
        </w:rPr>
        <w:t xml:space="preserve"> treated patients compared with a matched control group.</w:t>
      </w:r>
    </w:p>
    <w:p w:rsidR="00C47C3B" w:rsidRPr="00C47C3B" w:rsidRDefault="00C47C3B" w:rsidP="00C47C3B">
      <w:pPr>
        <w:spacing w:after="120"/>
        <w:ind w:left="720"/>
        <w:contextualSpacing/>
        <w:jc w:val="both"/>
        <w:rPr>
          <w:rFonts w:ascii="Arial" w:hAnsi="Arial" w:cs="Arial"/>
          <w:snapToGrid w:val="0"/>
          <w:sz w:val="22"/>
          <w:szCs w:val="20"/>
          <w:lang w:val="en-US" w:eastAsia="en-US"/>
        </w:rPr>
      </w:pPr>
      <w:r w:rsidRPr="00C47C3B">
        <w:rPr>
          <w:rFonts w:ascii="Arial" w:hAnsi="Arial" w:cs="Arial"/>
          <w:noProof/>
          <w:snapToGrid w:val="0"/>
          <w:sz w:val="22"/>
          <w:szCs w:val="20"/>
        </w:rPr>
        <w:drawing>
          <wp:inline distT="0" distB="0" distL="0" distR="0" wp14:anchorId="7B2B6147" wp14:editId="4A3FE471">
            <wp:extent cx="3395207" cy="2574223"/>
            <wp:effectExtent l="0" t="0" r="0" b="0"/>
            <wp:docPr id="5" name="Picture 5" title="Estimated annual rate of ppFEV1 decline with lumacaftor/ivacaftor treated patients compared with a matched contro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5935" cy="2589939"/>
                    </a:xfrm>
                    <a:prstGeom prst="rect">
                      <a:avLst/>
                    </a:prstGeom>
                    <a:noFill/>
                    <a:ln>
                      <a:noFill/>
                    </a:ln>
                  </pic:spPr>
                </pic:pic>
              </a:graphicData>
            </a:graphic>
          </wp:inline>
        </w:drawing>
      </w:r>
    </w:p>
    <w:p w:rsidR="00C47C3B" w:rsidRPr="00C47C3B" w:rsidRDefault="00C47C3B" w:rsidP="00C47C3B">
      <w:pPr>
        <w:keepNext/>
        <w:rPr>
          <w:rFonts w:ascii="Arial Narrow" w:hAnsi="Arial Narrow" w:cs="Arial"/>
          <w:snapToGrid w:val="0"/>
          <w:sz w:val="16"/>
          <w:szCs w:val="16"/>
          <w:lang w:val="en-US" w:eastAsia="en-US"/>
        </w:rPr>
      </w:pPr>
      <w:r w:rsidRPr="00C47C3B">
        <w:rPr>
          <w:rFonts w:ascii="Arial Narrow" w:hAnsi="Arial Narrow" w:cs="Arial"/>
          <w:snapToGrid w:val="0"/>
          <w:sz w:val="16"/>
          <w:szCs w:val="16"/>
          <w:lang w:val="en-US" w:eastAsia="en-US"/>
        </w:rPr>
        <w:t>Source: Figure B.7-9 p134 July 2017 resubmission.</w:t>
      </w:r>
    </w:p>
    <w:p w:rsidR="00C47C3B" w:rsidRPr="00C47C3B" w:rsidRDefault="00C47C3B" w:rsidP="00C47C3B">
      <w:pPr>
        <w:keepNext/>
        <w:rPr>
          <w:rFonts w:ascii="Arial Narrow" w:hAnsi="Arial Narrow" w:cs="Arial"/>
          <w:snapToGrid w:val="0"/>
          <w:sz w:val="16"/>
          <w:szCs w:val="16"/>
          <w:lang w:val="en-US" w:eastAsia="en-US"/>
        </w:rPr>
      </w:pPr>
      <w:r w:rsidRPr="00C47C3B">
        <w:rPr>
          <w:rFonts w:ascii="Arial Narrow" w:hAnsi="Arial Narrow" w:cs="Arial"/>
          <w:snapToGrid w:val="0"/>
          <w:sz w:val="16"/>
          <w:szCs w:val="16"/>
          <w:lang w:val="en-US" w:eastAsia="en-US"/>
        </w:rPr>
        <w:t xml:space="preserve">The lines shown are calculated slopes for </w:t>
      </w:r>
      <w:proofErr w:type="spellStart"/>
      <w:r w:rsidRPr="00C47C3B">
        <w:rPr>
          <w:rFonts w:ascii="Arial Narrow" w:hAnsi="Arial Narrow" w:cs="Arial"/>
          <w:snapToGrid w:val="0"/>
          <w:sz w:val="16"/>
          <w:szCs w:val="16"/>
          <w:lang w:val="en-US" w:eastAsia="en-US"/>
        </w:rPr>
        <w:t>annualised</w:t>
      </w:r>
      <w:proofErr w:type="spellEnd"/>
      <w:r w:rsidRPr="00C47C3B">
        <w:rPr>
          <w:rFonts w:ascii="Arial Narrow" w:hAnsi="Arial Narrow" w:cs="Arial"/>
          <w:snapToGrid w:val="0"/>
          <w:sz w:val="16"/>
          <w:szCs w:val="16"/>
          <w:lang w:val="en-US" w:eastAsia="en-US"/>
        </w:rPr>
        <w:t xml:space="preserve"> rates of decline in each group. A significant difference between groups in the rate of lung function decline was observed (p&lt;0.001). Post-baseline data were limited to 2 years; visits occurring at 21 days of treatment initiation baseline or earlier were excluded from the analysis. </w:t>
      </w:r>
    </w:p>
    <w:p w:rsidR="00C47C3B" w:rsidRPr="00C47C3B" w:rsidRDefault="00C47C3B" w:rsidP="00C47C3B">
      <w:pPr>
        <w:keepNext/>
        <w:rPr>
          <w:rFonts w:ascii="Arial Narrow" w:hAnsi="Arial Narrow" w:cs="Arial"/>
          <w:snapToGrid w:val="0"/>
          <w:sz w:val="16"/>
          <w:szCs w:val="16"/>
          <w:lang w:val="en-US" w:eastAsia="en-US"/>
        </w:rPr>
      </w:pPr>
      <w:r w:rsidRPr="00C47C3B">
        <w:rPr>
          <w:rFonts w:ascii="Arial Narrow" w:hAnsi="Arial Narrow" w:cs="Arial"/>
          <w:snapToGrid w:val="0"/>
          <w:sz w:val="16"/>
          <w:szCs w:val="16"/>
          <w:lang w:val="en-US" w:eastAsia="en-US"/>
        </w:rPr>
        <w:t>Bars show standard error.</w:t>
      </w:r>
    </w:p>
    <w:p w:rsidR="00C47C3B" w:rsidRPr="00C47C3B" w:rsidRDefault="00C47C3B" w:rsidP="00C47C3B">
      <w:pPr>
        <w:spacing w:after="120"/>
        <w:rPr>
          <w:rFonts w:ascii="Arial Narrow" w:hAnsi="Arial Narrow" w:cs="Arial"/>
          <w:snapToGrid w:val="0"/>
          <w:sz w:val="16"/>
          <w:szCs w:val="16"/>
          <w:lang w:val="en-US" w:eastAsia="en-US"/>
        </w:rPr>
      </w:pPr>
      <w:r w:rsidRPr="00C47C3B">
        <w:rPr>
          <w:rFonts w:ascii="Arial Narrow" w:hAnsi="Arial Narrow" w:cs="Arial"/>
          <w:snapToGrid w:val="0"/>
          <w:sz w:val="16"/>
          <w:szCs w:val="16"/>
          <w:lang w:val="en-US" w:eastAsia="en-US"/>
        </w:rPr>
        <w:t>Abbreviations: GLI = Global Lungs Initiative; pp</w:t>
      </w:r>
      <w:r w:rsidRPr="00C47C3B">
        <w:rPr>
          <w:rFonts w:ascii="Arial Narrow" w:hAnsi="Arial Narrow" w:cs="Arial"/>
          <w:snapToGrid w:val="0"/>
          <w:sz w:val="16"/>
          <w:lang w:eastAsia="en-US"/>
        </w:rPr>
        <w:t>FEV</w:t>
      </w:r>
      <w:r w:rsidRPr="00C47C3B">
        <w:rPr>
          <w:rFonts w:ascii="Arial Narrow" w:hAnsi="Arial Narrow" w:cs="Arial"/>
          <w:snapToGrid w:val="0"/>
          <w:sz w:val="16"/>
          <w:vertAlign w:val="subscript"/>
          <w:lang w:eastAsia="en-US"/>
        </w:rPr>
        <w:t>1</w:t>
      </w:r>
      <w:r w:rsidRPr="00C47C3B">
        <w:rPr>
          <w:rFonts w:ascii="Arial Narrow" w:hAnsi="Arial Narrow" w:cs="Arial"/>
          <w:snapToGrid w:val="0"/>
          <w:sz w:val="16"/>
          <w:szCs w:val="16"/>
          <w:lang w:val="en-US" w:eastAsia="en-US"/>
        </w:rPr>
        <w:t xml:space="preserve"> = percent predicted forced expiratory volume in 1 second.</w:t>
      </w:r>
    </w:p>
    <w:p w:rsidR="00C47C3B" w:rsidRPr="00C47C3B" w:rsidRDefault="00C47C3B" w:rsidP="00C47C3B">
      <w:pPr>
        <w:widowControl w:val="0"/>
        <w:numPr>
          <w:ilvl w:val="1"/>
          <w:numId w:val="5"/>
        </w:numPr>
        <w:spacing w:before="120" w:after="120"/>
        <w:ind w:left="720" w:hanging="720"/>
        <w:jc w:val="both"/>
        <w:rPr>
          <w:rFonts w:ascii="Arial" w:hAnsi="Arial" w:cs="Arial"/>
          <w:snapToGrid w:val="0"/>
          <w:sz w:val="22"/>
          <w:szCs w:val="20"/>
          <w:lang w:val="en-US" w:eastAsia="en-US"/>
        </w:rPr>
      </w:pPr>
      <w:bookmarkStart w:id="53" w:name="_Toc413139279"/>
      <w:bookmarkStart w:id="54" w:name="_Toc476306889"/>
      <w:r w:rsidRPr="00C47C3B">
        <w:rPr>
          <w:rFonts w:asciiTheme="minorHAnsi" w:hAnsiTheme="minorHAnsi" w:cs="Arial"/>
          <w:snapToGrid w:val="0"/>
          <w:szCs w:val="20"/>
          <w:lang w:val="en-US" w:eastAsia="en-US"/>
        </w:rPr>
        <w:t xml:space="preserve">A rate of change analysis was also performed for secondary outcomes where data from the PROGRESS study were compared with the CFFPR cohort. These data indicated a positive rate of change in the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group for weight for age and BMI-z score (with the matched cohort declining over time) and a greater rate of change in the treatment group for BMI (kg/m</w:t>
      </w:r>
      <w:r w:rsidRPr="00C47C3B">
        <w:rPr>
          <w:rFonts w:asciiTheme="minorHAnsi" w:hAnsiTheme="minorHAnsi" w:cs="Arial"/>
          <w:snapToGrid w:val="0"/>
          <w:szCs w:val="20"/>
          <w:vertAlign w:val="superscript"/>
          <w:lang w:val="en-US" w:eastAsia="en-US"/>
        </w:rPr>
        <w:t>2</w:t>
      </w:r>
      <w:r w:rsidRPr="00C47C3B">
        <w:rPr>
          <w:rFonts w:asciiTheme="minorHAnsi" w:hAnsiTheme="minorHAnsi" w:cs="Arial"/>
          <w:snapToGrid w:val="0"/>
          <w:szCs w:val="20"/>
          <w:lang w:val="en-US" w:eastAsia="en-US"/>
        </w:rPr>
        <w:t>) versus the matched cohort.</w:t>
      </w:r>
    </w:p>
    <w:p w:rsidR="00C47C3B" w:rsidRPr="00C47C3B" w:rsidRDefault="00C47C3B" w:rsidP="00C47C3B">
      <w:pPr>
        <w:widowControl w:val="0"/>
        <w:numPr>
          <w:ilvl w:val="1"/>
          <w:numId w:val="5"/>
        </w:numPr>
        <w:spacing w:after="120"/>
        <w:ind w:left="709" w:hanging="708"/>
        <w:jc w:val="both"/>
        <w:rPr>
          <w:rFonts w:asciiTheme="minorHAnsi" w:hAnsiTheme="minorHAnsi" w:cs="Arial"/>
          <w:snapToGrid w:val="0"/>
          <w:szCs w:val="20"/>
          <w:lang w:val="en-US" w:eastAsia="en-US"/>
        </w:rPr>
      </w:pPr>
      <w:r w:rsidRPr="00C47C3B">
        <w:rPr>
          <w:rFonts w:asciiTheme="minorHAnsi" w:hAnsiTheme="minorHAnsi" w:cs="Arial"/>
          <w:snapToGrid w:val="0"/>
          <w:szCs w:val="20"/>
          <w:lang w:val="en-US" w:eastAsia="en-US"/>
        </w:rPr>
        <w:t xml:space="preserve">The PBAC agreed with the ESC that patients appeared to be fairly well matched in terms of the variables used for the propensity scoring approach. However, the PBAC </w:t>
      </w:r>
      <w:r w:rsidRPr="00C47C3B">
        <w:rPr>
          <w:rFonts w:asciiTheme="minorHAnsi" w:hAnsiTheme="minorHAnsi" w:cs="Arial"/>
          <w:snapToGrid w:val="0"/>
          <w:szCs w:val="20"/>
          <w:lang w:val="en-US" w:eastAsia="en-US"/>
        </w:rPr>
        <w:lastRenderedPageBreak/>
        <w:t>considered that the historical control patients from the CFFPR were nevertheless unlikely to be representative of the patients in TRAFFIC/TRANSPORT, and hence PROGRESS, and the comparison of the reduction in the rate of decline in FEV</w:t>
      </w:r>
      <w:r w:rsidRPr="00C47C3B">
        <w:rPr>
          <w:rFonts w:asciiTheme="minorHAnsi" w:hAnsiTheme="minorHAnsi" w:cs="Arial"/>
          <w:snapToGrid w:val="0"/>
          <w:szCs w:val="20"/>
          <w:vertAlign w:val="subscript"/>
          <w:lang w:val="en-US" w:eastAsia="en-US"/>
        </w:rPr>
        <w:t>1</w:t>
      </w:r>
      <w:r w:rsidRPr="00C47C3B">
        <w:rPr>
          <w:rFonts w:asciiTheme="minorHAnsi" w:hAnsiTheme="minorHAnsi" w:cs="Arial"/>
          <w:snapToGrid w:val="0"/>
          <w:szCs w:val="20"/>
          <w:lang w:val="en-US" w:eastAsia="en-US"/>
        </w:rPr>
        <w:t xml:space="preserve"> in PROGRESS versus the CFFPR was likely to be biased in </w:t>
      </w:r>
      <w:r w:rsidRPr="00C47C3B">
        <w:rPr>
          <w:rFonts w:asciiTheme="minorHAnsi" w:hAnsiTheme="minorHAnsi" w:cs="Arial"/>
          <w:snapToGrid w:val="0"/>
          <w:szCs w:val="20"/>
          <w:lang w:eastAsia="en-US"/>
        </w:rPr>
        <w:t>favour</w:t>
      </w:r>
      <w:r w:rsidRPr="00C47C3B">
        <w:rPr>
          <w:rFonts w:asciiTheme="minorHAnsi" w:hAnsiTheme="minorHAnsi" w:cs="Arial"/>
          <w:snapToGrid w:val="0"/>
          <w:szCs w:val="20"/>
          <w:lang w:val="en-US" w:eastAsia="en-US"/>
        </w:rPr>
        <w:t xml:space="preserve"> of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More specifically:</w:t>
      </w:r>
    </w:p>
    <w:p w:rsidR="00C47C3B" w:rsidRPr="00C47C3B" w:rsidRDefault="00C47C3B" w:rsidP="00C47C3B">
      <w:pPr>
        <w:widowControl w:val="0"/>
        <w:numPr>
          <w:ilvl w:val="2"/>
          <w:numId w:val="5"/>
        </w:numPr>
        <w:spacing w:after="120"/>
        <w:ind w:left="993" w:hanging="284"/>
        <w:jc w:val="both"/>
        <w:rPr>
          <w:rFonts w:asciiTheme="minorHAnsi" w:hAnsiTheme="minorHAnsi" w:cs="Arial"/>
          <w:snapToGrid w:val="0"/>
          <w:szCs w:val="20"/>
          <w:lang w:val="en-US" w:eastAsia="en-US"/>
        </w:rPr>
      </w:pPr>
      <w:r w:rsidRPr="00C47C3B">
        <w:rPr>
          <w:rFonts w:asciiTheme="minorHAnsi" w:hAnsiTheme="minorHAnsi" w:cs="Arial"/>
          <w:snapToGrid w:val="0"/>
          <w:szCs w:val="20"/>
          <w:lang w:val="en-US" w:eastAsia="en-US"/>
        </w:rPr>
        <w:t>The historical controls were drawn from the CFFPR which included only patients from the US, while the patients in PROGRESS were from the CF clinics across North America, Europe and Australia that participated in TRAFFIC/TRANSPORT. The PBAC noted a recent cohort study (Stephenson et al, 2017</w:t>
      </w:r>
      <w:r w:rsidRPr="00C47C3B">
        <w:rPr>
          <w:rFonts w:ascii="Arial" w:hAnsi="Arial" w:cs="Arial"/>
          <w:snapToGrid w:val="0"/>
          <w:sz w:val="22"/>
          <w:szCs w:val="20"/>
          <w:vertAlign w:val="superscript"/>
          <w:lang w:eastAsia="en-US"/>
        </w:rPr>
        <w:footnoteReference w:id="8"/>
      </w:r>
      <w:r w:rsidRPr="00C47C3B">
        <w:rPr>
          <w:rFonts w:asciiTheme="minorHAnsi" w:hAnsiTheme="minorHAnsi" w:cs="Arial"/>
          <w:snapToGrid w:val="0"/>
          <w:szCs w:val="20"/>
          <w:lang w:val="en-US" w:eastAsia="en-US"/>
        </w:rPr>
        <w:t>) that found a 10 year difference in the median age of survival for CF patients in the US CFFPR (40.6 years) compared to the Canadian Cystic Fibrosis Registry (50.9 years). The study found that this difference persisted after adjustment for risk factors associated with survival, with the exception of private insurance status among US patients, and concluded that the Canadian survival advantage may in part be explained by differential access to transplantation, increased post</w:t>
      </w:r>
      <w:r w:rsidRPr="00C47C3B">
        <w:rPr>
          <w:rFonts w:asciiTheme="minorHAnsi" w:hAnsiTheme="minorHAnsi" w:cs="Arial"/>
          <w:snapToGrid w:val="0"/>
          <w:szCs w:val="20"/>
          <w:lang w:val="en-US" w:eastAsia="en-US"/>
        </w:rPr>
        <w:noBreakHyphen/>
        <w:t>transplant survival, and differences in health care systems. The clinician at the sponsor hearing also noted that patients in the US tend to perform worse on average than patients in other countries, such as the UK (see paragraph 6.1). Accordingly, the PBAC considered that the higher rate of decline in FEV</w:t>
      </w:r>
      <w:r w:rsidRPr="00C47C3B">
        <w:rPr>
          <w:rFonts w:asciiTheme="minorHAnsi" w:hAnsiTheme="minorHAnsi" w:cs="Arial"/>
          <w:snapToGrid w:val="0"/>
          <w:szCs w:val="20"/>
          <w:vertAlign w:val="subscript"/>
          <w:lang w:val="en-US" w:eastAsia="en-US"/>
        </w:rPr>
        <w:t>1</w:t>
      </w:r>
      <w:r w:rsidRPr="00C47C3B">
        <w:rPr>
          <w:rFonts w:asciiTheme="minorHAnsi" w:hAnsiTheme="minorHAnsi" w:cs="Arial"/>
          <w:snapToGrid w:val="0"/>
          <w:szCs w:val="20"/>
          <w:lang w:val="en-US" w:eastAsia="en-US"/>
        </w:rPr>
        <w:t xml:space="preserve"> in the US CFFPR may have been at least partly due to it consisting entirely of historical US patients, compared with PROGRESS which included patients from other countries, and in which patients might be expected to have benefited from optimization of other aspects of care. Further increasing uncertainty about the benefit of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was the closure of US clinical trial sites (see paragraph 6.7) which presumably resulted in further depletion of the PROGRESS patient population with US patients over time.</w:t>
      </w:r>
    </w:p>
    <w:p w:rsidR="00C47C3B" w:rsidRPr="00C47C3B" w:rsidRDefault="00C47C3B" w:rsidP="00C47C3B">
      <w:pPr>
        <w:widowControl w:val="0"/>
        <w:numPr>
          <w:ilvl w:val="2"/>
          <w:numId w:val="5"/>
        </w:numPr>
        <w:spacing w:after="120"/>
        <w:ind w:left="993" w:hanging="284"/>
        <w:jc w:val="both"/>
        <w:rPr>
          <w:rFonts w:asciiTheme="minorHAnsi" w:hAnsiTheme="minorHAnsi" w:cs="Arial"/>
          <w:snapToGrid w:val="0"/>
          <w:szCs w:val="20"/>
          <w:lang w:val="en-US" w:eastAsia="en-US"/>
        </w:rPr>
      </w:pPr>
      <w:r w:rsidRPr="00C47C3B">
        <w:rPr>
          <w:rFonts w:asciiTheme="minorHAnsi" w:hAnsiTheme="minorHAnsi" w:cs="Arial"/>
          <w:snapToGrid w:val="0"/>
          <w:szCs w:val="20"/>
          <w:lang w:val="en-US" w:eastAsia="en-US"/>
        </w:rPr>
        <w:t xml:space="preserve">The PBAC considered that due to the requirements of the trial protocols (e.g. inclusion/exclusion criteria, monitoring and support provided), and the </w:t>
      </w:r>
      <w:r w:rsidRPr="00C47C3B">
        <w:rPr>
          <w:rFonts w:asciiTheme="minorHAnsi" w:hAnsiTheme="minorHAnsi" w:cs="Arial"/>
          <w:snapToGrid w:val="0"/>
          <w:szCs w:val="20"/>
          <w:lang w:eastAsia="en-US"/>
        </w:rPr>
        <w:t>specialised</w:t>
      </w:r>
      <w:r w:rsidRPr="00C47C3B">
        <w:rPr>
          <w:rFonts w:asciiTheme="minorHAnsi" w:hAnsiTheme="minorHAnsi" w:cs="Arial"/>
          <w:snapToGrid w:val="0"/>
          <w:szCs w:val="20"/>
          <w:lang w:val="en-US" w:eastAsia="en-US"/>
        </w:rPr>
        <w:t xml:space="preserve"> </w:t>
      </w:r>
      <w:proofErr w:type="spellStart"/>
      <w:r w:rsidRPr="00C47C3B">
        <w:rPr>
          <w:rFonts w:asciiTheme="minorHAnsi" w:hAnsiTheme="minorHAnsi" w:cs="Arial"/>
          <w:snapToGrid w:val="0"/>
          <w:szCs w:val="20"/>
          <w:lang w:val="en-US" w:eastAsia="en-US"/>
        </w:rPr>
        <w:t>centres</w:t>
      </w:r>
      <w:proofErr w:type="spellEnd"/>
      <w:r w:rsidRPr="00C47C3B">
        <w:rPr>
          <w:rFonts w:asciiTheme="minorHAnsi" w:hAnsiTheme="minorHAnsi" w:cs="Arial"/>
          <w:snapToGrid w:val="0"/>
          <w:szCs w:val="20"/>
          <w:lang w:val="en-US" w:eastAsia="en-US"/>
        </w:rPr>
        <w:t xml:space="preserve"> involved, that the patients enrolled in the trials were likely to have a better prognosis on average than the CFFPR control patients. The PBAC noted that the reduction in FEV</w:t>
      </w:r>
      <w:r w:rsidRPr="00C47C3B">
        <w:rPr>
          <w:rFonts w:asciiTheme="minorHAnsi" w:hAnsiTheme="minorHAnsi" w:cs="Arial"/>
          <w:snapToGrid w:val="0"/>
          <w:szCs w:val="20"/>
          <w:vertAlign w:val="subscript"/>
          <w:lang w:val="en-US" w:eastAsia="en-US"/>
        </w:rPr>
        <w:t>1</w:t>
      </w:r>
      <w:r w:rsidRPr="00C47C3B">
        <w:rPr>
          <w:rFonts w:asciiTheme="minorHAnsi" w:hAnsiTheme="minorHAnsi" w:cs="Arial"/>
          <w:snapToGrid w:val="0"/>
          <w:szCs w:val="20"/>
          <w:lang w:val="en-US" w:eastAsia="en-US"/>
        </w:rPr>
        <w:t xml:space="preserve"> over 24 weeks for patients treated with placebo in the TRAFFIC/TRANSPORT trials was 0.4 percentage points and that this was much lower than the reduction observed in the CFFPR control patients over 1 and 2 years (2.29 percentage points). The PBAC considered that this difference suggested that the prognosis of patients in the trials differed substantially from CFFPR controls. Further, the PBAC noted that the reduction in FEV</w:t>
      </w:r>
      <w:r w:rsidRPr="00C47C3B">
        <w:rPr>
          <w:rFonts w:asciiTheme="minorHAnsi" w:hAnsiTheme="minorHAnsi" w:cs="Arial"/>
          <w:snapToGrid w:val="0"/>
          <w:szCs w:val="20"/>
          <w:vertAlign w:val="subscript"/>
          <w:lang w:val="en-US" w:eastAsia="en-US"/>
        </w:rPr>
        <w:t>1</w:t>
      </w:r>
      <w:r w:rsidRPr="00C47C3B">
        <w:rPr>
          <w:rFonts w:asciiTheme="minorHAnsi" w:hAnsiTheme="minorHAnsi" w:cs="Arial"/>
          <w:snapToGrid w:val="0"/>
          <w:szCs w:val="20"/>
          <w:lang w:val="en-US" w:eastAsia="en-US"/>
        </w:rPr>
        <w:t xml:space="preserve"> in the placebo arm in a trial for </w:t>
      </w:r>
      <w:proofErr w:type="spellStart"/>
      <w:r w:rsidRPr="00C47C3B">
        <w:rPr>
          <w:rFonts w:asciiTheme="minorHAnsi" w:hAnsiTheme="minorHAnsi" w:cs="Arial"/>
          <w:snapToGrid w:val="0"/>
          <w:szCs w:val="20"/>
          <w:lang w:val="en-US" w:eastAsia="en-US"/>
        </w:rPr>
        <w:t>tezacaftor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in a similar patient population as TRAFFIC/TRANSPORT was 0.6 percentage points over 24 weeks (EVOLVE study</w:t>
      </w:r>
      <w:r w:rsidRPr="00C47C3B">
        <w:rPr>
          <w:rFonts w:asciiTheme="minorHAnsi" w:hAnsiTheme="minorHAnsi" w:cs="Arial"/>
          <w:snapToGrid w:val="0"/>
          <w:szCs w:val="20"/>
          <w:vertAlign w:val="superscript"/>
          <w:lang w:val="en-US" w:eastAsia="en-US"/>
        </w:rPr>
        <w:footnoteReference w:id="9"/>
      </w:r>
      <w:r w:rsidRPr="00C47C3B">
        <w:rPr>
          <w:rFonts w:asciiTheme="minorHAnsi" w:hAnsiTheme="minorHAnsi" w:cs="Arial"/>
          <w:snapToGrid w:val="0"/>
          <w:szCs w:val="20"/>
          <w:lang w:val="en-US" w:eastAsia="en-US"/>
        </w:rPr>
        <w:t xml:space="preserve">). </w:t>
      </w:r>
      <w:r w:rsidRPr="00C47C3B">
        <w:rPr>
          <w:rFonts w:asciiTheme="minorHAnsi" w:hAnsiTheme="minorHAnsi" w:cs="Arial"/>
          <w:snapToGrid w:val="0"/>
          <w:szCs w:val="20"/>
          <w:lang w:val="en-US" w:eastAsia="en-US"/>
        </w:rPr>
        <w:lastRenderedPageBreak/>
        <w:t>Thus the PBAC considered that it was not valid to compare the 2.29 percentage point reduction in FEV</w:t>
      </w:r>
      <w:r w:rsidRPr="00C47C3B">
        <w:rPr>
          <w:rFonts w:asciiTheme="minorHAnsi" w:hAnsiTheme="minorHAnsi" w:cs="Arial"/>
          <w:snapToGrid w:val="0"/>
          <w:szCs w:val="20"/>
          <w:vertAlign w:val="subscript"/>
          <w:lang w:val="en-US" w:eastAsia="en-US"/>
        </w:rPr>
        <w:t>1</w:t>
      </w:r>
      <w:r w:rsidRPr="00C47C3B">
        <w:rPr>
          <w:rFonts w:asciiTheme="minorHAnsi" w:hAnsiTheme="minorHAnsi" w:cs="Arial"/>
          <w:snapToGrid w:val="0"/>
          <w:szCs w:val="20"/>
          <w:lang w:val="en-US" w:eastAsia="en-US"/>
        </w:rPr>
        <w:t xml:space="preserve"> in historical controls from CFFPR with that observed among treated patients in PROGRESS.</w:t>
      </w:r>
    </w:p>
    <w:p w:rsidR="00C47C3B" w:rsidRPr="00C47C3B" w:rsidRDefault="00C47C3B" w:rsidP="00C47C3B">
      <w:pPr>
        <w:spacing w:before="120" w:after="120"/>
        <w:ind w:left="720"/>
        <w:jc w:val="both"/>
        <w:rPr>
          <w:rFonts w:asciiTheme="minorHAnsi" w:hAnsiTheme="minorHAnsi" w:cs="Arial"/>
          <w:snapToGrid w:val="0"/>
          <w:szCs w:val="20"/>
          <w:lang w:val="en-US" w:eastAsia="en-US"/>
        </w:rPr>
      </w:pPr>
      <w:r w:rsidRPr="00C47C3B">
        <w:rPr>
          <w:rFonts w:asciiTheme="minorHAnsi" w:hAnsiTheme="minorHAnsi" w:cs="Arial"/>
          <w:snapToGrid w:val="0"/>
          <w:szCs w:val="20"/>
          <w:lang w:val="en-US" w:eastAsia="en-US"/>
        </w:rPr>
        <w:t>Overall, the PBAC considered that the matched analysis did not adequately support the claim of a reduction in the rate of decline in FEV</w:t>
      </w:r>
      <w:r w:rsidRPr="00C47C3B">
        <w:rPr>
          <w:rFonts w:asciiTheme="minorHAnsi" w:hAnsiTheme="minorHAnsi" w:cs="Arial"/>
          <w:snapToGrid w:val="0"/>
          <w:szCs w:val="20"/>
          <w:vertAlign w:val="subscript"/>
          <w:lang w:val="en-US" w:eastAsia="en-US"/>
        </w:rPr>
        <w:t>1</w:t>
      </w:r>
      <w:r w:rsidRPr="00C47C3B">
        <w:rPr>
          <w:rFonts w:asciiTheme="minorHAnsi" w:hAnsiTheme="minorHAnsi" w:cs="Arial"/>
          <w:snapToGrid w:val="0"/>
          <w:szCs w:val="20"/>
          <w:lang w:val="en-US" w:eastAsia="en-US"/>
        </w:rPr>
        <w:t xml:space="preserve"> with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compared with BSC.</w:t>
      </w:r>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bookmarkStart w:id="55" w:name="_Toc482713676"/>
      <w:r w:rsidRPr="00C47C3B">
        <w:rPr>
          <w:rFonts w:asciiTheme="minorHAnsi" w:hAnsiTheme="minorHAnsi" w:cs="Arial"/>
          <w:b/>
          <w:i/>
          <w:snapToGrid w:val="0"/>
          <w:sz w:val="28"/>
          <w:szCs w:val="28"/>
          <w:lang w:eastAsia="en-US"/>
        </w:rPr>
        <w:t>Comparative harms</w:t>
      </w:r>
      <w:bookmarkEnd w:id="53"/>
      <w:bookmarkEnd w:id="54"/>
      <w:bookmarkEnd w:id="55"/>
    </w:p>
    <w:p w:rsidR="00C47C3B" w:rsidRPr="001A7B1E" w:rsidRDefault="00C47C3B" w:rsidP="00C47C3B">
      <w:pPr>
        <w:widowControl w:val="0"/>
        <w:numPr>
          <w:ilvl w:val="1"/>
          <w:numId w:val="5"/>
        </w:numPr>
        <w:spacing w:after="120"/>
        <w:ind w:left="720" w:hanging="720"/>
        <w:jc w:val="both"/>
        <w:rPr>
          <w:rFonts w:asciiTheme="minorHAnsi" w:hAnsiTheme="minorHAnsi" w:cs="Arial"/>
          <w:snapToGrid w:val="0"/>
          <w:szCs w:val="20"/>
          <w:lang w:eastAsia="en-US"/>
        </w:rPr>
      </w:pPr>
      <w:bookmarkStart w:id="56" w:name="_Toc476306890"/>
      <w:bookmarkStart w:id="57" w:name="_Toc413139281"/>
      <w:r w:rsidRPr="00C47C3B">
        <w:rPr>
          <w:rFonts w:asciiTheme="minorHAnsi" w:hAnsiTheme="minorHAnsi" w:cs="Arial"/>
          <w:snapToGrid w:val="0"/>
          <w:szCs w:val="20"/>
          <w:lang w:eastAsia="en-US"/>
        </w:rPr>
        <w:t xml:space="preserve">A summary of the adverse events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versus placebo is presented in Table 8 below. </w:t>
      </w: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Table </w:t>
      </w:r>
      <w:r w:rsidRPr="00C47C3B">
        <w:rPr>
          <w:rFonts w:ascii="Arial Narrow" w:eastAsiaTheme="minorHAnsi" w:hAnsi="Arial Narrow" w:cstheme="minorBidi"/>
          <w:b/>
          <w:noProof/>
          <w:sz w:val="20"/>
          <w:szCs w:val="22"/>
          <w:lang w:eastAsia="en-US"/>
        </w:rPr>
        <w:t>8</w:t>
      </w:r>
      <w:r w:rsidRPr="00C47C3B">
        <w:rPr>
          <w:rFonts w:ascii="Arial Narrow" w:eastAsiaTheme="minorHAnsi" w:hAnsi="Arial Narrow" w:cstheme="minorBidi"/>
          <w:b/>
          <w:sz w:val="20"/>
          <w:szCs w:val="22"/>
          <w:lang w:eastAsia="en-US"/>
        </w:rPr>
        <w:t>: Summary of adverse events in TRAFFIC and TRANSPORT</w:t>
      </w:r>
    </w:p>
    <w:tbl>
      <w:tblPr>
        <w:tblW w:w="5000" w:type="pct"/>
        <w:tblLayout w:type="fixed"/>
        <w:tblCellMar>
          <w:left w:w="58" w:type="dxa"/>
          <w:right w:w="43" w:type="dxa"/>
        </w:tblCellMar>
        <w:tblLook w:val="04A0" w:firstRow="1" w:lastRow="0" w:firstColumn="1" w:lastColumn="0" w:noHBand="0" w:noVBand="1"/>
      </w:tblPr>
      <w:tblGrid>
        <w:gridCol w:w="2206"/>
        <w:gridCol w:w="1153"/>
        <w:gridCol w:w="1154"/>
        <w:gridCol w:w="1154"/>
        <w:gridCol w:w="1154"/>
        <w:gridCol w:w="1154"/>
        <w:gridCol w:w="1152"/>
      </w:tblGrid>
      <w:tr w:rsidR="00C47C3B" w:rsidRPr="00C47C3B" w:rsidTr="009F446F">
        <w:trPr>
          <w:trHeight w:val="300"/>
          <w:tblHeader/>
        </w:trPr>
        <w:tc>
          <w:tcPr>
            <w:tcW w:w="12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C3B" w:rsidRPr="00C47C3B" w:rsidRDefault="00C47C3B" w:rsidP="00C47C3B">
            <w:pPr>
              <w:keepNext/>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AE Category</w:t>
            </w:r>
          </w:p>
        </w:tc>
        <w:tc>
          <w:tcPr>
            <w:tcW w:w="1264" w:type="pct"/>
            <w:gridSpan w:val="2"/>
            <w:tcBorders>
              <w:top w:val="single" w:sz="4" w:space="0" w:color="auto"/>
              <w:left w:val="nil"/>
              <w:bottom w:val="single" w:sz="4" w:space="0" w:color="auto"/>
              <w:right w:val="single" w:sz="4" w:space="0" w:color="auto"/>
            </w:tcBorders>
            <w:shd w:val="clear" w:color="auto" w:fill="auto"/>
            <w:noWrap/>
            <w:vAlign w:val="center"/>
            <w:hideMark/>
          </w:tcPr>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TRAFFIC</w:t>
            </w:r>
          </w:p>
        </w:tc>
        <w:tc>
          <w:tcPr>
            <w:tcW w:w="1264" w:type="pct"/>
            <w:gridSpan w:val="2"/>
            <w:tcBorders>
              <w:top w:val="single" w:sz="4" w:space="0" w:color="auto"/>
              <w:left w:val="nil"/>
              <w:bottom w:val="single" w:sz="4" w:space="0" w:color="auto"/>
              <w:right w:val="single" w:sz="4" w:space="0" w:color="auto"/>
            </w:tcBorders>
            <w:shd w:val="clear" w:color="auto" w:fill="auto"/>
            <w:noWrap/>
            <w:vAlign w:val="center"/>
            <w:hideMark/>
          </w:tcPr>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TRANSPORT</w:t>
            </w:r>
          </w:p>
        </w:tc>
        <w:tc>
          <w:tcPr>
            <w:tcW w:w="1263" w:type="pct"/>
            <w:gridSpan w:val="2"/>
            <w:tcBorders>
              <w:top w:val="single" w:sz="4" w:space="0" w:color="auto"/>
              <w:left w:val="nil"/>
              <w:bottom w:val="single" w:sz="4" w:space="0" w:color="auto"/>
              <w:right w:val="single" w:sz="4" w:space="0" w:color="auto"/>
            </w:tcBorders>
            <w:shd w:val="clear" w:color="auto" w:fill="auto"/>
            <w:vAlign w:val="center"/>
          </w:tcPr>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Pooled</w:t>
            </w:r>
          </w:p>
        </w:tc>
      </w:tr>
      <w:tr w:rsidR="00C47C3B" w:rsidRPr="00C47C3B" w:rsidTr="009F446F">
        <w:trPr>
          <w:trHeight w:val="699"/>
          <w:tblHeader/>
        </w:trPr>
        <w:tc>
          <w:tcPr>
            <w:tcW w:w="1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47C3B" w:rsidRPr="00C47C3B" w:rsidRDefault="00C47C3B" w:rsidP="00C47C3B">
            <w:pPr>
              <w:keepNext/>
              <w:jc w:val="both"/>
              <w:rPr>
                <w:rFonts w:ascii="Arial Narrow" w:hAnsi="Arial Narrow" w:cs="Calibri"/>
                <w:b/>
                <w:bCs/>
                <w:snapToGrid w:val="0"/>
                <w:color w:val="000000"/>
                <w:sz w:val="20"/>
                <w:szCs w:val="20"/>
                <w:lang w:eastAsia="en-US"/>
              </w:rPr>
            </w:pPr>
          </w:p>
        </w:tc>
        <w:tc>
          <w:tcPr>
            <w:tcW w:w="632" w:type="pct"/>
            <w:tcBorders>
              <w:top w:val="nil"/>
              <w:left w:val="nil"/>
              <w:bottom w:val="single" w:sz="4" w:space="0" w:color="auto"/>
              <w:right w:val="single" w:sz="4" w:space="0" w:color="auto"/>
            </w:tcBorders>
            <w:shd w:val="clear" w:color="auto" w:fill="auto"/>
            <w:vAlign w:val="bottom"/>
            <w:hideMark/>
          </w:tcPr>
          <w:p w:rsidR="00C47C3B" w:rsidRPr="00C47C3B" w:rsidRDefault="00C47C3B" w:rsidP="00C47C3B">
            <w:pPr>
              <w:keepNext/>
              <w:jc w:val="center"/>
              <w:rPr>
                <w:rFonts w:ascii="Arial Narrow" w:hAnsi="Arial Narrow" w:cs="Calibri"/>
                <w:b/>
                <w:bCs/>
                <w:snapToGrid w:val="0"/>
                <w:color w:val="000000"/>
                <w:sz w:val="20"/>
                <w:szCs w:val="20"/>
                <w:lang w:eastAsia="en-US"/>
              </w:rPr>
            </w:pPr>
            <w:proofErr w:type="spellStart"/>
            <w:r w:rsidRPr="00C47C3B">
              <w:rPr>
                <w:rFonts w:ascii="Arial Narrow" w:hAnsi="Arial Narrow" w:cs="Calibri"/>
                <w:b/>
                <w:bCs/>
                <w:snapToGrid w:val="0"/>
                <w:color w:val="000000"/>
                <w:sz w:val="20"/>
                <w:szCs w:val="20"/>
                <w:lang w:eastAsia="en-US"/>
              </w:rPr>
              <w:t>Lumacaftor</w:t>
            </w:r>
            <w:proofErr w:type="spellEnd"/>
            <w:r w:rsidRPr="00C47C3B">
              <w:rPr>
                <w:rFonts w:ascii="Arial Narrow" w:hAnsi="Arial Narrow" w:cs="Calibri"/>
                <w:b/>
                <w:bCs/>
                <w:snapToGrid w:val="0"/>
                <w:color w:val="000000"/>
                <w:sz w:val="20"/>
                <w:szCs w:val="20"/>
                <w:lang w:eastAsia="en-US"/>
              </w:rPr>
              <w:t xml:space="preserve">/ </w:t>
            </w:r>
            <w:proofErr w:type="spellStart"/>
            <w:r w:rsidRPr="00C47C3B">
              <w:rPr>
                <w:rFonts w:ascii="Arial Narrow" w:hAnsi="Arial Narrow" w:cs="Calibri"/>
                <w:b/>
                <w:bCs/>
                <w:snapToGrid w:val="0"/>
                <w:color w:val="000000"/>
                <w:sz w:val="20"/>
                <w:szCs w:val="20"/>
                <w:lang w:eastAsia="en-US"/>
              </w:rPr>
              <w:t>ivacaftor</w:t>
            </w:r>
            <w:proofErr w:type="spellEnd"/>
          </w:p>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(N=182)</w:t>
            </w:r>
          </w:p>
        </w:tc>
        <w:tc>
          <w:tcPr>
            <w:tcW w:w="632" w:type="pct"/>
            <w:tcBorders>
              <w:top w:val="nil"/>
              <w:left w:val="nil"/>
              <w:bottom w:val="single" w:sz="4" w:space="0" w:color="auto"/>
              <w:right w:val="single" w:sz="4" w:space="0" w:color="auto"/>
            </w:tcBorders>
            <w:shd w:val="clear" w:color="auto" w:fill="auto"/>
            <w:noWrap/>
            <w:vAlign w:val="bottom"/>
            <w:hideMark/>
          </w:tcPr>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Placebo</w:t>
            </w:r>
          </w:p>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(N=184)</w:t>
            </w:r>
          </w:p>
        </w:tc>
        <w:tc>
          <w:tcPr>
            <w:tcW w:w="632" w:type="pct"/>
            <w:tcBorders>
              <w:top w:val="nil"/>
              <w:left w:val="nil"/>
              <w:bottom w:val="single" w:sz="4" w:space="0" w:color="auto"/>
              <w:right w:val="single" w:sz="4" w:space="0" w:color="auto"/>
            </w:tcBorders>
            <w:shd w:val="clear" w:color="auto" w:fill="auto"/>
            <w:vAlign w:val="bottom"/>
            <w:hideMark/>
          </w:tcPr>
          <w:p w:rsidR="00C47C3B" w:rsidRPr="00C47C3B" w:rsidRDefault="00C47C3B" w:rsidP="00C47C3B">
            <w:pPr>
              <w:keepNext/>
              <w:jc w:val="center"/>
              <w:rPr>
                <w:rFonts w:ascii="Arial Narrow" w:hAnsi="Arial Narrow" w:cs="Calibri"/>
                <w:b/>
                <w:bCs/>
                <w:snapToGrid w:val="0"/>
                <w:color w:val="000000"/>
                <w:sz w:val="20"/>
                <w:szCs w:val="20"/>
                <w:lang w:eastAsia="en-US"/>
              </w:rPr>
            </w:pPr>
            <w:proofErr w:type="spellStart"/>
            <w:r w:rsidRPr="00C47C3B">
              <w:rPr>
                <w:rFonts w:ascii="Arial Narrow" w:hAnsi="Arial Narrow" w:cs="Calibri"/>
                <w:b/>
                <w:bCs/>
                <w:snapToGrid w:val="0"/>
                <w:color w:val="000000"/>
                <w:sz w:val="20"/>
                <w:szCs w:val="20"/>
                <w:lang w:eastAsia="en-US"/>
              </w:rPr>
              <w:t>Lumacaftor</w:t>
            </w:r>
            <w:proofErr w:type="spellEnd"/>
            <w:r w:rsidRPr="00C47C3B">
              <w:rPr>
                <w:rFonts w:ascii="Arial Narrow" w:hAnsi="Arial Narrow" w:cs="Calibri"/>
                <w:b/>
                <w:bCs/>
                <w:snapToGrid w:val="0"/>
                <w:color w:val="000000"/>
                <w:sz w:val="20"/>
                <w:szCs w:val="20"/>
                <w:lang w:eastAsia="en-US"/>
              </w:rPr>
              <w:t xml:space="preserve">/ </w:t>
            </w:r>
            <w:proofErr w:type="spellStart"/>
            <w:r w:rsidRPr="00C47C3B">
              <w:rPr>
                <w:rFonts w:ascii="Arial Narrow" w:hAnsi="Arial Narrow" w:cs="Calibri"/>
                <w:b/>
                <w:bCs/>
                <w:snapToGrid w:val="0"/>
                <w:color w:val="000000"/>
                <w:sz w:val="20"/>
                <w:szCs w:val="20"/>
                <w:lang w:eastAsia="en-US"/>
              </w:rPr>
              <w:t>ivacaftor</w:t>
            </w:r>
            <w:proofErr w:type="spellEnd"/>
          </w:p>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sidDel="00116163">
              <w:rPr>
                <w:rFonts w:ascii="Arial Narrow" w:hAnsi="Arial Narrow" w:cs="Calibri"/>
                <w:b/>
                <w:bCs/>
                <w:snapToGrid w:val="0"/>
                <w:color w:val="000000"/>
                <w:sz w:val="20"/>
                <w:szCs w:val="20"/>
                <w:lang w:eastAsia="en-US"/>
              </w:rPr>
              <w:t xml:space="preserve"> </w:t>
            </w:r>
            <w:r w:rsidRPr="00C47C3B">
              <w:rPr>
                <w:rFonts w:ascii="Arial Narrow" w:hAnsi="Arial Narrow" w:cs="Calibri"/>
                <w:b/>
                <w:bCs/>
                <w:snapToGrid w:val="0"/>
                <w:color w:val="000000"/>
                <w:sz w:val="20"/>
                <w:szCs w:val="20"/>
                <w:lang w:eastAsia="en-US"/>
              </w:rPr>
              <w:t>(N=187)</w:t>
            </w:r>
          </w:p>
        </w:tc>
        <w:tc>
          <w:tcPr>
            <w:tcW w:w="632" w:type="pct"/>
            <w:tcBorders>
              <w:top w:val="nil"/>
              <w:left w:val="nil"/>
              <w:bottom w:val="single" w:sz="4" w:space="0" w:color="auto"/>
              <w:right w:val="single" w:sz="4" w:space="0" w:color="auto"/>
            </w:tcBorders>
            <w:shd w:val="clear" w:color="auto" w:fill="auto"/>
            <w:noWrap/>
            <w:vAlign w:val="bottom"/>
            <w:hideMark/>
          </w:tcPr>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Placebo</w:t>
            </w:r>
          </w:p>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(N=186)</w:t>
            </w:r>
          </w:p>
        </w:tc>
        <w:tc>
          <w:tcPr>
            <w:tcW w:w="632" w:type="pct"/>
            <w:tcBorders>
              <w:top w:val="nil"/>
              <w:left w:val="nil"/>
              <w:bottom w:val="single" w:sz="4" w:space="0" w:color="auto"/>
              <w:right w:val="single" w:sz="4" w:space="0" w:color="auto"/>
            </w:tcBorders>
            <w:shd w:val="clear" w:color="auto" w:fill="auto"/>
            <w:vAlign w:val="bottom"/>
          </w:tcPr>
          <w:p w:rsidR="00C47C3B" w:rsidRPr="00C47C3B" w:rsidRDefault="00C47C3B" w:rsidP="00C47C3B">
            <w:pPr>
              <w:keepNext/>
              <w:jc w:val="center"/>
              <w:rPr>
                <w:rFonts w:ascii="Arial Narrow" w:hAnsi="Arial Narrow" w:cs="Calibri"/>
                <w:b/>
                <w:bCs/>
                <w:snapToGrid w:val="0"/>
                <w:color w:val="000000"/>
                <w:sz w:val="20"/>
                <w:szCs w:val="20"/>
                <w:lang w:eastAsia="en-US"/>
              </w:rPr>
            </w:pPr>
            <w:proofErr w:type="spellStart"/>
            <w:r w:rsidRPr="00C47C3B">
              <w:rPr>
                <w:rFonts w:ascii="Arial Narrow" w:hAnsi="Arial Narrow" w:cs="Calibri"/>
                <w:b/>
                <w:bCs/>
                <w:snapToGrid w:val="0"/>
                <w:color w:val="000000"/>
                <w:sz w:val="20"/>
                <w:szCs w:val="20"/>
                <w:lang w:eastAsia="en-US"/>
              </w:rPr>
              <w:t>Lumacaftor</w:t>
            </w:r>
            <w:proofErr w:type="spellEnd"/>
            <w:r w:rsidRPr="00C47C3B">
              <w:rPr>
                <w:rFonts w:ascii="Arial Narrow" w:hAnsi="Arial Narrow" w:cs="Calibri"/>
                <w:b/>
                <w:bCs/>
                <w:snapToGrid w:val="0"/>
                <w:color w:val="000000"/>
                <w:sz w:val="20"/>
                <w:szCs w:val="20"/>
                <w:lang w:eastAsia="en-US"/>
              </w:rPr>
              <w:t xml:space="preserve">/ </w:t>
            </w:r>
            <w:proofErr w:type="spellStart"/>
            <w:r w:rsidRPr="00C47C3B">
              <w:rPr>
                <w:rFonts w:ascii="Arial Narrow" w:hAnsi="Arial Narrow" w:cs="Calibri"/>
                <w:b/>
                <w:bCs/>
                <w:snapToGrid w:val="0"/>
                <w:color w:val="000000"/>
                <w:sz w:val="20"/>
                <w:szCs w:val="20"/>
                <w:lang w:eastAsia="en-US"/>
              </w:rPr>
              <w:t>ivacaftor</w:t>
            </w:r>
            <w:proofErr w:type="spellEnd"/>
          </w:p>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sidDel="00116163">
              <w:rPr>
                <w:rFonts w:ascii="Arial Narrow" w:hAnsi="Arial Narrow" w:cs="Calibri"/>
                <w:b/>
                <w:bCs/>
                <w:snapToGrid w:val="0"/>
                <w:color w:val="000000"/>
                <w:sz w:val="20"/>
                <w:szCs w:val="20"/>
                <w:lang w:eastAsia="en-US"/>
              </w:rPr>
              <w:t xml:space="preserve"> </w:t>
            </w:r>
            <w:r w:rsidRPr="00C47C3B">
              <w:rPr>
                <w:rFonts w:ascii="Arial Narrow" w:hAnsi="Arial Narrow" w:cs="Calibri"/>
                <w:b/>
                <w:bCs/>
                <w:snapToGrid w:val="0"/>
                <w:color w:val="000000"/>
                <w:sz w:val="20"/>
                <w:szCs w:val="20"/>
                <w:lang w:eastAsia="en-US"/>
              </w:rPr>
              <w:t>(N=369)</w:t>
            </w:r>
          </w:p>
        </w:tc>
        <w:tc>
          <w:tcPr>
            <w:tcW w:w="631" w:type="pct"/>
            <w:tcBorders>
              <w:top w:val="nil"/>
              <w:left w:val="nil"/>
              <w:bottom w:val="single" w:sz="4" w:space="0" w:color="auto"/>
              <w:right w:val="single" w:sz="4" w:space="0" w:color="auto"/>
            </w:tcBorders>
            <w:shd w:val="clear" w:color="auto" w:fill="auto"/>
            <w:vAlign w:val="bottom"/>
          </w:tcPr>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Placebo</w:t>
            </w:r>
          </w:p>
          <w:p w:rsidR="00C47C3B" w:rsidRPr="00C47C3B" w:rsidRDefault="00C47C3B" w:rsidP="00C47C3B">
            <w:pPr>
              <w:keepNext/>
              <w:jc w:val="center"/>
              <w:rPr>
                <w:rFonts w:ascii="Arial Narrow" w:hAnsi="Arial Narrow" w:cs="Calibri"/>
                <w:b/>
                <w:bCs/>
                <w:snapToGrid w:val="0"/>
                <w:color w:val="000000"/>
                <w:sz w:val="20"/>
                <w:szCs w:val="20"/>
                <w:lang w:eastAsia="en-US"/>
              </w:rPr>
            </w:pPr>
            <w:r w:rsidRPr="00C47C3B">
              <w:rPr>
                <w:rFonts w:ascii="Arial Narrow" w:hAnsi="Arial Narrow" w:cs="Calibri"/>
                <w:b/>
                <w:bCs/>
                <w:snapToGrid w:val="0"/>
                <w:color w:val="000000"/>
                <w:sz w:val="20"/>
                <w:szCs w:val="20"/>
                <w:lang w:eastAsia="en-US"/>
              </w:rPr>
              <w:t>(N=370)</w:t>
            </w:r>
          </w:p>
        </w:tc>
      </w:tr>
      <w:tr w:rsidR="00C47C3B" w:rsidRPr="00C47C3B" w:rsidTr="009F446F">
        <w:trPr>
          <w:trHeight w:val="289"/>
        </w:trPr>
        <w:tc>
          <w:tcPr>
            <w:tcW w:w="1209" w:type="pct"/>
            <w:tcBorders>
              <w:top w:val="nil"/>
              <w:left w:val="single" w:sz="4" w:space="0" w:color="auto"/>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both"/>
              <w:rPr>
                <w:rFonts w:ascii="Arial Narrow" w:hAnsi="Arial Narrow" w:cs="Calibri"/>
                <w:bCs/>
                <w:snapToGrid w:val="0"/>
                <w:color w:val="000000"/>
                <w:sz w:val="20"/>
                <w:szCs w:val="20"/>
                <w:lang w:eastAsia="en-US"/>
              </w:rPr>
            </w:pPr>
            <w:r w:rsidRPr="00C47C3B">
              <w:rPr>
                <w:rFonts w:ascii="Arial Narrow" w:hAnsi="Arial Narrow" w:cs="Calibri"/>
                <w:bCs/>
                <w:snapToGrid w:val="0"/>
                <w:color w:val="000000"/>
                <w:sz w:val="20"/>
                <w:szCs w:val="20"/>
                <w:lang w:eastAsia="en-US"/>
              </w:rPr>
              <w:t>Total number of AEs</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1019</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994</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1111</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1138</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2130</w:t>
            </w:r>
          </w:p>
        </w:tc>
        <w:tc>
          <w:tcPr>
            <w:tcW w:w="631"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2132</w:t>
            </w:r>
          </w:p>
        </w:tc>
      </w:tr>
      <w:tr w:rsidR="00C47C3B" w:rsidRPr="00C47C3B" w:rsidTr="009F446F">
        <w:trPr>
          <w:trHeight w:val="289"/>
        </w:trPr>
        <w:tc>
          <w:tcPr>
            <w:tcW w:w="1209" w:type="pct"/>
            <w:tcBorders>
              <w:top w:val="nil"/>
              <w:left w:val="single" w:sz="4" w:space="0" w:color="auto"/>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both"/>
              <w:rPr>
                <w:rFonts w:ascii="Arial Narrow" w:hAnsi="Arial Narrow" w:cs="Calibri"/>
                <w:bCs/>
                <w:snapToGrid w:val="0"/>
                <w:color w:val="000000"/>
                <w:sz w:val="20"/>
                <w:szCs w:val="20"/>
                <w:lang w:eastAsia="en-US"/>
              </w:rPr>
            </w:pPr>
            <w:r w:rsidRPr="00C47C3B">
              <w:rPr>
                <w:rFonts w:ascii="Arial Narrow" w:hAnsi="Arial Narrow" w:cs="Calibri"/>
                <w:bCs/>
                <w:snapToGrid w:val="0"/>
                <w:color w:val="000000"/>
                <w:sz w:val="20"/>
                <w:szCs w:val="20"/>
                <w:lang w:eastAsia="en-US"/>
              </w:rPr>
              <w:t>Subjects with any AEs, n (%)</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174 (95.6)</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174 (94.6)</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177 (94.7)</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181 (97.3)</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351 (95.1)</w:t>
            </w:r>
          </w:p>
        </w:tc>
        <w:tc>
          <w:tcPr>
            <w:tcW w:w="631"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355 (95.9)</w:t>
            </w:r>
          </w:p>
        </w:tc>
      </w:tr>
      <w:tr w:rsidR="00C47C3B" w:rsidRPr="00C47C3B" w:rsidTr="009F446F">
        <w:trPr>
          <w:trHeight w:val="578"/>
        </w:trPr>
        <w:tc>
          <w:tcPr>
            <w:tcW w:w="1209" w:type="pct"/>
            <w:tcBorders>
              <w:top w:val="nil"/>
              <w:left w:val="single" w:sz="4" w:space="0" w:color="auto"/>
              <w:bottom w:val="single" w:sz="4" w:space="0" w:color="auto"/>
              <w:right w:val="single" w:sz="4" w:space="0" w:color="auto"/>
            </w:tcBorders>
            <w:shd w:val="clear" w:color="auto" w:fill="auto"/>
            <w:vAlign w:val="center"/>
          </w:tcPr>
          <w:p w:rsidR="00C47C3B" w:rsidRPr="00C47C3B" w:rsidRDefault="00C47C3B" w:rsidP="00C47C3B">
            <w:pPr>
              <w:keepNext/>
              <w:spacing w:before="20"/>
              <w:jc w:val="both"/>
              <w:rPr>
                <w:rFonts w:ascii="Arial Narrow" w:hAnsi="Arial Narrow" w:cs="Calibri"/>
                <w:bCs/>
                <w:snapToGrid w:val="0"/>
                <w:color w:val="000000"/>
                <w:sz w:val="20"/>
                <w:szCs w:val="20"/>
                <w:lang w:eastAsia="en-US"/>
              </w:rPr>
            </w:pPr>
            <w:r w:rsidRPr="00C47C3B">
              <w:rPr>
                <w:rFonts w:ascii="Arial Narrow" w:hAnsi="Arial Narrow" w:cs="Calibri"/>
                <w:bCs/>
                <w:snapToGrid w:val="0"/>
                <w:color w:val="000000"/>
                <w:sz w:val="20"/>
                <w:szCs w:val="20"/>
                <w:lang w:eastAsia="en-US"/>
              </w:rPr>
              <w:t>Subjects with Grade 3/4 AEs, n (%)</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val="en-US" w:eastAsia="en-US"/>
              </w:rPr>
              <w:t>19 (10.4)</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val="en-US" w:eastAsia="en-US"/>
              </w:rPr>
              <w:t>25 (13.6)</w:t>
            </w:r>
          </w:p>
        </w:tc>
        <w:tc>
          <w:tcPr>
            <w:tcW w:w="632" w:type="pct"/>
            <w:tcBorders>
              <w:top w:val="nil"/>
              <w:left w:val="nil"/>
              <w:bottom w:val="single" w:sz="4" w:space="0" w:color="auto"/>
              <w:right w:val="single" w:sz="4" w:space="0" w:color="auto"/>
            </w:tcBorders>
            <w:shd w:val="clear" w:color="auto" w:fill="auto"/>
            <w:noWrap/>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val="en-US" w:eastAsia="en-US"/>
              </w:rPr>
              <w:t>26 (13.9)</w:t>
            </w:r>
          </w:p>
        </w:tc>
        <w:tc>
          <w:tcPr>
            <w:tcW w:w="632" w:type="pct"/>
            <w:tcBorders>
              <w:top w:val="nil"/>
              <w:left w:val="nil"/>
              <w:bottom w:val="single" w:sz="4" w:space="0" w:color="auto"/>
              <w:right w:val="single" w:sz="4" w:space="0" w:color="auto"/>
            </w:tcBorders>
            <w:shd w:val="clear" w:color="auto" w:fill="auto"/>
            <w:noWrap/>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val="en-US" w:eastAsia="en-US"/>
              </w:rPr>
              <w:t>34 (18.3)</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NR</w:t>
            </w:r>
          </w:p>
        </w:tc>
        <w:tc>
          <w:tcPr>
            <w:tcW w:w="631"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NR</w:t>
            </w:r>
          </w:p>
        </w:tc>
      </w:tr>
      <w:tr w:rsidR="00C47C3B" w:rsidRPr="00C47C3B" w:rsidTr="009F446F">
        <w:trPr>
          <w:trHeight w:val="578"/>
        </w:trPr>
        <w:tc>
          <w:tcPr>
            <w:tcW w:w="1209" w:type="pct"/>
            <w:tcBorders>
              <w:top w:val="nil"/>
              <w:left w:val="single" w:sz="4" w:space="0" w:color="auto"/>
              <w:bottom w:val="single" w:sz="4" w:space="0" w:color="auto"/>
              <w:right w:val="single" w:sz="4" w:space="0" w:color="auto"/>
            </w:tcBorders>
            <w:shd w:val="clear" w:color="auto" w:fill="auto"/>
            <w:vAlign w:val="center"/>
          </w:tcPr>
          <w:p w:rsidR="00C47C3B" w:rsidRPr="00C47C3B" w:rsidRDefault="00C47C3B" w:rsidP="00C47C3B">
            <w:pPr>
              <w:keepNext/>
              <w:spacing w:before="20"/>
              <w:jc w:val="both"/>
              <w:rPr>
                <w:rFonts w:ascii="Arial Narrow" w:hAnsi="Arial Narrow" w:cs="Calibri"/>
                <w:bCs/>
                <w:snapToGrid w:val="0"/>
                <w:color w:val="000000"/>
                <w:sz w:val="20"/>
                <w:szCs w:val="20"/>
                <w:lang w:eastAsia="en-US"/>
              </w:rPr>
            </w:pPr>
            <w:r w:rsidRPr="00C47C3B">
              <w:rPr>
                <w:rFonts w:ascii="Arial Narrow" w:hAnsi="Arial Narrow" w:cs="Calibri"/>
                <w:bCs/>
                <w:snapToGrid w:val="0"/>
                <w:color w:val="000000"/>
                <w:sz w:val="20"/>
                <w:szCs w:val="20"/>
                <w:lang w:eastAsia="en-US"/>
              </w:rPr>
              <w:t>Subjects with AEs by relationship: ‘Related’ or ‘possibly related”, n (%)</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91 (50)</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49 (26.6)</w:t>
            </w:r>
          </w:p>
        </w:tc>
        <w:tc>
          <w:tcPr>
            <w:tcW w:w="632" w:type="pct"/>
            <w:tcBorders>
              <w:top w:val="nil"/>
              <w:left w:val="nil"/>
              <w:bottom w:val="single" w:sz="4" w:space="0" w:color="auto"/>
              <w:right w:val="single" w:sz="4" w:space="0" w:color="auto"/>
            </w:tcBorders>
            <w:shd w:val="clear" w:color="auto" w:fill="auto"/>
            <w:noWrap/>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100 (53.5)</w:t>
            </w:r>
          </w:p>
        </w:tc>
        <w:tc>
          <w:tcPr>
            <w:tcW w:w="632" w:type="pct"/>
            <w:tcBorders>
              <w:top w:val="nil"/>
              <w:left w:val="nil"/>
              <w:bottom w:val="single" w:sz="4" w:space="0" w:color="auto"/>
              <w:right w:val="single" w:sz="4" w:space="0" w:color="auto"/>
            </w:tcBorders>
            <w:shd w:val="clear" w:color="auto" w:fill="auto"/>
            <w:noWrap/>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80 (43)</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NR</w:t>
            </w:r>
          </w:p>
        </w:tc>
        <w:tc>
          <w:tcPr>
            <w:tcW w:w="631"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NR</w:t>
            </w:r>
          </w:p>
        </w:tc>
      </w:tr>
      <w:tr w:rsidR="00C47C3B" w:rsidRPr="00C47C3B" w:rsidTr="009F446F">
        <w:trPr>
          <w:trHeight w:val="578"/>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both"/>
              <w:rPr>
                <w:rFonts w:ascii="Arial Narrow" w:hAnsi="Arial Narrow" w:cs="Calibri"/>
                <w:bCs/>
                <w:snapToGrid w:val="0"/>
                <w:color w:val="000000"/>
                <w:sz w:val="20"/>
                <w:szCs w:val="20"/>
                <w:lang w:eastAsia="en-US"/>
              </w:rPr>
            </w:pPr>
            <w:r w:rsidRPr="00C47C3B">
              <w:rPr>
                <w:rFonts w:ascii="Arial Narrow" w:hAnsi="Arial Narrow" w:cs="Calibri"/>
                <w:bCs/>
                <w:snapToGrid w:val="0"/>
                <w:color w:val="000000"/>
                <w:sz w:val="20"/>
                <w:szCs w:val="20"/>
                <w:lang w:eastAsia="en-US"/>
              </w:rPr>
              <w:t>Subjects with AEs leading to treatment discontinuation, n (%)</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6 (3.3)</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4 (2.2)</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11 (5.9)</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 (1.1)</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17 (4.6)</w:t>
            </w:r>
          </w:p>
        </w:tc>
        <w:tc>
          <w:tcPr>
            <w:tcW w:w="631"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6 (1.6)</w:t>
            </w:r>
          </w:p>
        </w:tc>
      </w:tr>
      <w:tr w:rsidR="00C47C3B" w:rsidRPr="00C47C3B" w:rsidTr="009F446F">
        <w:trPr>
          <w:trHeight w:val="578"/>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both"/>
              <w:rPr>
                <w:rFonts w:ascii="Arial Narrow" w:hAnsi="Arial Narrow" w:cs="Calibri"/>
                <w:bCs/>
                <w:snapToGrid w:val="0"/>
                <w:color w:val="000000"/>
                <w:sz w:val="20"/>
                <w:szCs w:val="20"/>
                <w:lang w:eastAsia="en-US"/>
              </w:rPr>
            </w:pPr>
            <w:r w:rsidRPr="00C47C3B">
              <w:rPr>
                <w:rFonts w:ascii="Arial Narrow" w:hAnsi="Arial Narrow" w:cs="Calibri"/>
                <w:bCs/>
                <w:snapToGrid w:val="0"/>
                <w:color w:val="000000"/>
                <w:sz w:val="20"/>
                <w:szCs w:val="20"/>
                <w:lang w:eastAsia="en-US"/>
              </w:rPr>
              <w:t>Subjects with AEs leading to treatment interruption, n (%)</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14 (7.7)</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10 (5.4)</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8 (4.3)</w:t>
            </w:r>
          </w:p>
        </w:tc>
        <w:tc>
          <w:tcPr>
            <w:tcW w:w="632" w:type="pct"/>
            <w:tcBorders>
              <w:top w:val="nil"/>
              <w:left w:val="nil"/>
              <w:bottom w:val="single" w:sz="4" w:space="0" w:color="auto"/>
              <w:right w:val="single" w:sz="4" w:space="0" w:color="auto"/>
            </w:tcBorders>
            <w:shd w:val="clear" w:color="auto" w:fill="auto"/>
            <w:noWrap/>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15 (8.1)</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22 (6.0)</w:t>
            </w:r>
          </w:p>
        </w:tc>
        <w:tc>
          <w:tcPr>
            <w:tcW w:w="631"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25 (6.8)</w:t>
            </w:r>
          </w:p>
        </w:tc>
      </w:tr>
      <w:tr w:rsidR="00C47C3B" w:rsidRPr="00C47C3B" w:rsidTr="009F446F">
        <w:trPr>
          <w:trHeight w:val="289"/>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both"/>
              <w:rPr>
                <w:rFonts w:ascii="Arial Narrow" w:hAnsi="Arial Narrow" w:cs="Calibri"/>
                <w:bCs/>
                <w:snapToGrid w:val="0"/>
                <w:color w:val="000000"/>
                <w:sz w:val="20"/>
                <w:szCs w:val="20"/>
                <w:lang w:eastAsia="en-US"/>
              </w:rPr>
            </w:pPr>
            <w:r w:rsidRPr="00C47C3B">
              <w:rPr>
                <w:rFonts w:ascii="Arial Narrow" w:hAnsi="Arial Narrow" w:cs="Calibri"/>
                <w:bCs/>
                <w:snapToGrid w:val="0"/>
                <w:color w:val="000000"/>
                <w:sz w:val="20"/>
                <w:szCs w:val="20"/>
                <w:lang w:eastAsia="en-US"/>
              </w:rPr>
              <w:t>Subjects with SAEs, n (%)</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33 (18.1)</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49 (26.6)</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31 (16.6)</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57 (30.6)</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64 (17.3)</w:t>
            </w:r>
          </w:p>
        </w:tc>
        <w:tc>
          <w:tcPr>
            <w:tcW w:w="631"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106 (28.6)</w:t>
            </w:r>
          </w:p>
        </w:tc>
      </w:tr>
      <w:tr w:rsidR="00C47C3B" w:rsidRPr="00C47C3B" w:rsidTr="009F446F">
        <w:trPr>
          <w:trHeight w:val="289"/>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both"/>
              <w:rPr>
                <w:rFonts w:ascii="Arial Narrow" w:hAnsi="Arial Narrow" w:cs="Calibri"/>
                <w:bCs/>
                <w:snapToGrid w:val="0"/>
                <w:color w:val="000000"/>
                <w:sz w:val="20"/>
                <w:szCs w:val="20"/>
                <w:lang w:eastAsia="en-US"/>
              </w:rPr>
            </w:pPr>
            <w:r w:rsidRPr="00C47C3B">
              <w:rPr>
                <w:rFonts w:ascii="Arial Narrow" w:hAnsi="Arial Narrow" w:cs="Calibri"/>
                <w:bCs/>
                <w:snapToGrid w:val="0"/>
                <w:color w:val="000000"/>
                <w:sz w:val="20"/>
                <w:szCs w:val="20"/>
                <w:lang w:eastAsia="en-US"/>
              </w:rPr>
              <w:t>Subjects with related SAEs, n (%)</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8 (4.4)</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3 (1.6)</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6 (3.2)</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5 (2.7)</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14 (3.8)</w:t>
            </w:r>
          </w:p>
        </w:tc>
        <w:tc>
          <w:tcPr>
            <w:tcW w:w="631"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8 (2.2)</w:t>
            </w:r>
          </w:p>
        </w:tc>
      </w:tr>
      <w:tr w:rsidR="00C47C3B" w:rsidRPr="00C47C3B" w:rsidTr="009F446F">
        <w:trPr>
          <w:trHeight w:val="289"/>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both"/>
              <w:rPr>
                <w:rFonts w:ascii="Arial Narrow" w:hAnsi="Arial Narrow" w:cs="Calibri"/>
                <w:bCs/>
                <w:snapToGrid w:val="0"/>
                <w:color w:val="000000"/>
                <w:sz w:val="20"/>
                <w:szCs w:val="20"/>
                <w:lang w:eastAsia="en-US"/>
              </w:rPr>
            </w:pPr>
            <w:r w:rsidRPr="00C47C3B">
              <w:rPr>
                <w:rFonts w:ascii="Arial Narrow" w:hAnsi="Arial Narrow" w:cs="Calibri"/>
                <w:bCs/>
                <w:snapToGrid w:val="0"/>
                <w:color w:val="000000"/>
                <w:sz w:val="20"/>
                <w:szCs w:val="20"/>
                <w:lang w:eastAsia="en-US"/>
              </w:rPr>
              <w:t>Subjects with AEs leading to death, n (%)</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w:t>
            </w:r>
          </w:p>
        </w:tc>
        <w:tc>
          <w:tcPr>
            <w:tcW w:w="632" w:type="pct"/>
            <w:tcBorders>
              <w:top w:val="nil"/>
              <w:left w:val="nil"/>
              <w:bottom w:val="single" w:sz="4" w:space="0" w:color="auto"/>
              <w:right w:val="single" w:sz="4" w:space="0" w:color="auto"/>
            </w:tcBorders>
            <w:shd w:val="clear" w:color="auto" w:fill="auto"/>
            <w:vAlign w:val="center"/>
            <w:hideMark/>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w:t>
            </w:r>
          </w:p>
        </w:tc>
        <w:tc>
          <w:tcPr>
            <w:tcW w:w="632"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w:t>
            </w:r>
          </w:p>
        </w:tc>
        <w:tc>
          <w:tcPr>
            <w:tcW w:w="631" w:type="pct"/>
            <w:tcBorders>
              <w:top w:val="nil"/>
              <w:left w:val="nil"/>
              <w:bottom w:val="single" w:sz="4" w:space="0" w:color="auto"/>
              <w:right w:val="single" w:sz="4" w:space="0" w:color="auto"/>
            </w:tcBorders>
            <w:shd w:val="clear" w:color="auto" w:fill="auto"/>
            <w:vAlign w:val="center"/>
          </w:tcPr>
          <w:p w:rsidR="00C47C3B" w:rsidRPr="00C47C3B" w:rsidRDefault="00C47C3B" w:rsidP="00C47C3B">
            <w:pPr>
              <w:keepNext/>
              <w:spacing w:before="20"/>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0</w:t>
            </w:r>
          </w:p>
        </w:tc>
      </w:tr>
    </w:tbl>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 xml:space="preserve">Source: Table B.6.4, p112 July 2017 resubmission. </w:t>
      </w:r>
      <w:proofErr w:type="gramStart"/>
      <w:r w:rsidRPr="00C47C3B">
        <w:rPr>
          <w:rFonts w:ascii="Arial Narrow" w:hAnsi="Arial Narrow" w:cs="Arial"/>
          <w:snapToGrid w:val="0"/>
          <w:sz w:val="16"/>
          <w:szCs w:val="16"/>
          <w:lang w:eastAsia="en-US"/>
        </w:rPr>
        <w:t>Table 12-2, TRAFFIC CSR, p 188; Table 12-2, TRANSPORT CSR, p 201.</w:t>
      </w:r>
      <w:proofErr w:type="gramEnd"/>
    </w:p>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Abbreviations: AE = adverse event; n = size of subsample; N = number of subjects; SAE = serious adverse event, NR = not reported.</w:t>
      </w:r>
    </w:p>
    <w:p w:rsidR="00C47C3B" w:rsidRPr="00C47C3B" w:rsidRDefault="00C47C3B" w:rsidP="00C47C3B">
      <w:pPr>
        <w:jc w:val="both"/>
        <w:rPr>
          <w:rFonts w:ascii="Arial" w:eastAsia="Calibri" w:hAnsi="Arial" w:cs="Calibri"/>
          <w:snapToGrid w:val="0"/>
          <w:sz w:val="16"/>
          <w:szCs w:val="16"/>
          <w:lang w:eastAsia="en-US"/>
        </w:rPr>
      </w:pP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In the randomised trials, the most common adverse events experienced by patients who received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were dyspnoea (14.0% versus 7.8% on placebo), diarrhoea (11.0% versus 8.4% on placebo), and nausea (10.2% versus 7.6% on placebo). Serious adverse reactions occurring in at least 0.5% of patients on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and in a greater proportion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patients than placebo patients were hepatobiliary events.</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val="en-US" w:eastAsia="en-US"/>
        </w:rPr>
      </w:pPr>
      <w:bookmarkStart w:id="58" w:name="_Hlk479759483"/>
      <w:r w:rsidRPr="00C47C3B">
        <w:rPr>
          <w:rFonts w:asciiTheme="minorHAnsi" w:hAnsiTheme="minorHAnsi" w:cs="Arial"/>
          <w:snapToGrid w:val="0"/>
          <w:szCs w:val="20"/>
          <w:lang w:eastAsia="en-US"/>
        </w:rPr>
        <w:t>In PROGRESS, the most common adverse events reported were cough (</w:t>
      </w:r>
      <w:r w:rsidRPr="00C47C3B">
        <w:rPr>
          <w:rFonts w:asciiTheme="minorHAnsi" w:hAnsiTheme="minorHAnsi" w:cs="Arial"/>
          <w:snapToGrid w:val="0"/>
          <w:szCs w:val="20"/>
          <w:lang w:val="en-US" w:eastAsia="en-US"/>
        </w:rPr>
        <w:t xml:space="preserve">44%), increased sputum (22%), and </w:t>
      </w:r>
      <w:proofErr w:type="spellStart"/>
      <w:r w:rsidRPr="00C47C3B">
        <w:rPr>
          <w:rFonts w:asciiTheme="minorHAnsi" w:hAnsiTheme="minorHAnsi" w:cs="Arial"/>
          <w:snapToGrid w:val="0"/>
          <w:szCs w:val="20"/>
          <w:lang w:val="en-US" w:eastAsia="en-US"/>
        </w:rPr>
        <w:t>haemoptysis</w:t>
      </w:r>
      <w:proofErr w:type="spellEnd"/>
      <w:r w:rsidRPr="00C47C3B">
        <w:rPr>
          <w:rFonts w:asciiTheme="minorHAnsi" w:hAnsiTheme="minorHAnsi" w:cs="Arial"/>
          <w:snapToGrid w:val="0"/>
          <w:szCs w:val="20"/>
          <w:lang w:val="en-US" w:eastAsia="en-US"/>
        </w:rPr>
        <w:t xml:space="preserve"> (20%). Most of these adverse events (in 71% of patients) were considered mild or moderate in severity. There was an </w:t>
      </w:r>
      <w:r w:rsidRPr="00C47C3B">
        <w:rPr>
          <w:rFonts w:asciiTheme="minorHAnsi" w:hAnsiTheme="minorHAnsi" w:cs="Arial"/>
          <w:snapToGrid w:val="0"/>
          <w:szCs w:val="20"/>
          <w:lang w:val="en-US" w:eastAsia="en-US"/>
        </w:rPr>
        <w:lastRenderedPageBreak/>
        <w:t xml:space="preserve">increase in blood pressure associated with extended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therapy. </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Serious adverse events were experienced by 45% of patients in </w:t>
      </w:r>
      <w:proofErr w:type="gramStart"/>
      <w:r w:rsidRPr="00C47C3B">
        <w:rPr>
          <w:rFonts w:asciiTheme="minorHAnsi" w:hAnsiTheme="minorHAnsi" w:cs="Arial"/>
          <w:snapToGrid w:val="0"/>
          <w:szCs w:val="20"/>
          <w:lang w:eastAsia="en-US"/>
        </w:rPr>
        <w:t>PROGRESS,</w:t>
      </w:r>
      <w:proofErr w:type="gramEnd"/>
      <w:r w:rsidRPr="00C47C3B">
        <w:rPr>
          <w:rFonts w:asciiTheme="minorHAnsi" w:hAnsiTheme="minorHAnsi" w:cs="Arial"/>
          <w:snapToGrid w:val="0"/>
          <w:szCs w:val="20"/>
          <w:lang w:eastAsia="en-US"/>
        </w:rPr>
        <w:t xml:space="preserve"> the most frequently reported being infective PEs of CF (in 33% of patients), haemoptysis (3%), and distal intestinal obstruction syndrome (3%).</w:t>
      </w:r>
    </w:p>
    <w:bookmarkEnd w:id="58"/>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Two deaths occurred in the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 xml:space="preserve"> 400 mg/</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250 mg every 12h group during the course of PROGRESS: one patient died from respiratory failure related to infective PE, and one from distal intestinal obstruction syndrome. Neither of the deaths was considered to be related to the study drug.</w:t>
      </w:r>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bookmarkStart w:id="59" w:name="_Toc482713677"/>
      <w:r w:rsidRPr="00C47C3B">
        <w:rPr>
          <w:rFonts w:asciiTheme="minorHAnsi" w:hAnsiTheme="minorHAnsi" w:cs="Arial"/>
          <w:b/>
          <w:i/>
          <w:snapToGrid w:val="0"/>
          <w:sz w:val="28"/>
          <w:szCs w:val="28"/>
          <w:lang w:eastAsia="en-US"/>
        </w:rPr>
        <w:t>Benefits and harms</w:t>
      </w:r>
      <w:bookmarkEnd w:id="56"/>
      <w:bookmarkEnd w:id="59"/>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bookmarkStart w:id="60" w:name="_Hlk479761273"/>
      <w:r w:rsidRPr="00C47C3B">
        <w:rPr>
          <w:rFonts w:asciiTheme="minorHAnsi" w:hAnsiTheme="minorHAnsi" w:cs="Arial"/>
          <w:snapToGrid w:val="0"/>
          <w:szCs w:val="20"/>
          <w:lang w:eastAsia="en-US"/>
        </w:rPr>
        <w:t xml:space="preserve">A summary of the comparative benefits and harms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versus placebo as evidenced from the TRAFFIC and TRANSPORT trials is presented in Table 9 below. </w:t>
      </w: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Table </w:t>
      </w:r>
      <w:r w:rsidRPr="00C47C3B">
        <w:rPr>
          <w:rFonts w:ascii="Arial Narrow" w:eastAsiaTheme="minorHAnsi" w:hAnsi="Arial Narrow" w:cstheme="minorBidi"/>
          <w:b/>
          <w:noProof/>
          <w:sz w:val="20"/>
          <w:szCs w:val="22"/>
          <w:lang w:eastAsia="en-US"/>
        </w:rPr>
        <w:t>9</w:t>
      </w:r>
      <w:r w:rsidRPr="00C47C3B">
        <w:rPr>
          <w:rFonts w:ascii="Arial Narrow" w:eastAsiaTheme="minorHAnsi" w:hAnsi="Arial Narrow" w:cstheme="minorBidi"/>
          <w:b/>
          <w:sz w:val="20"/>
          <w:szCs w:val="22"/>
          <w:lang w:eastAsia="en-US"/>
        </w:rPr>
        <w:t xml:space="preserve">: Summary of comparative benefits and harms for </w:t>
      </w:r>
      <w:proofErr w:type="spellStart"/>
      <w:r w:rsidRPr="00C47C3B">
        <w:rPr>
          <w:rFonts w:ascii="Arial Narrow" w:eastAsiaTheme="minorHAnsi" w:hAnsi="Arial Narrow" w:cstheme="minorBidi"/>
          <w:b/>
          <w:sz w:val="20"/>
          <w:szCs w:val="22"/>
          <w:lang w:eastAsia="en-US"/>
        </w:rPr>
        <w:t>lumacaftor</w:t>
      </w:r>
      <w:proofErr w:type="spellEnd"/>
      <w:r w:rsidRPr="00C47C3B">
        <w:rPr>
          <w:rFonts w:ascii="Arial Narrow" w:eastAsiaTheme="minorHAnsi" w:hAnsi="Arial Narrow" w:cstheme="minorBidi"/>
          <w:b/>
          <w:sz w:val="20"/>
          <w:szCs w:val="22"/>
          <w:lang w:eastAsia="en-US"/>
        </w:rPr>
        <w:t>/</w:t>
      </w:r>
      <w:proofErr w:type="spellStart"/>
      <w:r w:rsidRPr="00C47C3B">
        <w:rPr>
          <w:rFonts w:ascii="Arial Narrow" w:eastAsiaTheme="minorHAnsi" w:hAnsi="Arial Narrow" w:cstheme="minorBidi"/>
          <w:b/>
          <w:sz w:val="20"/>
          <w:szCs w:val="22"/>
          <w:lang w:eastAsia="en-US"/>
        </w:rPr>
        <w:t>ivacaftor</w:t>
      </w:r>
      <w:proofErr w:type="spellEnd"/>
      <w:r w:rsidRPr="00C47C3B">
        <w:rPr>
          <w:rFonts w:ascii="Arial Narrow" w:eastAsiaTheme="minorHAnsi" w:hAnsi="Arial Narrow" w:cstheme="minorBidi"/>
          <w:b/>
          <w:sz w:val="20"/>
          <w:szCs w:val="22"/>
          <w:lang w:eastAsia="en-US"/>
        </w:rPr>
        <w:t xml:space="preserve"> and placebo</w:t>
      </w:r>
    </w:p>
    <w:tbl>
      <w:tblPr>
        <w:tblStyle w:val="Summarybox1"/>
        <w:tblW w:w="5000" w:type="pct"/>
        <w:tblLayout w:type="fixed"/>
        <w:tblCellMar>
          <w:left w:w="28" w:type="dxa"/>
          <w:right w:w="28" w:type="dxa"/>
        </w:tblCellMar>
        <w:tblLook w:val="04A0" w:firstRow="1" w:lastRow="0" w:firstColumn="1" w:lastColumn="0" w:noHBand="0" w:noVBand="1"/>
        <w:tblCaption w:val="Summary of comparative benefits and harms for lumacaftor/ivacaftor and placebo"/>
      </w:tblPr>
      <w:tblGrid>
        <w:gridCol w:w="1171"/>
        <w:gridCol w:w="7"/>
        <w:gridCol w:w="7"/>
        <w:gridCol w:w="869"/>
        <w:gridCol w:w="548"/>
        <w:gridCol w:w="7"/>
        <w:gridCol w:w="418"/>
        <w:gridCol w:w="712"/>
        <w:gridCol w:w="220"/>
        <w:gridCol w:w="843"/>
        <w:gridCol w:w="420"/>
        <w:gridCol w:w="810"/>
        <w:gridCol w:w="543"/>
        <w:gridCol w:w="696"/>
        <w:gridCol w:w="659"/>
        <w:gridCol w:w="1152"/>
      </w:tblGrid>
      <w:tr w:rsidR="00C47C3B" w:rsidRPr="00C47C3B" w:rsidTr="009F446F">
        <w:trPr>
          <w:tblHeader/>
        </w:trPr>
        <w:tc>
          <w:tcPr>
            <w:tcW w:w="5000" w:type="pct"/>
            <w:gridSpan w:val="16"/>
            <w:shd w:val="clear" w:color="auto" w:fill="auto"/>
            <w:vAlign w:val="center"/>
          </w:tcPr>
          <w:p w:rsidR="00C47C3B" w:rsidRPr="00C47C3B" w:rsidRDefault="00C47C3B" w:rsidP="00C47C3B">
            <w:pPr>
              <w:keepNext/>
              <w:jc w:val="both"/>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Benefits</w:t>
            </w:r>
          </w:p>
        </w:tc>
      </w:tr>
      <w:tr w:rsidR="00C47C3B" w:rsidRPr="00C47C3B" w:rsidTr="009F446F">
        <w:tc>
          <w:tcPr>
            <w:tcW w:w="5000" w:type="pct"/>
            <w:gridSpan w:val="16"/>
            <w:tcBorders>
              <w:top w:val="double" w:sz="4" w:space="0" w:color="auto"/>
            </w:tcBorders>
            <w:shd w:val="clear" w:color="auto" w:fill="auto"/>
            <w:vAlign w:val="center"/>
          </w:tcPr>
          <w:p w:rsidR="00C47C3B" w:rsidRPr="00C47C3B" w:rsidRDefault="00C47C3B" w:rsidP="00C47C3B">
            <w:pPr>
              <w:keepNext/>
              <w:jc w:val="both"/>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pp</w:t>
            </w:r>
            <w:r w:rsidRPr="00C47C3B">
              <w:rPr>
                <w:rFonts w:ascii="Arial Narrow" w:hAnsi="Arial Narrow" w:cs="Arial"/>
                <w:b/>
                <w:snapToGrid w:val="0"/>
                <w:sz w:val="20"/>
                <w:szCs w:val="20"/>
                <w:lang w:eastAsia="en-US"/>
              </w:rPr>
              <w:t>FEV</w:t>
            </w:r>
            <w:r w:rsidRPr="00C47C3B">
              <w:rPr>
                <w:rFonts w:ascii="Arial Narrow" w:hAnsi="Arial Narrow" w:cs="Arial"/>
                <w:b/>
                <w:snapToGrid w:val="0"/>
                <w:sz w:val="20"/>
                <w:szCs w:val="20"/>
                <w:vertAlign w:val="subscript"/>
                <w:lang w:eastAsia="en-US"/>
              </w:rPr>
              <w:t>1</w:t>
            </w:r>
            <w:r w:rsidRPr="00C47C3B">
              <w:rPr>
                <w:rFonts w:ascii="Arial Narrow" w:hAnsi="Arial Narrow" w:cs="Arial"/>
                <w:b/>
                <w:snapToGrid w:val="0"/>
                <w:color w:val="000000"/>
                <w:sz w:val="20"/>
                <w:szCs w:val="20"/>
                <w:lang w:eastAsia="en-US"/>
              </w:rPr>
              <w:t xml:space="preserve">: absolute change from baseline </w:t>
            </w:r>
          </w:p>
        </w:tc>
      </w:tr>
      <w:tr w:rsidR="00C47C3B" w:rsidRPr="00C47C3B" w:rsidTr="009F446F">
        <w:trPr>
          <w:trHeight w:val="225"/>
        </w:trPr>
        <w:tc>
          <w:tcPr>
            <w:tcW w:w="645" w:type="pct"/>
            <w:vMerge w:val="restart"/>
            <w:shd w:val="clear" w:color="auto" w:fill="auto"/>
            <w:vAlign w:val="center"/>
          </w:tcPr>
          <w:p w:rsidR="00C47C3B" w:rsidRPr="00C47C3B" w:rsidRDefault="00C47C3B" w:rsidP="00C47C3B">
            <w:pPr>
              <w:keepNext/>
              <w:jc w:val="both"/>
              <w:rPr>
                <w:rFonts w:ascii="Arial Narrow" w:hAnsi="Arial Narrow" w:cs="Arial"/>
                <w:snapToGrid w:val="0"/>
                <w:color w:val="000000"/>
                <w:sz w:val="20"/>
                <w:szCs w:val="20"/>
                <w:lang w:eastAsia="en-US"/>
              </w:rPr>
            </w:pPr>
          </w:p>
        </w:tc>
        <w:tc>
          <w:tcPr>
            <w:tcW w:w="1535" w:type="pct"/>
            <w:gridSpan w:val="8"/>
            <w:vAlign w:val="center"/>
          </w:tcPr>
          <w:p w:rsidR="00C47C3B" w:rsidRPr="00C47C3B" w:rsidRDefault="00C47C3B" w:rsidP="00C47C3B">
            <w:pPr>
              <w:keepNext/>
              <w:jc w:val="center"/>
              <w:rPr>
                <w:rFonts w:ascii="Arial Narrow" w:hAnsi="Arial Narrow" w:cs="Arial"/>
                <w:b/>
                <w:snapToGrid w:val="0"/>
                <w:sz w:val="20"/>
                <w:szCs w:val="20"/>
                <w:lang w:val="en-US" w:eastAsia="en-US"/>
              </w:rPr>
            </w:pPr>
            <w:proofErr w:type="spellStart"/>
            <w:r w:rsidRPr="00C47C3B">
              <w:rPr>
                <w:rFonts w:ascii="Arial Narrow" w:hAnsi="Arial Narrow" w:cs="Arial"/>
                <w:b/>
                <w:snapToGrid w:val="0"/>
                <w:sz w:val="20"/>
                <w:szCs w:val="20"/>
                <w:lang w:val="en-US" w:eastAsia="en-US"/>
              </w:rPr>
              <w:t>Lumacaftor</w:t>
            </w:r>
            <w:proofErr w:type="spellEnd"/>
            <w:r w:rsidRPr="00C47C3B">
              <w:rPr>
                <w:rFonts w:ascii="Arial Narrow" w:hAnsi="Arial Narrow" w:cs="Arial"/>
                <w:b/>
                <w:snapToGrid w:val="0"/>
                <w:sz w:val="20"/>
                <w:szCs w:val="20"/>
                <w:lang w:val="en-US" w:eastAsia="en-US"/>
              </w:rPr>
              <w:t>/</w:t>
            </w:r>
            <w:proofErr w:type="spellStart"/>
            <w:r w:rsidRPr="00C47C3B">
              <w:rPr>
                <w:rFonts w:ascii="Arial Narrow" w:hAnsi="Arial Narrow" w:cs="Arial"/>
                <w:b/>
                <w:snapToGrid w:val="0"/>
                <w:sz w:val="20"/>
                <w:szCs w:val="20"/>
                <w:lang w:val="en-US" w:eastAsia="en-US"/>
              </w:rPr>
              <w:t>ivacaftor</w:t>
            </w:r>
            <w:proofErr w:type="spellEnd"/>
          </w:p>
        </w:tc>
        <w:tc>
          <w:tcPr>
            <w:tcW w:w="1823" w:type="pct"/>
            <w:gridSpan w:val="5"/>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b/>
                <w:snapToGrid w:val="0"/>
                <w:color w:val="000000"/>
                <w:sz w:val="20"/>
                <w:szCs w:val="20"/>
                <w:lang w:eastAsia="en-US"/>
              </w:rPr>
              <w:t>Placebo</w:t>
            </w:r>
          </w:p>
        </w:tc>
        <w:tc>
          <w:tcPr>
            <w:tcW w:w="997" w:type="pct"/>
            <w:gridSpan w:val="2"/>
            <w:vMerge w:val="restart"/>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LS mean difference</w:t>
            </w:r>
          </w:p>
          <w:p w:rsidR="00C47C3B" w:rsidRPr="00C47C3B" w:rsidRDefault="00C47C3B" w:rsidP="00C47C3B">
            <w:pPr>
              <w:keepNext/>
              <w:jc w:val="center"/>
              <w:rPr>
                <w:rFonts w:ascii="Arial Narrow" w:hAnsi="Arial Narrow" w:cs="Arial"/>
                <w:b/>
                <w:snapToGrid w:val="0"/>
                <w:sz w:val="20"/>
                <w:szCs w:val="20"/>
                <w:lang w:eastAsia="en-US"/>
              </w:rPr>
            </w:pPr>
            <w:proofErr w:type="spellStart"/>
            <w:r w:rsidRPr="00C47C3B">
              <w:rPr>
                <w:rFonts w:ascii="Arial Narrow" w:hAnsi="Arial Narrow" w:cs="Arial"/>
                <w:b/>
                <w:snapToGrid w:val="0"/>
                <w:sz w:val="20"/>
                <w:szCs w:val="20"/>
                <w:lang w:eastAsia="en-US"/>
              </w:rPr>
              <w:t>lumacaftor</w:t>
            </w:r>
            <w:proofErr w:type="spellEnd"/>
            <w:r w:rsidRPr="00C47C3B">
              <w:rPr>
                <w:rFonts w:ascii="Arial Narrow" w:hAnsi="Arial Narrow" w:cs="Arial"/>
                <w:b/>
                <w:snapToGrid w:val="0"/>
                <w:sz w:val="20"/>
                <w:szCs w:val="20"/>
                <w:lang w:eastAsia="en-US"/>
              </w:rPr>
              <w:t>/</w:t>
            </w:r>
            <w:proofErr w:type="spellStart"/>
            <w:r w:rsidRPr="00C47C3B">
              <w:rPr>
                <w:rFonts w:ascii="Arial Narrow" w:hAnsi="Arial Narrow" w:cs="Arial"/>
                <w:b/>
                <w:snapToGrid w:val="0"/>
                <w:sz w:val="20"/>
                <w:szCs w:val="20"/>
                <w:lang w:eastAsia="en-US"/>
              </w:rPr>
              <w:t>ivacaftor</w:t>
            </w:r>
            <w:proofErr w:type="spellEnd"/>
            <w:r w:rsidRPr="00C47C3B">
              <w:rPr>
                <w:rFonts w:ascii="Arial Narrow" w:hAnsi="Arial Narrow" w:cs="Arial"/>
                <w:b/>
                <w:snapToGrid w:val="0"/>
                <w:sz w:val="20"/>
                <w:szCs w:val="20"/>
                <w:lang w:eastAsia="en-US"/>
              </w:rPr>
              <w:t xml:space="preserve"> vs. placebo</w:t>
            </w:r>
          </w:p>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(95% CI)</w:t>
            </w:r>
          </w:p>
        </w:tc>
      </w:tr>
      <w:tr w:rsidR="00C47C3B" w:rsidRPr="00C47C3B" w:rsidTr="009F446F">
        <w:trPr>
          <w:trHeight w:val="225"/>
        </w:trPr>
        <w:tc>
          <w:tcPr>
            <w:tcW w:w="645" w:type="pct"/>
            <w:vMerge/>
            <w:shd w:val="clear" w:color="auto" w:fill="auto"/>
            <w:vAlign w:val="center"/>
          </w:tcPr>
          <w:p w:rsidR="00C47C3B" w:rsidRPr="00C47C3B" w:rsidRDefault="00C47C3B" w:rsidP="00C47C3B">
            <w:pPr>
              <w:keepNext/>
              <w:jc w:val="both"/>
              <w:rPr>
                <w:rFonts w:ascii="Arial Narrow" w:hAnsi="Arial Narrow" w:cs="Arial"/>
                <w:snapToGrid w:val="0"/>
                <w:color w:val="000000"/>
                <w:sz w:val="20"/>
                <w:szCs w:val="20"/>
                <w:lang w:eastAsia="en-US"/>
              </w:rPr>
            </w:pPr>
          </w:p>
        </w:tc>
        <w:tc>
          <w:tcPr>
            <w:tcW w:w="486" w:type="pct"/>
            <w:gridSpan w:val="3"/>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N</w:t>
            </w:r>
          </w:p>
        </w:tc>
        <w:tc>
          <w:tcPr>
            <w:tcW w:w="536" w:type="pct"/>
            <w:gridSpan w:val="3"/>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Mean ∆ baseline ppFEV</w:t>
            </w:r>
            <w:r w:rsidRPr="00C47C3B">
              <w:rPr>
                <w:rFonts w:ascii="Arial Narrow" w:hAnsi="Arial Narrow" w:cs="Arial"/>
                <w:b/>
                <w:snapToGrid w:val="0"/>
                <w:sz w:val="20"/>
                <w:szCs w:val="20"/>
                <w:vertAlign w:val="subscript"/>
                <w:lang w:eastAsia="en-US"/>
              </w:rPr>
              <w:t>1</w:t>
            </w:r>
          </w:p>
        </w:tc>
        <w:tc>
          <w:tcPr>
            <w:tcW w:w="513" w:type="pct"/>
            <w:gridSpan w:val="2"/>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SE</w:t>
            </w:r>
          </w:p>
        </w:tc>
        <w:tc>
          <w:tcPr>
            <w:tcW w:w="464" w:type="pct"/>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n</w:t>
            </w:r>
          </w:p>
        </w:tc>
        <w:tc>
          <w:tcPr>
            <w:tcW w:w="677" w:type="pct"/>
            <w:gridSpan w:val="2"/>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Mean ∆ baseline ppFEV</w:t>
            </w:r>
            <w:r w:rsidRPr="00C47C3B">
              <w:rPr>
                <w:rFonts w:ascii="Arial Narrow" w:hAnsi="Arial Narrow" w:cs="Arial"/>
                <w:b/>
                <w:snapToGrid w:val="0"/>
                <w:sz w:val="20"/>
                <w:szCs w:val="20"/>
                <w:vertAlign w:val="subscript"/>
                <w:lang w:eastAsia="en-US"/>
              </w:rPr>
              <w:t>1</w:t>
            </w:r>
          </w:p>
        </w:tc>
        <w:tc>
          <w:tcPr>
            <w:tcW w:w="682" w:type="pct"/>
            <w:gridSpan w:val="2"/>
            <w:vAlign w:val="center"/>
          </w:tcPr>
          <w:p w:rsidR="00C47C3B" w:rsidRPr="00C47C3B" w:rsidRDefault="00C47C3B" w:rsidP="00C47C3B">
            <w:pPr>
              <w:keepNext/>
              <w:jc w:val="center"/>
              <w:rPr>
                <w:rFonts w:ascii="Arial Narrow" w:hAnsi="Arial Narrow" w:cs="Arial"/>
                <w:b/>
                <w:snapToGrid w:val="0"/>
                <w:sz w:val="20"/>
                <w:szCs w:val="20"/>
                <w:lang w:eastAsia="en-US"/>
              </w:rPr>
            </w:pPr>
            <w:r w:rsidRPr="00C47C3B">
              <w:rPr>
                <w:rFonts w:ascii="Arial Narrow" w:hAnsi="Arial Narrow" w:cs="Arial"/>
                <w:b/>
                <w:snapToGrid w:val="0"/>
                <w:sz w:val="20"/>
                <w:szCs w:val="20"/>
                <w:lang w:eastAsia="en-US"/>
              </w:rPr>
              <w:t>SE</w:t>
            </w:r>
          </w:p>
        </w:tc>
        <w:tc>
          <w:tcPr>
            <w:tcW w:w="997" w:type="pct"/>
            <w:gridSpan w:val="2"/>
            <w:vMerge/>
            <w:vAlign w:val="center"/>
          </w:tcPr>
          <w:p w:rsidR="00C47C3B" w:rsidRPr="00C47C3B" w:rsidRDefault="00C47C3B" w:rsidP="00C47C3B">
            <w:pPr>
              <w:keepNext/>
              <w:jc w:val="center"/>
              <w:rPr>
                <w:rFonts w:ascii="Arial Narrow" w:hAnsi="Arial Narrow" w:cs="Arial"/>
                <w:b/>
                <w:snapToGrid w:val="0"/>
                <w:sz w:val="20"/>
                <w:szCs w:val="20"/>
                <w:lang w:eastAsia="en-US"/>
              </w:rPr>
            </w:pPr>
          </w:p>
        </w:tc>
      </w:tr>
      <w:tr w:rsidR="00C47C3B" w:rsidRPr="00C47C3B" w:rsidTr="009F446F">
        <w:tc>
          <w:tcPr>
            <w:tcW w:w="645" w:type="pct"/>
            <w:tcBorders>
              <w:bottom w:val="single" w:sz="4" w:space="0" w:color="auto"/>
            </w:tcBorders>
            <w:shd w:val="clear" w:color="auto" w:fill="auto"/>
            <w:vAlign w:val="center"/>
          </w:tcPr>
          <w:p w:rsidR="00C47C3B" w:rsidRPr="00C47C3B" w:rsidRDefault="00C47C3B" w:rsidP="00C47C3B">
            <w:pPr>
              <w:keepNext/>
              <w:jc w:val="both"/>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 xml:space="preserve">Traffic </w:t>
            </w:r>
          </w:p>
        </w:tc>
        <w:tc>
          <w:tcPr>
            <w:tcW w:w="486" w:type="pct"/>
            <w:gridSpan w:val="3"/>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182</w:t>
            </w:r>
          </w:p>
        </w:tc>
        <w:tc>
          <w:tcPr>
            <w:tcW w:w="536" w:type="pct"/>
            <w:gridSpan w:val="3"/>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2.16</w:t>
            </w:r>
          </w:p>
        </w:tc>
        <w:tc>
          <w:tcPr>
            <w:tcW w:w="513" w:type="pct"/>
            <w:gridSpan w:val="2"/>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0.530</w:t>
            </w:r>
          </w:p>
        </w:tc>
        <w:tc>
          <w:tcPr>
            <w:tcW w:w="464" w:type="pct"/>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184</w:t>
            </w:r>
          </w:p>
        </w:tc>
        <w:tc>
          <w:tcPr>
            <w:tcW w:w="677" w:type="pct"/>
            <w:gridSpan w:val="2"/>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-0.44</w:t>
            </w:r>
          </w:p>
        </w:tc>
        <w:tc>
          <w:tcPr>
            <w:tcW w:w="682" w:type="pct"/>
            <w:gridSpan w:val="2"/>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0.524</w:t>
            </w:r>
          </w:p>
        </w:tc>
        <w:tc>
          <w:tcPr>
            <w:tcW w:w="997" w:type="pct"/>
            <w:gridSpan w:val="2"/>
            <w:tcBorders>
              <w:bottom w:val="single" w:sz="4" w:space="0" w:color="auto"/>
            </w:tcBorders>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2.60 (1.18, 4.40)</w:t>
            </w:r>
          </w:p>
        </w:tc>
      </w:tr>
      <w:tr w:rsidR="00C47C3B" w:rsidRPr="00C47C3B" w:rsidTr="009F446F">
        <w:tc>
          <w:tcPr>
            <w:tcW w:w="645" w:type="pct"/>
            <w:tcBorders>
              <w:bottom w:val="single" w:sz="4" w:space="0" w:color="auto"/>
            </w:tcBorders>
            <w:shd w:val="clear" w:color="auto" w:fill="auto"/>
            <w:vAlign w:val="center"/>
          </w:tcPr>
          <w:p w:rsidR="00C47C3B" w:rsidRPr="00C47C3B" w:rsidRDefault="00C47C3B" w:rsidP="00C47C3B">
            <w:pPr>
              <w:keepNext/>
              <w:jc w:val="both"/>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Transport</w:t>
            </w:r>
          </w:p>
        </w:tc>
        <w:tc>
          <w:tcPr>
            <w:tcW w:w="486" w:type="pct"/>
            <w:gridSpan w:val="3"/>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187</w:t>
            </w:r>
          </w:p>
        </w:tc>
        <w:tc>
          <w:tcPr>
            <w:tcW w:w="536" w:type="pct"/>
            <w:gridSpan w:val="3"/>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2.85</w:t>
            </w:r>
          </w:p>
        </w:tc>
        <w:tc>
          <w:tcPr>
            <w:tcW w:w="513" w:type="pct"/>
            <w:gridSpan w:val="2"/>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0.540</w:t>
            </w:r>
          </w:p>
        </w:tc>
        <w:tc>
          <w:tcPr>
            <w:tcW w:w="464" w:type="pct"/>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187</w:t>
            </w:r>
          </w:p>
        </w:tc>
        <w:tc>
          <w:tcPr>
            <w:tcW w:w="677" w:type="pct"/>
            <w:gridSpan w:val="2"/>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-0.15</w:t>
            </w:r>
          </w:p>
        </w:tc>
        <w:tc>
          <w:tcPr>
            <w:tcW w:w="682" w:type="pct"/>
            <w:gridSpan w:val="2"/>
            <w:tcBorders>
              <w:bottom w:val="sing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0.539</w:t>
            </w:r>
          </w:p>
        </w:tc>
        <w:tc>
          <w:tcPr>
            <w:tcW w:w="997" w:type="pct"/>
            <w:gridSpan w:val="2"/>
            <w:tcBorders>
              <w:bottom w:val="single" w:sz="4" w:space="0" w:color="auto"/>
            </w:tcBorders>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3.00 (1.56, 4.44)</w:t>
            </w:r>
          </w:p>
        </w:tc>
      </w:tr>
      <w:tr w:rsidR="00C47C3B" w:rsidRPr="00C47C3B" w:rsidTr="009F446F">
        <w:tc>
          <w:tcPr>
            <w:tcW w:w="645" w:type="pct"/>
            <w:tcBorders>
              <w:top w:val="single" w:sz="4" w:space="0" w:color="auto"/>
              <w:bottom w:val="double" w:sz="4" w:space="0" w:color="auto"/>
            </w:tcBorders>
            <w:shd w:val="clear" w:color="auto" w:fill="auto"/>
            <w:vAlign w:val="center"/>
          </w:tcPr>
          <w:p w:rsidR="00C47C3B" w:rsidRPr="00C47C3B" w:rsidRDefault="00C47C3B" w:rsidP="00C47C3B">
            <w:pPr>
              <w:keepNext/>
              <w:jc w:val="both"/>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Pooled</w:t>
            </w:r>
          </w:p>
        </w:tc>
        <w:tc>
          <w:tcPr>
            <w:tcW w:w="486" w:type="pct"/>
            <w:gridSpan w:val="3"/>
            <w:tcBorders>
              <w:top w:val="single" w:sz="4" w:space="0" w:color="auto"/>
              <w:bottom w:val="doub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369</w:t>
            </w:r>
          </w:p>
        </w:tc>
        <w:tc>
          <w:tcPr>
            <w:tcW w:w="536" w:type="pct"/>
            <w:gridSpan w:val="3"/>
            <w:tcBorders>
              <w:top w:val="single" w:sz="4" w:space="0" w:color="auto"/>
              <w:bottom w:val="doub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2.49</w:t>
            </w:r>
          </w:p>
        </w:tc>
        <w:tc>
          <w:tcPr>
            <w:tcW w:w="513" w:type="pct"/>
            <w:gridSpan w:val="2"/>
            <w:tcBorders>
              <w:top w:val="single" w:sz="4" w:space="0" w:color="auto"/>
              <w:bottom w:val="doub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0.379</w:t>
            </w:r>
          </w:p>
        </w:tc>
        <w:tc>
          <w:tcPr>
            <w:tcW w:w="464" w:type="pct"/>
            <w:tcBorders>
              <w:top w:val="single" w:sz="4" w:space="0" w:color="auto"/>
              <w:bottom w:val="doub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371</w:t>
            </w:r>
          </w:p>
        </w:tc>
        <w:tc>
          <w:tcPr>
            <w:tcW w:w="677" w:type="pct"/>
            <w:gridSpan w:val="2"/>
            <w:tcBorders>
              <w:top w:val="single" w:sz="4" w:space="0" w:color="auto"/>
              <w:bottom w:val="doub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-0.32</w:t>
            </w:r>
          </w:p>
        </w:tc>
        <w:tc>
          <w:tcPr>
            <w:tcW w:w="682" w:type="pct"/>
            <w:gridSpan w:val="2"/>
            <w:tcBorders>
              <w:top w:val="single" w:sz="4" w:space="0" w:color="auto"/>
              <w:bottom w:val="double" w:sz="4" w:space="0" w:color="auto"/>
            </w:tcBorders>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0.376</w:t>
            </w:r>
          </w:p>
        </w:tc>
        <w:tc>
          <w:tcPr>
            <w:tcW w:w="997" w:type="pct"/>
            <w:gridSpan w:val="2"/>
            <w:tcBorders>
              <w:top w:val="single" w:sz="4" w:space="0" w:color="auto"/>
              <w:bottom w:val="double" w:sz="4" w:space="0" w:color="auto"/>
            </w:tcBorders>
            <w:vAlign w:val="center"/>
          </w:tcPr>
          <w:p w:rsidR="00C47C3B" w:rsidRPr="00C47C3B" w:rsidRDefault="00C47C3B" w:rsidP="00C47C3B">
            <w:pPr>
              <w:keepNext/>
              <w:jc w:val="center"/>
              <w:rPr>
                <w:rFonts w:ascii="Arial Narrow" w:hAnsi="Arial Narrow" w:cs="Arial"/>
                <w:snapToGrid w:val="0"/>
                <w:sz w:val="20"/>
                <w:szCs w:val="20"/>
                <w:lang w:eastAsia="en-US"/>
              </w:rPr>
            </w:pPr>
            <w:r w:rsidRPr="00C47C3B">
              <w:rPr>
                <w:rFonts w:ascii="Arial Narrow" w:hAnsi="Arial Narrow" w:cs="Arial"/>
                <w:snapToGrid w:val="0"/>
                <w:sz w:val="20"/>
                <w:szCs w:val="20"/>
                <w:lang w:eastAsia="en-US"/>
              </w:rPr>
              <w:t>2.81 (1.80, 3.82)</w:t>
            </w:r>
          </w:p>
        </w:tc>
      </w:tr>
      <w:tr w:rsidR="00C47C3B" w:rsidRPr="00C47C3B" w:rsidTr="009F446F">
        <w:tc>
          <w:tcPr>
            <w:tcW w:w="5000" w:type="pct"/>
            <w:gridSpan w:val="16"/>
            <w:tcBorders>
              <w:top w:val="double" w:sz="4" w:space="0" w:color="auto"/>
            </w:tcBorders>
            <w:shd w:val="clear" w:color="auto" w:fill="auto"/>
            <w:vAlign w:val="center"/>
          </w:tcPr>
          <w:p w:rsidR="00C47C3B" w:rsidRPr="00C47C3B" w:rsidRDefault="00C47C3B" w:rsidP="00C47C3B">
            <w:pPr>
              <w:keepNext/>
              <w:jc w:val="both"/>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 xml:space="preserve">Harms </w:t>
            </w:r>
          </w:p>
        </w:tc>
      </w:tr>
      <w:tr w:rsidR="00C47C3B" w:rsidRPr="00C47C3B" w:rsidTr="009F446F">
        <w:trPr>
          <w:trHeight w:val="70"/>
        </w:trPr>
        <w:tc>
          <w:tcPr>
            <w:tcW w:w="649" w:type="pct"/>
            <w:gridSpan w:val="2"/>
            <w:vMerge w:val="restart"/>
            <w:shd w:val="clear" w:color="auto" w:fill="auto"/>
            <w:vAlign w:val="center"/>
          </w:tcPr>
          <w:p w:rsidR="00C47C3B" w:rsidRPr="00C47C3B" w:rsidRDefault="00C47C3B" w:rsidP="00C47C3B">
            <w:pPr>
              <w:keepNext/>
              <w:jc w:val="both"/>
              <w:rPr>
                <w:rFonts w:ascii="Arial Narrow" w:hAnsi="Arial Narrow" w:cs="Arial"/>
                <w:b/>
                <w:snapToGrid w:val="0"/>
                <w:color w:val="000000"/>
                <w:sz w:val="20"/>
                <w:szCs w:val="20"/>
                <w:lang w:eastAsia="en-US"/>
              </w:rPr>
            </w:pPr>
          </w:p>
        </w:tc>
        <w:tc>
          <w:tcPr>
            <w:tcW w:w="784" w:type="pct"/>
            <w:gridSpan w:val="3"/>
            <w:vMerge w:val="restart"/>
            <w:vAlign w:val="center"/>
          </w:tcPr>
          <w:p w:rsidR="00C47C3B" w:rsidRPr="00C47C3B" w:rsidRDefault="00C47C3B" w:rsidP="00C47C3B">
            <w:pPr>
              <w:keepNext/>
              <w:jc w:val="center"/>
              <w:rPr>
                <w:rFonts w:ascii="Arial Narrow" w:hAnsi="Arial Narrow" w:cs="Arial"/>
                <w:b/>
                <w:snapToGrid w:val="0"/>
                <w:sz w:val="20"/>
                <w:szCs w:val="20"/>
                <w:lang w:val="en-US" w:eastAsia="en-US"/>
              </w:rPr>
            </w:pPr>
            <w:proofErr w:type="spellStart"/>
            <w:r w:rsidRPr="00C47C3B">
              <w:rPr>
                <w:rFonts w:ascii="Arial Narrow" w:hAnsi="Arial Narrow" w:cs="Arial"/>
                <w:b/>
                <w:snapToGrid w:val="0"/>
                <w:sz w:val="20"/>
                <w:szCs w:val="20"/>
                <w:lang w:val="en-US" w:eastAsia="en-US"/>
              </w:rPr>
              <w:t>Lumacaftor</w:t>
            </w:r>
            <w:proofErr w:type="spellEnd"/>
          </w:p>
          <w:p w:rsidR="00C47C3B" w:rsidRPr="00C47C3B" w:rsidRDefault="00C47C3B" w:rsidP="00C47C3B">
            <w:pPr>
              <w:keepNext/>
              <w:jc w:val="center"/>
              <w:rPr>
                <w:rFonts w:ascii="Arial Narrow" w:hAnsi="Arial Narrow" w:cs="Arial"/>
                <w:b/>
                <w:snapToGrid w:val="0"/>
                <w:color w:val="000000"/>
                <w:sz w:val="20"/>
                <w:szCs w:val="20"/>
                <w:lang w:eastAsia="en-US"/>
              </w:rPr>
            </w:pPr>
            <w:r w:rsidRPr="00C47C3B">
              <w:rPr>
                <w:rFonts w:ascii="Arial Narrow" w:hAnsi="Arial Narrow" w:cs="Arial"/>
                <w:b/>
                <w:snapToGrid w:val="0"/>
                <w:sz w:val="20"/>
                <w:szCs w:val="20"/>
                <w:lang w:val="en-US" w:eastAsia="en-US"/>
              </w:rPr>
              <w:t>/</w:t>
            </w:r>
            <w:proofErr w:type="spellStart"/>
            <w:r w:rsidRPr="00C47C3B">
              <w:rPr>
                <w:rFonts w:ascii="Arial Narrow" w:hAnsi="Arial Narrow" w:cs="Arial"/>
                <w:b/>
                <w:snapToGrid w:val="0"/>
                <w:sz w:val="20"/>
                <w:szCs w:val="20"/>
                <w:lang w:val="en-US" w:eastAsia="en-US"/>
              </w:rPr>
              <w:t>ivacaftor</w:t>
            </w:r>
            <w:proofErr w:type="spellEnd"/>
          </w:p>
        </w:tc>
        <w:tc>
          <w:tcPr>
            <w:tcW w:w="626" w:type="pct"/>
            <w:gridSpan w:val="3"/>
            <w:vMerge w:val="restart"/>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Placebo</w:t>
            </w:r>
          </w:p>
        </w:tc>
        <w:tc>
          <w:tcPr>
            <w:tcW w:w="816" w:type="pct"/>
            <w:gridSpan w:val="3"/>
            <w:vMerge w:val="restart"/>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RR</w:t>
            </w:r>
          </w:p>
          <w:p w:rsidR="00C47C3B" w:rsidRPr="00C47C3B" w:rsidRDefault="00C47C3B" w:rsidP="00C47C3B">
            <w:pPr>
              <w:keepNext/>
              <w:jc w:val="center"/>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(95% CI)</w:t>
            </w:r>
          </w:p>
        </w:tc>
        <w:tc>
          <w:tcPr>
            <w:tcW w:w="1491" w:type="pct"/>
            <w:gridSpan w:val="4"/>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 xml:space="preserve">Event rate/100 patients per 24 weeks </w:t>
            </w:r>
          </w:p>
        </w:tc>
        <w:tc>
          <w:tcPr>
            <w:tcW w:w="634" w:type="pct"/>
            <w:vMerge w:val="restart"/>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RD</w:t>
            </w:r>
          </w:p>
        </w:tc>
      </w:tr>
      <w:tr w:rsidR="00C47C3B" w:rsidRPr="00C47C3B" w:rsidTr="009F446F">
        <w:trPr>
          <w:trHeight w:val="390"/>
        </w:trPr>
        <w:tc>
          <w:tcPr>
            <w:tcW w:w="649" w:type="pct"/>
            <w:gridSpan w:val="2"/>
            <w:vMerge/>
            <w:shd w:val="clear" w:color="auto" w:fill="auto"/>
            <w:vAlign w:val="center"/>
          </w:tcPr>
          <w:p w:rsidR="00C47C3B" w:rsidRPr="00C47C3B" w:rsidRDefault="00C47C3B" w:rsidP="00C47C3B">
            <w:pPr>
              <w:keepNext/>
              <w:jc w:val="both"/>
              <w:rPr>
                <w:rFonts w:ascii="Arial Narrow" w:hAnsi="Arial Narrow" w:cs="Arial"/>
                <w:b/>
                <w:snapToGrid w:val="0"/>
                <w:color w:val="000000"/>
                <w:sz w:val="20"/>
                <w:szCs w:val="20"/>
                <w:lang w:eastAsia="en-US"/>
              </w:rPr>
            </w:pPr>
          </w:p>
        </w:tc>
        <w:tc>
          <w:tcPr>
            <w:tcW w:w="784" w:type="pct"/>
            <w:gridSpan w:val="3"/>
            <w:vMerge/>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p>
        </w:tc>
        <w:tc>
          <w:tcPr>
            <w:tcW w:w="626" w:type="pct"/>
            <w:gridSpan w:val="3"/>
            <w:vMerge/>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p>
        </w:tc>
        <w:tc>
          <w:tcPr>
            <w:tcW w:w="816" w:type="pct"/>
            <w:gridSpan w:val="3"/>
            <w:vMerge/>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p>
        </w:tc>
        <w:tc>
          <w:tcPr>
            <w:tcW w:w="745" w:type="pct"/>
            <w:gridSpan w:val="2"/>
            <w:vAlign w:val="center"/>
          </w:tcPr>
          <w:p w:rsidR="00C47C3B" w:rsidRPr="00C47C3B" w:rsidRDefault="00C47C3B" w:rsidP="00C47C3B">
            <w:pPr>
              <w:keepNext/>
              <w:jc w:val="center"/>
              <w:rPr>
                <w:rFonts w:ascii="Arial Narrow" w:hAnsi="Arial Narrow" w:cs="Arial"/>
                <w:b/>
                <w:snapToGrid w:val="0"/>
                <w:sz w:val="20"/>
                <w:szCs w:val="20"/>
                <w:lang w:val="en-US" w:eastAsia="en-US"/>
              </w:rPr>
            </w:pPr>
            <w:proofErr w:type="spellStart"/>
            <w:r w:rsidRPr="00C47C3B">
              <w:rPr>
                <w:rFonts w:ascii="Arial Narrow" w:hAnsi="Arial Narrow" w:cs="Arial"/>
                <w:b/>
                <w:snapToGrid w:val="0"/>
                <w:sz w:val="20"/>
                <w:szCs w:val="20"/>
                <w:lang w:val="en-US" w:eastAsia="en-US"/>
              </w:rPr>
              <w:t>Lumacaftor</w:t>
            </w:r>
            <w:proofErr w:type="spellEnd"/>
          </w:p>
          <w:p w:rsidR="00C47C3B" w:rsidRPr="00C47C3B" w:rsidRDefault="00C47C3B" w:rsidP="00C47C3B">
            <w:pPr>
              <w:keepNext/>
              <w:jc w:val="center"/>
              <w:rPr>
                <w:rFonts w:ascii="Arial Narrow" w:hAnsi="Arial Narrow" w:cs="Arial"/>
                <w:b/>
                <w:snapToGrid w:val="0"/>
                <w:color w:val="000000"/>
                <w:sz w:val="20"/>
                <w:szCs w:val="20"/>
                <w:lang w:eastAsia="en-US"/>
              </w:rPr>
            </w:pPr>
            <w:r w:rsidRPr="00C47C3B">
              <w:rPr>
                <w:rFonts w:ascii="Arial Narrow" w:hAnsi="Arial Narrow" w:cs="Arial"/>
                <w:b/>
                <w:snapToGrid w:val="0"/>
                <w:sz w:val="20"/>
                <w:szCs w:val="20"/>
                <w:lang w:val="en-US" w:eastAsia="en-US"/>
              </w:rPr>
              <w:t>/</w:t>
            </w:r>
            <w:proofErr w:type="spellStart"/>
            <w:r w:rsidRPr="00C47C3B">
              <w:rPr>
                <w:rFonts w:ascii="Arial Narrow" w:hAnsi="Arial Narrow" w:cs="Arial"/>
                <w:b/>
                <w:snapToGrid w:val="0"/>
                <w:sz w:val="20"/>
                <w:szCs w:val="20"/>
                <w:lang w:val="en-US" w:eastAsia="en-US"/>
              </w:rPr>
              <w:t>ivacaftor</w:t>
            </w:r>
            <w:proofErr w:type="spellEnd"/>
          </w:p>
        </w:tc>
        <w:tc>
          <w:tcPr>
            <w:tcW w:w="746" w:type="pct"/>
            <w:gridSpan w:val="2"/>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Placebo</w:t>
            </w:r>
          </w:p>
        </w:tc>
        <w:tc>
          <w:tcPr>
            <w:tcW w:w="634" w:type="pct"/>
            <w:vMerge/>
            <w:vAlign w:val="center"/>
          </w:tcPr>
          <w:p w:rsidR="00C47C3B" w:rsidRPr="00C47C3B" w:rsidRDefault="00C47C3B" w:rsidP="00C47C3B">
            <w:pPr>
              <w:keepNext/>
              <w:jc w:val="center"/>
              <w:rPr>
                <w:rFonts w:ascii="Arial Narrow" w:hAnsi="Arial Narrow" w:cs="Arial"/>
                <w:b/>
                <w:snapToGrid w:val="0"/>
                <w:color w:val="000000"/>
                <w:sz w:val="20"/>
                <w:szCs w:val="20"/>
                <w:lang w:eastAsia="en-US"/>
              </w:rPr>
            </w:pPr>
          </w:p>
        </w:tc>
      </w:tr>
      <w:tr w:rsidR="00C47C3B" w:rsidRPr="00C47C3B" w:rsidTr="009F446F">
        <w:tc>
          <w:tcPr>
            <w:tcW w:w="5000" w:type="pct"/>
            <w:gridSpan w:val="16"/>
            <w:shd w:val="clear" w:color="auto" w:fill="auto"/>
            <w:vAlign w:val="center"/>
          </w:tcPr>
          <w:p w:rsidR="00C47C3B" w:rsidRPr="00C47C3B" w:rsidRDefault="00C47C3B" w:rsidP="00C47C3B">
            <w:pPr>
              <w:keepNext/>
              <w:jc w:val="both"/>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Subjects with any adverse event</w:t>
            </w:r>
          </w:p>
        </w:tc>
      </w:tr>
      <w:tr w:rsidR="00C47C3B" w:rsidRPr="00C47C3B" w:rsidTr="009F446F">
        <w:tc>
          <w:tcPr>
            <w:tcW w:w="652" w:type="pct"/>
            <w:gridSpan w:val="3"/>
            <w:shd w:val="clear" w:color="auto" w:fill="auto"/>
            <w:vAlign w:val="center"/>
          </w:tcPr>
          <w:p w:rsidR="00C47C3B" w:rsidRPr="00C47C3B" w:rsidRDefault="00C47C3B" w:rsidP="00C47C3B">
            <w:pPr>
              <w:keepNext/>
              <w:jc w:val="both"/>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Pooled</w:t>
            </w:r>
          </w:p>
        </w:tc>
        <w:tc>
          <w:tcPr>
            <w:tcW w:w="784" w:type="pct"/>
            <w:gridSpan w:val="3"/>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351/369</w:t>
            </w:r>
          </w:p>
        </w:tc>
        <w:tc>
          <w:tcPr>
            <w:tcW w:w="622" w:type="pct"/>
            <w:gridSpan w:val="2"/>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355/370</w:t>
            </w:r>
          </w:p>
        </w:tc>
        <w:tc>
          <w:tcPr>
            <w:tcW w:w="816" w:type="pct"/>
            <w:gridSpan w:val="3"/>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0.99</w:t>
            </w:r>
          </w:p>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(0.96,1.02)</w:t>
            </w:r>
          </w:p>
        </w:tc>
        <w:tc>
          <w:tcPr>
            <w:tcW w:w="745" w:type="pct"/>
            <w:gridSpan w:val="2"/>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95.1</w:t>
            </w:r>
          </w:p>
        </w:tc>
        <w:tc>
          <w:tcPr>
            <w:tcW w:w="746" w:type="pct"/>
            <w:gridSpan w:val="2"/>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95.9</w:t>
            </w:r>
          </w:p>
        </w:tc>
        <w:tc>
          <w:tcPr>
            <w:tcW w:w="634" w:type="pct"/>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0.00</w:t>
            </w:r>
          </w:p>
        </w:tc>
      </w:tr>
      <w:tr w:rsidR="00C47C3B" w:rsidRPr="00C47C3B" w:rsidTr="009F446F">
        <w:tc>
          <w:tcPr>
            <w:tcW w:w="5000" w:type="pct"/>
            <w:gridSpan w:val="16"/>
            <w:shd w:val="clear" w:color="auto" w:fill="auto"/>
            <w:vAlign w:val="center"/>
          </w:tcPr>
          <w:p w:rsidR="00C47C3B" w:rsidRPr="00C47C3B" w:rsidRDefault="00C47C3B" w:rsidP="00C47C3B">
            <w:pPr>
              <w:keepNext/>
              <w:jc w:val="both"/>
              <w:rPr>
                <w:rFonts w:ascii="Arial Narrow" w:hAnsi="Arial Narrow" w:cs="Arial"/>
                <w:b/>
                <w:snapToGrid w:val="0"/>
                <w:color w:val="000000"/>
                <w:sz w:val="20"/>
                <w:szCs w:val="20"/>
                <w:lang w:eastAsia="en-US"/>
              </w:rPr>
            </w:pPr>
            <w:r w:rsidRPr="00C47C3B">
              <w:rPr>
                <w:rFonts w:ascii="Arial Narrow" w:hAnsi="Arial Narrow" w:cs="Arial"/>
                <w:b/>
                <w:snapToGrid w:val="0"/>
                <w:color w:val="000000"/>
                <w:sz w:val="20"/>
                <w:szCs w:val="20"/>
                <w:lang w:eastAsia="en-US"/>
              </w:rPr>
              <w:t>Subjects with any serious adverse event</w:t>
            </w:r>
          </w:p>
        </w:tc>
      </w:tr>
      <w:tr w:rsidR="00C47C3B" w:rsidRPr="00C47C3B" w:rsidTr="009F446F">
        <w:tc>
          <w:tcPr>
            <w:tcW w:w="652" w:type="pct"/>
            <w:gridSpan w:val="3"/>
            <w:shd w:val="clear" w:color="auto" w:fill="auto"/>
            <w:vAlign w:val="center"/>
          </w:tcPr>
          <w:p w:rsidR="00C47C3B" w:rsidRPr="00C47C3B" w:rsidRDefault="00C47C3B" w:rsidP="00C47C3B">
            <w:pPr>
              <w:keepNext/>
              <w:jc w:val="both"/>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Pooled</w:t>
            </w:r>
          </w:p>
        </w:tc>
        <w:tc>
          <w:tcPr>
            <w:tcW w:w="784" w:type="pct"/>
            <w:gridSpan w:val="3"/>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64/369</w:t>
            </w:r>
          </w:p>
        </w:tc>
        <w:tc>
          <w:tcPr>
            <w:tcW w:w="622" w:type="pct"/>
            <w:gridSpan w:val="2"/>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106/370</w:t>
            </w:r>
          </w:p>
        </w:tc>
        <w:tc>
          <w:tcPr>
            <w:tcW w:w="816" w:type="pct"/>
            <w:gridSpan w:val="3"/>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0.61</w:t>
            </w:r>
          </w:p>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(0.46, 0.80)</w:t>
            </w:r>
          </w:p>
        </w:tc>
        <w:tc>
          <w:tcPr>
            <w:tcW w:w="745" w:type="pct"/>
            <w:gridSpan w:val="2"/>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17.3</w:t>
            </w:r>
          </w:p>
        </w:tc>
        <w:tc>
          <w:tcPr>
            <w:tcW w:w="746" w:type="pct"/>
            <w:gridSpan w:val="2"/>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28.6</w:t>
            </w:r>
          </w:p>
        </w:tc>
        <w:tc>
          <w:tcPr>
            <w:tcW w:w="634" w:type="pct"/>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-0.11</w:t>
            </w:r>
          </w:p>
        </w:tc>
      </w:tr>
      <w:tr w:rsidR="00C47C3B" w:rsidRPr="00C47C3B" w:rsidTr="009F446F">
        <w:tc>
          <w:tcPr>
            <w:tcW w:w="5000" w:type="pct"/>
            <w:gridSpan w:val="16"/>
            <w:shd w:val="clear" w:color="auto" w:fill="auto"/>
            <w:vAlign w:val="center"/>
          </w:tcPr>
          <w:p w:rsidR="00C47C3B" w:rsidRPr="00C47C3B" w:rsidRDefault="00C47C3B" w:rsidP="00C47C3B">
            <w:pPr>
              <w:keepNext/>
              <w:jc w:val="both"/>
              <w:rPr>
                <w:rFonts w:ascii="Arial Narrow" w:hAnsi="Arial Narrow" w:cs="Arial"/>
                <w:snapToGrid w:val="0"/>
                <w:color w:val="000000"/>
                <w:sz w:val="20"/>
                <w:szCs w:val="20"/>
                <w:lang w:eastAsia="en-US"/>
              </w:rPr>
            </w:pPr>
            <w:r w:rsidRPr="00C47C3B">
              <w:rPr>
                <w:rFonts w:ascii="Arial Narrow" w:hAnsi="Arial Narrow" w:cs="Arial"/>
                <w:b/>
                <w:snapToGrid w:val="0"/>
                <w:color w:val="000000"/>
                <w:sz w:val="20"/>
                <w:szCs w:val="20"/>
                <w:lang w:eastAsia="en-US"/>
              </w:rPr>
              <w:t>Subjects with any treatment related serious event</w:t>
            </w:r>
          </w:p>
        </w:tc>
      </w:tr>
      <w:tr w:rsidR="00C47C3B" w:rsidRPr="00C47C3B" w:rsidTr="009F446F">
        <w:tc>
          <w:tcPr>
            <w:tcW w:w="649" w:type="pct"/>
            <w:gridSpan w:val="2"/>
            <w:shd w:val="clear" w:color="auto" w:fill="auto"/>
            <w:vAlign w:val="center"/>
          </w:tcPr>
          <w:p w:rsidR="00C47C3B" w:rsidRPr="00C47C3B" w:rsidRDefault="00C47C3B" w:rsidP="00C47C3B">
            <w:pPr>
              <w:keepNext/>
              <w:jc w:val="both"/>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Pooled</w:t>
            </w:r>
          </w:p>
        </w:tc>
        <w:tc>
          <w:tcPr>
            <w:tcW w:w="788" w:type="pct"/>
            <w:gridSpan w:val="4"/>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14/369</w:t>
            </w:r>
          </w:p>
        </w:tc>
        <w:tc>
          <w:tcPr>
            <w:tcW w:w="622" w:type="pct"/>
            <w:gridSpan w:val="2"/>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8/370</w:t>
            </w:r>
          </w:p>
        </w:tc>
        <w:tc>
          <w:tcPr>
            <w:tcW w:w="816" w:type="pct"/>
            <w:gridSpan w:val="3"/>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1.75</w:t>
            </w:r>
          </w:p>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(0.75, 4.13)</w:t>
            </w:r>
          </w:p>
        </w:tc>
        <w:tc>
          <w:tcPr>
            <w:tcW w:w="745" w:type="pct"/>
            <w:gridSpan w:val="2"/>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3.8</w:t>
            </w:r>
          </w:p>
        </w:tc>
        <w:tc>
          <w:tcPr>
            <w:tcW w:w="746" w:type="pct"/>
            <w:gridSpan w:val="2"/>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2.2</w:t>
            </w:r>
          </w:p>
        </w:tc>
        <w:tc>
          <w:tcPr>
            <w:tcW w:w="634" w:type="pct"/>
            <w:vAlign w:val="center"/>
          </w:tcPr>
          <w:p w:rsidR="00C47C3B" w:rsidRPr="00C47C3B" w:rsidRDefault="00C47C3B" w:rsidP="00C47C3B">
            <w:pPr>
              <w:keepNext/>
              <w:jc w:val="center"/>
              <w:rPr>
                <w:rFonts w:ascii="Arial Narrow" w:hAnsi="Arial Narrow" w:cs="Arial"/>
                <w:snapToGrid w:val="0"/>
                <w:color w:val="000000"/>
                <w:sz w:val="20"/>
                <w:szCs w:val="20"/>
                <w:lang w:eastAsia="en-US"/>
              </w:rPr>
            </w:pPr>
            <w:r w:rsidRPr="00C47C3B">
              <w:rPr>
                <w:rFonts w:ascii="Arial Narrow" w:hAnsi="Arial Narrow" w:cs="Arial"/>
                <w:snapToGrid w:val="0"/>
                <w:color w:val="000000"/>
                <w:sz w:val="20"/>
                <w:szCs w:val="20"/>
                <w:lang w:eastAsia="en-US"/>
              </w:rPr>
              <w:t>0.02</w:t>
            </w:r>
          </w:p>
        </w:tc>
      </w:tr>
    </w:tbl>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 xml:space="preserve">Source: Compiled during the evaluation/Table B.6.1, p102, </w:t>
      </w:r>
      <w:r w:rsidRPr="00C47C3B">
        <w:rPr>
          <w:rFonts w:ascii="Arial Narrow" w:hAnsi="Arial Narrow" w:cs="Arial"/>
          <w:snapToGrid w:val="0"/>
          <w:sz w:val="16"/>
          <w:szCs w:val="18"/>
          <w:lang w:eastAsia="en-US"/>
        </w:rPr>
        <w:t>Table B.6.4, p112</w:t>
      </w:r>
      <w:r w:rsidRPr="00C47C3B">
        <w:rPr>
          <w:rFonts w:ascii="Arial Narrow" w:hAnsi="Arial Narrow" w:cs="Arial"/>
          <w:snapToGrid w:val="0"/>
          <w:sz w:val="16"/>
          <w:szCs w:val="16"/>
          <w:lang w:eastAsia="en-US"/>
        </w:rPr>
        <w:t xml:space="preserve"> of the submission and calculated during the evaluation</w:t>
      </w:r>
    </w:p>
    <w:p w:rsidR="00C47C3B" w:rsidRPr="00C47C3B" w:rsidRDefault="00C47C3B" w:rsidP="00C47C3B">
      <w:pPr>
        <w:keepNext/>
        <w:spacing w:after="120"/>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 xml:space="preserve">Abbreviations: SE = standard error; mg= milligrams; LS = least squares; </w:t>
      </w:r>
      <w:r w:rsidRPr="00C47C3B">
        <w:rPr>
          <w:rFonts w:ascii="Arial Narrow" w:hAnsi="Arial Narrow" w:cs="Arial"/>
          <w:snapToGrid w:val="0"/>
          <w:sz w:val="16"/>
          <w:szCs w:val="18"/>
          <w:lang w:eastAsia="en-US"/>
        </w:rPr>
        <w:t>pp</w:t>
      </w:r>
      <w:r w:rsidRPr="00C47C3B">
        <w:rPr>
          <w:rFonts w:ascii="Arial Narrow" w:hAnsi="Arial Narrow" w:cs="Arial"/>
          <w:snapToGrid w:val="0"/>
          <w:sz w:val="16"/>
          <w:lang w:eastAsia="en-US"/>
        </w:rPr>
        <w:t>FEV</w:t>
      </w:r>
      <w:r w:rsidRPr="00C47C3B">
        <w:rPr>
          <w:rFonts w:ascii="Arial Narrow" w:hAnsi="Arial Narrow" w:cs="Arial"/>
          <w:snapToGrid w:val="0"/>
          <w:sz w:val="16"/>
          <w:vertAlign w:val="subscript"/>
          <w:lang w:eastAsia="en-US"/>
        </w:rPr>
        <w:t>1</w:t>
      </w:r>
      <w:r w:rsidRPr="00C47C3B">
        <w:rPr>
          <w:rFonts w:ascii="Arial Narrow" w:hAnsi="Arial Narrow" w:cs="Arial"/>
          <w:snapToGrid w:val="0"/>
          <w:sz w:val="16"/>
          <w:szCs w:val="18"/>
          <w:lang w:eastAsia="en-US"/>
        </w:rPr>
        <w:t xml:space="preserve"> = per cent predicted </w:t>
      </w:r>
      <w:r w:rsidRPr="00C47C3B">
        <w:rPr>
          <w:rFonts w:ascii="Arial Narrow" w:hAnsi="Arial Narrow" w:cs="Arial"/>
          <w:snapToGrid w:val="0"/>
          <w:sz w:val="16"/>
          <w:lang w:eastAsia="en-US"/>
        </w:rPr>
        <w:t>FEV</w:t>
      </w:r>
      <w:r w:rsidRPr="00C47C3B">
        <w:rPr>
          <w:rFonts w:ascii="Arial Narrow" w:hAnsi="Arial Narrow" w:cs="Arial"/>
          <w:snapToGrid w:val="0"/>
          <w:sz w:val="16"/>
          <w:vertAlign w:val="subscript"/>
          <w:lang w:eastAsia="en-US"/>
        </w:rPr>
        <w:t>1</w:t>
      </w:r>
      <w:r w:rsidRPr="00C47C3B">
        <w:rPr>
          <w:rFonts w:ascii="Arial Narrow" w:hAnsi="Arial Narrow" w:cs="Arial"/>
          <w:snapToGrid w:val="0"/>
          <w:sz w:val="16"/>
          <w:szCs w:val="18"/>
          <w:lang w:eastAsia="en-US"/>
        </w:rPr>
        <w:t xml:space="preserve">; </w:t>
      </w:r>
      <w:r w:rsidRPr="00C47C3B">
        <w:rPr>
          <w:rFonts w:ascii="Arial Narrow" w:hAnsi="Arial Narrow" w:cs="Arial"/>
          <w:snapToGrid w:val="0"/>
          <w:sz w:val="16"/>
          <w:szCs w:val="16"/>
          <w:lang w:eastAsia="en-US"/>
        </w:rPr>
        <w:t>CI = confidence interval; RD = risk difference; RR = relative risk.</w:t>
      </w:r>
    </w:p>
    <w:p w:rsidR="00C47C3B" w:rsidRPr="00C47C3B" w:rsidRDefault="00C47C3B" w:rsidP="00C47C3B">
      <w:pPr>
        <w:widowControl w:val="0"/>
        <w:numPr>
          <w:ilvl w:val="1"/>
          <w:numId w:val="5"/>
        </w:numPr>
        <w:spacing w:after="120"/>
        <w:ind w:left="810" w:hanging="81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On the basis of the direct randomised trials presented by the resubmission, treatment with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resulted in approximately a 2.81 percentage point larger increase in absolute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0"/>
          <w:lang w:eastAsia="en-US"/>
        </w:rPr>
        <w:t xml:space="preserve"> compared with placebo over a median duration of follow-up of 24 weeks.</w:t>
      </w:r>
    </w:p>
    <w:p w:rsidR="00C47C3B" w:rsidRPr="00C47C3B" w:rsidRDefault="00C47C3B" w:rsidP="00C47C3B">
      <w:pPr>
        <w:keepNext/>
        <w:keepLines/>
        <w:widowControl w:val="0"/>
        <w:numPr>
          <w:ilvl w:val="1"/>
          <w:numId w:val="5"/>
        </w:numPr>
        <w:spacing w:after="120"/>
        <w:ind w:left="811" w:hanging="811"/>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lastRenderedPageBreak/>
        <w:t xml:space="preserve">On the basis of the direct randomised trials presented by the resubmission, a patient treated with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could expect to have one fewer pulmonary exacerbation over 2.5 years and one fewer hospitalisation due to a pulmonary exacerbation over 3 years.</w:t>
      </w:r>
    </w:p>
    <w:p w:rsidR="00C47C3B" w:rsidRPr="00C47C3B" w:rsidRDefault="00C47C3B" w:rsidP="00C47C3B">
      <w:pPr>
        <w:widowControl w:val="0"/>
        <w:numPr>
          <w:ilvl w:val="1"/>
          <w:numId w:val="5"/>
        </w:numPr>
        <w:spacing w:after="120"/>
        <w:ind w:left="810" w:hanging="81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Patients treated with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who continued therapy after completion of the original randomised trials continued to show an improvement in their lung function over baseline. However, the extent of that improvement decreased over time and by 96 weeks of treatment this difference was no longer statistically significant compared with before they commenced the trials.</w:t>
      </w:r>
    </w:p>
    <w:p w:rsidR="00C47C3B" w:rsidRPr="00C47C3B" w:rsidRDefault="00C47C3B" w:rsidP="00C47C3B">
      <w:pPr>
        <w:widowControl w:val="0"/>
        <w:numPr>
          <w:ilvl w:val="1"/>
          <w:numId w:val="5"/>
        </w:numPr>
        <w:spacing w:before="120" w:after="160"/>
        <w:ind w:left="810" w:hanging="81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On the basis of direct evidence from the trials, the overall frequency of adverse events being reported was comparable between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and placebo groups. Dyspnoea (14.0% versus 7.8% on placebo), diarrhoea (11.0% versus 8.4% on placebo), and nausea (10.2% versus 7.6% on placebo) occurred more frequently in the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group. Hepatobiliary serious adverse events had been reported in TRAFFIC and TRANSPORT, and occurred in at least 0.5% of patients on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and in a greater proportion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patients than placebo patients. Following discontinuation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liver function tests returned to baseline or improved substantially in all patients.</w:t>
      </w:r>
    </w:p>
    <w:p w:rsidR="00C47C3B" w:rsidRPr="00C47C3B" w:rsidRDefault="00C47C3B" w:rsidP="00C47C3B">
      <w:pPr>
        <w:widowControl w:val="0"/>
        <w:numPr>
          <w:ilvl w:val="1"/>
          <w:numId w:val="5"/>
        </w:numPr>
        <w:spacing w:before="120" w:after="160"/>
        <w:ind w:left="810" w:hanging="81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For patients who continued to receive (or commenced)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therapy after the TRAFFIC and TRANSPORT trials ended, the most common adverse events reported were cough (44%), increased sputum (22%), and haemoptysis (20%) and may resolve without discontinuing treatment. A trend of an increase in blood pressure associated with extended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therapy had been identified and routine blood pressure monitoring is recommended. The most frequently reported serious adverse events in this group were infective PEs of cystic fibrosis (in 33% of patients), haemoptysis (3%), and distal intestinal obstruction syndrome (3%).</w:t>
      </w:r>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bookmarkStart w:id="61" w:name="_Toc476306891"/>
      <w:bookmarkStart w:id="62" w:name="_Toc482713678"/>
      <w:bookmarkEnd w:id="60"/>
      <w:r w:rsidRPr="00C47C3B">
        <w:rPr>
          <w:rFonts w:asciiTheme="minorHAnsi" w:hAnsiTheme="minorHAnsi" w:cs="Arial"/>
          <w:b/>
          <w:i/>
          <w:snapToGrid w:val="0"/>
          <w:sz w:val="28"/>
          <w:szCs w:val="28"/>
          <w:lang w:eastAsia="en-US"/>
        </w:rPr>
        <w:t>Clinical claim</w:t>
      </w:r>
      <w:bookmarkEnd w:id="57"/>
      <w:bookmarkEnd w:id="61"/>
      <w:bookmarkEnd w:id="62"/>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bookmarkStart w:id="63" w:name="_Hlk479762032"/>
      <w:r w:rsidRPr="00C47C3B">
        <w:rPr>
          <w:rFonts w:asciiTheme="minorHAnsi" w:hAnsiTheme="minorHAnsi" w:cs="Arial"/>
          <w:snapToGrid w:val="0"/>
          <w:szCs w:val="20"/>
          <w:lang w:eastAsia="en-US"/>
        </w:rPr>
        <w:t xml:space="preserve">The March 2016 submission described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as superior in terms of comparative effectiveness as it improved key CF outcomes that are associated with prolongation of life expectancy. The current resubmission claimed that the longer</w:t>
      </w:r>
      <w:r w:rsidRPr="00C47C3B">
        <w:rPr>
          <w:rFonts w:asciiTheme="minorHAnsi" w:hAnsiTheme="minorHAnsi" w:cs="Arial"/>
          <w:snapToGrid w:val="0"/>
          <w:szCs w:val="20"/>
          <w:lang w:eastAsia="en-US"/>
        </w:rPr>
        <w:noBreakHyphen/>
        <w:t xml:space="preserve">term data from the PROGRESS study provided further evidence that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is a disease modifying therapy. </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The March 2016 submission claimed the drug is equivalent to BSC in terms of comparative safety, and the current resubmission argued that the longer</w:t>
      </w:r>
      <w:r w:rsidRPr="00C47C3B">
        <w:rPr>
          <w:rFonts w:asciiTheme="minorHAnsi" w:hAnsiTheme="minorHAnsi" w:cs="Arial"/>
          <w:snapToGrid w:val="0"/>
          <w:szCs w:val="20"/>
          <w:lang w:eastAsia="en-US"/>
        </w:rPr>
        <w:noBreakHyphen/>
        <w:t>term safety profile was consistent with the previous data in TRAFFIC and TRANSPORT.</w:t>
      </w:r>
    </w:p>
    <w:bookmarkEnd w:id="63"/>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2"/>
          <w:lang w:eastAsia="en-US"/>
        </w:rPr>
        <w:t xml:space="preserve">In March 2016, the PBAC </w:t>
      </w:r>
      <w:r w:rsidRPr="00C47C3B">
        <w:rPr>
          <w:rFonts w:asciiTheme="minorHAnsi" w:hAnsiTheme="minorHAnsi" w:cs="Arial"/>
          <w:snapToGrid w:val="0"/>
          <w:szCs w:val="20"/>
          <w:lang w:eastAsia="en-US"/>
        </w:rPr>
        <w:t xml:space="preserve">noted the improvement in exacerbations, weight gain, BMI, the hospitalisation rate and antibiotic use associated with treatment with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in the short-term but considered that the impact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on improvements in long-term lung function and survival was uncertain. In addition, t</w:t>
      </w:r>
      <w:r w:rsidRPr="00C47C3B">
        <w:rPr>
          <w:rFonts w:asciiTheme="minorHAnsi" w:hAnsiTheme="minorHAnsi" w:cs="Arial"/>
          <w:snapToGrid w:val="0"/>
          <w:szCs w:val="22"/>
          <w:lang w:eastAsia="en-US"/>
        </w:rPr>
        <w:t xml:space="preserve">he PBAC considered that the claim of equivalent comparative </w:t>
      </w:r>
      <w:r w:rsidRPr="00C47C3B">
        <w:rPr>
          <w:rFonts w:asciiTheme="minorHAnsi" w:hAnsiTheme="minorHAnsi" w:cs="Arial"/>
          <w:snapToGrid w:val="0"/>
          <w:szCs w:val="22"/>
          <w:lang w:eastAsia="en-US"/>
        </w:rPr>
        <w:lastRenderedPageBreak/>
        <w:t xml:space="preserve">safety was reasonable in the short-term but noted the long-term safety of </w:t>
      </w:r>
      <w:proofErr w:type="spellStart"/>
      <w:r w:rsidRPr="00C47C3B">
        <w:rPr>
          <w:rFonts w:asciiTheme="minorHAnsi" w:hAnsiTheme="minorHAnsi" w:cs="Arial"/>
          <w:snapToGrid w:val="0"/>
          <w:szCs w:val="22"/>
          <w:lang w:eastAsia="en-US"/>
        </w:rPr>
        <w:t>lumacaftor</w:t>
      </w:r>
      <w:proofErr w:type="spellEnd"/>
      <w:r w:rsidRPr="00C47C3B">
        <w:rPr>
          <w:rFonts w:asciiTheme="minorHAnsi" w:hAnsiTheme="minorHAnsi" w:cs="Arial"/>
          <w:snapToGrid w:val="0"/>
          <w:szCs w:val="22"/>
          <w:lang w:eastAsia="en-US"/>
        </w:rPr>
        <w:t>/</w:t>
      </w:r>
      <w:proofErr w:type="spellStart"/>
      <w:r w:rsidRPr="00C47C3B">
        <w:rPr>
          <w:rFonts w:asciiTheme="minorHAnsi" w:hAnsiTheme="minorHAnsi" w:cs="Arial"/>
          <w:snapToGrid w:val="0"/>
          <w:szCs w:val="22"/>
          <w:lang w:eastAsia="en-US"/>
        </w:rPr>
        <w:t>ivacaftor</w:t>
      </w:r>
      <w:proofErr w:type="spellEnd"/>
      <w:r w:rsidRPr="00C47C3B">
        <w:rPr>
          <w:rFonts w:asciiTheme="minorHAnsi" w:hAnsiTheme="minorHAnsi" w:cs="Arial"/>
          <w:snapToGrid w:val="0"/>
          <w:szCs w:val="22"/>
          <w:lang w:eastAsia="en-US"/>
        </w:rPr>
        <w:t xml:space="preserve"> is unknown.</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bookmarkStart w:id="64" w:name="_Hlk482005155"/>
      <w:r w:rsidRPr="00C47C3B">
        <w:rPr>
          <w:rFonts w:asciiTheme="minorHAnsi" w:hAnsiTheme="minorHAnsi" w:cs="Arial"/>
          <w:snapToGrid w:val="0"/>
          <w:szCs w:val="22"/>
          <w:lang w:eastAsia="en-US"/>
        </w:rPr>
        <w:t>Evidence from the PROGRESS extension study demonstrated that the modest increase in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2"/>
          <w:lang w:eastAsia="en-US"/>
        </w:rPr>
        <w:t xml:space="preserve"> in </w:t>
      </w:r>
      <w:proofErr w:type="spellStart"/>
      <w:r w:rsidRPr="00C47C3B">
        <w:rPr>
          <w:rFonts w:asciiTheme="minorHAnsi" w:hAnsiTheme="minorHAnsi" w:cs="Arial"/>
          <w:snapToGrid w:val="0"/>
          <w:szCs w:val="22"/>
          <w:lang w:eastAsia="en-US"/>
        </w:rPr>
        <w:t>lumacaftor</w:t>
      </w:r>
      <w:proofErr w:type="spellEnd"/>
      <w:r w:rsidRPr="00C47C3B">
        <w:rPr>
          <w:rFonts w:asciiTheme="minorHAnsi" w:hAnsiTheme="minorHAnsi" w:cs="Arial"/>
          <w:snapToGrid w:val="0"/>
          <w:szCs w:val="22"/>
          <w:lang w:eastAsia="en-US"/>
        </w:rPr>
        <w:t>/</w:t>
      </w:r>
      <w:proofErr w:type="spellStart"/>
      <w:r w:rsidRPr="00C47C3B">
        <w:rPr>
          <w:rFonts w:asciiTheme="minorHAnsi" w:hAnsiTheme="minorHAnsi" w:cs="Arial"/>
          <w:snapToGrid w:val="0"/>
          <w:szCs w:val="22"/>
          <w:lang w:eastAsia="en-US"/>
        </w:rPr>
        <w:t>ivacaftor</w:t>
      </w:r>
      <w:proofErr w:type="spellEnd"/>
      <w:r w:rsidRPr="00C47C3B">
        <w:rPr>
          <w:rFonts w:asciiTheme="minorHAnsi" w:hAnsiTheme="minorHAnsi" w:cs="Arial"/>
          <w:snapToGrid w:val="0"/>
          <w:szCs w:val="22"/>
          <w:lang w:eastAsia="en-US"/>
        </w:rPr>
        <w:t xml:space="preserve"> treated patients demonstrated in TRAFFIC and TRANSPORT was not maintained through to 120 weeks. </w:t>
      </w:r>
    </w:p>
    <w:p w:rsidR="00C47C3B" w:rsidRPr="00C47C3B" w:rsidRDefault="00B2504F" w:rsidP="00C47C3B">
      <w:pPr>
        <w:widowControl w:val="0"/>
        <w:numPr>
          <w:ilvl w:val="1"/>
          <w:numId w:val="5"/>
        </w:numPr>
        <w:spacing w:after="120"/>
        <w:ind w:left="709" w:hanging="709"/>
        <w:jc w:val="both"/>
        <w:rPr>
          <w:rFonts w:asciiTheme="minorHAnsi" w:hAnsiTheme="minorHAnsi" w:cs="Arial"/>
          <w:snapToGrid w:val="0"/>
          <w:szCs w:val="20"/>
          <w:lang w:eastAsia="en-US"/>
        </w:rPr>
      </w:pPr>
      <w:r>
        <w:rPr>
          <w:rFonts w:asciiTheme="minorHAnsi" w:hAnsiTheme="minorHAnsi" w:cs="Arial"/>
          <w:snapToGrid w:val="0"/>
          <w:szCs w:val="20"/>
          <w:lang w:eastAsia="en-US"/>
        </w:rPr>
        <w:t xml:space="preserve">The PSCR </w:t>
      </w:r>
      <w:r w:rsidR="00C47C3B" w:rsidRPr="00C47C3B">
        <w:rPr>
          <w:rFonts w:asciiTheme="minorHAnsi" w:hAnsiTheme="minorHAnsi" w:cs="Arial"/>
          <w:snapToGrid w:val="0"/>
          <w:szCs w:val="20"/>
          <w:lang w:eastAsia="en-US"/>
        </w:rPr>
        <w:t xml:space="preserve">argued the main objective of treatment with </w:t>
      </w:r>
      <w:proofErr w:type="spellStart"/>
      <w:r w:rsidR="00C47C3B" w:rsidRPr="00C47C3B">
        <w:rPr>
          <w:rFonts w:asciiTheme="minorHAnsi" w:hAnsiTheme="minorHAnsi" w:cs="Arial"/>
          <w:snapToGrid w:val="0"/>
          <w:szCs w:val="20"/>
          <w:lang w:eastAsia="en-US"/>
        </w:rPr>
        <w:t>lumacaftor</w:t>
      </w:r>
      <w:proofErr w:type="spellEnd"/>
      <w:r w:rsidR="00C47C3B" w:rsidRPr="00C47C3B">
        <w:rPr>
          <w:rFonts w:asciiTheme="minorHAnsi" w:hAnsiTheme="minorHAnsi" w:cs="Arial"/>
          <w:snapToGrid w:val="0"/>
          <w:szCs w:val="20"/>
          <w:lang w:eastAsia="en-US"/>
        </w:rPr>
        <w:t>/</w:t>
      </w:r>
      <w:proofErr w:type="spellStart"/>
      <w:r w:rsidR="00C47C3B" w:rsidRPr="00C47C3B">
        <w:rPr>
          <w:rFonts w:asciiTheme="minorHAnsi" w:hAnsiTheme="minorHAnsi" w:cs="Arial"/>
          <w:snapToGrid w:val="0"/>
          <w:szCs w:val="20"/>
          <w:lang w:eastAsia="en-US"/>
        </w:rPr>
        <w:t>ivacaftor</w:t>
      </w:r>
      <w:proofErr w:type="spellEnd"/>
      <w:r w:rsidR="00C47C3B" w:rsidRPr="00C47C3B">
        <w:rPr>
          <w:rFonts w:asciiTheme="minorHAnsi" w:hAnsiTheme="minorHAnsi" w:cs="Arial"/>
          <w:snapToGrid w:val="0"/>
          <w:szCs w:val="20"/>
          <w:lang w:eastAsia="en-US"/>
        </w:rPr>
        <w:t xml:space="preserve"> is to minimise the rate of deterioration over time, noting the matched analysis of the comparative rates of decline of ppFEV</w:t>
      </w:r>
      <w:r w:rsidR="00C47C3B" w:rsidRPr="00C47C3B">
        <w:rPr>
          <w:rFonts w:asciiTheme="minorHAnsi" w:hAnsiTheme="minorHAnsi" w:cs="Arial"/>
          <w:snapToGrid w:val="0"/>
          <w:szCs w:val="20"/>
          <w:vertAlign w:val="subscript"/>
          <w:lang w:eastAsia="en-US"/>
        </w:rPr>
        <w:t>1</w:t>
      </w:r>
      <w:r w:rsidR="00C47C3B" w:rsidRPr="00C47C3B">
        <w:rPr>
          <w:rFonts w:asciiTheme="minorHAnsi" w:hAnsiTheme="minorHAnsi" w:cs="Arial"/>
          <w:snapToGrid w:val="0"/>
          <w:szCs w:val="20"/>
          <w:lang w:eastAsia="en-US"/>
        </w:rPr>
        <w:t xml:space="preserve"> which </w:t>
      </w:r>
      <w:r w:rsidR="00C47C3B" w:rsidRPr="00C47C3B">
        <w:rPr>
          <w:rFonts w:asciiTheme="minorHAnsi" w:hAnsiTheme="minorHAnsi" w:cs="Arial"/>
          <w:snapToGrid w:val="0"/>
          <w:szCs w:val="20"/>
          <w:lang w:val="en-US" w:eastAsia="en-US"/>
        </w:rPr>
        <w:t>represented a 42% decrease in the rate of pp</w:t>
      </w:r>
      <w:r w:rsidR="00C47C3B" w:rsidRPr="00C47C3B">
        <w:rPr>
          <w:rFonts w:asciiTheme="minorHAnsi" w:hAnsiTheme="minorHAnsi" w:cs="Arial"/>
          <w:snapToGrid w:val="0"/>
          <w:lang w:eastAsia="en-US"/>
        </w:rPr>
        <w:t>FEV</w:t>
      </w:r>
      <w:r w:rsidR="00C47C3B" w:rsidRPr="00C47C3B">
        <w:rPr>
          <w:rFonts w:asciiTheme="minorHAnsi" w:hAnsiTheme="minorHAnsi" w:cs="Arial"/>
          <w:snapToGrid w:val="0"/>
          <w:vertAlign w:val="subscript"/>
          <w:lang w:eastAsia="en-US"/>
        </w:rPr>
        <w:t>1</w:t>
      </w:r>
      <w:r w:rsidR="00C47C3B" w:rsidRPr="00C47C3B">
        <w:rPr>
          <w:rFonts w:asciiTheme="minorHAnsi" w:hAnsiTheme="minorHAnsi" w:cs="Arial"/>
          <w:snapToGrid w:val="0"/>
          <w:szCs w:val="20"/>
          <w:lang w:val="en-US" w:eastAsia="en-US"/>
        </w:rPr>
        <w:t xml:space="preserve"> decline in </w:t>
      </w:r>
      <w:proofErr w:type="spellStart"/>
      <w:r w:rsidR="00C47C3B" w:rsidRPr="00C47C3B">
        <w:rPr>
          <w:rFonts w:asciiTheme="minorHAnsi" w:hAnsiTheme="minorHAnsi" w:cs="Arial"/>
          <w:snapToGrid w:val="0"/>
          <w:szCs w:val="20"/>
          <w:lang w:val="en-US" w:eastAsia="en-US"/>
        </w:rPr>
        <w:t>lumacaftor</w:t>
      </w:r>
      <w:proofErr w:type="spellEnd"/>
      <w:r w:rsidR="00C47C3B" w:rsidRPr="00C47C3B">
        <w:rPr>
          <w:rFonts w:asciiTheme="minorHAnsi" w:hAnsiTheme="minorHAnsi" w:cs="Arial"/>
          <w:snapToGrid w:val="0"/>
          <w:szCs w:val="20"/>
          <w:lang w:val="en-US" w:eastAsia="en-US"/>
        </w:rPr>
        <w:t>/</w:t>
      </w:r>
      <w:proofErr w:type="spellStart"/>
      <w:r w:rsidR="00C47C3B" w:rsidRPr="00C47C3B">
        <w:rPr>
          <w:rFonts w:asciiTheme="minorHAnsi" w:hAnsiTheme="minorHAnsi" w:cs="Arial"/>
          <w:snapToGrid w:val="0"/>
          <w:szCs w:val="20"/>
          <w:lang w:val="en-US" w:eastAsia="en-US"/>
        </w:rPr>
        <w:t>ivacaftor</w:t>
      </w:r>
      <w:proofErr w:type="spellEnd"/>
      <w:r w:rsidR="00C47C3B" w:rsidRPr="00C47C3B">
        <w:rPr>
          <w:rFonts w:asciiTheme="minorHAnsi" w:hAnsiTheme="minorHAnsi" w:cs="Arial"/>
          <w:snapToGrid w:val="0"/>
          <w:szCs w:val="20"/>
          <w:lang w:val="en-US" w:eastAsia="en-US"/>
        </w:rPr>
        <w:t>-treated patients compared with a matched cohort</w:t>
      </w:r>
      <w:r>
        <w:rPr>
          <w:rFonts w:asciiTheme="minorHAnsi" w:hAnsiTheme="minorHAnsi" w:cs="Arial"/>
          <w:snapToGrid w:val="0"/>
          <w:szCs w:val="20"/>
          <w:lang w:eastAsia="en-US"/>
        </w:rPr>
        <w:t xml:space="preserve">. The PSCR </w:t>
      </w:r>
      <w:r w:rsidR="00C47C3B" w:rsidRPr="00C47C3B">
        <w:rPr>
          <w:rFonts w:asciiTheme="minorHAnsi" w:hAnsiTheme="minorHAnsi" w:cs="Arial"/>
          <w:snapToGrid w:val="0"/>
          <w:szCs w:val="20"/>
          <w:lang w:eastAsia="en-US"/>
        </w:rPr>
        <w:t xml:space="preserve">further argued that the clinical impact of slowing CF progression over time was reflected to some extent by the maintenance of the absolute reduction in PE events per patient-year for up to 120 weeks of treatment. </w:t>
      </w:r>
    </w:p>
    <w:bookmarkEnd w:id="64"/>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PBAC considered the claim that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slows the rate of decline in </w:t>
      </w:r>
      <w:r w:rsidRPr="00C47C3B">
        <w:rPr>
          <w:rFonts w:asciiTheme="minorHAnsi" w:hAnsiTheme="minorHAnsi" w:cs="Arial"/>
          <w:bCs/>
          <w:snapToGrid w:val="0"/>
          <w:lang w:val="en-GB" w:eastAsia="en-US"/>
        </w:rPr>
        <w:t>ppFEV</w:t>
      </w:r>
      <w:r w:rsidRPr="00C47C3B">
        <w:rPr>
          <w:rFonts w:asciiTheme="minorHAnsi" w:hAnsiTheme="minorHAnsi" w:cs="Arial"/>
          <w:bCs/>
          <w:snapToGrid w:val="0"/>
          <w:vertAlign w:val="subscript"/>
          <w:lang w:val="en-GB" w:eastAsia="en-US"/>
        </w:rPr>
        <w:t>1</w:t>
      </w:r>
      <w:r w:rsidRPr="00C47C3B">
        <w:rPr>
          <w:rFonts w:asciiTheme="minorHAnsi" w:hAnsiTheme="minorHAnsi" w:cs="Arial"/>
          <w:snapToGrid w:val="0"/>
          <w:szCs w:val="20"/>
          <w:lang w:eastAsia="en-US"/>
        </w:rPr>
        <w:t xml:space="preserve"> beyond 24 weeks, compared with patients treated with BSC, was not adequately supported by the resubmission for the reasons outlined in paragraph 6.22. However, the PBAC noted improvements in other clinical measures, including a reduction pulmonary exacerbations and an increase in body mass index, were maintained beyond the 24 week trial period, and therefore considered that the claim of superior comparative effectiveness for these outcomes was reasonable.</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2"/>
          <w:lang w:eastAsia="en-US"/>
        </w:rPr>
      </w:pPr>
      <w:r w:rsidRPr="00C47C3B">
        <w:rPr>
          <w:rFonts w:asciiTheme="minorHAnsi" w:hAnsiTheme="minorHAnsi" w:cs="Arial"/>
          <w:snapToGrid w:val="0"/>
          <w:szCs w:val="22"/>
          <w:lang w:eastAsia="en-US"/>
        </w:rPr>
        <w:t xml:space="preserve">The PBAC considered that the claim of non-inferior comparative safety was not adequately supported by the updated data from the PROGRESS study provided in the current resubmission. There is evidence of drug-related adverse events including respiratory adverse events (e.g. haemoptysis, cough), hepatobiliary events and development of hypertension associated with continued therapy. In this regard, the PBAC noted that 16% of patients chose to discontinue use due to adverse events or patient refusal of further dosing. </w:t>
      </w:r>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bookmarkStart w:id="65" w:name="_Toc413139282"/>
      <w:bookmarkStart w:id="66" w:name="_Toc476306892"/>
      <w:bookmarkStart w:id="67" w:name="_Toc482713679"/>
      <w:r w:rsidRPr="00C47C3B">
        <w:rPr>
          <w:rFonts w:asciiTheme="minorHAnsi" w:hAnsiTheme="minorHAnsi" w:cs="Arial"/>
          <w:b/>
          <w:i/>
          <w:snapToGrid w:val="0"/>
          <w:sz w:val="28"/>
          <w:szCs w:val="28"/>
          <w:lang w:eastAsia="en-US"/>
        </w:rPr>
        <w:t>Economic analysis</w:t>
      </w:r>
      <w:bookmarkEnd w:id="65"/>
      <w:bookmarkEnd w:id="66"/>
      <w:bookmarkEnd w:id="67"/>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bookmarkStart w:id="68" w:name="_Ref481916843"/>
      <w:r w:rsidRPr="00C47C3B">
        <w:rPr>
          <w:rFonts w:asciiTheme="minorHAnsi" w:hAnsiTheme="minorHAnsi" w:cs="Arial"/>
          <w:snapToGrid w:val="0"/>
          <w:szCs w:val="20"/>
          <w:lang w:eastAsia="en-US"/>
        </w:rPr>
        <w:t xml:space="preserve">The structure of the model was the same as the previous submissions (March 2016 and November 2016) which presented a cost-utility analysis compared with BSC. A summary of the model structure is presented in Table 10. The resubmission presented two base cases referred to as Base case 1 and Base case 2. </w:t>
      </w:r>
    </w:p>
    <w:p w:rsidR="00C47C3B" w:rsidRPr="00C47C3B" w:rsidRDefault="00C47C3B" w:rsidP="00C47C3B">
      <w:pPr>
        <w:spacing w:after="120"/>
        <w:jc w:val="both"/>
        <w:rPr>
          <w:rFonts w:asciiTheme="minorHAnsi" w:hAnsiTheme="minorHAnsi" w:cs="Arial"/>
          <w:snapToGrid w:val="0"/>
          <w:szCs w:val="20"/>
          <w:lang w:eastAsia="en-US"/>
        </w:rPr>
      </w:pPr>
    </w:p>
    <w:p w:rsidR="00C47C3B" w:rsidRPr="00C47C3B" w:rsidRDefault="00C47C3B" w:rsidP="00C47C3B">
      <w:pPr>
        <w:keepNext/>
        <w:spacing w:after="60"/>
        <w:rPr>
          <w:rFonts w:ascii="Arial Narrow" w:eastAsiaTheme="minorHAnsi" w:hAnsi="Arial Narrow" w:cstheme="minorBidi"/>
          <w:b/>
          <w:sz w:val="20"/>
          <w:szCs w:val="22"/>
          <w:lang w:eastAsia="en-US"/>
        </w:rPr>
      </w:pPr>
      <w:bookmarkStart w:id="69" w:name="_Ref482265519"/>
      <w:r w:rsidRPr="00C47C3B">
        <w:rPr>
          <w:rFonts w:ascii="Arial Narrow" w:eastAsiaTheme="minorHAnsi" w:hAnsi="Arial Narrow" w:cstheme="minorBidi"/>
          <w:b/>
          <w:sz w:val="20"/>
          <w:szCs w:val="22"/>
          <w:lang w:eastAsia="en-US"/>
        </w:rPr>
        <w:lastRenderedPageBreak/>
        <w:t xml:space="preserve">Table </w:t>
      </w:r>
      <w:r w:rsidRPr="00C47C3B">
        <w:rPr>
          <w:rFonts w:ascii="Arial Narrow" w:eastAsiaTheme="minorHAnsi" w:hAnsi="Arial Narrow" w:cstheme="minorBidi"/>
          <w:b/>
          <w:noProof/>
          <w:sz w:val="20"/>
          <w:szCs w:val="22"/>
          <w:lang w:eastAsia="en-US"/>
        </w:rPr>
        <w:t>10</w:t>
      </w:r>
      <w:r w:rsidRPr="00C47C3B">
        <w:rPr>
          <w:rFonts w:ascii="Arial Narrow" w:eastAsiaTheme="minorHAnsi" w:hAnsi="Arial Narrow" w:cstheme="minorBidi"/>
          <w:b/>
          <w:sz w:val="20"/>
          <w:szCs w:val="22"/>
          <w:lang w:eastAsia="en-US"/>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2"/>
        <w:gridCol w:w="7920"/>
      </w:tblGrid>
      <w:tr w:rsidR="00C47C3B" w:rsidRPr="00C47C3B" w:rsidTr="009F446F">
        <w:trPr>
          <w:tblHeader/>
        </w:trPr>
        <w:tc>
          <w:tcPr>
            <w:tcW w:w="640"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Component</w:t>
            </w:r>
          </w:p>
        </w:tc>
        <w:tc>
          <w:tcPr>
            <w:tcW w:w="4360"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Summary</w:t>
            </w:r>
          </w:p>
        </w:tc>
      </w:tr>
      <w:tr w:rsidR="00C47C3B" w:rsidRPr="00C47C3B" w:rsidTr="009F446F">
        <w:tc>
          <w:tcPr>
            <w:tcW w:w="640"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Time horizon</w:t>
            </w:r>
          </w:p>
        </w:tc>
        <w:tc>
          <w:tcPr>
            <w:tcW w:w="4360"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Life time horizon the modelled Base case 1 versus 24 weeks in the trial. A further 96 weeks was presented as supportive evidence, but not used in the model.</w:t>
            </w:r>
          </w:p>
        </w:tc>
      </w:tr>
      <w:tr w:rsidR="00C47C3B" w:rsidRPr="00C47C3B" w:rsidTr="009F446F">
        <w:tc>
          <w:tcPr>
            <w:tcW w:w="640"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Outcomes</w:t>
            </w:r>
          </w:p>
        </w:tc>
        <w:tc>
          <w:tcPr>
            <w:tcW w:w="4360"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QALYs</w:t>
            </w:r>
          </w:p>
        </w:tc>
      </w:tr>
      <w:tr w:rsidR="00C47C3B" w:rsidRPr="00C47C3B" w:rsidTr="009F446F">
        <w:tc>
          <w:tcPr>
            <w:tcW w:w="640"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Methods used to generate results</w:t>
            </w:r>
          </w:p>
        </w:tc>
        <w:tc>
          <w:tcPr>
            <w:tcW w:w="4360"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Microsimulation</w:t>
            </w:r>
          </w:p>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Cox-proportional hazards survival model (</w:t>
            </w:r>
            <w:proofErr w:type="spellStart"/>
            <w:r w:rsidRPr="00C47C3B">
              <w:rPr>
                <w:rFonts w:ascii="Arial Narrow" w:eastAsiaTheme="minorHAnsi" w:hAnsi="Arial Narrow" w:cstheme="minorBidi"/>
                <w:sz w:val="20"/>
                <w:szCs w:val="22"/>
                <w:lang w:eastAsia="en-US"/>
              </w:rPr>
              <w:t>Liou</w:t>
            </w:r>
            <w:proofErr w:type="spellEnd"/>
            <w:r w:rsidRPr="00C47C3B">
              <w:rPr>
                <w:rFonts w:ascii="Arial Narrow" w:eastAsiaTheme="minorHAnsi" w:hAnsi="Arial Narrow" w:cstheme="minorBidi"/>
                <w:sz w:val="20"/>
                <w:szCs w:val="22"/>
                <w:lang w:eastAsia="en-US"/>
              </w:rPr>
              <w:t xml:space="preserve"> et al, 2001) used to apply the effect of nine risk factors on the baseline hazard of mortality. In </w:t>
            </w:r>
            <w:proofErr w:type="spellStart"/>
            <w:r w:rsidRPr="00C47C3B">
              <w:rPr>
                <w:rFonts w:ascii="Arial Narrow" w:eastAsiaTheme="minorHAnsi" w:hAnsi="Arial Narrow" w:cstheme="minorBidi"/>
                <w:sz w:val="20"/>
                <w:szCs w:val="22"/>
                <w:lang w:eastAsia="en-US"/>
              </w:rPr>
              <w:t>lumacaftor</w:t>
            </w:r>
            <w:proofErr w:type="spellEnd"/>
            <w:r w:rsidRPr="00C47C3B">
              <w:rPr>
                <w:rFonts w:ascii="Arial Narrow" w:eastAsiaTheme="minorHAnsi" w:hAnsi="Arial Narrow" w:cstheme="minorBidi"/>
                <w:sz w:val="20"/>
                <w:szCs w:val="22"/>
                <w:lang w:eastAsia="en-US"/>
              </w:rPr>
              <w:t>/</w:t>
            </w:r>
            <w:proofErr w:type="spellStart"/>
            <w:r w:rsidRPr="00C47C3B">
              <w:rPr>
                <w:rFonts w:ascii="Arial Narrow" w:eastAsiaTheme="minorHAnsi" w:hAnsi="Arial Narrow" w:cstheme="minorBidi"/>
                <w:sz w:val="20"/>
                <w:szCs w:val="22"/>
                <w:lang w:eastAsia="en-US"/>
              </w:rPr>
              <w:t>ivacaftor</w:t>
            </w:r>
            <w:proofErr w:type="spellEnd"/>
            <w:r w:rsidRPr="00C47C3B">
              <w:rPr>
                <w:rFonts w:ascii="Arial Narrow" w:eastAsiaTheme="minorHAnsi" w:hAnsi="Arial Narrow" w:cstheme="minorBidi"/>
                <w:sz w:val="20"/>
                <w:szCs w:val="22"/>
                <w:lang w:eastAsia="en-US"/>
              </w:rPr>
              <w:t xml:space="preserve"> patients pp</w:t>
            </w:r>
            <w:r w:rsidRPr="00C47C3B">
              <w:rPr>
                <w:rFonts w:ascii="Arial Narrow" w:eastAsiaTheme="minorHAnsi" w:hAnsi="Arial Narrow" w:cstheme="minorBidi"/>
                <w:sz w:val="20"/>
                <w:lang w:eastAsia="en-US"/>
              </w:rPr>
              <w:t>FEV</w:t>
            </w:r>
            <w:r w:rsidRPr="00C47C3B">
              <w:rPr>
                <w:rFonts w:ascii="Arial Narrow" w:eastAsiaTheme="minorHAnsi" w:hAnsi="Arial Narrow" w:cstheme="minorBidi"/>
                <w:sz w:val="20"/>
                <w:vertAlign w:val="subscript"/>
                <w:lang w:eastAsia="en-US"/>
              </w:rPr>
              <w:t>1</w:t>
            </w:r>
            <w:r w:rsidRPr="00C47C3B">
              <w:rPr>
                <w:rFonts w:ascii="Arial Narrow" w:eastAsiaTheme="minorHAnsi" w:hAnsi="Arial Narrow" w:cstheme="minorBidi"/>
                <w:sz w:val="20"/>
                <w:szCs w:val="22"/>
                <w:vertAlign w:val="subscript"/>
                <w:lang w:eastAsia="en-US"/>
              </w:rPr>
              <w:t xml:space="preserve">, </w:t>
            </w:r>
            <w:r w:rsidRPr="00C47C3B">
              <w:rPr>
                <w:rFonts w:ascii="Arial Narrow" w:eastAsiaTheme="minorHAnsi" w:hAnsi="Arial Narrow" w:cstheme="minorBidi"/>
                <w:sz w:val="20"/>
                <w:szCs w:val="22"/>
                <w:lang w:eastAsia="en-US"/>
              </w:rPr>
              <w:t>weight-for-age z-score and number of pulmonary exacerbations are based on trial results.</w:t>
            </w:r>
          </w:p>
        </w:tc>
      </w:tr>
      <w:tr w:rsidR="00C47C3B" w:rsidRPr="00C47C3B" w:rsidTr="009F446F">
        <w:tc>
          <w:tcPr>
            <w:tcW w:w="640"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Health states</w:t>
            </w:r>
          </w:p>
        </w:tc>
        <w:tc>
          <w:tcPr>
            <w:tcW w:w="4360"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As a microsimulation, changes are recorded in the underlying risk factors (as above) for each patient. Utility values are applied to health states based on pp</w:t>
            </w:r>
            <w:r w:rsidRPr="00C47C3B">
              <w:rPr>
                <w:rFonts w:ascii="Arial Narrow" w:eastAsiaTheme="minorHAnsi" w:hAnsi="Arial Narrow" w:cstheme="minorBidi"/>
                <w:sz w:val="20"/>
                <w:lang w:eastAsia="en-US"/>
              </w:rPr>
              <w:t>FEV</w:t>
            </w:r>
            <w:r w:rsidRPr="00C47C3B">
              <w:rPr>
                <w:rFonts w:ascii="Arial Narrow" w:eastAsiaTheme="minorHAnsi" w:hAnsi="Arial Narrow" w:cstheme="minorBidi"/>
                <w:sz w:val="20"/>
                <w:vertAlign w:val="subscript"/>
                <w:lang w:eastAsia="en-US"/>
              </w:rPr>
              <w:t>1</w:t>
            </w:r>
            <w:r w:rsidRPr="00C47C3B">
              <w:rPr>
                <w:rFonts w:ascii="Arial Narrow" w:eastAsiaTheme="minorHAnsi" w:hAnsi="Arial Narrow" w:cstheme="minorBidi"/>
                <w:sz w:val="20"/>
                <w:szCs w:val="22"/>
                <w:lang w:eastAsia="en-US"/>
              </w:rPr>
              <w:t xml:space="preserve"> status of normal (&gt;90%), mild (70-90%), moderate (40-70%) and severe (&lt;40%).</w:t>
            </w:r>
          </w:p>
        </w:tc>
      </w:tr>
      <w:tr w:rsidR="00C47C3B" w:rsidRPr="00C47C3B" w:rsidTr="009F446F">
        <w:tc>
          <w:tcPr>
            <w:tcW w:w="640"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Utilities</w:t>
            </w:r>
          </w:p>
        </w:tc>
        <w:tc>
          <w:tcPr>
            <w:tcW w:w="4360"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Clinician Survey</w:t>
            </w:r>
          </w:p>
        </w:tc>
      </w:tr>
      <w:tr w:rsidR="00C47C3B" w:rsidRPr="00C47C3B" w:rsidTr="009F446F">
        <w:tc>
          <w:tcPr>
            <w:tcW w:w="640"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Cycle length</w:t>
            </w:r>
          </w:p>
        </w:tc>
        <w:tc>
          <w:tcPr>
            <w:tcW w:w="4360"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 xml:space="preserve">4 weeks for the initial two years, annual thereafter. </w:t>
            </w:r>
          </w:p>
        </w:tc>
      </w:tr>
    </w:tbl>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 xml:space="preserve">Source: Table D.3.1 of the Commentary. </w:t>
      </w:r>
    </w:p>
    <w:p w:rsidR="00C47C3B" w:rsidRPr="00C47C3B" w:rsidRDefault="00C47C3B" w:rsidP="00C47C3B">
      <w:pPr>
        <w:keepNext/>
        <w:spacing w:after="120"/>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Abbreviations: pp</w:t>
      </w:r>
      <w:r w:rsidRPr="00C47C3B">
        <w:rPr>
          <w:rFonts w:ascii="Arial Narrow" w:hAnsi="Arial Narrow" w:cs="Arial"/>
          <w:snapToGrid w:val="0"/>
          <w:sz w:val="16"/>
          <w:lang w:eastAsia="en-US"/>
        </w:rPr>
        <w:t>FEV</w:t>
      </w:r>
      <w:r w:rsidRPr="00C47C3B">
        <w:rPr>
          <w:rFonts w:ascii="Arial Narrow" w:hAnsi="Arial Narrow" w:cs="Arial"/>
          <w:snapToGrid w:val="0"/>
          <w:sz w:val="16"/>
          <w:vertAlign w:val="subscript"/>
          <w:lang w:eastAsia="en-US"/>
        </w:rPr>
        <w:t>1</w:t>
      </w:r>
      <w:r w:rsidRPr="00C47C3B">
        <w:rPr>
          <w:rFonts w:ascii="Arial Narrow" w:hAnsi="Arial Narrow" w:cs="Arial"/>
          <w:snapToGrid w:val="0"/>
          <w:sz w:val="16"/>
          <w:szCs w:val="16"/>
          <w:lang w:eastAsia="en-US"/>
        </w:rPr>
        <w:t xml:space="preserve"> = percent predicted forced expiratory volume in one second; QALY = quality-adjusted life-years.</w:t>
      </w:r>
    </w:p>
    <w:p w:rsidR="00C47C3B" w:rsidRPr="00C47C3B" w:rsidRDefault="00C47C3B" w:rsidP="00C47C3B">
      <w:pPr>
        <w:keepNext/>
        <w:spacing w:after="120"/>
        <w:rPr>
          <w:rFonts w:ascii="Arial Narrow" w:hAnsi="Arial Narrow" w:cs="Arial"/>
          <w:snapToGrid w:val="0"/>
          <w:sz w:val="16"/>
          <w:szCs w:val="16"/>
          <w:lang w:eastAsia="en-US"/>
        </w:rPr>
      </w:pP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Base case 1 included four revisions to the March 2016 model to result in an ICER of  $105,000/QALY – $200,000/QALY:</w:t>
      </w:r>
      <w:bookmarkEnd w:id="68"/>
      <w:bookmarkEnd w:id="69"/>
      <w:r w:rsidRPr="00C47C3B">
        <w:rPr>
          <w:rFonts w:asciiTheme="minorHAnsi" w:hAnsiTheme="minorHAnsi" w:cs="Arial"/>
          <w:snapToGrid w:val="0"/>
          <w:szCs w:val="20"/>
          <w:lang w:eastAsia="en-US"/>
        </w:rPr>
        <w:t xml:space="preserve"> </w:t>
      </w:r>
    </w:p>
    <w:p w:rsidR="00C47C3B" w:rsidRPr="00C47C3B" w:rsidRDefault="00C47C3B" w:rsidP="00ED4A83">
      <w:pPr>
        <w:widowControl w:val="0"/>
        <w:numPr>
          <w:ilvl w:val="0"/>
          <w:numId w:val="16"/>
        </w:numPr>
        <w:ind w:left="993" w:hanging="284"/>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assumed date of PBS listing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changed from 1 July 2016 to 1 February 2018 which reduced the time listed on the PBS until loss of exclusivity from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xml:space="preserve"> years to </w:t>
      </w:r>
      <w:r w:rsidRPr="00C47C3B">
        <w:rPr>
          <w:rFonts w:asciiTheme="minorHAnsi" w:hAnsiTheme="minorHAnsi" w:cs="Arial"/>
          <w:noProof/>
          <w:snapToGrid w:val="0"/>
          <w:color w:val="000000"/>
          <w:szCs w:val="20"/>
          <w:highlight w:val="black"/>
          <w:lang w:eastAsia="en-US"/>
        </w:rPr>
        <w:t xml:space="preserve">''''''''' </w:t>
      </w:r>
      <w:r w:rsidRPr="00C47C3B">
        <w:rPr>
          <w:rFonts w:asciiTheme="minorHAnsi" w:hAnsiTheme="minorHAnsi" w:cs="Arial"/>
          <w:snapToGrid w:val="0"/>
          <w:szCs w:val="20"/>
          <w:lang w:eastAsia="en-US"/>
        </w:rPr>
        <w:t xml:space="preserve">years. The model applied a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xml:space="preserve">% reduction in the price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at the end of the patent period (</w:t>
      </w:r>
      <w:r w:rsidRPr="00C47C3B">
        <w:rPr>
          <w:rFonts w:asciiTheme="minorHAnsi" w:hAnsiTheme="minorHAnsi" w:cs="Arial"/>
          <w:noProof/>
          <w:snapToGrid w:val="0"/>
          <w:color w:val="000000"/>
          <w:szCs w:val="20"/>
          <w:highlight w:val="black"/>
          <w:lang w:eastAsia="en-US"/>
        </w:rPr>
        <w:t>''' ''''''''''''''''''''' '''''''''</w:t>
      </w:r>
      <w:r w:rsidRPr="00C47C3B">
        <w:rPr>
          <w:rFonts w:asciiTheme="minorHAnsi" w:hAnsiTheme="minorHAnsi" w:cs="Arial"/>
          <w:snapToGrid w:val="0"/>
          <w:szCs w:val="20"/>
          <w:lang w:eastAsia="en-US"/>
        </w:rPr>
        <w:t xml:space="preserve">). This assumption is contrary to the PBAC Guidelines V5.0 (p82) which state that submissions should value future costs at current prices. </w:t>
      </w:r>
    </w:p>
    <w:p w:rsidR="00C47C3B" w:rsidRPr="00C47C3B" w:rsidRDefault="00C47C3B" w:rsidP="00ED4A83">
      <w:pPr>
        <w:widowControl w:val="0"/>
        <w:numPr>
          <w:ilvl w:val="0"/>
          <w:numId w:val="16"/>
        </w:numPr>
        <w:ind w:left="993" w:hanging="284"/>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An F1 statutory 5% price cut was applied to the price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after the first 5 years of listing. As with the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price reduction, the additional 5% price cut is also contrary to the PBAC Guidelines V5.0, but the effect on the ICER of this was relatively smaller than the impact of the assumed price change at patent expiry</w:t>
      </w:r>
      <w:r w:rsidRPr="00C47C3B">
        <w:rPr>
          <w:rFonts w:asciiTheme="minorHAnsi" w:hAnsiTheme="minorHAnsi" w:cs="Arial"/>
          <w:snapToGrid w:val="0"/>
          <w:szCs w:val="20"/>
          <w:vertAlign w:val="superscript"/>
          <w:lang w:eastAsia="en-US"/>
        </w:rPr>
        <w:footnoteReference w:id="10"/>
      </w:r>
      <w:r w:rsidRPr="00C47C3B">
        <w:rPr>
          <w:rFonts w:asciiTheme="minorHAnsi" w:hAnsiTheme="minorHAnsi" w:cs="Arial"/>
          <w:snapToGrid w:val="0"/>
          <w:szCs w:val="20"/>
          <w:lang w:eastAsia="en-US"/>
        </w:rPr>
        <w:t xml:space="preserve">. </w:t>
      </w:r>
    </w:p>
    <w:p w:rsidR="00C47C3B" w:rsidRPr="00C47C3B" w:rsidRDefault="00C47C3B" w:rsidP="00ED4A83">
      <w:pPr>
        <w:widowControl w:val="0"/>
        <w:numPr>
          <w:ilvl w:val="0"/>
          <w:numId w:val="16"/>
        </w:numPr>
        <w:ind w:left="993" w:hanging="284"/>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General BSC disease management costs in the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arm were reduced to capture the effect of a reduction in PE-related hospitalisations. The costs for PEs are not linked to events generated in the model in the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arm. Inpatient costs associated with PEs were estimated by multiplying the hospitalisation costs associated with BSC by 0.61, which is based on the reduction of PE-related hospitalisations after 24 weeks of treatment with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in TRAFFIC and TRANSPORT; this inappropriately assumed that all hospitalisations are due to PEs.</w:t>
      </w:r>
    </w:p>
    <w:p w:rsidR="00C47C3B" w:rsidRPr="00C47C3B" w:rsidRDefault="00C47C3B" w:rsidP="00ED4A83">
      <w:pPr>
        <w:widowControl w:val="0"/>
        <w:numPr>
          <w:ilvl w:val="0"/>
          <w:numId w:val="16"/>
        </w:numPr>
        <w:ind w:left="993" w:hanging="461"/>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resubmission estimated that the gross cost to the PBS of listing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would be substantially more than $100 million per year over </w:t>
      </w:r>
      <w:r w:rsidRPr="00C47C3B">
        <w:rPr>
          <w:rFonts w:asciiTheme="minorHAnsi" w:hAnsiTheme="minorHAnsi" w:cs="Arial"/>
          <w:snapToGrid w:val="0"/>
          <w:szCs w:val="20"/>
          <w:lang w:eastAsia="en-US"/>
        </w:rPr>
        <w:lastRenderedPageBreak/>
        <w:t xml:space="preserve">5 years. The model was revised to capture the effect of a “base cap” to the gross cost to the PBS at </w:t>
      </w:r>
      <w:r w:rsidRPr="00C47C3B">
        <w:rPr>
          <w:rFonts w:asciiTheme="minorHAnsi" w:hAnsiTheme="minorHAnsi" w:cs="Arial"/>
          <w:noProof/>
          <w:snapToGrid w:val="0"/>
          <w:color w:val="000000"/>
          <w:szCs w:val="20"/>
          <w:highlight w:val="black"/>
          <w:lang w:eastAsia="en-US"/>
        </w:rPr>
        <w:t xml:space="preserve">''''''''' ''''''''''''' </w:t>
      </w:r>
      <w:r w:rsidRPr="00C47C3B">
        <w:rPr>
          <w:rFonts w:asciiTheme="minorHAnsi" w:hAnsiTheme="minorHAnsi" w:cs="Arial"/>
          <w:snapToGrid w:val="0"/>
          <w:szCs w:val="20"/>
          <w:lang w:eastAsia="en-US"/>
        </w:rPr>
        <w:t xml:space="preserve">over five years </w:t>
      </w:r>
      <w:r w:rsidRPr="00C47C3B">
        <w:rPr>
          <w:rFonts w:asciiTheme="minorHAnsi" w:hAnsiTheme="minorHAnsi" w:cs="Arial"/>
          <w:noProof/>
          <w:snapToGrid w:val="0"/>
          <w:color w:val="000000"/>
          <w:szCs w:val="20"/>
          <w:highlight w:val="black"/>
          <w:lang w:eastAsia="en-US"/>
        </w:rPr>
        <w:t>''''' '''''''''''''''''''' '''' '''''''''''</w:t>
      </w:r>
      <w:r w:rsidRPr="00C47C3B">
        <w:rPr>
          <w:rFonts w:asciiTheme="minorHAnsi" w:hAnsiTheme="minorHAnsi" w:cs="Arial"/>
          <w:snapToGrid w:val="0"/>
          <w:szCs w:val="20"/>
          <w:lang w:eastAsia="en-US"/>
        </w:rPr>
        <w:t xml:space="preserve">. While the DPMQ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was not changed in the resubmission, this application of this “base cap” </w:t>
      </w:r>
      <w:r w:rsidRPr="00C47C3B">
        <w:rPr>
          <w:rFonts w:asciiTheme="minorHAnsi" w:hAnsiTheme="minorHAnsi" w:cs="Arial"/>
          <w:noProof/>
          <w:snapToGrid w:val="0"/>
          <w:color w:val="000000"/>
          <w:szCs w:val="20"/>
          <w:highlight w:val="black"/>
          <w:lang w:eastAsia="en-US"/>
        </w:rPr>
        <w:t>'''''''''''''''' ''''''' ''''''''''''''''' '''''''' ''''' ''''''''''''''''''' '''''' '''''''''''''''</w:t>
      </w:r>
    </w:p>
    <w:p w:rsidR="00C47C3B" w:rsidRPr="00C47C3B" w:rsidRDefault="00C47C3B" w:rsidP="00C47C3B">
      <w:pPr>
        <w:widowControl w:val="0"/>
        <w:numPr>
          <w:ilvl w:val="1"/>
          <w:numId w:val="5"/>
        </w:numPr>
        <w:tabs>
          <w:tab w:val="left" w:pos="270"/>
        </w:tabs>
        <w:spacing w:before="120" w:after="160"/>
        <w:jc w:val="both"/>
        <w:rPr>
          <w:rFonts w:asciiTheme="minorHAnsi" w:hAnsiTheme="minorHAnsi" w:cs="Arial"/>
          <w:snapToGrid w:val="0"/>
          <w:szCs w:val="20"/>
          <w:lang w:eastAsia="en-US"/>
        </w:rPr>
      </w:pPr>
      <w:bookmarkStart w:id="70" w:name="_Ref482265512"/>
      <w:r w:rsidRPr="00C47C3B">
        <w:rPr>
          <w:rFonts w:asciiTheme="minorHAnsi" w:hAnsiTheme="minorHAnsi" w:cs="Arial"/>
          <w:snapToGrid w:val="0"/>
          <w:szCs w:val="20"/>
          <w:lang w:eastAsia="en-US"/>
        </w:rPr>
        <w:t xml:space="preserve">Base case 2 included all the changes made in Base case 1 and also excluded all costs associated with BSC in the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group in the extended survival period, resulting in an ICER of $105,000/QALY – $200,000/QALY. This assumed that the use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essentially normalises bodily functions (e.g. metabolism) that would otherwise require ongoing BSC; the evaluation noted that there is no evidence to support this assumption. The PBAC considered that Base case 2 was not informative given that the requested restriction proposed that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therapy is given concurrently with supportive therapies.</w:t>
      </w:r>
      <w:bookmarkEnd w:id="70"/>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The key drivers of the model are shown in Table 11.</w:t>
      </w: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Table </w:t>
      </w:r>
      <w:r w:rsidRPr="00C47C3B">
        <w:rPr>
          <w:rFonts w:ascii="Arial Narrow" w:eastAsiaTheme="minorHAnsi" w:hAnsi="Arial Narrow" w:cstheme="minorBidi"/>
          <w:b/>
          <w:noProof/>
          <w:sz w:val="20"/>
          <w:szCs w:val="22"/>
          <w:lang w:eastAsia="en-US"/>
        </w:rPr>
        <w:t>11</w:t>
      </w:r>
      <w:r w:rsidRPr="00C47C3B">
        <w:rPr>
          <w:rFonts w:ascii="Arial Narrow" w:eastAsiaTheme="minorHAnsi" w:hAnsi="Arial Narrow" w:cstheme="minorBidi"/>
          <w:b/>
          <w:sz w:val="20"/>
          <w:szCs w:val="22"/>
          <w:lang w:eastAsia="en-US"/>
        </w:rPr>
        <w:t>: Key drivers of the model</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1"/>
        <w:gridCol w:w="4499"/>
        <w:gridCol w:w="1907"/>
      </w:tblGrid>
      <w:tr w:rsidR="00C47C3B" w:rsidRPr="00C47C3B" w:rsidTr="009F446F">
        <w:trPr>
          <w:trHeight w:val="301"/>
          <w:tblHeader/>
        </w:trPr>
        <w:tc>
          <w:tcPr>
            <w:tcW w:w="1479"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Description</w:t>
            </w:r>
          </w:p>
        </w:tc>
        <w:tc>
          <w:tcPr>
            <w:tcW w:w="2473"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Method/Value</w:t>
            </w:r>
          </w:p>
        </w:tc>
        <w:tc>
          <w:tcPr>
            <w:tcW w:w="104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Impact</w:t>
            </w:r>
          </w:p>
        </w:tc>
      </w:tr>
      <w:tr w:rsidR="00C47C3B" w:rsidRPr="00C47C3B" w:rsidTr="009F446F">
        <w:trPr>
          <w:trHeight w:val="775"/>
        </w:trPr>
        <w:tc>
          <w:tcPr>
            <w:tcW w:w="1479"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highlight w:val="yellow"/>
                <w:lang w:eastAsia="en-US"/>
              </w:rPr>
            </w:pPr>
            <w:r w:rsidRPr="00C47C3B">
              <w:rPr>
                <w:rFonts w:ascii="Arial Narrow" w:eastAsiaTheme="minorHAnsi" w:hAnsi="Arial Narrow" w:cstheme="minorBidi"/>
                <w:sz w:val="20"/>
                <w:szCs w:val="22"/>
                <w:lang w:val="en-US" w:eastAsia="en-US"/>
              </w:rPr>
              <w:t>Modelled change in pp</w:t>
            </w:r>
            <w:r w:rsidRPr="00C47C3B">
              <w:rPr>
                <w:rFonts w:ascii="Arial Narrow" w:eastAsiaTheme="minorHAnsi" w:hAnsi="Arial Narrow" w:cstheme="minorBidi"/>
                <w:sz w:val="20"/>
                <w:lang w:eastAsia="en-US"/>
              </w:rPr>
              <w:t>FEV</w:t>
            </w:r>
            <w:r w:rsidRPr="00C47C3B">
              <w:rPr>
                <w:rFonts w:ascii="Arial Narrow" w:eastAsiaTheme="minorHAnsi" w:hAnsi="Arial Narrow" w:cstheme="minorBidi"/>
                <w:sz w:val="20"/>
                <w:vertAlign w:val="subscript"/>
                <w:lang w:eastAsia="en-US"/>
              </w:rPr>
              <w:t>1</w:t>
            </w:r>
            <w:r w:rsidRPr="00C47C3B">
              <w:rPr>
                <w:rFonts w:ascii="Arial Narrow" w:eastAsiaTheme="minorHAnsi" w:hAnsi="Arial Narrow" w:cstheme="minorBidi"/>
                <w:sz w:val="20"/>
                <w:szCs w:val="22"/>
                <w:vertAlign w:val="subscript"/>
                <w:lang w:val="en-US" w:eastAsia="en-US"/>
              </w:rPr>
              <w:t xml:space="preserve"> </w:t>
            </w:r>
            <w:r w:rsidRPr="00C47C3B">
              <w:rPr>
                <w:rFonts w:ascii="Arial Narrow" w:eastAsiaTheme="minorHAnsi" w:hAnsi="Arial Narrow" w:cstheme="minorBidi"/>
                <w:sz w:val="20"/>
                <w:szCs w:val="22"/>
                <w:lang w:val="en-US" w:eastAsia="en-US"/>
              </w:rPr>
              <w:t xml:space="preserve">in </w:t>
            </w:r>
            <w:proofErr w:type="spellStart"/>
            <w:r w:rsidRPr="00C47C3B">
              <w:rPr>
                <w:rFonts w:ascii="Arial Narrow" w:eastAsiaTheme="minorHAnsi" w:hAnsi="Arial Narrow" w:cstheme="minorBidi"/>
                <w:sz w:val="20"/>
                <w:szCs w:val="22"/>
                <w:lang w:val="en-US" w:eastAsia="en-US"/>
              </w:rPr>
              <w:t>lumacaftor</w:t>
            </w:r>
            <w:proofErr w:type="spellEnd"/>
            <w:r w:rsidRPr="00C47C3B">
              <w:rPr>
                <w:rFonts w:ascii="Arial Narrow" w:eastAsiaTheme="minorHAnsi" w:hAnsi="Arial Narrow" w:cstheme="minorBidi"/>
                <w:sz w:val="20"/>
                <w:szCs w:val="22"/>
                <w:lang w:val="en-US" w:eastAsia="en-US"/>
              </w:rPr>
              <w:t>/</w:t>
            </w:r>
            <w:proofErr w:type="spellStart"/>
            <w:r w:rsidRPr="00C47C3B">
              <w:rPr>
                <w:rFonts w:ascii="Arial Narrow" w:eastAsiaTheme="minorHAnsi" w:hAnsi="Arial Narrow" w:cstheme="minorBidi"/>
                <w:sz w:val="20"/>
                <w:szCs w:val="22"/>
                <w:lang w:val="en-US" w:eastAsia="en-US"/>
              </w:rPr>
              <w:t>ivacaftor</w:t>
            </w:r>
            <w:proofErr w:type="spellEnd"/>
            <w:r w:rsidRPr="00C47C3B">
              <w:rPr>
                <w:rFonts w:ascii="Arial Narrow" w:eastAsiaTheme="minorHAnsi" w:hAnsi="Arial Narrow" w:cstheme="minorBidi"/>
                <w:sz w:val="20"/>
                <w:szCs w:val="22"/>
                <w:lang w:val="en-US" w:eastAsia="en-US"/>
              </w:rPr>
              <w:t xml:space="preserve"> patients.</w:t>
            </w:r>
          </w:p>
        </w:tc>
        <w:tc>
          <w:tcPr>
            <w:tcW w:w="2473"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Treatment effect continued beyond 24 week trial period for life time. Updated data from extension trial PROGRESS were not included in the model. </w:t>
            </w:r>
          </w:p>
        </w:tc>
        <w:tc>
          <w:tcPr>
            <w:tcW w:w="104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High, favours </w:t>
            </w:r>
            <w:proofErr w:type="spellStart"/>
            <w:r w:rsidRPr="00C47C3B">
              <w:rPr>
                <w:rFonts w:ascii="Arial Narrow" w:eastAsiaTheme="minorHAnsi" w:hAnsi="Arial Narrow" w:cstheme="minorBidi"/>
                <w:sz w:val="20"/>
                <w:szCs w:val="22"/>
                <w:lang w:val="en-US" w:eastAsia="en-US"/>
              </w:rPr>
              <w:t>lumacaftor</w:t>
            </w:r>
            <w:proofErr w:type="spellEnd"/>
            <w:r w:rsidRPr="00C47C3B">
              <w:rPr>
                <w:rFonts w:ascii="Arial Narrow" w:eastAsiaTheme="minorHAnsi" w:hAnsi="Arial Narrow" w:cstheme="minorBidi"/>
                <w:sz w:val="20"/>
                <w:szCs w:val="22"/>
                <w:lang w:val="en-US" w:eastAsia="en-US"/>
              </w:rPr>
              <w:t>/</w:t>
            </w:r>
            <w:proofErr w:type="spellStart"/>
            <w:r w:rsidRPr="00C47C3B">
              <w:rPr>
                <w:rFonts w:ascii="Arial Narrow" w:eastAsiaTheme="minorHAnsi" w:hAnsi="Arial Narrow" w:cstheme="minorBidi"/>
                <w:sz w:val="20"/>
                <w:szCs w:val="22"/>
                <w:lang w:val="en-US" w:eastAsia="en-US"/>
              </w:rPr>
              <w:t>ivacaftor</w:t>
            </w:r>
            <w:proofErr w:type="spellEnd"/>
          </w:p>
        </w:tc>
      </w:tr>
      <w:tr w:rsidR="00C47C3B" w:rsidRPr="00C47C3B" w:rsidTr="009F446F">
        <w:trPr>
          <w:trHeight w:val="546"/>
        </w:trPr>
        <w:tc>
          <w:tcPr>
            <w:tcW w:w="1479"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Modelled change in pp</w:t>
            </w:r>
            <w:r w:rsidRPr="00C47C3B">
              <w:rPr>
                <w:rFonts w:ascii="Arial Narrow" w:eastAsiaTheme="minorHAnsi" w:hAnsi="Arial Narrow" w:cstheme="minorBidi"/>
                <w:sz w:val="20"/>
                <w:lang w:eastAsia="en-US"/>
              </w:rPr>
              <w:t>FEV</w:t>
            </w:r>
            <w:r w:rsidRPr="00C47C3B">
              <w:rPr>
                <w:rFonts w:ascii="Arial Narrow" w:eastAsiaTheme="minorHAnsi" w:hAnsi="Arial Narrow" w:cstheme="minorBidi"/>
                <w:sz w:val="20"/>
                <w:vertAlign w:val="subscript"/>
                <w:lang w:eastAsia="en-US"/>
              </w:rPr>
              <w:t>1</w:t>
            </w:r>
            <w:r w:rsidRPr="00C47C3B">
              <w:rPr>
                <w:rFonts w:ascii="Arial Narrow" w:eastAsiaTheme="minorHAnsi" w:hAnsi="Arial Narrow" w:cstheme="minorBidi"/>
                <w:sz w:val="20"/>
                <w:szCs w:val="22"/>
                <w:vertAlign w:val="subscript"/>
                <w:lang w:val="en-US" w:eastAsia="en-US"/>
              </w:rPr>
              <w:t xml:space="preserve"> </w:t>
            </w:r>
            <w:r w:rsidRPr="00C47C3B">
              <w:rPr>
                <w:rFonts w:ascii="Arial Narrow" w:eastAsiaTheme="minorHAnsi" w:hAnsi="Arial Narrow" w:cstheme="minorBidi"/>
                <w:sz w:val="20"/>
                <w:szCs w:val="22"/>
                <w:lang w:val="en-US" w:eastAsia="en-US"/>
              </w:rPr>
              <w:t>in BSC patients.</w:t>
            </w:r>
          </w:p>
        </w:tc>
        <w:tc>
          <w:tcPr>
            <w:tcW w:w="2473"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Annual decline in pp</w:t>
            </w:r>
            <w:r w:rsidRPr="00C47C3B">
              <w:rPr>
                <w:rFonts w:ascii="Arial Narrow" w:eastAsiaTheme="minorHAnsi" w:hAnsi="Arial Narrow" w:cstheme="minorBidi"/>
                <w:sz w:val="20"/>
                <w:lang w:eastAsia="en-US"/>
              </w:rPr>
              <w:t>FEV</w:t>
            </w:r>
            <w:r w:rsidRPr="00C47C3B">
              <w:rPr>
                <w:rFonts w:ascii="Arial Narrow" w:eastAsiaTheme="minorHAnsi" w:hAnsi="Arial Narrow" w:cstheme="minorBidi"/>
                <w:sz w:val="20"/>
                <w:vertAlign w:val="subscript"/>
                <w:lang w:eastAsia="en-US"/>
              </w:rPr>
              <w:t>1</w:t>
            </w:r>
            <w:r w:rsidRPr="00C47C3B">
              <w:rPr>
                <w:rFonts w:ascii="Arial Narrow" w:eastAsiaTheme="minorHAnsi" w:hAnsi="Arial Narrow" w:cstheme="minorBidi"/>
                <w:sz w:val="20"/>
                <w:szCs w:val="22"/>
                <w:vertAlign w:val="subscript"/>
                <w:lang w:val="en-US" w:eastAsia="en-US"/>
              </w:rPr>
              <w:t xml:space="preserve"> </w:t>
            </w:r>
            <w:r w:rsidRPr="00C47C3B">
              <w:rPr>
                <w:rFonts w:ascii="Arial Narrow" w:eastAsiaTheme="minorHAnsi" w:hAnsi="Arial Narrow" w:cstheme="minorBidi"/>
                <w:sz w:val="20"/>
                <w:szCs w:val="22"/>
                <w:lang w:val="en-US" w:eastAsia="en-US"/>
              </w:rPr>
              <w:t xml:space="preserve">after the first 24 weeks </w:t>
            </w:r>
          </w:p>
        </w:tc>
        <w:tc>
          <w:tcPr>
            <w:tcW w:w="104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High, favours </w:t>
            </w:r>
            <w:proofErr w:type="spellStart"/>
            <w:r w:rsidRPr="00C47C3B">
              <w:rPr>
                <w:rFonts w:ascii="Arial Narrow" w:eastAsiaTheme="minorHAnsi" w:hAnsi="Arial Narrow" w:cstheme="minorBidi"/>
                <w:sz w:val="20"/>
                <w:szCs w:val="22"/>
                <w:lang w:val="en-US" w:eastAsia="en-US"/>
              </w:rPr>
              <w:t>lumacaftor</w:t>
            </w:r>
            <w:proofErr w:type="spellEnd"/>
            <w:r w:rsidRPr="00C47C3B">
              <w:rPr>
                <w:rFonts w:ascii="Arial Narrow" w:eastAsiaTheme="minorHAnsi" w:hAnsi="Arial Narrow" w:cstheme="minorBidi"/>
                <w:sz w:val="20"/>
                <w:szCs w:val="22"/>
                <w:lang w:val="en-US" w:eastAsia="en-US"/>
              </w:rPr>
              <w:t>/</w:t>
            </w:r>
            <w:proofErr w:type="spellStart"/>
            <w:r w:rsidRPr="00C47C3B">
              <w:rPr>
                <w:rFonts w:ascii="Arial Narrow" w:eastAsiaTheme="minorHAnsi" w:hAnsi="Arial Narrow" w:cstheme="minorBidi"/>
                <w:sz w:val="20"/>
                <w:szCs w:val="22"/>
                <w:lang w:val="en-US" w:eastAsia="en-US"/>
              </w:rPr>
              <w:t>ivacaftor</w:t>
            </w:r>
            <w:proofErr w:type="spellEnd"/>
          </w:p>
        </w:tc>
      </w:tr>
      <w:tr w:rsidR="00C47C3B" w:rsidRPr="00C47C3B" w:rsidTr="009F446F">
        <w:trPr>
          <w:trHeight w:val="546"/>
        </w:trPr>
        <w:tc>
          <w:tcPr>
            <w:tcW w:w="1479"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Assumption of price reduction at patent expiry. </w:t>
            </w:r>
          </w:p>
        </w:tc>
        <w:tc>
          <w:tcPr>
            <w:tcW w:w="2473"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highlight w:val="black"/>
                <w:lang w:val="en-US" w:eastAsia="en-US"/>
              </w:rPr>
            </w:pPr>
            <w:r w:rsidRPr="00C47C3B">
              <w:rPr>
                <w:rFonts w:ascii="Arial Narrow" w:eastAsiaTheme="minorHAnsi" w:hAnsi="Arial Narrow" w:cstheme="minorBidi"/>
                <w:noProof/>
                <w:color w:val="000000"/>
                <w:sz w:val="20"/>
                <w:szCs w:val="22"/>
                <w:highlight w:val="black"/>
                <w:lang w:val="en-US" w:eastAsia="en-US"/>
              </w:rPr>
              <w:t>'''''''''' '''''''''''' ''''''''''''''''''''''' ''''' '''''''''' '''' '''''''''''''' ''''''''</w:t>
            </w:r>
          </w:p>
        </w:tc>
        <w:tc>
          <w:tcPr>
            <w:tcW w:w="104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High, favours </w:t>
            </w:r>
            <w:proofErr w:type="spellStart"/>
            <w:r w:rsidRPr="00C47C3B">
              <w:rPr>
                <w:rFonts w:ascii="Arial Narrow" w:eastAsiaTheme="minorHAnsi" w:hAnsi="Arial Narrow" w:cstheme="minorBidi"/>
                <w:sz w:val="20"/>
                <w:szCs w:val="22"/>
                <w:lang w:val="en-US" w:eastAsia="en-US"/>
              </w:rPr>
              <w:t>lumacaftor</w:t>
            </w:r>
            <w:proofErr w:type="spellEnd"/>
            <w:r w:rsidRPr="00C47C3B">
              <w:rPr>
                <w:rFonts w:ascii="Arial Narrow" w:eastAsiaTheme="minorHAnsi" w:hAnsi="Arial Narrow" w:cstheme="minorBidi"/>
                <w:sz w:val="20"/>
                <w:szCs w:val="22"/>
                <w:lang w:val="en-US" w:eastAsia="en-US"/>
              </w:rPr>
              <w:t>/</w:t>
            </w:r>
            <w:proofErr w:type="spellStart"/>
            <w:r w:rsidRPr="00C47C3B">
              <w:rPr>
                <w:rFonts w:ascii="Arial Narrow" w:eastAsiaTheme="minorHAnsi" w:hAnsi="Arial Narrow" w:cstheme="minorBidi"/>
                <w:sz w:val="20"/>
                <w:szCs w:val="22"/>
                <w:lang w:val="en-US" w:eastAsia="en-US"/>
              </w:rPr>
              <w:t>ivacaftor</w:t>
            </w:r>
            <w:proofErr w:type="spellEnd"/>
          </w:p>
        </w:tc>
      </w:tr>
      <w:tr w:rsidR="00C47C3B" w:rsidRPr="00C47C3B" w:rsidTr="009F446F">
        <w:trPr>
          <w:trHeight w:val="775"/>
        </w:trPr>
        <w:tc>
          <w:tcPr>
            <w:tcW w:w="1479"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Assumption of reduction in PE-related hospitalisation costs for </w:t>
            </w:r>
            <w:proofErr w:type="spellStart"/>
            <w:r w:rsidRPr="00C47C3B">
              <w:rPr>
                <w:rFonts w:ascii="Arial Narrow" w:eastAsiaTheme="minorHAnsi" w:hAnsi="Arial Narrow" w:cstheme="minorBidi"/>
                <w:sz w:val="20"/>
                <w:szCs w:val="22"/>
                <w:lang w:val="en-US" w:eastAsia="en-US"/>
              </w:rPr>
              <w:t>lumacaftor</w:t>
            </w:r>
            <w:proofErr w:type="spellEnd"/>
            <w:r w:rsidRPr="00C47C3B">
              <w:rPr>
                <w:rFonts w:ascii="Arial Narrow" w:eastAsiaTheme="minorHAnsi" w:hAnsi="Arial Narrow" w:cstheme="minorBidi"/>
                <w:sz w:val="20"/>
                <w:szCs w:val="22"/>
                <w:lang w:val="en-US" w:eastAsia="en-US"/>
              </w:rPr>
              <w:t>/</w:t>
            </w:r>
            <w:proofErr w:type="spellStart"/>
            <w:r w:rsidRPr="00C47C3B">
              <w:rPr>
                <w:rFonts w:ascii="Arial Narrow" w:eastAsiaTheme="minorHAnsi" w:hAnsi="Arial Narrow" w:cstheme="minorBidi"/>
                <w:sz w:val="20"/>
                <w:szCs w:val="22"/>
                <w:lang w:val="en-US" w:eastAsia="en-US"/>
              </w:rPr>
              <w:t>ivacaftor</w:t>
            </w:r>
            <w:proofErr w:type="spellEnd"/>
            <w:r w:rsidRPr="00C47C3B">
              <w:rPr>
                <w:rFonts w:ascii="Arial Narrow" w:eastAsiaTheme="minorHAnsi" w:hAnsi="Arial Narrow" w:cstheme="minorBidi"/>
                <w:sz w:val="20"/>
                <w:szCs w:val="22"/>
                <w:lang w:val="en-US" w:eastAsia="en-US"/>
              </w:rPr>
              <w:t>.</w:t>
            </w:r>
          </w:p>
        </w:tc>
        <w:tc>
          <w:tcPr>
            <w:tcW w:w="2473"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61% reduction in PE-related </w:t>
            </w:r>
            <w:r w:rsidRPr="00C47C3B">
              <w:rPr>
                <w:rFonts w:ascii="Arial Narrow" w:eastAsiaTheme="minorHAnsi" w:hAnsi="Arial Narrow" w:cstheme="minorBidi"/>
                <w:sz w:val="20"/>
                <w:szCs w:val="22"/>
                <w:lang w:eastAsia="en-US"/>
              </w:rPr>
              <w:t>hospitalisation</w:t>
            </w:r>
            <w:r w:rsidRPr="00C47C3B">
              <w:rPr>
                <w:rFonts w:ascii="Arial Narrow" w:eastAsiaTheme="minorHAnsi" w:hAnsi="Arial Narrow" w:cstheme="minorBidi"/>
                <w:sz w:val="20"/>
                <w:szCs w:val="22"/>
                <w:lang w:val="en-US" w:eastAsia="en-US"/>
              </w:rPr>
              <w:t xml:space="preserve"> costs; estimated by multiplying </w:t>
            </w:r>
            <w:r w:rsidRPr="00C47C3B">
              <w:rPr>
                <w:rFonts w:ascii="Arial Narrow" w:eastAsiaTheme="minorHAnsi" w:hAnsi="Arial Narrow" w:cstheme="minorBidi"/>
                <w:sz w:val="20"/>
                <w:szCs w:val="22"/>
                <w:lang w:eastAsia="en-US"/>
              </w:rPr>
              <w:t>hospitalisation</w:t>
            </w:r>
            <w:r w:rsidRPr="00C47C3B">
              <w:rPr>
                <w:rFonts w:ascii="Arial Narrow" w:eastAsiaTheme="minorHAnsi" w:hAnsi="Arial Narrow" w:cstheme="minorBidi"/>
                <w:sz w:val="20"/>
                <w:szCs w:val="22"/>
                <w:lang w:val="en-US" w:eastAsia="en-US"/>
              </w:rPr>
              <w:t xml:space="preserve"> costs associated with BSC by 0.61. </w:t>
            </w:r>
          </w:p>
        </w:tc>
        <w:tc>
          <w:tcPr>
            <w:tcW w:w="104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High, favours </w:t>
            </w:r>
            <w:proofErr w:type="spellStart"/>
            <w:r w:rsidRPr="00C47C3B">
              <w:rPr>
                <w:rFonts w:ascii="Arial Narrow" w:eastAsiaTheme="minorHAnsi" w:hAnsi="Arial Narrow" w:cstheme="minorBidi"/>
                <w:sz w:val="20"/>
                <w:szCs w:val="22"/>
                <w:lang w:val="en-US" w:eastAsia="en-US"/>
              </w:rPr>
              <w:t>lumacaftor</w:t>
            </w:r>
            <w:proofErr w:type="spellEnd"/>
            <w:r w:rsidRPr="00C47C3B">
              <w:rPr>
                <w:rFonts w:ascii="Arial Narrow" w:eastAsiaTheme="minorHAnsi" w:hAnsi="Arial Narrow" w:cstheme="minorBidi"/>
                <w:sz w:val="20"/>
                <w:szCs w:val="22"/>
                <w:lang w:val="en-US" w:eastAsia="en-US"/>
              </w:rPr>
              <w:t>/</w:t>
            </w:r>
            <w:proofErr w:type="spellStart"/>
            <w:r w:rsidRPr="00C47C3B">
              <w:rPr>
                <w:rFonts w:ascii="Arial Narrow" w:eastAsiaTheme="minorHAnsi" w:hAnsi="Arial Narrow" w:cstheme="minorBidi"/>
                <w:sz w:val="20"/>
                <w:szCs w:val="22"/>
                <w:lang w:val="en-US" w:eastAsia="en-US"/>
              </w:rPr>
              <w:t>ivacaftor</w:t>
            </w:r>
            <w:proofErr w:type="spellEnd"/>
          </w:p>
        </w:tc>
      </w:tr>
      <w:tr w:rsidR="00C47C3B" w:rsidRPr="00C47C3B" w:rsidTr="009F446F">
        <w:trPr>
          <w:trHeight w:val="546"/>
        </w:trPr>
        <w:tc>
          <w:tcPr>
            <w:tcW w:w="1479"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Extrapolation of survival</w:t>
            </w:r>
          </w:p>
        </w:tc>
        <w:tc>
          <w:tcPr>
            <w:tcW w:w="2473"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proofErr w:type="spellStart"/>
            <w:r w:rsidRPr="00C47C3B">
              <w:rPr>
                <w:rFonts w:ascii="Arial Narrow" w:eastAsiaTheme="minorHAnsi" w:hAnsi="Arial Narrow" w:cstheme="minorBidi"/>
                <w:sz w:val="20"/>
                <w:szCs w:val="22"/>
                <w:lang w:val="en-US" w:eastAsia="en-US"/>
              </w:rPr>
              <w:t>Liou</w:t>
            </w:r>
            <w:proofErr w:type="spellEnd"/>
            <w:r w:rsidRPr="00C47C3B">
              <w:rPr>
                <w:rFonts w:ascii="Arial Narrow" w:eastAsiaTheme="minorHAnsi" w:hAnsi="Arial Narrow" w:cstheme="minorBidi"/>
                <w:sz w:val="20"/>
                <w:szCs w:val="22"/>
                <w:lang w:val="en-US" w:eastAsia="en-US"/>
              </w:rPr>
              <w:t xml:space="preserve"> et al (2001), extrapolation of effect of intermediate outcomes on survival. </w:t>
            </w:r>
          </w:p>
        </w:tc>
        <w:tc>
          <w:tcPr>
            <w:tcW w:w="104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High, favours </w:t>
            </w:r>
            <w:proofErr w:type="spellStart"/>
            <w:r w:rsidRPr="00C47C3B">
              <w:rPr>
                <w:rFonts w:ascii="Arial Narrow" w:eastAsiaTheme="minorHAnsi" w:hAnsi="Arial Narrow" w:cstheme="minorBidi"/>
                <w:sz w:val="20"/>
                <w:szCs w:val="22"/>
                <w:lang w:val="en-US" w:eastAsia="en-US"/>
              </w:rPr>
              <w:t>lumacaftor</w:t>
            </w:r>
            <w:proofErr w:type="spellEnd"/>
            <w:r w:rsidRPr="00C47C3B">
              <w:rPr>
                <w:rFonts w:ascii="Arial Narrow" w:eastAsiaTheme="minorHAnsi" w:hAnsi="Arial Narrow" w:cstheme="minorBidi"/>
                <w:sz w:val="20"/>
                <w:szCs w:val="22"/>
                <w:lang w:val="en-US" w:eastAsia="en-US"/>
              </w:rPr>
              <w:t>/</w:t>
            </w:r>
            <w:proofErr w:type="spellStart"/>
            <w:r w:rsidRPr="00C47C3B">
              <w:rPr>
                <w:rFonts w:ascii="Arial Narrow" w:eastAsiaTheme="minorHAnsi" w:hAnsi="Arial Narrow" w:cstheme="minorBidi"/>
                <w:sz w:val="20"/>
                <w:szCs w:val="22"/>
                <w:lang w:val="en-US" w:eastAsia="en-US"/>
              </w:rPr>
              <w:t>ivacaftor</w:t>
            </w:r>
            <w:proofErr w:type="spellEnd"/>
          </w:p>
        </w:tc>
      </w:tr>
      <w:tr w:rsidR="00C47C3B" w:rsidRPr="00C47C3B" w:rsidTr="009F446F">
        <w:trPr>
          <w:trHeight w:val="546"/>
        </w:trPr>
        <w:tc>
          <w:tcPr>
            <w:tcW w:w="1479"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Utilities </w:t>
            </w:r>
          </w:p>
        </w:tc>
        <w:tc>
          <w:tcPr>
            <w:tcW w:w="2473"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High values for health states obtained via Clinician Survey. </w:t>
            </w:r>
            <w:r w:rsidRPr="00C47C3B">
              <w:rPr>
                <w:rFonts w:ascii="Arial Narrow" w:eastAsiaTheme="minorHAnsi" w:hAnsi="Arial Narrow" w:cstheme="minorBidi"/>
                <w:sz w:val="20"/>
                <w:szCs w:val="22"/>
                <w:lang w:val="en-US" w:eastAsia="en-US"/>
              </w:rPr>
              <w:br/>
            </w:r>
            <w:r w:rsidRPr="00C47C3B">
              <w:rPr>
                <w:rFonts w:ascii="Arial Narrow" w:eastAsiaTheme="minorHAnsi" w:hAnsi="Arial Narrow" w:cstheme="minorBidi"/>
                <w:sz w:val="20"/>
                <w:szCs w:val="22"/>
                <w:lang w:eastAsia="en-US"/>
              </w:rPr>
              <w:t>The utility values applied for the ‘normal’ health state (pp</w:t>
            </w:r>
            <w:r w:rsidRPr="00C47C3B">
              <w:rPr>
                <w:rFonts w:ascii="Arial Narrow" w:eastAsiaTheme="minorHAnsi" w:hAnsi="Arial Narrow" w:cstheme="minorBidi"/>
                <w:sz w:val="20"/>
                <w:lang w:eastAsia="en-US"/>
              </w:rPr>
              <w:t>FEV</w:t>
            </w:r>
            <w:r w:rsidRPr="00C47C3B">
              <w:rPr>
                <w:rFonts w:ascii="Arial Narrow" w:eastAsiaTheme="minorHAnsi" w:hAnsi="Arial Narrow" w:cstheme="minorBidi"/>
                <w:sz w:val="20"/>
                <w:vertAlign w:val="subscript"/>
                <w:lang w:eastAsia="en-US"/>
              </w:rPr>
              <w:t>1</w:t>
            </w:r>
            <w:r w:rsidRPr="00C47C3B">
              <w:rPr>
                <w:rFonts w:ascii="Arial Narrow" w:eastAsiaTheme="minorHAnsi" w:hAnsi="Arial Narrow" w:cstheme="minorBidi"/>
                <w:sz w:val="20"/>
                <w:szCs w:val="22"/>
                <w:lang w:eastAsia="en-US"/>
              </w:rPr>
              <w:t>&gt;90%) surpass Australian population norms.</w:t>
            </w:r>
          </w:p>
        </w:tc>
        <w:tc>
          <w:tcPr>
            <w:tcW w:w="104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val="en-US" w:eastAsia="en-US"/>
              </w:rPr>
            </w:pPr>
            <w:r w:rsidRPr="00C47C3B">
              <w:rPr>
                <w:rFonts w:ascii="Arial Narrow" w:eastAsiaTheme="minorHAnsi" w:hAnsi="Arial Narrow" w:cstheme="minorBidi"/>
                <w:sz w:val="20"/>
                <w:szCs w:val="22"/>
                <w:lang w:val="en-US" w:eastAsia="en-US"/>
              </w:rPr>
              <w:t xml:space="preserve">High, favours </w:t>
            </w:r>
            <w:proofErr w:type="spellStart"/>
            <w:r w:rsidRPr="00C47C3B">
              <w:rPr>
                <w:rFonts w:ascii="Arial Narrow" w:eastAsiaTheme="minorHAnsi" w:hAnsi="Arial Narrow" w:cstheme="minorBidi"/>
                <w:sz w:val="20"/>
                <w:szCs w:val="22"/>
                <w:lang w:val="en-US" w:eastAsia="en-US"/>
              </w:rPr>
              <w:t>lumacaftor</w:t>
            </w:r>
            <w:proofErr w:type="spellEnd"/>
            <w:r w:rsidRPr="00C47C3B">
              <w:rPr>
                <w:rFonts w:ascii="Arial Narrow" w:eastAsiaTheme="minorHAnsi" w:hAnsi="Arial Narrow" w:cstheme="minorBidi"/>
                <w:sz w:val="20"/>
                <w:szCs w:val="22"/>
                <w:lang w:val="en-US" w:eastAsia="en-US"/>
              </w:rPr>
              <w:t>/</w:t>
            </w:r>
            <w:proofErr w:type="spellStart"/>
            <w:r w:rsidRPr="00C47C3B">
              <w:rPr>
                <w:rFonts w:ascii="Arial Narrow" w:eastAsiaTheme="minorHAnsi" w:hAnsi="Arial Narrow" w:cstheme="minorBidi"/>
                <w:sz w:val="20"/>
                <w:szCs w:val="22"/>
                <w:lang w:val="en-US" w:eastAsia="en-US"/>
              </w:rPr>
              <w:t>ivacaftor</w:t>
            </w:r>
            <w:proofErr w:type="spellEnd"/>
          </w:p>
        </w:tc>
      </w:tr>
    </w:tbl>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 xml:space="preserve">Source: compiled during the evaluation. </w:t>
      </w:r>
    </w:p>
    <w:p w:rsidR="00C47C3B" w:rsidRPr="00C47C3B" w:rsidRDefault="00C47C3B" w:rsidP="00C47C3B">
      <w:pPr>
        <w:keepNext/>
        <w:spacing w:after="120"/>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Abbreviations: BSC = best supportive care; PE = pulmonary exacerbation; pp</w:t>
      </w:r>
      <w:r w:rsidRPr="00C47C3B">
        <w:rPr>
          <w:rFonts w:ascii="Arial Narrow" w:hAnsi="Arial Narrow" w:cs="Arial"/>
          <w:snapToGrid w:val="0"/>
          <w:sz w:val="16"/>
          <w:lang w:eastAsia="en-US"/>
        </w:rPr>
        <w:t>FEV</w:t>
      </w:r>
      <w:r w:rsidRPr="00C47C3B">
        <w:rPr>
          <w:rFonts w:ascii="Arial Narrow" w:hAnsi="Arial Narrow" w:cs="Arial"/>
          <w:snapToGrid w:val="0"/>
          <w:sz w:val="16"/>
          <w:vertAlign w:val="subscript"/>
          <w:lang w:eastAsia="en-US"/>
        </w:rPr>
        <w:t>1</w:t>
      </w:r>
      <w:r w:rsidRPr="00C47C3B">
        <w:rPr>
          <w:rFonts w:ascii="Arial Narrow" w:hAnsi="Arial Narrow" w:cs="Arial"/>
          <w:snapToGrid w:val="0"/>
          <w:sz w:val="16"/>
          <w:szCs w:val="16"/>
          <w:lang w:eastAsia="en-US"/>
        </w:rPr>
        <w:t>= per cent predicted forced expiratory volume in one second.</w:t>
      </w:r>
    </w:p>
    <w:p w:rsidR="00C47C3B" w:rsidRPr="00C47C3B" w:rsidRDefault="00C47C3B" w:rsidP="00C47C3B">
      <w:pPr>
        <w:widowControl w:val="0"/>
        <w:numPr>
          <w:ilvl w:val="1"/>
          <w:numId w:val="5"/>
        </w:numPr>
        <w:spacing w:after="120"/>
        <w:ind w:left="810" w:hanging="81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Results from the stepped economic evaluation showing the changes implemented as part of the resubmission are provided in Table 12.</w:t>
      </w: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lastRenderedPageBreak/>
        <w:t xml:space="preserve">Table </w:t>
      </w:r>
      <w:r w:rsidRPr="00C47C3B">
        <w:rPr>
          <w:rFonts w:ascii="Arial Narrow" w:eastAsiaTheme="minorHAnsi" w:hAnsi="Arial Narrow" w:cstheme="minorBidi"/>
          <w:b/>
          <w:noProof/>
          <w:sz w:val="20"/>
          <w:szCs w:val="22"/>
          <w:lang w:eastAsia="en-US"/>
        </w:rPr>
        <w:t>12</w:t>
      </w:r>
      <w:r w:rsidRPr="00C47C3B">
        <w:rPr>
          <w:rFonts w:ascii="Arial Narrow" w:eastAsiaTheme="minorHAnsi" w:hAnsi="Arial Narrow" w:cstheme="minorBidi"/>
          <w:b/>
          <w:sz w:val="20"/>
          <w:szCs w:val="22"/>
          <w:lang w:eastAsia="en-US"/>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25"/>
        <w:gridCol w:w="2221"/>
        <w:gridCol w:w="2314"/>
        <w:gridCol w:w="1522"/>
      </w:tblGrid>
      <w:tr w:rsidR="00C47C3B" w:rsidRPr="00C47C3B" w:rsidTr="009F446F">
        <w:trPr>
          <w:tblHeader/>
        </w:trPr>
        <w:tc>
          <w:tcPr>
            <w:tcW w:w="1665" w:type="pct"/>
            <w:vAlign w:val="center"/>
          </w:tcPr>
          <w:p w:rsidR="00C47C3B" w:rsidRPr="00C47C3B" w:rsidRDefault="00C47C3B" w:rsidP="00C47C3B">
            <w:pPr>
              <w:keepNext/>
              <w:spacing w:before="40" w:after="4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Step and component</w:t>
            </w:r>
          </w:p>
        </w:tc>
        <w:tc>
          <w:tcPr>
            <w:tcW w:w="1223" w:type="pct"/>
            <w:vAlign w:val="center"/>
          </w:tcPr>
          <w:p w:rsidR="00C47C3B" w:rsidRPr="00C47C3B" w:rsidRDefault="00C47C3B" w:rsidP="00C47C3B">
            <w:pPr>
              <w:keepNext/>
              <w:spacing w:before="40" w:after="40"/>
              <w:rPr>
                <w:rFonts w:ascii="Arial Narrow" w:eastAsiaTheme="minorHAnsi" w:hAnsi="Arial Narrow" w:cstheme="minorBidi"/>
                <w:b/>
                <w:sz w:val="20"/>
                <w:szCs w:val="22"/>
                <w:lang w:eastAsia="en-US"/>
              </w:rPr>
            </w:pPr>
            <w:proofErr w:type="spellStart"/>
            <w:r w:rsidRPr="00C47C3B">
              <w:rPr>
                <w:rFonts w:ascii="Arial Narrow" w:eastAsiaTheme="minorHAnsi" w:hAnsi="Arial Narrow" w:cstheme="minorBidi"/>
                <w:b/>
                <w:sz w:val="20"/>
                <w:szCs w:val="22"/>
                <w:lang w:eastAsia="en-US"/>
              </w:rPr>
              <w:t>Lumacaftor</w:t>
            </w:r>
            <w:proofErr w:type="spellEnd"/>
            <w:r w:rsidRPr="00C47C3B">
              <w:rPr>
                <w:rFonts w:ascii="Arial Narrow" w:eastAsiaTheme="minorHAnsi" w:hAnsi="Arial Narrow" w:cstheme="minorBidi"/>
                <w:b/>
                <w:sz w:val="20"/>
                <w:szCs w:val="22"/>
                <w:lang w:eastAsia="en-US"/>
              </w:rPr>
              <w:t>/</w:t>
            </w:r>
            <w:proofErr w:type="spellStart"/>
            <w:r w:rsidRPr="00C47C3B">
              <w:rPr>
                <w:rFonts w:ascii="Arial Narrow" w:eastAsiaTheme="minorHAnsi" w:hAnsi="Arial Narrow" w:cstheme="minorBidi"/>
                <w:b/>
                <w:sz w:val="20"/>
                <w:szCs w:val="22"/>
                <w:lang w:eastAsia="en-US"/>
              </w:rPr>
              <w:t>ivacaftor</w:t>
            </w:r>
            <w:proofErr w:type="spellEnd"/>
          </w:p>
        </w:tc>
        <w:tc>
          <w:tcPr>
            <w:tcW w:w="1274" w:type="pct"/>
            <w:vAlign w:val="center"/>
          </w:tcPr>
          <w:p w:rsidR="00C47C3B" w:rsidRPr="00C47C3B" w:rsidRDefault="00C47C3B" w:rsidP="00C47C3B">
            <w:pPr>
              <w:keepNext/>
              <w:spacing w:before="40" w:after="4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Best supportive care</w:t>
            </w:r>
          </w:p>
        </w:tc>
        <w:tc>
          <w:tcPr>
            <w:tcW w:w="838" w:type="pct"/>
            <w:vAlign w:val="center"/>
          </w:tcPr>
          <w:p w:rsidR="00C47C3B" w:rsidRPr="00C47C3B" w:rsidRDefault="00C47C3B" w:rsidP="00C47C3B">
            <w:pPr>
              <w:keepNext/>
              <w:spacing w:before="40" w:after="4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Increment</w:t>
            </w:r>
          </w:p>
        </w:tc>
      </w:tr>
      <w:tr w:rsidR="00C47C3B" w:rsidRPr="00C47C3B" w:rsidTr="009F446F">
        <w:trPr>
          <w:trHeight w:val="390"/>
        </w:trPr>
        <w:tc>
          <w:tcPr>
            <w:tcW w:w="5000" w:type="pct"/>
            <w:gridSpan w:val="4"/>
            <w:vAlign w:val="center"/>
          </w:tcPr>
          <w:p w:rsidR="00C47C3B" w:rsidRPr="00C47C3B" w:rsidRDefault="00C47C3B" w:rsidP="00C47C3B">
            <w:pPr>
              <w:keepNext/>
              <w:spacing w:before="40" w:after="40"/>
              <w:rPr>
                <w:rFonts w:ascii="Arial Narrow" w:eastAsiaTheme="minorHAnsi" w:hAnsi="Arial Narrow" w:cstheme="minorBidi"/>
                <w:b/>
                <w:snapToGrid w:val="0"/>
                <w:sz w:val="20"/>
                <w:szCs w:val="22"/>
                <w:lang w:eastAsia="en-US"/>
              </w:rPr>
            </w:pPr>
            <w:r w:rsidRPr="00C47C3B">
              <w:rPr>
                <w:rFonts w:ascii="Arial Narrow" w:eastAsiaTheme="minorHAnsi" w:hAnsi="Arial Narrow" w:cstheme="minorBidi"/>
                <w:b/>
                <w:snapToGrid w:val="0"/>
                <w:sz w:val="20"/>
                <w:szCs w:val="22"/>
                <w:lang w:eastAsia="en-US"/>
              </w:rPr>
              <w:t>March 2016 submission (base case)</w:t>
            </w:r>
          </w:p>
        </w:tc>
      </w:tr>
      <w:tr w:rsidR="00C47C3B" w:rsidRPr="00C47C3B" w:rsidTr="009F446F">
        <w:tc>
          <w:tcPr>
            <w:tcW w:w="1665"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Costs</w:t>
            </w:r>
          </w:p>
        </w:tc>
        <w:tc>
          <w:tcPr>
            <w:tcW w:w="1223"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c>
          <w:tcPr>
            <w:tcW w:w="1274"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$380,017</w:t>
            </w:r>
          </w:p>
        </w:tc>
        <w:tc>
          <w:tcPr>
            <w:tcW w:w="838"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r>
      <w:tr w:rsidR="00C47C3B" w:rsidRPr="00C47C3B" w:rsidTr="009F446F">
        <w:tc>
          <w:tcPr>
            <w:tcW w:w="1665" w:type="pct"/>
            <w:tcBorders>
              <w:bottom w:val="single" w:sz="4" w:space="0" w:color="auto"/>
            </w:tcBorders>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QALYs</w:t>
            </w:r>
          </w:p>
        </w:tc>
        <w:tc>
          <w:tcPr>
            <w:tcW w:w="1223" w:type="pct"/>
            <w:tcBorders>
              <w:bottom w:val="single" w:sz="4" w:space="0" w:color="auto"/>
            </w:tcBorders>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 xml:space="preserve">9.553 </w:t>
            </w:r>
          </w:p>
        </w:tc>
        <w:tc>
          <w:tcPr>
            <w:tcW w:w="1274" w:type="pct"/>
            <w:tcBorders>
              <w:bottom w:val="single" w:sz="4" w:space="0" w:color="auto"/>
            </w:tcBorders>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4.894</w:t>
            </w:r>
          </w:p>
        </w:tc>
        <w:tc>
          <w:tcPr>
            <w:tcW w:w="838"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4.659</w:t>
            </w:r>
          </w:p>
        </w:tc>
      </w:tr>
      <w:tr w:rsidR="00C47C3B" w:rsidRPr="00C47C3B" w:rsidTr="009F446F">
        <w:tc>
          <w:tcPr>
            <w:tcW w:w="1665" w:type="pct"/>
            <w:tcBorders>
              <w:right w:val="nil"/>
            </w:tcBorders>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Incremental cost/extra QALY gained</w:t>
            </w:r>
          </w:p>
        </w:tc>
        <w:tc>
          <w:tcPr>
            <w:tcW w:w="1223" w:type="pct"/>
            <w:tcBorders>
              <w:left w:val="nil"/>
              <w:right w:val="nil"/>
            </w:tcBorders>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p>
        </w:tc>
        <w:tc>
          <w:tcPr>
            <w:tcW w:w="1274" w:type="pct"/>
            <w:tcBorders>
              <w:left w:val="nil"/>
            </w:tcBorders>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p>
        </w:tc>
        <w:tc>
          <w:tcPr>
            <w:tcW w:w="838"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sz w:val="20"/>
                <w:szCs w:val="22"/>
                <w:lang w:eastAsia="en-US"/>
              </w:rPr>
              <w:t>$</w:t>
            </w:r>
            <w:r w:rsidRPr="00C47C3B">
              <w:rPr>
                <w:rFonts w:ascii="Arial Narrow" w:eastAsiaTheme="minorHAnsi" w:hAnsi="Arial Narrow"/>
                <w:noProof/>
                <w:color w:val="000000"/>
                <w:sz w:val="20"/>
                <w:szCs w:val="22"/>
                <w:highlight w:val="black"/>
                <w:lang w:eastAsia="en-US"/>
              </w:rPr>
              <w:t>'''''''''''''''''''''</w:t>
            </w:r>
          </w:p>
        </w:tc>
      </w:tr>
      <w:tr w:rsidR="00C47C3B" w:rsidRPr="00C47C3B" w:rsidTr="009F446F">
        <w:tc>
          <w:tcPr>
            <w:tcW w:w="5000" w:type="pct"/>
            <w:gridSpan w:val="4"/>
            <w:vAlign w:val="center"/>
          </w:tcPr>
          <w:p w:rsidR="00C47C3B" w:rsidRPr="00C47C3B" w:rsidRDefault="00C47C3B" w:rsidP="00C47C3B">
            <w:pPr>
              <w:keepNext/>
              <w:spacing w:before="40" w:after="40"/>
              <w:rPr>
                <w:rFonts w:ascii="Arial Narrow" w:eastAsiaTheme="minorHAnsi" w:hAnsi="Arial Narrow"/>
                <w:sz w:val="20"/>
                <w:szCs w:val="22"/>
                <w:lang w:eastAsia="en-US"/>
              </w:rPr>
            </w:pPr>
            <w:r w:rsidRPr="00C47C3B">
              <w:rPr>
                <w:rFonts w:ascii="Arial Narrow" w:eastAsiaTheme="minorHAnsi" w:hAnsi="Arial Narrow" w:cstheme="minorBidi"/>
                <w:b/>
                <w:snapToGrid w:val="0"/>
                <w:sz w:val="20"/>
                <w:szCs w:val="22"/>
                <w:lang w:eastAsia="en-US"/>
              </w:rPr>
              <w:t>November 2016 resubmission (base case)</w:t>
            </w:r>
          </w:p>
        </w:tc>
      </w:tr>
      <w:tr w:rsidR="00C47C3B" w:rsidRPr="00C47C3B" w:rsidTr="009F446F">
        <w:tc>
          <w:tcPr>
            <w:tcW w:w="1665"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Costs</w:t>
            </w:r>
          </w:p>
        </w:tc>
        <w:tc>
          <w:tcPr>
            <w:tcW w:w="1223" w:type="pct"/>
            <w:vAlign w:val="center"/>
          </w:tcPr>
          <w:p w:rsidR="00C47C3B" w:rsidRPr="00C47C3B" w:rsidRDefault="00C47C3B" w:rsidP="00C47C3B">
            <w:pPr>
              <w:keepNext/>
              <w:spacing w:before="40" w:after="40"/>
              <w:rPr>
                <w:rFonts w:ascii="Arial Narrow" w:eastAsiaTheme="minorHAnsi" w:hAnsi="Arial Narrow" w:cstheme="minorBidi"/>
                <w:sz w:val="20"/>
                <w:szCs w:val="22"/>
                <w:vertAlign w:val="superscript"/>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c>
          <w:tcPr>
            <w:tcW w:w="1274"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$380,017</w:t>
            </w:r>
          </w:p>
        </w:tc>
        <w:tc>
          <w:tcPr>
            <w:tcW w:w="838" w:type="pct"/>
            <w:vAlign w:val="center"/>
          </w:tcPr>
          <w:p w:rsidR="00C47C3B" w:rsidRPr="00C47C3B" w:rsidRDefault="00C47C3B" w:rsidP="00C47C3B">
            <w:pPr>
              <w:keepNext/>
              <w:spacing w:before="40" w:after="40"/>
              <w:rPr>
                <w:rFonts w:ascii="Arial Narrow" w:eastAsiaTheme="minorHAnsi" w:hAnsi="Arial Narrow" w:cstheme="minorBidi"/>
                <w:sz w:val="20"/>
                <w:szCs w:val="22"/>
                <w:vertAlign w:val="superscript"/>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r>
      <w:tr w:rsidR="00C47C3B" w:rsidRPr="00C47C3B" w:rsidTr="009F446F">
        <w:tc>
          <w:tcPr>
            <w:tcW w:w="1665"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QALYs</w:t>
            </w:r>
          </w:p>
        </w:tc>
        <w:tc>
          <w:tcPr>
            <w:tcW w:w="1223"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 xml:space="preserve">9.553 </w:t>
            </w:r>
          </w:p>
        </w:tc>
        <w:tc>
          <w:tcPr>
            <w:tcW w:w="1274"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4.894</w:t>
            </w:r>
          </w:p>
        </w:tc>
        <w:tc>
          <w:tcPr>
            <w:tcW w:w="838"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4.659</w:t>
            </w:r>
          </w:p>
        </w:tc>
      </w:tr>
      <w:tr w:rsidR="00C47C3B" w:rsidRPr="00C47C3B" w:rsidTr="009F446F">
        <w:tc>
          <w:tcPr>
            <w:tcW w:w="4162" w:type="pct"/>
            <w:gridSpan w:val="3"/>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Incremental cost/extra QALY gained</w:t>
            </w:r>
          </w:p>
        </w:tc>
        <w:tc>
          <w:tcPr>
            <w:tcW w:w="838"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r>
      <w:tr w:rsidR="00C47C3B" w:rsidRPr="00C47C3B" w:rsidTr="009F446F">
        <w:tc>
          <w:tcPr>
            <w:tcW w:w="5000" w:type="pct"/>
            <w:gridSpan w:val="4"/>
            <w:vAlign w:val="center"/>
          </w:tcPr>
          <w:p w:rsidR="00C47C3B" w:rsidRPr="00C47C3B" w:rsidRDefault="00C47C3B" w:rsidP="00C47C3B">
            <w:pPr>
              <w:keepNext/>
              <w:spacing w:before="40" w:after="40"/>
              <w:rPr>
                <w:rFonts w:ascii="Arial Narrow" w:eastAsiaTheme="minorHAnsi" w:hAnsi="Arial Narrow" w:cstheme="minorBidi"/>
                <w:b/>
                <w:snapToGrid w:val="0"/>
                <w:sz w:val="20"/>
                <w:szCs w:val="22"/>
                <w:lang w:eastAsia="en-US"/>
              </w:rPr>
            </w:pPr>
            <w:r w:rsidRPr="00C47C3B">
              <w:rPr>
                <w:rFonts w:ascii="Arial Narrow" w:eastAsiaTheme="minorHAnsi" w:hAnsi="Arial Narrow" w:cstheme="minorBidi"/>
                <w:b/>
                <w:snapToGrid w:val="0"/>
                <w:sz w:val="20"/>
                <w:szCs w:val="22"/>
                <w:lang w:eastAsia="en-US"/>
              </w:rPr>
              <w:t>July 2017 resubmission</w:t>
            </w:r>
          </w:p>
        </w:tc>
      </w:tr>
      <w:tr w:rsidR="00C47C3B" w:rsidRPr="00C47C3B" w:rsidTr="009F446F">
        <w:tc>
          <w:tcPr>
            <w:tcW w:w="5000" w:type="pct"/>
            <w:gridSpan w:val="4"/>
            <w:vAlign w:val="center"/>
          </w:tcPr>
          <w:p w:rsidR="00C47C3B" w:rsidRPr="00C47C3B" w:rsidRDefault="00C47C3B" w:rsidP="00C47C3B">
            <w:pPr>
              <w:keepNext/>
              <w:spacing w:before="40" w:after="40"/>
              <w:rPr>
                <w:rFonts w:ascii="Arial Narrow" w:eastAsiaTheme="minorHAnsi" w:hAnsi="Arial Narrow" w:cstheme="minorBidi"/>
                <w:b/>
                <w:snapToGrid w:val="0"/>
                <w:sz w:val="20"/>
                <w:szCs w:val="22"/>
                <w:lang w:eastAsia="en-US"/>
              </w:rPr>
            </w:pPr>
            <w:r w:rsidRPr="00C47C3B">
              <w:rPr>
                <w:rFonts w:ascii="Arial Narrow" w:eastAsiaTheme="minorHAnsi" w:hAnsi="Arial Narrow" w:cstheme="minorBidi"/>
                <w:b/>
                <w:snapToGrid w:val="0"/>
                <w:sz w:val="20"/>
                <w:szCs w:val="22"/>
                <w:lang w:eastAsia="en-US"/>
              </w:rPr>
              <w:t>Step 1: Financial cap (base cap) of $</w:t>
            </w:r>
            <w:r w:rsidRPr="00C47C3B">
              <w:rPr>
                <w:rFonts w:ascii="Arial Narrow" w:eastAsiaTheme="minorHAnsi" w:hAnsi="Arial Narrow" w:cstheme="minorBidi"/>
                <w:b/>
                <w:noProof/>
                <w:snapToGrid w:val="0"/>
                <w:color w:val="000000"/>
                <w:sz w:val="20"/>
                <w:szCs w:val="22"/>
                <w:highlight w:val="black"/>
                <w:lang w:eastAsia="en-US"/>
              </w:rPr>
              <w:t>'''''''''''''''''''''''''</w:t>
            </w:r>
            <w:r w:rsidRPr="00C47C3B">
              <w:rPr>
                <w:rFonts w:ascii="Arial Narrow" w:eastAsiaTheme="minorHAnsi" w:hAnsi="Arial Narrow" w:cstheme="minorBidi"/>
                <w:b/>
                <w:snapToGrid w:val="0"/>
                <w:sz w:val="20"/>
                <w:szCs w:val="22"/>
                <w:lang w:eastAsia="en-US"/>
              </w:rPr>
              <w:t xml:space="preserve"> applied to the March 2016 submission base case</w:t>
            </w:r>
          </w:p>
        </w:tc>
      </w:tr>
      <w:tr w:rsidR="00C47C3B" w:rsidRPr="00C47C3B" w:rsidTr="009F446F">
        <w:tc>
          <w:tcPr>
            <w:tcW w:w="1665"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Costs</w:t>
            </w:r>
          </w:p>
        </w:tc>
        <w:tc>
          <w:tcPr>
            <w:tcW w:w="1223"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c>
          <w:tcPr>
            <w:tcW w:w="1274"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$380,017</w:t>
            </w:r>
          </w:p>
        </w:tc>
        <w:tc>
          <w:tcPr>
            <w:tcW w:w="838"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r>
      <w:tr w:rsidR="00C47C3B" w:rsidRPr="00C47C3B" w:rsidTr="009F446F">
        <w:tc>
          <w:tcPr>
            <w:tcW w:w="1665"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QALYs</w:t>
            </w:r>
          </w:p>
        </w:tc>
        <w:tc>
          <w:tcPr>
            <w:tcW w:w="1223"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9.553</w:t>
            </w:r>
          </w:p>
        </w:tc>
        <w:tc>
          <w:tcPr>
            <w:tcW w:w="1274"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4.894</w:t>
            </w:r>
          </w:p>
        </w:tc>
        <w:tc>
          <w:tcPr>
            <w:tcW w:w="838"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4.659</w:t>
            </w:r>
          </w:p>
        </w:tc>
      </w:tr>
      <w:tr w:rsidR="00C47C3B" w:rsidRPr="00C47C3B" w:rsidTr="009F446F">
        <w:tc>
          <w:tcPr>
            <w:tcW w:w="4162" w:type="pct"/>
            <w:gridSpan w:val="3"/>
            <w:vAlign w:val="center"/>
          </w:tcPr>
          <w:p w:rsidR="00C47C3B" w:rsidRPr="00C47C3B" w:rsidRDefault="00C47C3B" w:rsidP="00C47C3B">
            <w:pPr>
              <w:keepNext/>
              <w:spacing w:before="40" w:after="40"/>
              <w:rPr>
                <w:rFonts w:ascii="Times" w:hAnsi="Times"/>
                <w:snapToGrid w:val="0"/>
                <w:sz w:val="20"/>
                <w:szCs w:val="22"/>
                <w:lang w:eastAsia="en-US"/>
              </w:rPr>
            </w:pPr>
            <w:r w:rsidRPr="00C47C3B">
              <w:rPr>
                <w:rFonts w:ascii="Arial Narrow" w:eastAsiaTheme="minorHAnsi" w:hAnsi="Arial Narrow" w:cstheme="minorBidi"/>
                <w:sz w:val="20"/>
                <w:szCs w:val="22"/>
                <w:lang w:eastAsia="en-US"/>
              </w:rPr>
              <w:t>Incremental cost/extra QALY gained</w:t>
            </w:r>
          </w:p>
        </w:tc>
        <w:tc>
          <w:tcPr>
            <w:tcW w:w="838"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r>
      <w:tr w:rsidR="00C47C3B" w:rsidRPr="00C47C3B" w:rsidTr="009F446F">
        <w:tc>
          <w:tcPr>
            <w:tcW w:w="5000" w:type="pct"/>
            <w:gridSpan w:val="4"/>
            <w:vAlign w:val="center"/>
          </w:tcPr>
          <w:p w:rsidR="00C47C3B" w:rsidRPr="00C47C3B" w:rsidRDefault="00C47C3B" w:rsidP="00C47C3B">
            <w:pPr>
              <w:keepNext/>
              <w:spacing w:before="40" w:after="40"/>
              <w:rPr>
                <w:rFonts w:ascii="Arial Narrow" w:eastAsiaTheme="minorHAnsi" w:hAnsi="Arial Narrow" w:cstheme="minorBidi"/>
                <w:b/>
                <w:snapToGrid w:val="0"/>
                <w:sz w:val="20"/>
                <w:szCs w:val="22"/>
                <w:lang w:eastAsia="en-US"/>
              </w:rPr>
            </w:pPr>
            <w:r w:rsidRPr="00C47C3B">
              <w:rPr>
                <w:rFonts w:ascii="Arial Narrow" w:eastAsiaTheme="minorHAnsi" w:hAnsi="Arial Narrow" w:cstheme="minorBidi"/>
                <w:b/>
                <w:snapToGrid w:val="0"/>
                <w:sz w:val="20"/>
                <w:szCs w:val="22"/>
                <w:lang w:eastAsia="en-US"/>
              </w:rPr>
              <w:t>Step 2: Initiation of PBS reimbursement date changed from 1 July 2016 to 1 February 2018</w:t>
            </w:r>
          </w:p>
        </w:tc>
      </w:tr>
      <w:tr w:rsidR="00C47C3B" w:rsidRPr="00C47C3B" w:rsidTr="009F446F">
        <w:tc>
          <w:tcPr>
            <w:tcW w:w="1665"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Costs</w:t>
            </w:r>
          </w:p>
        </w:tc>
        <w:tc>
          <w:tcPr>
            <w:tcW w:w="1223"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c>
          <w:tcPr>
            <w:tcW w:w="1274"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$380,017</w:t>
            </w:r>
          </w:p>
        </w:tc>
        <w:tc>
          <w:tcPr>
            <w:tcW w:w="838" w:type="pct"/>
            <w:vAlign w:val="center"/>
          </w:tcPr>
          <w:p w:rsidR="00C47C3B" w:rsidRPr="00C47C3B" w:rsidRDefault="00C47C3B" w:rsidP="00C47C3B">
            <w:pPr>
              <w:keepNext/>
              <w:spacing w:before="40" w:after="40"/>
              <w:rPr>
                <w:rFonts w:ascii="Arial Narrow" w:hAnsi="Arial Narrow"/>
                <w:sz w:val="20"/>
                <w:szCs w:val="22"/>
                <w:lang w:eastAsia="en-US"/>
              </w:rPr>
            </w:pPr>
            <w:r w:rsidRPr="00C47C3B">
              <w:rPr>
                <w:rFonts w:ascii="Arial Narrow" w:hAnsi="Arial Narrow"/>
                <w:sz w:val="20"/>
                <w:szCs w:val="22"/>
                <w:lang w:eastAsia="en-US"/>
              </w:rPr>
              <w:t>$</w:t>
            </w:r>
            <w:r w:rsidRPr="00C47C3B">
              <w:rPr>
                <w:rFonts w:ascii="Arial Narrow" w:hAnsi="Arial Narrow"/>
                <w:noProof/>
                <w:color w:val="000000"/>
                <w:sz w:val="20"/>
                <w:szCs w:val="22"/>
                <w:highlight w:val="black"/>
                <w:lang w:eastAsia="en-US"/>
              </w:rPr>
              <w:t>''''''''''''''''''''</w:t>
            </w:r>
          </w:p>
        </w:tc>
      </w:tr>
      <w:tr w:rsidR="00C47C3B" w:rsidRPr="00C47C3B" w:rsidTr="009F446F">
        <w:tc>
          <w:tcPr>
            <w:tcW w:w="1665"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QALYs</w:t>
            </w:r>
          </w:p>
        </w:tc>
        <w:tc>
          <w:tcPr>
            <w:tcW w:w="1223"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 xml:space="preserve">9.553 </w:t>
            </w:r>
          </w:p>
        </w:tc>
        <w:tc>
          <w:tcPr>
            <w:tcW w:w="1274"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4.894</w:t>
            </w:r>
          </w:p>
        </w:tc>
        <w:tc>
          <w:tcPr>
            <w:tcW w:w="838"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4.659</w:t>
            </w:r>
          </w:p>
        </w:tc>
      </w:tr>
      <w:tr w:rsidR="00C47C3B" w:rsidRPr="00C47C3B" w:rsidTr="009F446F">
        <w:tc>
          <w:tcPr>
            <w:tcW w:w="4162" w:type="pct"/>
            <w:gridSpan w:val="3"/>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Incremental cost/extra QALY gained</w:t>
            </w:r>
          </w:p>
        </w:tc>
        <w:tc>
          <w:tcPr>
            <w:tcW w:w="838"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r>
      <w:tr w:rsidR="00C47C3B" w:rsidRPr="00C47C3B" w:rsidTr="009F446F">
        <w:tc>
          <w:tcPr>
            <w:tcW w:w="5000" w:type="pct"/>
            <w:gridSpan w:val="4"/>
            <w:vAlign w:val="center"/>
          </w:tcPr>
          <w:p w:rsidR="00C47C3B" w:rsidRPr="00C47C3B" w:rsidRDefault="00C47C3B" w:rsidP="00C47C3B">
            <w:pPr>
              <w:keepNext/>
              <w:spacing w:before="40" w:after="40"/>
              <w:rPr>
                <w:rFonts w:ascii="Arial Narrow" w:eastAsiaTheme="minorHAnsi" w:hAnsi="Arial Narrow" w:cstheme="minorBidi"/>
                <w:b/>
                <w:snapToGrid w:val="0"/>
                <w:sz w:val="20"/>
                <w:szCs w:val="22"/>
                <w:lang w:eastAsia="en-US"/>
              </w:rPr>
            </w:pPr>
            <w:r w:rsidRPr="00C47C3B">
              <w:rPr>
                <w:rFonts w:ascii="Arial Narrow" w:eastAsiaTheme="minorHAnsi" w:hAnsi="Arial Narrow" w:cstheme="minorBidi"/>
                <w:b/>
                <w:snapToGrid w:val="0"/>
                <w:sz w:val="20"/>
                <w:szCs w:val="22"/>
                <w:lang w:eastAsia="en-US"/>
              </w:rPr>
              <w:t>Step 3: F1 price reduction applied</w:t>
            </w:r>
          </w:p>
        </w:tc>
      </w:tr>
      <w:tr w:rsidR="00C47C3B" w:rsidRPr="00C47C3B" w:rsidTr="009F446F">
        <w:tc>
          <w:tcPr>
            <w:tcW w:w="1665"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Costs</w:t>
            </w:r>
          </w:p>
        </w:tc>
        <w:tc>
          <w:tcPr>
            <w:tcW w:w="1223"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c>
          <w:tcPr>
            <w:tcW w:w="1274"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$380,017</w:t>
            </w:r>
          </w:p>
        </w:tc>
        <w:tc>
          <w:tcPr>
            <w:tcW w:w="838"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r>
      <w:tr w:rsidR="00C47C3B" w:rsidRPr="00C47C3B" w:rsidTr="009F446F">
        <w:tc>
          <w:tcPr>
            <w:tcW w:w="1665"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QALYs</w:t>
            </w:r>
          </w:p>
        </w:tc>
        <w:tc>
          <w:tcPr>
            <w:tcW w:w="1223"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9.553</w:t>
            </w:r>
          </w:p>
        </w:tc>
        <w:tc>
          <w:tcPr>
            <w:tcW w:w="1274"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4.894</w:t>
            </w:r>
          </w:p>
        </w:tc>
        <w:tc>
          <w:tcPr>
            <w:tcW w:w="838"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4.659</w:t>
            </w:r>
          </w:p>
        </w:tc>
      </w:tr>
      <w:tr w:rsidR="00C47C3B" w:rsidRPr="00C47C3B" w:rsidTr="009F446F">
        <w:tc>
          <w:tcPr>
            <w:tcW w:w="4162" w:type="pct"/>
            <w:gridSpan w:val="3"/>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Incremental cost/extra QALY gained</w:t>
            </w:r>
          </w:p>
        </w:tc>
        <w:tc>
          <w:tcPr>
            <w:tcW w:w="838"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r>
      <w:tr w:rsidR="00C47C3B" w:rsidRPr="00C47C3B" w:rsidTr="009F446F">
        <w:tc>
          <w:tcPr>
            <w:tcW w:w="5000" w:type="pct"/>
            <w:gridSpan w:val="4"/>
            <w:vAlign w:val="center"/>
          </w:tcPr>
          <w:p w:rsidR="00C47C3B" w:rsidRPr="00C47C3B" w:rsidRDefault="00C47C3B" w:rsidP="00C47C3B">
            <w:pPr>
              <w:keepNext/>
              <w:spacing w:before="40" w:after="40"/>
              <w:rPr>
                <w:rFonts w:ascii="Arial Narrow" w:eastAsiaTheme="minorHAnsi" w:hAnsi="Arial Narrow" w:cstheme="minorBidi"/>
                <w:b/>
                <w:snapToGrid w:val="0"/>
                <w:sz w:val="20"/>
                <w:szCs w:val="22"/>
                <w:lang w:eastAsia="en-US"/>
              </w:rPr>
            </w:pPr>
            <w:r w:rsidRPr="00C47C3B">
              <w:rPr>
                <w:rFonts w:ascii="Arial Narrow" w:eastAsiaTheme="minorHAnsi" w:hAnsi="Arial Narrow" w:cstheme="minorBidi"/>
                <w:b/>
                <w:snapToGrid w:val="0"/>
                <w:sz w:val="20"/>
                <w:szCs w:val="22"/>
                <w:lang w:eastAsia="en-US"/>
              </w:rPr>
              <w:t xml:space="preserve">Step 4: PE-related hospital costs reduced for </w:t>
            </w:r>
            <w:proofErr w:type="spellStart"/>
            <w:r w:rsidRPr="00C47C3B">
              <w:rPr>
                <w:rFonts w:ascii="Arial Narrow" w:eastAsiaTheme="minorHAnsi" w:hAnsi="Arial Narrow" w:cstheme="minorBidi"/>
                <w:b/>
                <w:snapToGrid w:val="0"/>
                <w:sz w:val="20"/>
                <w:szCs w:val="22"/>
                <w:lang w:eastAsia="en-US"/>
              </w:rPr>
              <w:t>lumacaftor</w:t>
            </w:r>
            <w:proofErr w:type="spellEnd"/>
            <w:r w:rsidRPr="00C47C3B">
              <w:rPr>
                <w:rFonts w:ascii="Arial Narrow" w:eastAsiaTheme="minorHAnsi" w:hAnsi="Arial Narrow" w:cstheme="minorBidi"/>
                <w:b/>
                <w:snapToGrid w:val="0"/>
                <w:sz w:val="20"/>
                <w:szCs w:val="22"/>
                <w:lang w:eastAsia="en-US"/>
              </w:rPr>
              <w:t>/</w:t>
            </w:r>
            <w:proofErr w:type="spellStart"/>
            <w:r w:rsidRPr="00C47C3B">
              <w:rPr>
                <w:rFonts w:ascii="Arial Narrow" w:eastAsiaTheme="minorHAnsi" w:hAnsi="Arial Narrow" w:cstheme="minorBidi"/>
                <w:b/>
                <w:snapToGrid w:val="0"/>
                <w:sz w:val="20"/>
                <w:szCs w:val="22"/>
                <w:lang w:eastAsia="en-US"/>
              </w:rPr>
              <w:t>ivacaftor</w:t>
            </w:r>
            <w:proofErr w:type="spellEnd"/>
            <w:r w:rsidRPr="00C47C3B">
              <w:rPr>
                <w:rFonts w:ascii="Arial Narrow" w:eastAsiaTheme="minorHAnsi" w:hAnsi="Arial Narrow" w:cstheme="minorBidi"/>
                <w:b/>
                <w:snapToGrid w:val="0"/>
                <w:sz w:val="20"/>
                <w:szCs w:val="22"/>
                <w:lang w:eastAsia="en-US"/>
              </w:rPr>
              <w:t xml:space="preserve"> (Base case 1)</w:t>
            </w:r>
          </w:p>
        </w:tc>
      </w:tr>
      <w:tr w:rsidR="00C47C3B" w:rsidRPr="00C47C3B" w:rsidTr="009F446F">
        <w:tc>
          <w:tcPr>
            <w:tcW w:w="1665"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Costs</w:t>
            </w:r>
          </w:p>
        </w:tc>
        <w:tc>
          <w:tcPr>
            <w:tcW w:w="1223"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c>
          <w:tcPr>
            <w:tcW w:w="1274"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$380,017</w:t>
            </w:r>
          </w:p>
        </w:tc>
        <w:tc>
          <w:tcPr>
            <w:tcW w:w="838"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r>
      <w:tr w:rsidR="00C47C3B" w:rsidRPr="00C47C3B" w:rsidTr="009F446F">
        <w:tc>
          <w:tcPr>
            <w:tcW w:w="1665"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QALYs</w:t>
            </w:r>
          </w:p>
        </w:tc>
        <w:tc>
          <w:tcPr>
            <w:tcW w:w="1223"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9.553</w:t>
            </w:r>
          </w:p>
        </w:tc>
        <w:tc>
          <w:tcPr>
            <w:tcW w:w="1274"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4.894</w:t>
            </w:r>
          </w:p>
        </w:tc>
        <w:tc>
          <w:tcPr>
            <w:tcW w:w="838" w:type="pct"/>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r w:rsidRPr="00C47C3B">
              <w:rPr>
                <w:rFonts w:ascii="Arial Narrow" w:eastAsiaTheme="minorHAnsi" w:hAnsi="Arial Narrow" w:cstheme="minorBidi"/>
                <w:sz w:val="20"/>
                <w:szCs w:val="22"/>
                <w:lang w:eastAsia="en-US"/>
              </w:rPr>
              <w:t>4.659</w:t>
            </w:r>
          </w:p>
        </w:tc>
      </w:tr>
      <w:tr w:rsidR="00C47C3B" w:rsidRPr="00C47C3B" w:rsidTr="009F446F">
        <w:tc>
          <w:tcPr>
            <w:tcW w:w="4162" w:type="pct"/>
            <w:gridSpan w:val="3"/>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Incremental cost/extra QALY gained</w:t>
            </w:r>
          </w:p>
        </w:tc>
        <w:tc>
          <w:tcPr>
            <w:tcW w:w="838" w:type="pct"/>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w:t>
            </w:r>
            <w:r w:rsidRPr="00C47C3B">
              <w:rPr>
                <w:rFonts w:ascii="Arial Narrow" w:eastAsiaTheme="minorHAnsi" w:hAnsi="Arial Narrow" w:cstheme="minorBidi"/>
                <w:noProof/>
                <w:color w:val="000000"/>
                <w:sz w:val="20"/>
                <w:szCs w:val="22"/>
                <w:highlight w:val="black"/>
                <w:lang w:eastAsia="en-US"/>
              </w:rPr>
              <w:t>''''''''''''''''''''</w:t>
            </w:r>
          </w:p>
        </w:tc>
      </w:tr>
    </w:tbl>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 xml:space="preserve">Source: Table D.5.3 of the Commentary. </w:t>
      </w:r>
    </w:p>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Abbreviations: PBS = Pharmaceutical Benefits Scheme; PE = pulmonary exacerbation; ppFEV</w:t>
      </w:r>
      <w:r w:rsidRPr="00C47C3B">
        <w:rPr>
          <w:rFonts w:ascii="Arial Narrow" w:hAnsi="Arial Narrow" w:cs="Arial"/>
          <w:snapToGrid w:val="0"/>
          <w:sz w:val="16"/>
          <w:szCs w:val="16"/>
          <w:vertAlign w:val="subscript"/>
          <w:lang w:eastAsia="en-US"/>
        </w:rPr>
        <w:t>1</w:t>
      </w:r>
      <w:r w:rsidRPr="00C47C3B">
        <w:rPr>
          <w:rFonts w:ascii="Arial Narrow" w:hAnsi="Arial Narrow" w:cs="Arial"/>
          <w:snapToGrid w:val="0"/>
          <w:sz w:val="16"/>
          <w:szCs w:val="16"/>
          <w:lang w:eastAsia="en-US"/>
        </w:rPr>
        <w:t xml:space="preserve"> = percent predicted forced expiratory volume in one second; QALY = quality-adjusted life-years.</w:t>
      </w:r>
    </w:p>
    <w:p w:rsidR="00C47C3B" w:rsidRPr="00C47C3B" w:rsidRDefault="00C47C3B" w:rsidP="00C47C3B">
      <w:pPr>
        <w:keepNext/>
        <w:spacing w:after="120"/>
        <w:jc w:val="both"/>
        <w:rPr>
          <w:rFonts w:ascii="Arial Narrow" w:hAnsi="Arial Narrow" w:cs="Arial"/>
          <w:snapToGrid w:val="0"/>
          <w:sz w:val="16"/>
          <w:szCs w:val="16"/>
          <w:lang w:eastAsia="en-US"/>
        </w:rPr>
      </w:pPr>
      <w:proofErr w:type="spellStart"/>
      <w:proofErr w:type="gramStart"/>
      <w:r w:rsidRPr="00C47C3B">
        <w:rPr>
          <w:rFonts w:ascii="Arial Narrow" w:hAnsi="Arial Narrow" w:cs="Arial"/>
          <w:snapToGrid w:val="0"/>
          <w:sz w:val="16"/>
          <w:szCs w:val="16"/>
          <w:vertAlign w:val="superscript"/>
          <w:lang w:eastAsia="en-US"/>
        </w:rPr>
        <w:t>a</w:t>
      </w:r>
      <w:proofErr w:type="spellEnd"/>
      <w:proofErr w:type="gramEnd"/>
      <w:r w:rsidRPr="00C47C3B">
        <w:rPr>
          <w:rFonts w:ascii="Arial Narrow" w:hAnsi="Arial Narrow" w:cs="Arial"/>
          <w:snapToGrid w:val="0"/>
          <w:sz w:val="16"/>
          <w:szCs w:val="16"/>
          <w:lang w:eastAsia="en-US"/>
        </w:rPr>
        <w:t xml:space="preserve"> During the evaluation the ICER of $</w:t>
      </w:r>
      <w:r w:rsidRPr="00C47C3B">
        <w:rPr>
          <w:rFonts w:ascii="Arial Narrow" w:hAnsi="Arial Narrow" w:cs="Arial"/>
          <w:noProof/>
          <w:snapToGrid w:val="0"/>
          <w:color w:val="000000"/>
          <w:sz w:val="16"/>
          <w:szCs w:val="16"/>
          <w:highlight w:val="black"/>
          <w:lang w:eastAsia="en-US"/>
        </w:rPr>
        <w:t>'''''''''''''''''''</w:t>
      </w:r>
      <w:r w:rsidRPr="00C47C3B">
        <w:rPr>
          <w:rFonts w:ascii="Arial Narrow" w:hAnsi="Arial Narrow" w:cs="Arial"/>
          <w:snapToGrid w:val="0"/>
          <w:sz w:val="16"/>
          <w:szCs w:val="16"/>
          <w:lang w:eastAsia="en-US"/>
        </w:rPr>
        <w:t xml:space="preserve"> per QALY gained could not be replicated using the model in the current resubmission. The following values derived during the evaluation were; cost of LUMA/IVA $1</w:t>
      </w:r>
      <w:r w:rsidRPr="00C47C3B">
        <w:rPr>
          <w:rFonts w:ascii="Arial Narrow" w:hAnsi="Arial Narrow" w:cs="Arial"/>
          <w:noProof/>
          <w:snapToGrid w:val="0"/>
          <w:color w:val="000000"/>
          <w:sz w:val="16"/>
          <w:szCs w:val="16"/>
          <w:highlight w:val="black"/>
          <w:lang w:eastAsia="en-US"/>
        </w:rPr>
        <w:t>''''''''''''''''''''</w:t>
      </w:r>
      <w:r w:rsidRPr="00C47C3B">
        <w:rPr>
          <w:rFonts w:ascii="Arial Narrow" w:hAnsi="Arial Narrow" w:cs="Arial"/>
          <w:snapToGrid w:val="0"/>
          <w:sz w:val="16"/>
          <w:szCs w:val="16"/>
          <w:lang w:eastAsia="en-US"/>
        </w:rPr>
        <w:t>, cost increment $</w:t>
      </w:r>
      <w:r w:rsidRPr="00C47C3B">
        <w:rPr>
          <w:rFonts w:ascii="Arial Narrow" w:hAnsi="Arial Narrow" w:cs="Arial"/>
          <w:noProof/>
          <w:snapToGrid w:val="0"/>
          <w:color w:val="000000"/>
          <w:sz w:val="16"/>
          <w:szCs w:val="16"/>
          <w:highlight w:val="black"/>
          <w:lang w:eastAsia="en-US"/>
        </w:rPr>
        <w:t>'''''''''''''''''''''</w:t>
      </w:r>
      <w:r w:rsidRPr="00C47C3B">
        <w:rPr>
          <w:rFonts w:ascii="Arial Narrow" w:hAnsi="Arial Narrow" w:cs="Arial"/>
          <w:snapToGrid w:val="0"/>
          <w:sz w:val="16"/>
          <w:szCs w:val="16"/>
          <w:lang w:eastAsia="en-US"/>
        </w:rPr>
        <w:t>; ICER $</w:t>
      </w:r>
      <w:r w:rsidRPr="00C47C3B">
        <w:rPr>
          <w:rFonts w:ascii="Arial Narrow" w:hAnsi="Arial Narrow" w:cs="Arial"/>
          <w:noProof/>
          <w:snapToGrid w:val="0"/>
          <w:color w:val="000000"/>
          <w:sz w:val="16"/>
          <w:szCs w:val="16"/>
          <w:highlight w:val="black"/>
          <w:lang w:eastAsia="en-US"/>
        </w:rPr>
        <w:t>''''''''''''''''''''</w:t>
      </w:r>
      <w:r w:rsidRPr="00C47C3B">
        <w:rPr>
          <w:rFonts w:ascii="Arial Narrow" w:hAnsi="Arial Narrow" w:cs="Arial"/>
          <w:snapToGrid w:val="0"/>
          <w:sz w:val="16"/>
          <w:szCs w:val="16"/>
          <w:lang w:eastAsia="en-US"/>
        </w:rPr>
        <w:t>/QALY gained.</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t xml:space="preserve">In previous considerations of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in March 2016 and November 2016, the PBAC considered the estimated cost per QALY gained for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was likely to be underestimated (paragraphs 7.12-7.14, March 2016 PSD; paragraphs 6.13 and 7.3, November 2016 PSD). The following issues were not addressed in the resubmission:</w:t>
      </w:r>
    </w:p>
    <w:p w:rsidR="00C47C3B" w:rsidRPr="00C47C3B" w:rsidRDefault="00C47C3B" w:rsidP="00ED4A83">
      <w:pPr>
        <w:widowControl w:val="0"/>
        <w:numPr>
          <w:ilvl w:val="0"/>
          <w:numId w:val="17"/>
        </w:numPr>
        <w:spacing w:after="120"/>
        <w:ind w:left="993" w:hanging="284"/>
        <w:jc w:val="both"/>
        <w:rPr>
          <w:rFonts w:asciiTheme="minorHAnsi" w:hAnsiTheme="minorHAnsi" w:cs="Arial"/>
          <w:snapToGrid w:val="0"/>
          <w:lang w:eastAsia="en-US"/>
        </w:rPr>
      </w:pPr>
      <w:r w:rsidRPr="00C47C3B">
        <w:rPr>
          <w:rFonts w:asciiTheme="minorHAnsi" w:hAnsiTheme="minorHAnsi" w:cs="Arial"/>
          <w:snapToGrid w:val="0"/>
          <w:lang w:eastAsia="en-US"/>
        </w:rPr>
        <w:t>The model relied on the assumption that treatment effect is sustained beyond the 24 weeks of the TRAFFIC and TRANSPORT trials. The extrapolation of short-term results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to mortality was highly uncertain, and the assumption that patients in the treatment group could not decline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was implausible. Updated results from PROGRESS, which show that there was a decline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in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treated patients, were not incorporated into the economic </w:t>
      </w:r>
      <w:r w:rsidRPr="00C47C3B">
        <w:rPr>
          <w:rFonts w:asciiTheme="minorHAnsi" w:hAnsiTheme="minorHAnsi" w:cs="Arial"/>
          <w:snapToGrid w:val="0"/>
          <w:lang w:eastAsia="en-US"/>
        </w:rPr>
        <w:lastRenderedPageBreak/>
        <w:t xml:space="preserve">model in this resubmission. </w:t>
      </w:r>
    </w:p>
    <w:p w:rsidR="00C47C3B" w:rsidRPr="00C47C3B" w:rsidRDefault="00C47C3B" w:rsidP="00ED4A83">
      <w:pPr>
        <w:widowControl w:val="0"/>
        <w:numPr>
          <w:ilvl w:val="0"/>
          <w:numId w:val="17"/>
        </w:numPr>
        <w:spacing w:after="120"/>
        <w:ind w:left="993" w:hanging="284"/>
        <w:jc w:val="both"/>
        <w:rPr>
          <w:rFonts w:asciiTheme="minorHAnsi" w:hAnsiTheme="minorHAnsi" w:cs="Arial"/>
          <w:snapToGrid w:val="0"/>
          <w:lang w:eastAsia="en-US"/>
        </w:rPr>
      </w:pPr>
      <w:r w:rsidRPr="00C47C3B">
        <w:rPr>
          <w:rFonts w:asciiTheme="minorHAnsi" w:hAnsiTheme="minorHAnsi" w:cs="Arial"/>
          <w:snapToGrid w:val="0"/>
          <w:lang w:eastAsia="en-US"/>
        </w:rPr>
        <w:t xml:space="preserve">The model was sensitive to the assumption that the price of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would fall by </w:t>
      </w:r>
      <w:r w:rsidRPr="00C47C3B">
        <w:rPr>
          <w:rFonts w:asciiTheme="minorHAnsi" w:hAnsiTheme="minorHAnsi" w:cs="Arial"/>
          <w:noProof/>
          <w:snapToGrid w:val="0"/>
          <w:color w:val="000000"/>
          <w:highlight w:val="black"/>
          <w:lang w:eastAsia="en-US"/>
        </w:rPr>
        <w:t>''''''</w:t>
      </w:r>
      <w:r w:rsidRPr="00C47C3B">
        <w:rPr>
          <w:rFonts w:asciiTheme="minorHAnsi" w:hAnsiTheme="minorHAnsi" w:cs="Arial"/>
          <w:snapToGrid w:val="0"/>
          <w:lang w:eastAsia="en-US"/>
        </w:rPr>
        <w:t xml:space="preserve">% at the end of patent protection. </w:t>
      </w:r>
    </w:p>
    <w:p w:rsidR="00C47C3B" w:rsidRPr="00C47C3B" w:rsidRDefault="00C47C3B" w:rsidP="00ED4A83">
      <w:pPr>
        <w:widowControl w:val="0"/>
        <w:numPr>
          <w:ilvl w:val="0"/>
          <w:numId w:val="17"/>
        </w:numPr>
        <w:spacing w:after="120"/>
        <w:ind w:left="993" w:hanging="284"/>
        <w:jc w:val="both"/>
        <w:rPr>
          <w:rFonts w:asciiTheme="minorHAnsi" w:hAnsiTheme="minorHAnsi" w:cs="Arial"/>
          <w:snapToGrid w:val="0"/>
          <w:lang w:eastAsia="en-US"/>
        </w:rPr>
      </w:pPr>
      <w:r w:rsidRPr="00C47C3B">
        <w:rPr>
          <w:rFonts w:asciiTheme="minorHAnsi" w:hAnsiTheme="minorHAnsi" w:cs="Arial"/>
          <w:snapToGrid w:val="0"/>
          <w:lang w:eastAsia="en-US"/>
        </w:rPr>
        <w:t xml:space="preserve">At the November 2016 meeting, the PBAC noted that while the proposed “base cap” limits risk in terms of overall cost, this approach did not provide a stable estimate of cost effectiveness. In addition, the model assumed that the effective price would apply for </w:t>
      </w:r>
      <w:r w:rsidRPr="00C47C3B">
        <w:rPr>
          <w:rFonts w:asciiTheme="minorHAnsi" w:hAnsiTheme="minorHAnsi" w:cs="Arial"/>
          <w:noProof/>
          <w:snapToGrid w:val="0"/>
          <w:color w:val="000000"/>
          <w:highlight w:val="black"/>
          <w:lang w:eastAsia="en-US"/>
        </w:rPr>
        <w:t xml:space="preserve">'''''''' ''''''''''' </w:t>
      </w:r>
      <w:r w:rsidRPr="00C47C3B">
        <w:rPr>
          <w:rFonts w:asciiTheme="minorHAnsi" w:hAnsiTheme="minorHAnsi" w:cs="Arial"/>
          <w:snapToGrid w:val="0"/>
          <w:lang w:eastAsia="en-US"/>
        </w:rPr>
        <w:t xml:space="preserve">prior to the end of the patent protection period (at which point the price was assumed to decrease by </w:t>
      </w:r>
      <w:r w:rsidRPr="00C47C3B">
        <w:rPr>
          <w:rFonts w:asciiTheme="minorHAnsi" w:hAnsiTheme="minorHAnsi" w:cs="Arial"/>
          <w:noProof/>
          <w:snapToGrid w:val="0"/>
          <w:color w:val="000000"/>
          <w:highlight w:val="black"/>
          <w:lang w:eastAsia="en-US"/>
        </w:rPr>
        <w:t>'''''</w:t>
      </w:r>
      <w:r w:rsidRPr="00C47C3B">
        <w:rPr>
          <w:rFonts w:asciiTheme="minorHAnsi" w:hAnsiTheme="minorHAnsi" w:cs="Arial"/>
          <w:snapToGrid w:val="0"/>
          <w:lang w:eastAsia="en-US"/>
        </w:rPr>
        <w:t>%). The PBAC considered this assumption was inappropriate as the proposed cap on expenditure would only be guaranteed for the first five years of listing (paragraph 7.3, No</w:t>
      </w:r>
      <w:r w:rsidR="00B2504F">
        <w:rPr>
          <w:rFonts w:asciiTheme="minorHAnsi" w:hAnsiTheme="minorHAnsi" w:cs="Arial"/>
          <w:snapToGrid w:val="0"/>
          <w:lang w:eastAsia="en-US"/>
        </w:rPr>
        <w:t xml:space="preserve">vember 2016 PSD). The PSCR </w:t>
      </w:r>
      <w:r w:rsidRPr="00C47C3B">
        <w:rPr>
          <w:rFonts w:asciiTheme="minorHAnsi" w:hAnsiTheme="minorHAnsi" w:cs="Arial"/>
          <w:snapToGrid w:val="0"/>
          <w:lang w:eastAsia="en-US"/>
        </w:rPr>
        <w:t xml:space="preserve">stated that the sponsor is open to discussing </w:t>
      </w:r>
      <w:r w:rsidRPr="00C47C3B">
        <w:rPr>
          <w:rFonts w:asciiTheme="minorHAnsi" w:hAnsiTheme="minorHAnsi" w:cs="Arial"/>
          <w:noProof/>
          <w:snapToGrid w:val="0"/>
          <w:color w:val="000000"/>
          <w:highlight w:val="black"/>
          <w:lang w:eastAsia="en-US"/>
        </w:rPr>
        <w:t>''''''''''''''''''''''' ''''' '''''' ''''''''''''''' '''''' ''''''''''''' ''''''' ''''''' '''''''' ''''''''''' ''''' ''''''''''''''</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t>The resubmission maintained its assumption of a difference between treatment groups in its approach to the ongoing decline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assuming that there was no decline for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treated patients but a decline after 24 weeks in BSC patients. The evaluation considered it likely that the approach to modelling the baseline mortality risk (utilising data from the CF Registry in Ireland) already captured the effect of ongoing CF deterioration due to declining ppFEV</w:t>
      </w:r>
      <w:r w:rsidRPr="00C47C3B">
        <w:rPr>
          <w:rFonts w:asciiTheme="minorHAnsi" w:hAnsiTheme="minorHAnsi" w:cs="Arial"/>
          <w:snapToGrid w:val="0"/>
          <w:vertAlign w:val="subscript"/>
          <w:lang w:eastAsia="en-US"/>
        </w:rPr>
        <w:t xml:space="preserve">1 </w:t>
      </w:r>
      <w:r w:rsidRPr="00C47C3B">
        <w:rPr>
          <w:rFonts w:asciiTheme="minorHAnsi" w:hAnsiTheme="minorHAnsi" w:cs="Arial"/>
          <w:snapToGrid w:val="0"/>
          <w:lang w:eastAsia="en-US"/>
        </w:rPr>
        <w:t>(among other factors). Thus, modelling an additional decline in ppFEV</w:t>
      </w:r>
      <w:r w:rsidRPr="00C47C3B">
        <w:rPr>
          <w:rFonts w:asciiTheme="minorHAnsi" w:hAnsiTheme="minorHAnsi" w:cs="Arial"/>
          <w:snapToGrid w:val="0"/>
          <w:vertAlign w:val="subscript"/>
          <w:lang w:eastAsia="en-US"/>
        </w:rPr>
        <w:t xml:space="preserve">1 </w:t>
      </w:r>
      <w:r w:rsidRPr="00C47C3B">
        <w:rPr>
          <w:rFonts w:asciiTheme="minorHAnsi" w:hAnsiTheme="minorHAnsi" w:cs="Arial"/>
          <w:snapToGrid w:val="0"/>
          <w:lang w:eastAsia="en-US"/>
        </w:rPr>
        <w:t xml:space="preserve">for BSC unduly biased the survival of that group relative to the assumed maintenance of a treatment effect (no decline) for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This is evident in the resulting estimates of median survival produced by the resubmission: 31.92 years for BSC in the model, compared with 39.9 years for the Irish cohort, and 45.48 years for the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group. The ICER is highly sensitive to this assumption: removing the additional decline in ppFEV</w:t>
      </w:r>
      <w:r w:rsidRPr="00C47C3B">
        <w:rPr>
          <w:rFonts w:asciiTheme="minorHAnsi" w:hAnsiTheme="minorHAnsi" w:cs="Arial"/>
          <w:snapToGrid w:val="0"/>
          <w:vertAlign w:val="subscript"/>
          <w:lang w:eastAsia="en-US"/>
        </w:rPr>
        <w:t xml:space="preserve">1 </w:t>
      </w:r>
      <w:r w:rsidRPr="00C47C3B">
        <w:rPr>
          <w:rFonts w:asciiTheme="minorHAnsi" w:hAnsiTheme="minorHAnsi" w:cs="Arial"/>
          <w:snapToGrid w:val="0"/>
          <w:lang w:eastAsia="en-US"/>
        </w:rPr>
        <w:t>(i.e. assuming that the decline for both groups is captured by the underlying mortality risk) results in an ICER of more than $200,000/QALY.</w:t>
      </w:r>
    </w:p>
    <w:p w:rsidR="00C47C3B" w:rsidRPr="00C47C3B" w:rsidRDefault="00B2504F" w:rsidP="00C47C3B">
      <w:pPr>
        <w:widowControl w:val="0"/>
        <w:numPr>
          <w:ilvl w:val="1"/>
          <w:numId w:val="5"/>
        </w:numPr>
        <w:spacing w:after="120"/>
        <w:ind w:left="709" w:hanging="709"/>
        <w:jc w:val="both"/>
        <w:rPr>
          <w:rFonts w:asciiTheme="minorHAnsi" w:hAnsiTheme="minorHAnsi" w:cs="Arial"/>
          <w:snapToGrid w:val="0"/>
          <w:lang w:eastAsia="en-US"/>
        </w:rPr>
      </w:pPr>
      <w:r>
        <w:rPr>
          <w:rFonts w:asciiTheme="minorHAnsi" w:hAnsiTheme="minorHAnsi" w:cs="Arial"/>
          <w:snapToGrid w:val="0"/>
          <w:lang w:eastAsia="en-US"/>
        </w:rPr>
        <w:t xml:space="preserve">The PSCR </w:t>
      </w:r>
      <w:r w:rsidR="00C47C3B" w:rsidRPr="00C47C3B">
        <w:rPr>
          <w:rFonts w:asciiTheme="minorHAnsi" w:hAnsiTheme="minorHAnsi" w:cs="Arial"/>
          <w:snapToGrid w:val="0"/>
          <w:lang w:eastAsia="en-US"/>
        </w:rPr>
        <w:t>argued the suggestion that there would be no difference in decline between the treatment groups is mislea</w:t>
      </w:r>
      <w:r>
        <w:rPr>
          <w:rFonts w:asciiTheme="minorHAnsi" w:hAnsiTheme="minorHAnsi" w:cs="Arial"/>
          <w:snapToGrid w:val="0"/>
          <w:lang w:eastAsia="en-US"/>
        </w:rPr>
        <w:t xml:space="preserve">ding to the PBAC. The PSCR </w:t>
      </w:r>
      <w:r w:rsidR="00C47C3B" w:rsidRPr="00C47C3B">
        <w:rPr>
          <w:rFonts w:asciiTheme="minorHAnsi" w:hAnsiTheme="minorHAnsi" w:cs="Arial"/>
          <w:snapToGrid w:val="0"/>
          <w:lang w:eastAsia="en-US"/>
        </w:rPr>
        <w:t xml:space="preserve">further argued it was clinically plausible that the model would project lower median survival for the BSC arm than the projected median survival of the Irish cohort, considering that the modelled patients are older than those in the registry (median age 19.6 years in the registry versus 25.3 in the modelled population), have lower average ppFEV1 (61%) compared with the Irish cohort (80%) and are F508del homozygous; according to </w:t>
      </w:r>
      <w:proofErr w:type="spellStart"/>
      <w:r w:rsidR="00C47C3B" w:rsidRPr="00C47C3B">
        <w:rPr>
          <w:rFonts w:asciiTheme="minorHAnsi" w:hAnsiTheme="minorHAnsi" w:cs="Arial"/>
          <w:snapToGrid w:val="0"/>
          <w:lang w:eastAsia="en-US"/>
        </w:rPr>
        <w:t>MacKenzie</w:t>
      </w:r>
      <w:proofErr w:type="spellEnd"/>
      <w:r w:rsidR="00C47C3B" w:rsidRPr="00C47C3B">
        <w:rPr>
          <w:rFonts w:asciiTheme="minorHAnsi" w:hAnsiTheme="minorHAnsi" w:cs="Arial"/>
          <w:snapToGrid w:val="0"/>
          <w:lang w:eastAsia="en-US"/>
        </w:rPr>
        <w:t xml:space="preserve"> et al (2014), homozygous patients have lower projected median survival than the entire CF population. The ESC noted these points and, referring to their March 2016 advice to the PBAC, noted that the Irish registry data encompasses Irish CF patients’ survival from 1980-2004, and expressed doubt as to whether this historical data accurately reflects the current survival in the Australian CF population.</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t>The ESC considered that the assumption that patients in the treatment group could not decline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was implausible and inconsistent with the results of </w:t>
      </w:r>
      <w:r w:rsidRPr="00C47C3B">
        <w:rPr>
          <w:rFonts w:asciiTheme="minorHAnsi" w:hAnsiTheme="minorHAnsi" w:cs="Arial"/>
          <w:snapToGrid w:val="0"/>
          <w:lang w:eastAsia="en-US"/>
        </w:rPr>
        <w:lastRenderedPageBreak/>
        <w:t xml:space="preserve">PROGRESS. </w:t>
      </w:r>
      <w:r w:rsidR="00B2504F">
        <w:rPr>
          <w:rFonts w:asciiTheme="minorHAnsi" w:hAnsiTheme="minorHAnsi" w:cs="Arial"/>
          <w:snapToGrid w:val="0"/>
          <w:szCs w:val="20"/>
          <w:lang w:eastAsia="en-GB"/>
        </w:rPr>
        <w:t xml:space="preserve">The PSCR </w:t>
      </w:r>
      <w:r w:rsidRPr="00C47C3B">
        <w:rPr>
          <w:rFonts w:asciiTheme="minorHAnsi" w:hAnsiTheme="minorHAnsi" w:cs="Arial"/>
          <w:snapToGrid w:val="0"/>
          <w:szCs w:val="20"/>
          <w:lang w:eastAsia="en-GB"/>
        </w:rPr>
        <w:t>acknowledged that a sensitivity analysis which included a decline in ppFEV</w:t>
      </w:r>
      <w:r w:rsidRPr="00C47C3B">
        <w:rPr>
          <w:rFonts w:asciiTheme="minorHAnsi" w:hAnsiTheme="minorHAnsi" w:cs="Arial"/>
          <w:snapToGrid w:val="0"/>
          <w:szCs w:val="20"/>
          <w:vertAlign w:val="subscript"/>
          <w:lang w:eastAsia="en-GB"/>
        </w:rPr>
        <w:t>1</w:t>
      </w:r>
      <w:r w:rsidRPr="00C47C3B">
        <w:rPr>
          <w:rFonts w:asciiTheme="minorHAnsi" w:hAnsiTheme="minorHAnsi" w:cs="Arial"/>
          <w:snapToGrid w:val="0"/>
          <w:szCs w:val="20"/>
          <w:lang w:eastAsia="en-GB"/>
        </w:rPr>
        <w:t xml:space="preserve"> which was 25% that of BSC may be reasonable and informative. The ESC considered this scenario may still favour </w:t>
      </w:r>
      <w:proofErr w:type="spellStart"/>
      <w:r w:rsidRPr="00C47C3B">
        <w:rPr>
          <w:rFonts w:asciiTheme="minorHAnsi" w:hAnsiTheme="minorHAnsi" w:cs="Arial"/>
          <w:snapToGrid w:val="0"/>
          <w:szCs w:val="20"/>
          <w:lang w:eastAsia="en-GB"/>
        </w:rPr>
        <w:t>lumacaftor</w:t>
      </w:r>
      <w:proofErr w:type="spellEnd"/>
      <w:r w:rsidRPr="00C47C3B">
        <w:rPr>
          <w:rFonts w:asciiTheme="minorHAnsi" w:hAnsiTheme="minorHAnsi" w:cs="Arial"/>
          <w:snapToGrid w:val="0"/>
          <w:szCs w:val="20"/>
          <w:lang w:eastAsia="en-GB"/>
        </w:rPr>
        <w:t>/</w:t>
      </w:r>
      <w:proofErr w:type="spellStart"/>
      <w:r w:rsidRPr="00C47C3B">
        <w:rPr>
          <w:rFonts w:asciiTheme="minorHAnsi" w:hAnsiTheme="minorHAnsi" w:cs="Arial"/>
          <w:snapToGrid w:val="0"/>
          <w:szCs w:val="20"/>
          <w:lang w:eastAsia="en-GB"/>
        </w:rPr>
        <w:t>ivacaftor</w:t>
      </w:r>
      <w:proofErr w:type="spellEnd"/>
      <w:r w:rsidRPr="00C47C3B">
        <w:rPr>
          <w:rFonts w:asciiTheme="minorHAnsi" w:hAnsiTheme="minorHAnsi" w:cs="Arial"/>
          <w:snapToGrid w:val="0"/>
          <w:szCs w:val="20"/>
          <w:lang w:eastAsia="en-GB"/>
        </w:rPr>
        <w:t>, noting the high risk of bias favouring treatment due to rate of discontinuation between week 72 and 96 in PROGRESS (as discussed in paragraph 6.7).</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t xml:space="preserve">As with the previous (re)submissions, </w:t>
      </w:r>
      <w:proofErr w:type="spellStart"/>
      <w:r w:rsidRPr="00C47C3B">
        <w:rPr>
          <w:rFonts w:asciiTheme="minorHAnsi" w:hAnsiTheme="minorHAnsi" w:cs="Arial"/>
          <w:snapToGrid w:val="0"/>
          <w:lang w:eastAsia="en-US"/>
        </w:rPr>
        <w:t>Liou</w:t>
      </w:r>
      <w:proofErr w:type="spellEnd"/>
      <w:r w:rsidRPr="00C47C3B">
        <w:rPr>
          <w:rFonts w:asciiTheme="minorHAnsi" w:hAnsiTheme="minorHAnsi" w:cs="Arial"/>
          <w:snapToGrid w:val="0"/>
          <w:lang w:eastAsia="en-US"/>
        </w:rPr>
        <w:t xml:space="preserve"> et al. (2001) was used to estimate the effect of intermediate outcomes on survival. In its previous consideration of </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monotherapy, the PBAC stated that the use of the </w:t>
      </w:r>
      <w:proofErr w:type="spellStart"/>
      <w:r w:rsidRPr="00C47C3B">
        <w:rPr>
          <w:rFonts w:asciiTheme="minorHAnsi" w:hAnsiTheme="minorHAnsi" w:cs="Arial"/>
          <w:snapToGrid w:val="0"/>
          <w:lang w:eastAsia="en-US"/>
        </w:rPr>
        <w:t>Liou</w:t>
      </w:r>
      <w:proofErr w:type="spellEnd"/>
      <w:r w:rsidRPr="00C47C3B">
        <w:rPr>
          <w:rFonts w:asciiTheme="minorHAnsi" w:hAnsiTheme="minorHAnsi" w:cs="Arial"/>
          <w:snapToGrid w:val="0"/>
          <w:lang w:eastAsia="en-US"/>
        </w:rPr>
        <w:t> et al. data assumed that the ‘effects on survival are causal and additive’ and that this ‘may not be appropriate’ (</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July 2013 PSD). </w:t>
      </w:r>
      <w:r w:rsidRPr="00C47C3B">
        <w:rPr>
          <w:rFonts w:asciiTheme="minorHAnsi" w:hAnsiTheme="minorHAnsi" w:cs="Arial"/>
          <w:snapToGrid w:val="0"/>
          <w:lang w:val="en-GB" w:eastAsia="en-GB"/>
        </w:rPr>
        <w:t xml:space="preserve">The </w:t>
      </w:r>
      <w:proofErr w:type="spellStart"/>
      <w:r w:rsidRPr="00C47C3B">
        <w:rPr>
          <w:rFonts w:asciiTheme="minorHAnsi" w:hAnsiTheme="minorHAnsi" w:cs="Arial"/>
          <w:snapToGrid w:val="0"/>
          <w:lang w:val="en-GB" w:eastAsia="en-GB"/>
        </w:rPr>
        <w:t>Liou</w:t>
      </w:r>
      <w:proofErr w:type="spellEnd"/>
      <w:r w:rsidRPr="00C47C3B">
        <w:rPr>
          <w:rFonts w:asciiTheme="minorHAnsi" w:hAnsiTheme="minorHAnsi" w:cs="Arial"/>
          <w:snapToGrid w:val="0"/>
          <w:lang w:val="en-GB" w:eastAsia="en-GB"/>
        </w:rPr>
        <w:t xml:space="preserve"> et al (2001) equation was used to modify the baseline risk (derived from the CF Cohort Registry from Ireland) and ongoing risk based on the relative change between cycles of the risk factors incorporated in the </w:t>
      </w:r>
      <w:proofErr w:type="spellStart"/>
      <w:r w:rsidRPr="00C47C3B">
        <w:rPr>
          <w:rFonts w:asciiTheme="minorHAnsi" w:hAnsiTheme="minorHAnsi" w:cs="Arial"/>
          <w:snapToGrid w:val="0"/>
          <w:lang w:val="en-GB" w:eastAsia="en-GB"/>
        </w:rPr>
        <w:t>Liou</w:t>
      </w:r>
      <w:proofErr w:type="spellEnd"/>
      <w:r w:rsidRPr="00C47C3B">
        <w:rPr>
          <w:rFonts w:asciiTheme="minorHAnsi" w:hAnsiTheme="minorHAnsi" w:cs="Arial"/>
          <w:snapToGrid w:val="0"/>
          <w:lang w:val="en-GB" w:eastAsia="en-GB"/>
        </w:rPr>
        <w:t xml:space="preserve"> et al equation (e.g. age,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val="en-GB" w:eastAsia="en-GB"/>
        </w:rPr>
        <w:t xml:space="preserve">). However, </w:t>
      </w:r>
      <w:proofErr w:type="spellStart"/>
      <w:r w:rsidRPr="00C47C3B">
        <w:rPr>
          <w:rFonts w:asciiTheme="minorHAnsi" w:hAnsiTheme="minorHAnsi" w:cs="Arial"/>
          <w:snapToGrid w:val="0"/>
          <w:lang w:val="en-GB" w:eastAsia="en-GB"/>
        </w:rPr>
        <w:t>Liou</w:t>
      </w:r>
      <w:proofErr w:type="spellEnd"/>
      <w:r w:rsidRPr="00C47C3B">
        <w:rPr>
          <w:rFonts w:asciiTheme="minorHAnsi" w:hAnsiTheme="minorHAnsi" w:cs="Arial"/>
          <w:snapToGrid w:val="0"/>
          <w:lang w:val="en-GB" w:eastAsia="en-GB"/>
        </w:rPr>
        <w:t xml:space="preserve"> et al developed their equation to estimate survival (mortality) risks based on absolute levels of these factors and not relative values. Adjusting the modelling approach to first estimate the absolute risk in each cycle according to these factors before expressing it as a relative risk increased the ICER to more than $200,000/QALY.</w:t>
      </w:r>
      <w:r w:rsidRPr="00C47C3B" w:rsidDel="0038035A">
        <w:rPr>
          <w:rFonts w:asciiTheme="minorHAnsi" w:hAnsiTheme="minorHAnsi" w:cs="Arial"/>
          <w:snapToGrid w:val="0"/>
          <w:lang w:eastAsia="en-US"/>
        </w:rPr>
        <w:t xml:space="preserve"> </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t>In March 2016 and November 2016, the PBAC noted that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drives the frequency of exacerbations in the model, and did not accept the additional contribution of PEs on mortality, independent of effect on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The ESC noted it is probable this resulted in double-counting of the effect of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The resubmission has addressed this by assuming that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treatment conferred a benefit in terms of reduced PE-related hospitalisations. This was captured in the model by reducing the hospitalisation-specific disease management costs applied in the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arm by 61% (annualised reduction in PE</w:t>
      </w:r>
      <w:r w:rsidRPr="00C47C3B">
        <w:rPr>
          <w:rFonts w:asciiTheme="minorHAnsi" w:hAnsiTheme="minorHAnsi" w:cs="Arial"/>
          <w:snapToGrid w:val="0"/>
          <w:lang w:eastAsia="en-US"/>
        </w:rPr>
        <w:noBreakHyphen/>
        <w:t xml:space="preserve">related hospital events recorded across the TRAFFIC and TRANSPORT trials) which assumed that all hospitalisations (using costs reported by van </w:t>
      </w:r>
      <w:proofErr w:type="spellStart"/>
      <w:r w:rsidRPr="00C47C3B">
        <w:rPr>
          <w:rFonts w:asciiTheme="minorHAnsi" w:hAnsiTheme="minorHAnsi" w:cs="Arial"/>
          <w:snapToGrid w:val="0"/>
          <w:lang w:eastAsia="en-US"/>
        </w:rPr>
        <w:t>Gool</w:t>
      </w:r>
      <w:proofErr w:type="spellEnd"/>
      <w:r w:rsidRPr="00C47C3B">
        <w:rPr>
          <w:rFonts w:asciiTheme="minorHAnsi" w:hAnsiTheme="minorHAnsi" w:cs="Arial"/>
          <w:snapToGrid w:val="0"/>
          <w:lang w:eastAsia="en-US"/>
        </w:rPr>
        <w:t xml:space="preserve"> et al (2013)) are due to PEs. The resubmission asserted that an alteration made to the model (Step 4 in Table 12) reflects the independent effects of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on PE related hospitalisations. The costs for PEs are not linked to events generated in the model in the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arm. The evaluation considered that while applying a reduction to costs for PEs avoided may have been appropriate, it was not appropriate to assume that all hospital costs are due to PEs. Assuming that only 50% of hospitalisations are due to PEs increases the ICER to $105,000/QALY</w:t>
      </w:r>
      <w:r w:rsidR="00B2504F">
        <w:rPr>
          <w:rFonts w:asciiTheme="minorHAnsi" w:hAnsiTheme="minorHAnsi" w:cs="Arial"/>
          <w:snapToGrid w:val="0"/>
          <w:lang w:eastAsia="en-US"/>
        </w:rPr>
        <w:t xml:space="preserve"> – $200,000/QALY. The PSCR </w:t>
      </w:r>
      <w:r w:rsidRPr="00C47C3B">
        <w:rPr>
          <w:rFonts w:asciiTheme="minorHAnsi" w:hAnsiTheme="minorHAnsi" w:cs="Arial"/>
          <w:snapToGrid w:val="0"/>
          <w:lang w:eastAsia="en-US"/>
        </w:rPr>
        <w:t>stated that data for placebo-treated patients in TRAFFIC/TRANSPORT indicated that 105 of 143 hospitalisations (74.3%) were due to PEs, and therefore 75% of hospitalisations related to PE would be a more appropriate estimate than 50%.</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The ESC noted the utility weights used in the model were based on a small number of clinicians completing the EQ-5D-5L questionnaire by proxy for different bands of ppFEV</w:t>
      </w:r>
      <w:r w:rsidRPr="00C47C3B">
        <w:rPr>
          <w:rFonts w:asciiTheme="minorHAnsi" w:hAnsiTheme="minorHAnsi" w:cs="Arial"/>
          <w:snapToGrid w:val="0"/>
          <w:szCs w:val="20"/>
          <w:vertAlign w:val="subscript"/>
          <w:lang w:eastAsia="en-US"/>
        </w:rPr>
        <w:t>1</w:t>
      </w:r>
      <w:r w:rsidRPr="00C47C3B">
        <w:rPr>
          <w:rFonts w:asciiTheme="minorHAnsi" w:hAnsiTheme="minorHAnsi" w:cs="Arial"/>
          <w:snapToGrid w:val="0"/>
          <w:szCs w:val="20"/>
          <w:lang w:eastAsia="en-US"/>
        </w:rPr>
        <w:t>. The ESC noted patients with high levels of lung function had implausibly high utility scores and there was also a wide spread of utility scores across lung functions which</w:t>
      </w:r>
      <w:r w:rsidRPr="00C47C3B">
        <w:rPr>
          <w:rFonts w:asciiTheme="minorHAnsi" w:hAnsiTheme="minorHAnsi" w:cs="Arial"/>
          <w:snapToGrid w:val="0"/>
          <w:szCs w:val="20"/>
          <w:vertAlign w:val="subscript"/>
          <w:lang w:eastAsia="en-US"/>
        </w:rPr>
        <w:t xml:space="preserve"> </w:t>
      </w:r>
      <w:r w:rsidRPr="00C47C3B">
        <w:rPr>
          <w:rFonts w:asciiTheme="minorHAnsi" w:hAnsiTheme="minorHAnsi" w:cs="Arial"/>
          <w:snapToGrid w:val="0"/>
          <w:szCs w:val="20"/>
          <w:lang w:eastAsia="en-US"/>
        </w:rPr>
        <w:t xml:space="preserve">favoured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lastRenderedPageBreak/>
        <w:t xml:space="preserve">The resubmission presented scenario analyses applying discount rates that varied between </w:t>
      </w:r>
      <w:r w:rsidRPr="00C47C3B">
        <w:rPr>
          <w:rFonts w:asciiTheme="minorHAnsi" w:hAnsiTheme="minorHAnsi" w:cs="Arial"/>
          <w:noProof/>
          <w:snapToGrid w:val="0"/>
          <w:color w:val="000000"/>
          <w:highlight w:val="black"/>
          <w:lang w:eastAsia="en-US"/>
        </w:rPr>
        <w:t>'''''' ''''' ''''''</w:t>
      </w:r>
      <w:r w:rsidRPr="00C47C3B">
        <w:rPr>
          <w:rFonts w:asciiTheme="minorHAnsi" w:hAnsiTheme="minorHAnsi" w:cs="Arial"/>
          <w:snapToGrid w:val="0"/>
          <w:lang w:eastAsia="en-US"/>
        </w:rPr>
        <w:t xml:space="preserve"> on costs and effects, and the resubmission reiterated a request from the November 2016 minor resubmission that the PBAC consider an ICER with a lower discount rate than 5%. In November 2016, the PBAC recalled that </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was recommended for listing with an ICER that was calculated using a 5% discount rate for costs and outcomes (paragraph 7.4, November 2016 PSD) in line with the PBAC Guidelines V5.0. In its consideration of the current resubmission, the PBAC again noted its preference for a discount rate of 5% per annum for both costs and outcomes.</w:t>
      </w:r>
    </w:p>
    <w:p w:rsidR="00C47C3B" w:rsidRPr="001A7B1E"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t xml:space="preserve">The resubmission presented a number of univariate sensitivity analyses. The resulting ICERs ranged from $105,000/QALY – $200,000/QALY when the DPMQ price of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reduced by </w:t>
      </w:r>
      <w:r w:rsidRPr="00C47C3B">
        <w:rPr>
          <w:rFonts w:asciiTheme="minorHAnsi" w:hAnsiTheme="minorHAnsi" w:cs="Arial"/>
          <w:noProof/>
          <w:snapToGrid w:val="0"/>
          <w:color w:val="000000"/>
          <w:highlight w:val="black"/>
          <w:lang w:eastAsia="en-US"/>
        </w:rPr>
        <w:t>'''''</w:t>
      </w:r>
      <w:r w:rsidRPr="00C47C3B">
        <w:rPr>
          <w:rFonts w:asciiTheme="minorHAnsi" w:hAnsiTheme="minorHAnsi" w:cs="Arial"/>
          <w:snapToGrid w:val="0"/>
          <w:lang w:eastAsia="en-US"/>
        </w:rPr>
        <w:t>%, to more than $200,000/QALY when the annual rate of decline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in the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arm was reduced to </w:t>
      </w:r>
      <w:r w:rsidRPr="00C47C3B">
        <w:rPr>
          <w:rFonts w:asciiTheme="minorHAnsi" w:hAnsiTheme="minorHAnsi" w:cs="Arial"/>
          <w:noProof/>
          <w:snapToGrid w:val="0"/>
          <w:color w:val="000000"/>
          <w:highlight w:val="black"/>
          <w:lang w:eastAsia="en-US"/>
        </w:rPr>
        <w:t>'''''</w:t>
      </w:r>
      <w:r w:rsidRPr="00C47C3B">
        <w:rPr>
          <w:rFonts w:asciiTheme="minorHAnsi" w:hAnsiTheme="minorHAnsi" w:cs="Arial"/>
          <w:snapToGrid w:val="0"/>
          <w:lang w:eastAsia="en-US"/>
        </w:rPr>
        <w:t>% of the reduction in patients treated with only BSC. The results of additional univariate sensitivity analyses conducted during the evaluation showed that the model was highly sensitive to the assumptions regarding the decline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the </w:t>
      </w:r>
      <w:r w:rsidRPr="00C47C3B">
        <w:rPr>
          <w:rFonts w:asciiTheme="minorHAnsi" w:hAnsiTheme="minorHAnsi" w:cs="Arial"/>
          <w:noProof/>
          <w:snapToGrid w:val="0"/>
          <w:color w:val="000000"/>
          <w:highlight w:val="black"/>
          <w:lang w:eastAsia="en-US"/>
        </w:rPr>
        <w:t>'''''</w:t>
      </w:r>
      <w:r w:rsidRPr="00C47C3B">
        <w:rPr>
          <w:rFonts w:asciiTheme="minorHAnsi" w:hAnsiTheme="minorHAnsi" w:cs="Arial"/>
          <w:snapToGrid w:val="0"/>
          <w:lang w:eastAsia="en-US"/>
        </w:rPr>
        <w:t xml:space="preserve">% price reduction at patent expiry, inclusion of the financial cap, and the approach to modelling of the risk factors. The results of these analyses for Base case 1 are presented in Table 13. </w:t>
      </w: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Table </w:t>
      </w:r>
      <w:r w:rsidRPr="00C47C3B">
        <w:rPr>
          <w:rFonts w:ascii="Arial Narrow" w:eastAsiaTheme="minorHAnsi" w:hAnsi="Arial Narrow" w:cstheme="minorBidi"/>
          <w:b/>
          <w:noProof/>
          <w:sz w:val="20"/>
          <w:szCs w:val="22"/>
          <w:lang w:eastAsia="en-US"/>
        </w:rPr>
        <w:t>13</w:t>
      </w:r>
      <w:r w:rsidRPr="00C47C3B">
        <w:rPr>
          <w:rFonts w:ascii="Arial Narrow" w:eastAsiaTheme="minorHAnsi" w:hAnsi="Arial Narrow" w:cstheme="minorBidi"/>
          <w:b/>
          <w:sz w:val="20"/>
          <w:szCs w:val="22"/>
          <w:lang w:eastAsia="en-US"/>
        </w:rPr>
        <w:t>: Results of the univariate sensitivity analyses conducted during the evaluation</w:t>
      </w:r>
    </w:p>
    <w:tbl>
      <w:tblPr>
        <w:tblStyle w:val="OPTUMTableNormal"/>
        <w:tblW w:w="5000" w:type="pct"/>
        <w:tblLook w:val="04A0" w:firstRow="1" w:lastRow="0" w:firstColumn="1" w:lastColumn="0" w:noHBand="0" w:noVBand="1"/>
        <w:tblCaption w:val="Results of the univariate sensitivity analyses conducted during the evaluation"/>
      </w:tblPr>
      <w:tblGrid>
        <w:gridCol w:w="5876"/>
        <w:gridCol w:w="1122"/>
        <w:gridCol w:w="1048"/>
        <w:gridCol w:w="1196"/>
      </w:tblGrid>
      <w:tr w:rsidR="00C47C3B" w:rsidRPr="00C47C3B" w:rsidTr="009F446F">
        <w:trPr>
          <w:cnfStyle w:val="100000000000" w:firstRow="1" w:lastRow="0" w:firstColumn="0" w:lastColumn="0" w:oddVBand="0" w:evenVBand="0" w:oddHBand="0" w:evenHBand="0" w:firstRowFirstColumn="0" w:firstRowLastColumn="0" w:lastRowFirstColumn="0" w:lastRowLastColumn="0"/>
          <w:tblHeader/>
        </w:trPr>
        <w:tc>
          <w:tcPr>
            <w:tcW w:w="3179" w:type="pct"/>
            <w:shd w:val="clear" w:color="auto" w:fill="auto"/>
            <w:vAlign w:val="center"/>
          </w:tcPr>
          <w:p w:rsidR="00C47C3B" w:rsidRPr="00C47C3B" w:rsidRDefault="00C47C3B" w:rsidP="00C47C3B">
            <w:pPr>
              <w:keepNext/>
              <w:spacing w:after="40"/>
              <w:rPr>
                <w:rFonts w:ascii="Arial Narrow" w:eastAsiaTheme="minorHAnsi" w:hAnsi="Arial Narrow" w:cstheme="minorBidi"/>
                <w:b/>
                <w:sz w:val="20"/>
                <w:szCs w:val="22"/>
              </w:rPr>
            </w:pPr>
            <w:r w:rsidRPr="00C47C3B">
              <w:rPr>
                <w:rFonts w:ascii="Arial Narrow" w:eastAsiaTheme="minorHAnsi" w:hAnsi="Arial Narrow" w:cstheme="minorBidi"/>
                <w:b/>
                <w:sz w:val="20"/>
                <w:szCs w:val="22"/>
              </w:rPr>
              <w:t>Analysis description</w:t>
            </w:r>
          </w:p>
        </w:tc>
        <w:tc>
          <w:tcPr>
            <w:tcW w:w="607" w:type="pct"/>
            <w:shd w:val="clear" w:color="auto" w:fill="auto"/>
            <w:vAlign w:val="center"/>
          </w:tcPr>
          <w:p w:rsidR="00C47C3B" w:rsidRPr="00C47C3B" w:rsidRDefault="00C47C3B" w:rsidP="00C47C3B">
            <w:pPr>
              <w:keepNext/>
              <w:spacing w:after="40"/>
              <w:ind w:left="-95" w:right="-105"/>
              <w:jc w:val="center"/>
              <w:rPr>
                <w:rFonts w:ascii="Arial Narrow" w:eastAsiaTheme="minorHAnsi" w:hAnsi="Arial Narrow" w:cstheme="minorBidi"/>
                <w:b/>
                <w:sz w:val="20"/>
                <w:szCs w:val="22"/>
              </w:rPr>
            </w:pPr>
            <w:r w:rsidRPr="00C47C3B">
              <w:rPr>
                <w:rFonts w:ascii="Arial Narrow" w:eastAsiaTheme="minorHAnsi" w:hAnsi="Arial Narrow" w:cstheme="minorBidi"/>
                <w:b/>
                <w:sz w:val="20"/>
                <w:szCs w:val="22"/>
              </w:rPr>
              <w:t>Inc. cost ($)</w:t>
            </w:r>
          </w:p>
        </w:tc>
        <w:tc>
          <w:tcPr>
            <w:tcW w:w="567" w:type="pct"/>
            <w:shd w:val="clear" w:color="auto" w:fill="auto"/>
            <w:vAlign w:val="center"/>
          </w:tcPr>
          <w:p w:rsidR="00C47C3B" w:rsidRPr="00C47C3B" w:rsidRDefault="00C47C3B" w:rsidP="00C47C3B">
            <w:pPr>
              <w:keepNext/>
              <w:spacing w:after="40"/>
              <w:ind w:left="-95" w:right="-105"/>
              <w:jc w:val="center"/>
              <w:rPr>
                <w:rFonts w:ascii="Arial Narrow" w:eastAsiaTheme="minorHAnsi" w:hAnsi="Arial Narrow" w:cstheme="minorBidi"/>
                <w:b/>
                <w:sz w:val="20"/>
                <w:szCs w:val="22"/>
              </w:rPr>
            </w:pPr>
            <w:r w:rsidRPr="00C47C3B">
              <w:rPr>
                <w:rFonts w:ascii="Arial Narrow" w:eastAsiaTheme="minorHAnsi" w:hAnsi="Arial Narrow" w:cstheme="minorBidi"/>
                <w:b/>
                <w:sz w:val="20"/>
                <w:szCs w:val="22"/>
              </w:rPr>
              <w:t>Inc. effect (QALYs)</w:t>
            </w:r>
          </w:p>
        </w:tc>
        <w:tc>
          <w:tcPr>
            <w:tcW w:w="647" w:type="pct"/>
            <w:shd w:val="clear" w:color="auto" w:fill="auto"/>
            <w:vAlign w:val="center"/>
          </w:tcPr>
          <w:p w:rsidR="00C47C3B" w:rsidRPr="00C47C3B" w:rsidRDefault="00C47C3B" w:rsidP="00C47C3B">
            <w:pPr>
              <w:keepNext/>
              <w:spacing w:after="40"/>
              <w:ind w:left="-95" w:right="-105"/>
              <w:jc w:val="center"/>
              <w:rPr>
                <w:rFonts w:ascii="Arial Narrow" w:eastAsiaTheme="minorHAnsi" w:hAnsi="Arial Narrow" w:cstheme="minorBidi"/>
                <w:b/>
                <w:sz w:val="20"/>
                <w:szCs w:val="22"/>
              </w:rPr>
            </w:pPr>
            <w:r w:rsidRPr="00C47C3B">
              <w:rPr>
                <w:rFonts w:ascii="Arial Narrow" w:eastAsiaTheme="minorHAnsi" w:hAnsi="Arial Narrow" w:cstheme="minorBidi"/>
                <w:b/>
                <w:sz w:val="20"/>
                <w:szCs w:val="22"/>
              </w:rPr>
              <w:t>ICER ($/QALY gained)</w:t>
            </w:r>
          </w:p>
        </w:tc>
      </w:tr>
      <w:tr w:rsidR="00C47C3B" w:rsidRPr="00C47C3B" w:rsidTr="009F446F">
        <w:trPr>
          <w:cnfStyle w:val="100000000000" w:firstRow="1" w:lastRow="0" w:firstColumn="0" w:lastColumn="0" w:oddVBand="0" w:evenVBand="0" w:oddHBand="0" w:evenHBand="0" w:firstRowFirstColumn="0" w:firstRowLastColumn="0" w:lastRowFirstColumn="0" w:lastRowLastColumn="0"/>
          <w:tblHeader/>
        </w:trPr>
        <w:tc>
          <w:tcPr>
            <w:tcW w:w="3179" w:type="pct"/>
            <w:shd w:val="clear" w:color="auto" w:fill="auto"/>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Base case 1</w:t>
            </w:r>
          </w:p>
        </w:tc>
        <w:tc>
          <w:tcPr>
            <w:tcW w:w="607" w:type="pct"/>
            <w:shd w:val="clear" w:color="auto" w:fill="auto"/>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567" w:type="pct"/>
            <w:shd w:val="clear" w:color="auto" w:fill="auto"/>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4.659</w:t>
            </w:r>
          </w:p>
        </w:tc>
        <w:tc>
          <w:tcPr>
            <w:tcW w:w="647" w:type="pct"/>
            <w:shd w:val="clear" w:color="auto" w:fill="auto"/>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r w:rsidR="00C47C3B" w:rsidRPr="00C47C3B" w:rsidTr="009F446F">
        <w:tc>
          <w:tcPr>
            <w:tcW w:w="3179"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 xml:space="preserve">Impact of assuming 50% of hospitalisations are due to a PE </w:t>
            </w:r>
          </w:p>
        </w:tc>
        <w:tc>
          <w:tcPr>
            <w:tcW w:w="60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56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4.659</w:t>
            </w:r>
          </w:p>
        </w:tc>
        <w:tc>
          <w:tcPr>
            <w:tcW w:w="64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r w:rsidR="00C47C3B" w:rsidRPr="00C47C3B" w:rsidTr="009F446F">
        <w:tc>
          <w:tcPr>
            <w:tcW w:w="3179"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 xml:space="preserve">Application of the </w:t>
            </w:r>
            <w:proofErr w:type="spellStart"/>
            <w:r w:rsidRPr="00C47C3B">
              <w:rPr>
                <w:rFonts w:ascii="Arial Narrow" w:eastAsiaTheme="minorHAnsi" w:hAnsi="Arial Narrow" w:cstheme="minorBidi"/>
                <w:sz w:val="20"/>
                <w:szCs w:val="22"/>
              </w:rPr>
              <w:t>Liou</w:t>
            </w:r>
            <w:proofErr w:type="spellEnd"/>
            <w:r w:rsidRPr="00C47C3B">
              <w:rPr>
                <w:rFonts w:ascii="Arial Narrow" w:eastAsiaTheme="minorHAnsi" w:hAnsi="Arial Narrow" w:cstheme="minorBidi"/>
                <w:sz w:val="20"/>
                <w:szCs w:val="22"/>
              </w:rPr>
              <w:t xml:space="preserve"> et al (2001) equation based on absolute values</w:t>
            </w:r>
          </w:p>
        </w:tc>
        <w:tc>
          <w:tcPr>
            <w:tcW w:w="60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56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3.524</w:t>
            </w:r>
          </w:p>
        </w:tc>
        <w:tc>
          <w:tcPr>
            <w:tcW w:w="64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r w:rsidR="00C47C3B" w:rsidRPr="00C47C3B" w:rsidTr="009F446F">
        <w:tc>
          <w:tcPr>
            <w:tcW w:w="3179"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 xml:space="preserve">Using the utility values from Whiting et al. </w:t>
            </w:r>
          </w:p>
        </w:tc>
        <w:tc>
          <w:tcPr>
            <w:tcW w:w="60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56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3.835</w:t>
            </w:r>
          </w:p>
        </w:tc>
        <w:tc>
          <w:tcPr>
            <w:tcW w:w="64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r w:rsidR="00C47C3B" w:rsidRPr="00C47C3B" w:rsidTr="009F446F">
        <w:tc>
          <w:tcPr>
            <w:tcW w:w="3179"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Estimates of pp</w:t>
            </w:r>
            <w:r w:rsidRPr="00C47C3B">
              <w:rPr>
                <w:rFonts w:ascii="Arial Narrow" w:eastAsiaTheme="minorHAnsi" w:hAnsi="Arial Narrow" w:cstheme="minorBidi"/>
                <w:sz w:val="20"/>
              </w:rPr>
              <w:t>FEV</w:t>
            </w:r>
            <w:r w:rsidRPr="00C47C3B">
              <w:rPr>
                <w:rFonts w:ascii="Arial Narrow" w:eastAsiaTheme="minorHAnsi" w:hAnsi="Arial Narrow" w:cstheme="minorBidi"/>
                <w:sz w:val="20"/>
                <w:vertAlign w:val="subscript"/>
              </w:rPr>
              <w:t>1</w:t>
            </w:r>
            <w:r w:rsidRPr="00C47C3B">
              <w:rPr>
                <w:rFonts w:ascii="Arial Narrow" w:eastAsiaTheme="minorHAnsi" w:hAnsi="Arial Narrow" w:cstheme="minorBidi"/>
                <w:sz w:val="20"/>
                <w:szCs w:val="22"/>
              </w:rPr>
              <w:t xml:space="preserve"> decline in BSC arm set to 50% of current</w:t>
            </w:r>
          </w:p>
        </w:tc>
        <w:tc>
          <w:tcPr>
            <w:tcW w:w="60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56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3.459</w:t>
            </w:r>
          </w:p>
        </w:tc>
        <w:tc>
          <w:tcPr>
            <w:tcW w:w="64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r w:rsidR="00C47C3B" w:rsidRPr="00C47C3B" w:rsidTr="009F446F">
        <w:tc>
          <w:tcPr>
            <w:tcW w:w="3179"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Removal of the impact of the financial cap on the effective price</w:t>
            </w:r>
          </w:p>
        </w:tc>
        <w:tc>
          <w:tcPr>
            <w:tcW w:w="60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56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4.659</w:t>
            </w:r>
          </w:p>
        </w:tc>
        <w:tc>
          <w:tcPr>
            <w:tcW w:w="64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r w:rsidR="00C47C3B" w:rsidRPr="00C47C3B" w:rsidTr="009F446F">
        <w:tc>
          <w:tcPr>
            <w:tcW w:w="3179"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No price reduction at patent expiry</w:t>
            </w:r>
          </w:p>
        </w:tc>
        <w:tc>
          <w:tcPr>
            <w:tcW w:w="60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56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4.659</w:t>
            </w:r>
          </w:p>
        </w:tc>
        <w:tc>
          <w:tcPr>
            <w:tcW w:w="64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r w:rsidR="00C47C3B" w:rsidRPr="00C47C3B" w:rsidTr="009F446F">
        <w:tc>
          <w:tcPr>
            <w:tcW w:w="3179"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Estimated decline of pp</w:t>
            </w:r>
            <w:r w:rsidRPr="00C47C3B">
              <w:rPr>
                <w:rFonts w:ascii="Arial Narrow" w:eastAsiaTheme="minorHAnsi" w:hAnsi="Arial Narrow" w:cstheme="minorBidi"/>
                <w:sz w:val="20"/>
              </w:rPr>
              <w:t>FEV</w:t>
            </w:r>
            <w:r w:rsidRPr="00C47C3B">
              <w:rPr>
                <w:rFonts w:ascii="Arial Narrow" w:eastAsiaTheme="minorHAnsi" w:hAnsi="Arial Narrow" w:cstheme="minorBidi"/>
                <w:sz w:val="20"/>
                <w:vertAlign w:val="subscript"/>
              </w:rPr>
              <w:t>1</w:t>
            </w:r>
            <w:r w:rsidRPr="00C47C3B">
              <w:rPr>
                <w:rFonts w:ascii="Arial Narrow" w:eastAsiaTheme="minorHAnsi" w:hAnsi="Arial Narrow" w:cstheme="minorBidi"/>
                <w:sz w:val="20"/>
                <w:szCs w:val="22"/>
              </w:rPr>
              <w:t xml:space="preserve"> in </w:t>
            </w:r>
            <w:proofErr w:type="spellStart"/>
            <w:r w:rsidRPr="00C47C3B">
              <w:rPr>
                <w:rFonts w:ascii="Arial Narrow" w:eastAsiaTheme="minorHAnsi" w:hAnsi="Arial Narrow" w:cstheme="minorBidi"/>
                <w:sz w:val="20"/>
                <w:szCs w:val="22"/>
              </w:rPr>
              <w:t>lumacaftor</w:t>
            </w:r>
            <w:proofErr w:type="spellEnd"/>
            <w:r w:rsidRPr="00C47C3B">
              <w:rPr>
                <w:rFonts w:ascii="Arial Narrow" w:eastAsiaTheme="minorHAnsi" w:hAnsi="Arial Narrow" w:cstheme="minorBidi"/>
                <w:sz w:val="20"/>
                <w:szCs w:val="22"/>
              </w:rPr>
              <w:t>/</w:t>
            </w:r>
            <w:proofErr w:type="spellStart"/>
            <w:r w:rsidRPr="00C47C3B">
              <w:rPr>
                <w:rFonts w:ascii="Arial Narrow" w:eastAsiaTheme="minorHAnsi" w:hAnsi="Arial Narrow" w:cstheme="minorBidi"/>
                <w:sz w:val="20"/>
                <w:szCs w:val="22"/>
              </w:rPr>
              <w:t>ivacaftor</w:t>
            </w:r>
            <w:proofErr w:type="spellEnd"/>
            <w:r w:rsidRPr="00C47C3B">
              <w:rPr>
                <w:rFonts w:ascii="Arial Narrow" w:eastAsiaTheme="minorHAnsi" w:hAnsi="Arial Narrow" w:cstheme="minorBidi"/>
                <w:sz w:val="20"/>
                <w:szCs w:val="22"/>
              </w:rPr>
              <w:t xml:space="preserve"> after 24 weeks set to 25% of BSC</w:t>
            </w:r>
          </w:p>
        </w:tc>
        <w:tc>
          <w:tcPr>
            <w:tcW w:w="60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56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3.176</w:t>
            </w:r>
          </w:p>
        </w:tc>
        <w:tc>
          <w:tcPr>
            <w:tcW w:w="64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r w:rsidR="00C47C3B" w:rsidRPr="00C47C3B" w:rsidTr="009F446F">
        <w:tc>
          <w:tcPr>
            <w:tcW w:w="3179"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Estimated decline of pp</w:t>
            </w:r>
            <w:r w:rsidRPr="00C47C3B">
              <w:rPr>
                <w:rFonts w:ascii="Arial Narrow" w:eastAsiaTheme="minorHAnsi" w:hAnsi="Arial Narrow" w:cstheme="minorBidi"/>
                <w:sz w:val="20"/>
              </w:rPr>
              <w:t>FEV</w:t>
            </w:r>
            <w:r w:rsidRPr="00C47C3B">
              <w:rPr>
                <w:rFonts w:ascii="Arial Narrow" w:eastAsiaTheme="minorHAnsi" w:hAnsi="Arial Narrow" w:cstheme="minorBidi"/>
                <w:sz w:val="20"/>
                <w:vertAlign w:val="subscript"/>
              </w:rPr>
              <w:t>1</w:t>
            </w:r>
            <w:r w:rsidRPr="00C47C3B">
              <w:rPr>
                <w:rFonts w:ascii="Arial Narrow" w:eastAsiaTheme="minorHAnsi" w:hAnsi="Arial Narrow" w:cstheme="minorBidi"/>
                <w:sz w:val="20"/>
                <w:szCs w:val="22"/>
              </w:rPr>
              <w:t xml:space="preserve"> in </w:t>
            </w:r>
            <w:proofErr w:type="spellStart"/>
            <w:r w:rsidRPr="00C47C3B">
              <w:rPr>
                <w:rFonts w:ascii="Arial Narrow" w:eastAsiaTheme="minorHAnsi" w:hAnsi="Arial Narrow" w:cstheme="minorBidi"/>
                <w:sz w:val="20"/>
                <w:szCs w:val="22"/>
              </w:rPr>
              <w:t>lumacaftor</w:t>
            </w:r>
            <w:proofErr w:type="spellEnd"/>
            <w:r w:rsidRPr="00C47C3B">
              <w:rPr>
                <w:rFonts w:ascii="Arial Narrow" w:eastAsiaTheme="minorHAnsi" w:hAnsi="Arial Narrow" w:cstheme="minorBidi"/>
                <w:sz w:val="20"/>
                <w:szCs w:val="22"/>
              </w:rPr>
              <w:t>/</w:t>
            </w:r>
            <w:proofErr w:type="spellStart"/>
            <w:r w:rsidRPr="00C47C3B">
              <w:rPr>
                <w:rFonts w:ascii="Arial Narrow" w:eastAsiaTheme="minorHAnsi" w:hAnsi="Arial Narrow" w:cstheme="minorBidi"/>
                <w:sz w:val="20"/>
                <w:szCs w:val="22"/>
              </w:rPr>
              <w:t>ivacaftor</w:t>
            </w:r>
            <w:proofErr w:type="spellEnd"/>
            <w:r w:rsidRPr="00C47C3B">
              <w:rPr>
                <w:rFonts w:ascii="Arial Narrow" w:eastAsiaTheme="minorHAnsi" w:hAnsi="Arial Narrow" w:cstheme="minorBidi"/>
                <w:sz w:val="20"/>
                <w:szCs w:val="22"/>
              </w:rPr>
              <w:t xml:space="preserve"> after 24 weeks set to 50% of BSC</w:t>
            </w:r>
          </w:p>
        </w:tc>
        <w:tc>
          <w:tcPr>
            <w:tcW w:w="60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56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2.068</w:t>
            </w:r>
          </w:p>
        </w:tc>
        <w:tc>
          <w:tcPr>
            <w:tcW w:w="64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r w:rsidR="00C47C3B" w:rsidRPr="00C47C3B" w:rsidTr="009F446F">
        <w:tc>
          <w:tcPr>
            <w:tcW w:w="3179"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No additional decline in pp</w:t>
            </w:r>
            <w:r w:rsidRPr="00C47C3B">
              <w:rPr>
                <w:rFonts w:ascii="Arial Narrow" w:eastAsiaTheme="minorHAnsi" w:hAnsi="Arial Narrow" w:cstheme="minorBidi"/>
                <w:sz w:val="20"/>
              </w:rPr>
              <w:t>FEV</w:t>
            </w:r>
            <w:r w:rsidRPr="00C47C3B">
              <w:rPr>
                <w:rFonts w:ascii="Arial Narrow" w:eastAsiaTheme="minorHAnsi" w:hAnsi="Arial Narrow" w:cstheme="minorBidi"/>
                <w:sz w:val="20"/>
                <w:vertAlign w:val="subscript"/>
              </w:rPr>
              <w:t>1</w:t>
            </w:r>
            <w:r w:rsidRPr="00C47C3B">
              <w:rPr>
                <w:rFonts w:ascii="Arial Narrow" w:eastAsiaTheme="minorHAnsi" w:hAnsi="Arial Narrow" w:cstheme="minorBidi"/>
                <w:sz w:val="20"/>
                <w:szCs w:val="22"/>
              </w:rPr>
              <w:t xml:space="preserve"> decline in BSC or </w:t>
            </w:r>
            <w:proofErr w:type="spellStart"/>
            <w:r w:rsidRPr="00C47C3B">
              <w:rPr>
                <w:rFonts w:ascii="Arial Narrow" w:eastAsiaTheme="minorHAnsi" w:hAnsi="Arial Narrow" w:cstheme="minorBidi"/>
                <w:sz w:val="20"/>
                <w:szCs w:val="22"/>
              </w:rPr>
              <w:t>lumacaftor</w:t>
            </w:r>
            <w:proofErr w:type="spellEnd"/>
            <w:r w:rsidRPr="00C47C3B">
              <w:rPr>
                <w:rFonts w:ascii="Arial Narrow" w:eastAsiaTheme="minorHAnsi" w:hAnsi="Arial Narrow" w:cstheme="minorBidi"/>
                <w:sz w:val="20"/>
                <w:szCs w:val="22"/>
              </w:rPr>
              <w:t>/</w:t>
            </w:r>
            <w:proofErr w:type="spellStart"/>
            <w:r w:rsidRPr="00C47C3B">
              <w:rPr>
                <w:rFonts w:ascii="Arial Narrow" w:eastAsiaTheme="minorHAnsi" w:hAnsi="Arial Narrow" w:cstheme="minorBidi"/>
                <w:sz w:val="20"/>
                <w:szCs w:val="22"/>
              </w:rPr>
              <w:t>ivacaftor</w:t>
            </w:r>
            <w:proofErr w:type="spellEnd"/>
          </w:p>
        </w:tc>
        <w:tc>
          <w:tcPr>
            <w:tcW w:w="60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56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1.092</w:t>
            </w:r>
          </w:p>
        </w:tc>
        <w:tc>
          <w:tcPr>
            <w:tcW w:w="647" w:type="pct"/>
            <w:vAlign w:val="center"/>
          </w:tcPr>
          <w:p w:rsidR="00C47C3B" w:rsidRPr="00C47C3B" w:rsidRDefault="00C47C3B" w:rsidP="00C47C3B">
            <w:pPr>
              <w:keepNext/>
              <w:spacing w:after="40"/>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bl>
    <w:p w:rsidR="00C47C3B" w:rsidRPr="00C47C3B" w:rsidRDefault="00C47C3B" w:rsidP="00C47C3B">
      <w:pPr>
        <w:keepNext/>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 xml:space="preserve">Source: Constructed during the evaluation </w:t>
      </w:r>
    </w:p>
    <w:p w:rsidR="00C47C3B" w:rsidRPr="00C47C3B" w:rsidRDefault="00C47C3B" w:rsidP="00C47C3B">
      <w:pPr>
        <w:keepNext/>
        <w:spacing w:after="120"/>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 xml:space="preserve">Note: Application of the </w:t>
      </w:r>
      <w:proofErr w:type="spellStart"/>
      <w:r w:rsidRPr="00C47C3B">
        <w:rPr>
          <w:rFonts w:ascii="Arial Narrow" w:hAnsi="Arial Narrow" w:cs="Arial"/>
          <w:snapToGrid w:val="0"/>
          <w:sz w:val="16"/>
          <w:szCs w:val="16"/>
          <w:lang w:eastAsia="en-US"/>
        </w:rPr>
        <w:t>Liou</w:t>
      </w:r>
      <w:proofErr w:type="spellEnd"/>
      <w:r w:rsidRPr="00C47C3B">
        <w:rPr>
          <w:rFonts w:ascii="Arial Narrow" w:hAnsi="Arial Narrow" w:cs="Arial"/>
          <w:snapToGrid w:val="0"/>
          <w:sz w:val="16"/>
          <w:szCs w:val="16"/>
          <w:lang w:eastAsia="en-US"/>
        </w:rPr>
        <w:t xml:space="preserve"> et al (2001) equation based on absolute values followed the same approach as in the resubmission, but decomposed the estimate of the “Hazard Ratio Relative to the Previous Cycle” into two steps – an estimate of the absolute mortality risk per cycle, and then an estimate of the relative risk hazard per cycle</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ICERs presented in the resubmission were replicated to determine the DPMQ required </w:t>
      </w:r>
      <w:proofErr w:type="gramStart"/>
      <w:r w:rsidRPr="00C47C3B">
        <w:rPr>
          <w:rFonts w:asciiTheme="minorHAnsi" w:hAnsiTheme="minorHAnsi" w:cs="Arial"/>
          <w:snapToGrid w:val="0"/>
          <w:szCs w:val="20"/>
          <w:lang w:eastAsia="en-US"/>
        </w:rPr>
        <w:t>to achieve</w:t>
      </w:r>
      <w:proofErr w:type="gramEnd"/>
      <w:r w:rsidRPr="00C47C3B">
        <w:rPr>
          <w:rFonts w:asciiTheme="minorHAnsi" w:hAnsiTheme="minorHAnsi" w:cs="Arial"/>
          <w:snapToGrid w:val="0"/>
          <w:szCs w:val="20"/>
          <w:lang w:eastAsia="en-US"/>
        </w:rPr>
        <w:t xml:space="preserve"> that ICER in the absence of a financial cap. For the resubmission Base case 1 ICER of $105,000/QALY – $200,000/QALY, the effective DPMQ required was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xml:space="preserve"> (compared with the requested DPMQ of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xml:space="preserve">). </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bookmarkStart w:id="71" w:name="_Toc413139283"/>
      <w:bookmarkStart w:id="72" w:name="_Toc476306893"/>
      <w:bookmarkStart w:id="73" w:name="_Toc482713680"/>
      <w:r w:rsidRPr="00C47C3B">
        <w:rPr>
          <w:rFonts w:asciiTheme="minorHAnsi" w:hAnsiTheme="minorHAnsi" w:cs="Arial"/>
          <w:snapToGrid w:val="0"/>
          <w:lang w:eastAsia="en-US"/>
        </w:rPr>
        <w:lastRenderedPageBreak/>
        <w:t xml:space="preserve">The ESC recalled the advice provided by the PBAC when </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was recommended in March 2014 with a base case ICER of $$105,000/QALY – $200,000/</w:t>
      </w:r>
      <w:proofErr w:type="gramStart"/>
      <w:r w:rsidRPr="00C47C3B">
        <w:rPr>
          <w:rFonts w:asciiTheme="minorHAnsi" w:hAnsiTheme="minorHAnsi" w:cs="Arial"/>
          <w:snapToGrid w:val="0"/>
          <w:lang w:eastAsia="en-US"/>
        </w:rPr>
        <w:t>QALY, that</w:t>
      </w:r>
      <w:proofErr w:type="gramEnd"/>
      <w:r w:rsidRPr="00C47C3B">
        <w:rPr>
          <w:rFonts w:asciiTheme="minorHAnsi" w:hAnsiTheme="minorHAnsi" w:cs="Arial"/>
          <w:snapToGrid w:val="0"/>
          <w:lang w:eastAsia="en-US"/>
        </w:rPr>
        <w:t xml:space="preserve"> the cost</w:t>
      </w:r>
      <w:r w:rsidRPr="00C47C3B">
        <w:rPr>
          <w:rFonts w:asciiTheme="minorHAnsi" w:hAnsiTheme="minorHAnsi" w:cs="Arial"/>
          <w:snapToGrid w:val="0"/>
          <w:lang w:eastAsia="en-US"/>
        </w:rPr>
        <w:noBreakHyphen/>
        <w:t xml:space="preserve">effectiveness of </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would be acceptable if the ICER would be around $60,000 - $80,000 per QALY gained. At that time, the PBAC considered that, in the absence of a lower price, the cost-effectiveness of </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would be acceptable if a “pay-for-performance” arrangement, together with the other risk sharing measures, was implemented. </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t xml:space="preserve">Given that the PBAC considered that the claim that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slows the rate of decline in ppFEV1 beyond 24 weeks, compared with patients treated with BSC, was not adequately supported by the resubmission (for the reasons outlined in paragraph 6.22), the PBAC defined an alternative scenario which it considered informative for decision making. Specifically, the PBAC made the following changes to Base case 1 in the current resubmission:</w:t>
      </w:r>
    </w:p>
    <w:p w:rsidR="00C47C3B" w:rsidRPr="00C47C3B" w:rsidRDefault="00C47C3B" w:rsidP="00C47C3B">
      <w:pPr>
        <w:widowControl w:val="0"/>
        <w:numPr>
          <w:ilvl w:val="2"/>
          <w:numId w:val="5"/>
        </w:numPr>
        <w:spacing w:after="120"/>
        <w:ind w:left="1134" w:hanging="283"/>
        <w:jc w:val="both"/>
        <w:rPr>
          <w:rFonts w:asciiTheme="minorHAnsi" w:hAnsiTheme="minorHAnsi" w:cs="Arial"/>
          <w:snapToGrid w:val="0"/>
          <w:lang w:eastAsia="en-US"/>
        </w:rPr>
      </w:pPr>
      <w:r w:rsidRPr="00C47C3B">
        <w:rPr>
          <w:rFonts w:asciiTheme="minorHAnsi" w:hAnsiTheme="minorHAnsi" w:cs="Arial"/>
          <w:snapToGrid w:val="0"/>
          <w:lang w:eastAsia="en-US"/>
        </w:rPr>
        <w:t>The estimated decline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in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treated patients was set to 100% of BSC after 24 weeks. The PBAC considered that this assumption was a more realistic interpretation of the available data than the submission’s assumption of no change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for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patients. Furthermore, the PBAC considered this assumption may still favour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as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treated patients would therefore always maintain the 2.8 percentage point difference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compared with BSC patients; the PBAC considered that the difference in ppFEV</w:t>
      </w:r>
      <w:r w:rsidRPr="00C47C3B">
        <w:rPr>
          <w:rFonts w:asciiTheme="minorHAnsi" w:hAnsiTheme="minorHAnsi" w:cs="Arial"/>
          <w:snapToGrid w:val="0"/>
          <w:vertAlign w:val="subscript"/>
          <w:lang w:eastAsia="en-US"/>
        </w:rPr>
        <w:t>1</w:t>
      </w:r>
      <w:r w:rsidRPr="00C47C3B">
        <w:rPr>
          <w:rFonts w:asciiTheme="minorHAnsi" w:hAnsiTheme="minorHAnsi" w:cs="Arial"/>
          <w:snapToGrid w:val="0"/>
          <w:lang w:eastAsia="en-US"/>
        </w:rPr>
        <w:t xml:space="preserve"> may in fact reduce over the long-term. </w:t>
      </w:r>
    </w:p>
    <w:p w:rsidR="00C47C3B" w:rsidRPr="00C47C3B" w:rsidRDefault="00C47C3B" w:rsidP="00C47C3B">
      <w:pPr>
        <w:widowControl w:val="0"/>
        <w:numPr>
          <w:ilvl w:val="2"/>
          <w:numId w:val="5"/>
        </w:numPr>
        <w:spacing w:after="120"/>
        <w:ind w:left="1134" w:hanging="283"/>
        <w:jc w:val="both"/>
        <w:rPr>
          <w:rFonts w:asciiTheme="minorHAnsi" w:hAnsiTheme="minorHAnsi" w:cs="Arial"/>
          <w:snapToGrid w:val="0"/>
          <w:lang w:eastAsia="en-US"/>
        </w:rPr>
      </w:pPr>
      <w:r w:rsidRPr="00C47C3B">
        <w:rPr>
          <w:rFonts w:asciiTheme="minorHAnsi" w:hAnsiTheme="minorHAnsi" w:cs="Arial"/>
          <w:snapToGrid w:val="0"/>
          <w:lang w:eastAsia="en-US"/>
        </w:rPr>
        <w:t>Assuming 75% of hospitalisations are due to PEs (see paragraph 6.51)</w:t>
      </w:r>
    </w:p>
    <w:p w:rsidR="00C47C3B" w:rsidRPr="00C47C3B" w:rsidRDefault="00C47C3B" w:rsidP="00C47C3B">
      <w:pPr>
        <w:widowControl w:val="0"/>
        <w:numPr>
          <w:ilvl w:val="2"/>
          <w:numId w:val="5"/>
        </w:numPr>
        <w:spacing w:after="120"/>
        <w:ind w:left="1134" w:hanging="283"/>
        <w:jc w:val="both"/>
        <w:rPr>
          <w:rFonts w:asciiTheme="minorHAnsi" w:hAnsiTheme="minorHAnsi" w:cs="Arial"/>
          <w:snapToGrid w:val="0"/>
          <w:lang w:eastAsia="en-US"/>
        </w:rPr>
      </w:pPr>
      <w:r w:rsidRPr="00C47C3B">
        <w:rPr>
          <w:rFonts w:asciiTheme="minorHAnsi" w:hAnsiTheme="minorHAnsi" w:cs="Arial"/>
          <w:snapToGrid w:val="0"/>
          <w:lang w:eastAsia="en-US"/>
        </w:rPr>
        <w:t xml:space="preserve">Removal of the F1 5% statutory price reduction and the assumed </w:t>
      </w:r>
      <w:r w:rsidRPr="00C47C3B">
        <w:rPr>
          <w:rFonts w:asciiTheme="minorHAnsi" w:hAnsiTheme="minorHAnsi" w:cs="Arial"/>
          <w:noProof/>
          <w:snapToGrid w:val="0"/>
          <w:color w:val="000000"/>
          <w:highlight w:val="black"/>
          <w:lang w:eastAsia="en-US"/>
        </w:rPr>
        <w:t>'''''</w:t>
      </w:r>
      <w:r w:rsidRPr="00C47C3B">
        <w:rPr>
          <w:rFonts w:asciiTheme="minorHAnsi" w:hAnsiTheme="minorHAnsi" w:cs="Arial"/>
          <w:snapToGrid w:val="0"/>
          <w:lang w:eastAsia="en-US"/>
        </w:rPr>
        <w:t xml:space="preserve">% generic price reduction, in line with the PBAC Guidelines V5.0 (p82) which states that submissions should value future costs at current prices. The PBAC also noted that as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is likely to be replaced with </w:t>
      </w:r>
      <w:proofErr w:type="spellStart"/>
      <w:r w:rsidRPr="00C47C3B">
        <w:rPr>
          <w:rFonts w:asciiTheme="minorHAnsi" w:hAnsiTheme="minorHAnsi" w:cs="Arial"/>
          <w:snapToGrid w:val="0"/>
          <w:lang w:eastAsia="en-US"/>
        </w:rPr>
        <w:t>tezacaftor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and triple therapy with the “next generation correctors” over the next several years, it is unlikely that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will be in use at the time that the submission assumed the price will reduce by </w:t>
      </w:r>
      <w:r w:rsidRPr="00C47C3B">
        <w:rPr>
          <w:rFonts w:asciiTheme="minorHAnsi" w:hAnsiTheme="minorHAnsi" w:cs="Arial"/>
          <w:noProof/>
          <w:snapToGrid w:val="0"/>
          <w:color w:val="000000"/>
          <w:highlight w:val="black"/>
          <w:lang w:eastAsia="en-US"/>
        </w:rPr>
        <w:t>''''''</w:t>
      </w:r>
      <w:r w:rsidRPr="00C47C3B">
        <w:rPr>
          <w:rFonts w:asciiTheme="minorHAnsi" w:hAnsiTheme="minorHAnsi" w:cs="Arial"/>
          <w:snapToGrid w:val="0"/>
          <w:lang w:eastAsia="en-US"/>
        </w:rPr>
        <w:t xml:space="preserve">%. </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t>The PBAC’s scenario resulted in an unacceptably high ICER of significantly more than $1 million/QALY</w:t>
      </w:r>
      <w:r w:rsidRPr="00C47C3B" w:rsidDel="00E45866">
        <w:rPr>
          <w:rFonts w:asciiTheme="minorHAnsi" w:hAnsiTheme="minorHAnsi" w:cs="Arial"/>
          <w:snapToGrid w:val="0"/>
          <w:lang w:eastAsia="en-US"/>
        </w:rPr>
        <w:t xml:space="preserve"> </w:t>
      </w:r>
      <w:r w:rsidRPr="00C47C3B">
        <w:rPr>
          <w:rFonts w:asciiTheme="minorHAnsi" w:hAnsiTheme="minorHAnsi" w:cs="Arial"/>
          <w:snapToGrid w:val="0"/>
          <w:lang w:eastAsia="en-US"/>
        </w:rPr>
        <w:t>(presented in Table 14, with Base case 1 for comparison).</w:t>
      </w:r>
    </w:p>
    <w:p w:rsidR="00C47C3B" w:rsidRPr="00C47C3B" w:rsidRDefault="00C47C3B" w:rsidP="00C47C3B">
      <w:pPr>
        <w:spacing w:after="120"/>
        <w:jc w:val="both"/>
        <w:rPr>
          <w:rFonts w:asciiTheme="minorHAnsi" w:hAnsiTheme="minorHAnsi" w:cs="Arial"/>
          <w:snapToGrid w:val="0"/>
          <w:lang w:eastAsia="en-US"/>
        </w:rPr>
      </w:pP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 xml:space="preserve">Table </w:t>
      </w:r>
      <w:r w:rsidRPr="00C47C3B">
        <w:rPr>
          <w:rFonts w:ascii="Arial Narrow" w:eastAsiaTheme="minorHAnsi" w:hAnsi="Arial Narrow" w:cstheme="minorBidi"/>
          <w:b/>
          <w:noProof/>
          <w:sz w:val="20"/>
          <w:szCs w:val="22"/>
          <w:lang w:eastAsia="en-US"/>
        </w:rPr>
        <w:t>14</w:t>
      </w:r>
      <w:r w:rsidRPr="00C47C3B">
        <w:rPr>
          <w:rFonts w:ascii="Arial Narrow" w:eastAsiaTheme="minorHAnsi" w:hAnsi="Arial Narrow" w:cstheme="minorBidi"/>
          <w:b/>
          <w:sz w:val="20"/>
          <w:szCs w:val="22"/>
          <w:lang w:eastAsia="en-US"/>
        </w:rPr>
        <w:t>: Results of scenario analysis conducted by PBAC</w:t>
      </w:r>
    </w:p>
    <w:tbl>
      <w:tblPr>
        <w:tblStyle w:val="OPTUMTableNormal"/>
        <w:tblW w:w="5000" w:type="pct"/>
        <w:tblLook w:val="04A0" w:firstRow="1" w:lastRow="0" w:firstColumn="1" w:lastColumn="0" w:noHBand="0" w:noVBand="1"/>
        <w:tblCaption w:val="Results of scenario analysis conducted by PBAC"/>
      </w:tblPr>
      <w:tblGrid>
        <w:gridCol w:w="3653"/>
        <w:gridCol w:w="1398"/>
        <w:gridCol w:w="1397"/>
        <w:gridCol w:w="1397"/>
        <w:gridCol w:w="1397"/>
      </w:tblGrid>
      <w:tr w:rsidR="00C47C3B" w:rsidRPr="00C47C3B" w:rsidTr="009F446F">
        <w:trPr>
          <w:cnfStyle w:val="100000000000" w:firstRow="1" w:lastRow="0" w:firstColumn="0" w:lastColumn="0" w:oddVBand="0" w:evenVBand="0" w:oddHBand="0" w:evenHBand="0" w:firstRowFirstColumn="0" w:firstRowLastColumn="0" w:lastRowFirstColumn="0" w:lastRowLastColumn="0"/>
          <w:tblHeader/>
        </w:trPr>
        <w:tc>
          <w:tcPr>
            <w:tcW w:w="1976" w:type="pct"/>
            <w:shd w:val="clear" w:color="auto" w:fill="auto"/>
            <w:vAlign w:val="center"/>
          </w:tcPr>
          <w:p w:rsidR="00C47C3B" w:rsidRPr="00C47C3B" w:rsidRDefault="00C47C3B" w:rsidP="00C47C3B">
            <w:pPr>
              <w:keepNext/>
              <w:spacing w:after="40"/>
              <w:rPr>
                <w:rFonts w:ascii="Arial Narrow" w:eastAsiaTheme="minorHAnsi" w:hAnsi="Arial Narrow"/>
                <w:b/>
                <w:sz w:val="20"/>
                <w:szCs w:val="20"/>
              </w:rPr>
            </w:pPr>
            <w:r w:rsidRPr="00C47C3B">
              <w:rPr>
                <w:rFonts w:ascii="Arial Narrow" w:eastAsiaTheme="minorHAnsi" w:hAnsi="Arial Narrow"/>
                <w:b/>
                <w:sz w:val="20"/>
                <w:szCs w:val="20"/>
              </w:rPr>
              <w:t>Scenario</w:t>
            </w:r>
          </w:p>
        </w:tc>
        <w:tc>
          <w:tcPr>
            <w:tcW w:w="756" w:type="pct"/>
            <w:shd w:val="clear" w:color="auto" w:fill="auto"/>
            <w:vAlign w:val="center"/>
          </w:tcPr>
          <w:p w:rsidR="00C47C3B" w:rsidRPr="00C47C3B" w:rsidRDefault="00C47C3B" w:rsidP="00C47C3B">
            <w:pPr>
              <w:keepNext/>
              <w:spacing w:after="40"/>
              <w:ind w:left="-95" w:right="-105"/>
              <w:jc w:val="center"/>
              <w:rPr>
                <w:rFonts w:ascii="Arial Narrow" w:eastAsiaTheme="minorHAnsi" w:hAnsi="Arial Narrow"/>
                <w:b/>
                <w:sz w:val="20"/>
                <w:szCs w:val="20"/>
              </w:rPr>
            </w:pPr>
            <w:r w:rsidRPr="00C47C3B">
              <w:rPr>
                <w:rFonts w:ascii="Arial Narrow" w:eastAsiaTheme="minorHAnsi" w:hAnsi="Arial Narrow"/>
                <w:b/>
                <w:sz w:val="20"/>
                <w:szCs w:val="20"/>
              </w:rPr>
              <w:t>Inc. cost ($)</w:t>
            </w:r>
          </w:p>
        </w:tc>
        <w:tc>
          <w:tcPr>
            <w:tcW w:w="756" w:type="pct"/>
            <w:vAlign w:val="center"/>
          </w:tcPr>
          <w:p w:rsidR="00C47C3B" w:rsidRPr="00C47C3B" w:rsidRDefault="00C47C3B" w:rsidP="00C47C3B">
            <w:pPr>
              <w:keepNext/>
              <w:spacing w:after="40"/>
              <w:ind w:left="-95" w:right="-105"/>
              <w:jc w:val="center"/>
              <w:rPr>
                <w:rFonts w:ascii="Arial Narrow" w:eastAsiaTheme="minorHAnsi" w:hAnsi="Arial Narrow"/>
                <w:b/>
                <w:sz w:val="20"/>
                <w:szCs w:val="20"/>
              </w:rPr>
            </w:pPr>
            <w:r w:rsidRPr="00C47C3B">
              <w:rPr>
                <w:rFonts w:ascii="Arial Narrow" w:eastAsiaTheme="minorHAnsi" w:hAnsi="Arial Narrow"/>
                <w:b/>
                <w:sz w:val="20"/>
                <w:szCs w:val="20"/>
              </w:rPr>
              <w:t>Inc. effect (LYs)</w:t>
            </w:r>
          </w:p>
        </w:tc>
        <w:tc>
          <w:tcPr>
            <w:tcW w:w="756" w:type="pct"/>
            <w:shd w:val="clear" w:color="auto" w:fill="auto"/>
            <w:vAlign w:val="center"/>
          </w:tcPr>
          <w:p w:rsidR="00C47C3B" w:rsidRPr="00C47C3B" w:rsidRDefault="00C47C3B" w:rsidP="00C47C3B">
            <w:pPr>
              <w:keepNext/>
              <w:spacing w:after="40"/>
              <w:ind w:left="-95" w:right="-105"/>
              <w:jc w:val="center"/>
              <w:rPr>
                <w:rFonts w:ascii="Arial Narrow" w:eastAsiaTheme="minorHAnsi" w:hAnsi="Arial Narrow"/>
                <w:b/>
                <w:sz w:val="20"/>
                <w:szCs w:val="20"/>
              </w:rPr>
            </w:pPr>
            <w:r w:rsidRPr="00C47C3B">
              <w:rPr>
                <w:rFonts w:ascii="Arial Narrow" w:eastAsiaTheme="minorHAnsi" w:hAnsi="Arial Narrow"/>
                <w:b/>
                <w:sz w:val="20"/>
                <w:szCs w:val="20"/>
              </w:rPr>
              <w:t>Inc. effect (QALYs)</w:t>
            </w:r>
          </w:p>
        </w:tc>
        <w:tc>
          <w:tcPr>
            <w:tcW w:w="756" w:type="pct"/>
            <w:shd w:val="clear" w:color="auto" w:fill="auto"/>
            <w:vAlign w:val="center"/>
          </w:tcPr>
          <w:p w:rsidR="00C47C3B" w:rsidRPr="00C47C3B" w:rsidRDefault="00C47C3B" w:rsidP="00C47C3B">
            <w:pPr>
              <w:keepNext/>
              <w:spacing w:after="40"/>
              <w:ind w:left="-95" w:right="-105"/>
              <w:jc w:val="center"/>
              <w:rPr>
                <w:rFonts w:ascii="Arial Narrow" w:eastAsiaTheme="minorHAnsi" w:hAnsi="Arial Narrow"/>
                <w:b/>
                <w:sz w:val="20"/>
                <w:szCs w:val="20"/>
              </w:rPr>
            </w:pPr>
            <w:r w:rsidRPr="00C47C3B">
              <w:rPr>
                <w:rFonts w:ascii="Arial Narrow" w:eastAsiaTheme="minorHAnsi" w:hAnsi="Arial Narrow"/>
                <w:b/>
                <w:sz w:val="20"/>
                <w:szCs w:val="20"/>
              </w:rPr>
              <w:t>ICER ($/QALY gained)</w:t>
            </w:r>
          </w:p>
        </w:tc>
      </w:tr>
      <w:tr w:rsidR="00C47C3B" w:rsidRPr="00C47C3B" w:rsidTr="009F446F">
        <w:tc>
          <w:tcPr>
            <w:tcW w:w="1976" w:type="pct"/>
            <w:vAlign w:val="center"/>
          </w:tcPr>
          <w:p w:rsidR="00C47C3B" w:rsidRPr="00C47C3B" w:rsidRDefault="00C47C3B" w:rsidP="00C47C3B">
            <w:pPr>
              <w:keepNext/>
              <w:spacing w:after="40"/>
              <w:rPr>
                <w:rFonts w:ascii="Arial Narrow" w:eastAsiaTheme="minorHAnsi" w:hAnsi="Arial Narrow"/>
                <w:sz w:val="20"/>
                <w:szCs w:val="20"/>
              </w:rPr>
            </w:pPr>
            <w:r w:rsidRPr="00C47C3B">
              <w:rPr>
                <w:rFonts w:ascii="Arial Narrow" w:eastAsiaTheme="minorHAnsi" w:hAnsi="Arial Narrow"/>
                <w:sz w:val="20"/>
                <w:szCs w:val="20"/>
              </w:rPr>
              <w:t>Current resubmission, base case 1</w:t>
            </w:r>
          </w:p>
        </w:tc>
        <w:tc>
          <w:tcPr>
            <w:tcW w:w="756" w:type="pct"/>
            <w:vAlign w:val="center"/>
          </w:tcPr>
          <w:p w:rsidR="00C47C3B" w:rsidRPr="00C47C3B" w:rsidRDefault="00C47C3B" w:rsidP="00C47C3B">
            <w:pPr>
              <w:keepNext/>
              <w:spacing w:after="40"/>
              <w:jc w:val="right"/>
              <w:rPr>
                <w:rFonts w:ascii="Arial Narrow" w:eastAsiaTheme="minorHAnsi" w:hAnsi="Arial Narrow"/>
                <w:sz w:val="20"/>
                <w:szCs w:val="20"/>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756" w:type="pct"/>
          </w:tcPr>
          <w:p w:rsidR="00C47C3B" w:rsidRPr="00C47C3B" w:rsidRDefault="00C47C3B" w:rsidP="00C47C3B">
            <w:pPr>
              <w:keepNext/>
              <w:spacing w:after="40"/>
              <w:jc w:val="right"/>
              <w:rPr>
                <w:rFonts w:ascii="Arial Narrow" w:eastAsiaTheme="minorHAnsi" w:hAnsi="Arial Narrow" w:cstheme="minorBidi"/>
                <w:sz w:val="20"/>
                <w:szCs w:val="22"/>
              </w:rPr>
            </w:pPr>
            <w:r w:rsidRPr="00C47C3B">
              <w:rPr>
                <w:rFonts w:ascii="Arial Narrow" w:eastAsiaTheme="minorHAnsi" w:hAnsi="Arial Narrow" w:cstheme="minorBidi"/>
                <w:sz w:val="20"/>
                <w:szCs w:val="22"/>
              </w:rPr>
              <w:t>4.640</w:t>
            </w:r>
          </w:p>
        </w:tc>
        <w:tc>
          <w:tcPr>
            <w:tcW w:w="756" w:type="pct"/>
            <w:vAlign w:val="center"/>
          </w:tcPr>
          <w:p w:rsidR="00C47C3B" w:rsidRPr="00C47C3B" w:rsidRDefault="00C47C3B" w:rsidP="00C47C3B">
            <w:pPr>
              <w:keepNext/>
              <w:spacing w:after="40"/>
              <w:jc w:val="right"/>
              <w:rPr>
                <w:rFonts w:ascii="Arial Narrow" w:eastAsiaTheme="minorHAnsi" w:hAnsi="Arial Narrow"/>
                <w:sz w:val="20"/>
                <w:szCs w:val="20"/>
              </w:rPr>
            </w:pPr>
            <w:r w:rsidRPr="00C47C3B">
              <w:rPr>
                <w:rFonts w:ascii="Arial Narrow" w:eastAsiaTheme="minorHAnsi" w:hAnsi="Arial Narrow" w:cstheme="minorBidi"/>
                <w:sz w:val="20"/>
                <w:szCs w:val="22"/>
              </w:rPr>
              <w:t>4.659</w:t>
            </w:r>
          </w:p>
        </w:tc>
        <w:tc>
          <w:tcPr>
            <w:tcW w:w="756" w:type="pct"/>
            <w:vAlign w:val="center"/>
          </w:tcPr>
          <w:p w:rsidR="00C47C3B" w:rsidRPr="00C47C3B" w:rsidRDefault="00C47C3B" w:rsidP="00C47C3B">
            <w:pPr>
              <w:keepNext/>
              <w:spacing w:after="40"/>
              <w:jc w:val="right"/>
              <w:rPr>
                <w:rFonts w:ascii="Arial Narrow" w:eastAsiaTheme="minorHAnsi" w:hAnsi="Arial Narrow"/>
                <w:sz w:val="20"/>
                <w:szCs w:val="20"/>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r w:rsidR="00C47C3B" w:rsidRPr="00C47C3B" w:rsidTr="009F446F">
        <w:trPr>
          <w:tblHeader/>
        </w:trPr>
        <w:tc>
          <w:tcPr>
            <w:tcW w:w="1976" w:type="pct"/>
            <w:shd w:val="clear" w:color="auto" w:fill="auto"/>
            <w:vAlign w:val="center"/>
          </w:tcPr>
          <w:p w:rsidR="00C47C3B" w:rsidRPr="00C47C3B" w:rsidRDefault="00C47C3B" w:rsidP="00C47C3B">
            <w:pPr>
              <w:keepNext/>
              <w:spacing w:after="40"/>
              <w:rPr>
                <w:rFonts w:ascii="Arial Narrow" w:eastAsiaTheme="minorHAnsi" w:hAnsi="Arial Narrow"/>
                <w:sz w:val="20"/>
                <w:szCs w:val="20"/>
              </w:rPr>
            </w:pPr>
            <w:r w:rsidRPr="00C47C3B">
              <w:rPr>
                <w:rFonts w:ascii="Arial Narrow" w:eastAsiaTheme="minorHAnsi" w:hAnsi="Arial Narrow"/>
                <w:sz w:val="20"/>
                <w:szCs w:val="20"/>
              </w:rPr>
              <w:t>PBAC scenario for decision making</w:t>
            </w:r>
          </w:p>
        </w:tc>
        <w:tc>
          <w:tcPr>
            <w:tcW w:w="756" w:type="pct"/>
            <w:shd w:val="clear" w:color="auto" w:fill="auto"/>
          </w:tcPr>
          <w:p w:rsidR="00C47C3B" w:rsidRPr="00C47C3B" w:rsidRDefault="00C47C3B" w:rsidP="00C47C3B">
            <w:pPr>
              <w:keepNext/>
              <w:spacing w:after="40"/>
              <w:jc w:val="right"/>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c>
          <w:tcPr>
            <w:tcW w:w="756" w:type="pct"/>
          </w:tcPr>
          <w:p w:rsidR="00C47C3B" w:rsidRPr="00C47C3B" w:rsidRDefault="00C47C3B" w:rsidP="00C47C3B">
            <w:pPr>
              <w:jc w:val="right"/>
              <w:rPr>
                <w:rFonts w:ascii="Arial Narrow" w:eastAsiaTheme="minorHAnsi" w:hAnsi="Arial Narrow" w:cstheme="minorBidi"/>
                <w:sz w:val="20"/>
                <w:szCs w:val="22"/>
              </w:rPr>
            </w:pPr>
            <w:r w:rsidRPr="00C47C3B">
              <w:rPr>
                <w:rFonts w:ascii="Arial Narrow" w:eastAsiaTheme="minorHAnsi" w:hAnsi="Arial Narrow" w:cstheme="minorBidi"/>
                <w:sz w:val="20"/>
                <w:szCs w:val="22"/>
              </w:rPr>
              <w:t>1.144</w:t>
            </w:r>
          </w:p>
        </w:tc>
        <w:tc>
          <w:tcPr>
            <w:tcW w:w="756" w:type="pct"/>
            <w:shd w:val="clear" w:color="auto" w:fill="auto"/>
          </w:tcPr>
          <w:p w:rsidR="00C47C3B" w:rsidRPr="00C47C3B" w:rsidRDefault="00C47C3B" w:rsidP="00C47C3B">
            <w:pPr>
              <w:jc w:val="right"/>
              <w:rPr>
                <w:rFonts w:ascii="Arial Narrow" w:eastAsiaTheme="minorHAnsi" w:hAnsi="Arial Narrow" w:cstheme="minorBidi"/>
                <w:sz w:val="20"/>
                <w:szCs w:val="22"/>
              </w:rPr>
            </w:pPr>
            <w:r w:rsidRPr="00C47C3B">
              <w:rPr>
                <w:rFonts w:ascii="Arial Narrow" w:eastAsiaTheme="minorHAnsi" w:hAnsi="Arial Narrow" w:cstheme="minorBidi"/>
                <w:sz w:val="20"/>
                <w:szCs w:val="22"/>
              </w:rPr>
              <w:t>0.720</w:t>
            </w:r>
          </w:p>
        </w:tc>
        <w:tc>
          <w:tcPr>
            <w:tcW w:w="756" w:type="pct"/>
            <w:shd w:val="clear" w:color="auto" w:fill="auto"/>
          </w:tcPr>
          <w:p w:rsidR="00C47C3B" w:rsidRPr="00C47C3B" w:rsidRDefault="00C47C3B" w:rsidP="00C47C3B">
            <w:pPr>
              <w:keepNext/>
              <w:spacing w:after="40"/>
              <w:jc w:val="right"/>
              <w:rPr>
                <w:rFonts w:ascii="Arial Narrow" w:eastAsiaTheme="minorHAnsi" w:hAnsi="Arial Narrow" w:cstheme="minorBidi"/>
                <w:sz w:val="20"/>
                <w:szCs w:val="22"/>
              </w:rPr>
            </w:pPr>
            <w:r w:rsidRPr="00C47C3B">
              <w:rPr>
                <w:rFonts w:ascii="Arial Narrow" w:eastAsiaTheme="minorHAnsi" w:hAnsi="Arial Narrow" w:cstheme="minorBidi"/>
                <w:sz w:val="20"/>
                <w:szCs w:val="22"/>
              </w:rPr>
              <w:t>$</w:t>
            </w:r>
            <w:r w:rsidRPr="00C47C3B">
              <w:rPr>
                <w:rFonts w:ascii="Arial Narrow" w:eastAsiaTheme="minorHAnsi" w:hAnsi="Arial Narrow" w:cstheme="minorBidi"/>
                <w:noProof/>
                <w:color w:val="000000"/>
                <w:sz w:val="20"/>
                <w:szCs w:val="22"/>
                <w:highlight w:val="black"/>
              </w:rPr>
              <w:t>'''''''''''''''''''''''</w:t>
            </w:r>
          </w:p>
        </w:tc>
      </w:tr>
    </w:tbl>
    <w:p w:rsidR="00C47C3B" w:rsidRPr="00C47C3B" w:rsidRDefault="00C47C3B" w:rsidP="00C47C3B">
      <w:pPr>
        <w:keepNext/>
        <w:spacing w:after="120"/>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Source: Constructed during the preparation of the PBAC minutes.</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lang w:eastAsia="en-US"/>
        </w:rPr>
      </w:pPr>
      <w:r w:rsidRPr="00C47C3B">
        <w:rPr>
          <w:rFonts w:asciiTheme="minorHAnsi" w:hAnsiTheme="minorHAnsi" w:cs="Arial"/>
          <w:snapToGrid w:val="0"/>
          <w:lang w:eastAsia="en-US"/>
        </w:rPr>
        <w:t xml:space="preserve">On the request of the Minister (delegate) under section 101(3) of the Act, the PBAC considered the price or range of prices at which it considered treatment with </w:t>
      </w:r>
      <w:proofErr w:type="spellStart"/>
      <w:r w:rsidRPr="00C47C3B">
        <w:rPr>
          <w:rFonts w:asciiTheme="minorHAnsi" w:hAnsiTheme="minorHAnsi" w:cs="Arial"/>
          <w:snapToGrid w:val="0"/>
          <w:lang w:eastAsia="en-US"/>
        </w:rPr>
        <w:lastRenderedPageBreak/>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would be acceptably cost-effective for the purposes of the Act. In this regard, the PBAC advised that the maximum ICER it would consider to be acceptably cost effective, noting the precedent of </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would be around $105,000/QALY – $200,000/QALY. The PBAC advised that such an ICER would only be acceptable in conjunction with an agreement between the sponsor of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and the Government to cap the maximum financial expenditure based on the submission’s utilisation estimates, with a 100% rebate thereafter. Based on its revised scenario, the PBAC advised that the maximum DPMQ that it would consider to be acceptably cost-effective would be around $</w:t>
      </w:r>
      <w:r w:rsidRPr="00C47C3B">
        <w:rPr>
          <w:rFonts w:asciiTheme="minorHAnsi" w:hAnsiTheme="minorHAnsi" w:cs="Arial"/>
          <w:noProof/>
          <w:snapToGrid w:val="0"/>
          <w:color w:val="000000"/>
          <w:highlight w:val="black"/>
          <w:lang w:eastAsia="en-US"/>
        </w:rPr>
        <w:t>''''''''''</w:t>
      </w:r>
      <w:r w:rsidRPr="00C47C3B">
        <w:rPr>
          <w:rFonts w:asciiTheme="minorHAnsi" w:hAnsiTheme="minorHAnsi" w:cs="Arial"/>
          <w:snapToGrid w:val="0"/>
          <w:lang w:eastAsia="en-US"/>
        </w:rPr>
        <w:t xml:space="preserve"> (or around $</w:t>
      </w:r>
      <w:r w:rsidRPr="00C47C3B">
        <w:rPr>
          <w:rFonts w:asciiTheme="minorHAnsi" w:hAnsiTheme="minorHAnsi" w:cs="Arial"/>
          <w:noProof/>
          <w:snapToGrid w:val="0"/>
          <w:color w:val="000000"/>
          <w:highlight w:val="black"/>
          <w:lang w:eastAsia="en-US"/>
        </w:rPr>
        <w:t>''''''''''''</w:t>
      </w:r>
      <w:r w:rsidRPr="00C47C3B">
        <w:rPr>
          <w:rFonts w:asciiTheme="minorHAnsi" w:hAnsiTheme="minorHAnsi" w:cs="Arial"/>
          <w:snapToGrid w:val="0"/>
          <w:lang w:eastAsia="en-US"/>
        </w:rPr>
        <w:t xml:space="preserve"> per patient per year, assuming </w:t>
      </w:r>
      <w:r w:rsidRPr="00C47C3B">
        <w:rPr>
          <w:rFonts w:asciiTheme="minorHAnsi" w:hAnsiTheme="minorHAnsi" w:cs="Arial"/>
          <w:noProof/>
          <w:snapToGrid w:val="0"/>
          <w:color w:val="000000"/>
          <w:highlight w:val="black"/>
          <w:lang w:eastAsia="en-US"/>
        </w:rPr>
        <w:t xml:space="preserve">'''''' </w:t>
      </w:r>
      <w:r w:rsidRPr="00C47C3B">
        <w:rPr>
          <w:rFonts w:asciiTheme="minorHAnsi" w:hAnsiTheme="minorHAnsi" w:cs="Arial"/>
          <w:snapToGrid w:val="0"/>
          <w:lang w:eastAsia="en-US"/>
        </w:rPr>
        <w:t xml:space="preserve">packs per patient per year) which would result in an ICER of $105,000/QALY – $200,000/QALY. </w:t>
      </w:r>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r w:rsidRPr="00C47C3B">
        <w:rPr>
          <w:rFonts w:asciiTheme="minorHAnsi" w:hAnsiTheme="minorHAnsi" w:cs="Arial"/>
          <w:b/>
          <w:i/>
          <w:snapToGrid w:val="0"/>
          <w:sz w:val="28"/>
          <w:szCs w:val="28"/>
          <w:lang w:eastAsia="en-US"/>
        </w:rPr>
        <w:t>Drug cost/patient/year: $</w:t>
      </w:r>
      <w:bookmarkEnd w:id="71"/>
      <w:bookmarkEnd w:id="72"/>
      <w:bookmarkEnd w:id="73"/>
      <w:r w:rsidRPr="00C47C3B">
        <w:rPr>
          <w:rFonts w:asciiTheme="minorHAnsi" w:hAnsiTheme="minorHAnsi" w:cs="Arial"/>
          <w:b/>
          <w:i/>
          <w:noProof/>
          <w:snapToGrid w:val="0"/>
          <w:color w:val="000000"/>
          <w:sz w:val="28"/>
          <w:szCs w:val="28"/>
          <w:highlight w:val="black"/>
          <w:lang w:eastAsia="en-US"/>
        </w:rPr>
        <w:t>''''''''''''''</w:t>
      </w:r>
    </w:p>
    <w:p w:rsidR="00C47C3B" w:rsidRPr="00C47C3B" w:rsidRDefault="00C47C3B" w:rsidP="00C47C3B">
      <w:pPr>
        <w:widowControl w:val="0"/>
        <w:numPr>
          <w:ilvl w:val="1"/>
          <w:numId w:val="5"/>
        </w:numPr>
        <w:ind w:left="709" w:hanging="709"/>
        <w:contextualSpacing/>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cost per pack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(28 days treatment) is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xml:space="preserve">. Based on a 15% dose reduction due to hepatic impairment and to account for adherence, the resubmission assumed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xml:space="preserve"> packs per patient per year at a cost of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xml:space="preserve"> per patient per year. Treatment is ongoing for the lifetime of the patient. No special pricing arrangements were proposed in relation to the DPMQ; however, the resubmission proposed to cap the gross cost to the PBS in the first 5 years of listing by way of </w:t>
      </w:r>
      <w:r w:rsidRPr="00C47C3B">
        <w:rPr>
          <w:rFonts w:asciiTheme="minorHAnsi" w:hAnsiTheme="minorHAnsi" w:cs="Arial"/>
          <w:noProof/>
          <w:snapToGrid w:val="0"/>
          <w:color w:val="000000"/>
          <w:szCs w:val="20"/>
          <w:highlight w:val="black"/>
          <w:lang w:eastAsia="en-US"/>
        </w:rPr>
        <w:t>''' '''''''''''''''''' ''''' '''''' '''''''' ''''''''''''''''' '''''''''''''''''''''' ''''''''' ''''''' ''''''''''''''''' '''' '''''''''''''''' '''''' '''''''''''''''''' '''''''' ''''''' '''''''''''''</w:t>
      </w:r>
      <w:r w:rsidRPr="00C47C3B">
        <w:rPr>
          <w:rFonts w:asciiTheme="minorHAnsi" w:hAnsiTheme="minorHAnsi" w:cs="Arial"/>
          <w:snapToGrid w:val="0"/>
          <w:szCs w:val="20"/>
          <w:lang w:eastAsia="en-US"/>
        </w:rPr>
        <w:t>.</w:t>
      </w:r>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bookmarkStart w:id="74" w:name="_Toc413139284"/>
      <w:bookmarkStart w:id="75" w:name="_Toc476306894"/>
      <w:bookmarkStart w:id="76" w:name="_Toc482713681"/>
      <w:bookmarkStart w:id="77" w:name="_Hlk479873564"/>
      <w:r w:rsidRPr="00C47C3B">
        <w:rPr>
          <w:rFonts w:asciiTheme="minorHAnsi" w:hAnsiTheme="minorHAnsi" w:cs="Arial"/>
          <w:b/>
          <w:i/>
          <w:snapToGrid w:val="0"/>
          <w:sz w:val="28"/>
          <w:szCs w:val="28"/>
          <w:lang w:eastAsia="en-US"/>
        </w:rPr>
        <w:t>Estimated PBS usage &amp; financial implications</w:t>
      </w:r>
      <w:bookmarkEnd w:id="74"/>
      <w:bookmarkEnd w:id="75"/>
      <w:bookmarkEnd w:id="76"/>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This resubmission was not considered by DUSC. An epidemiological approach was used, similar to the March 2016 submission. </w:t>
      </w:r>
    </w:p>
    <w:p w:rsidR="00C47C3B" w:rsidRPr="00C47C3B" w:rsidRDefault="00C47C3B" w:rsidP="00C47C3B">
      <w:pPr>
        <w:spacing w:after="120"/>
        <w:jc w:val="both"/>
        <w:rPr>
          <w:rFonts w:asciiTheme="minorHAnsi" w:hAnsiTheme="minorHAnsi" w:cs="Arial"/>
          <w:snapToGrid w:val="0"/>
          <w:szCs w:val="20"/>
          <w:lang w:eastAsia="en-US"/>
        </w:rPr>
      </w:pPr>
    </w:p>
    <w:p w:rsidR="00C47C3B" w:rsidRPr="00C47C3B" w:rsidRDefault="00C47C3B" w:rsidP="00C47C3B">
      <w:pPr>
        <w:keepNext/>
        <w:spacing w:after="60"/>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lastRenderedPageBreak/>
        <w:t xml:space="preserve">Table </w:t>
      </w:r>
      <w:r w:rsidRPr="00C47C3B">
        <w:rPr>
          <w:rFonts w:ascii="Arial Narrow" w:eastAsiaTheme="minorHAnsi" w:hAnsi="Arial Narrow" w:cstheme="minorBidi"/>
          <w:b/>
          <w:noProof/>
          <w:sz w:val="20"/>
          <w:szCs w:val="22"/>
          <w:lang w:eastAsia="en-US"/>
        </w:rPr>
        <w:t>15</w:t>
      </w:r>
      <w:r w:rsidRPr="00C47C3B">
        <w:rPr>
          <w:rFonts w:ascii="Arial Narrow" w:eastAsiaTheme="minorHAnsi" w:hAnsi="Arial Narrow" w:cstheme="minorBidi"/>
          <w:b/>
          <w:sz w:val="20"/>
          <w:szCs w:val="22"/>
          <w:lang w:eastAsia="en-US"/>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3"/>
        <w:gridCol w:w="1333"/>
        <w:gridCol w:w="1333"/>
        <w:gridCol w:w="1335"/>
        <w:gridCol w:w="1333"/>
        <w:gridCol w:w="1335"/>
      </w:tblGrid>
      <w:tr w:rsidR="00C47C3B" w:rsidRPr="00C47C3B" w:rsidTr="009F446F">
        <w:trPr>
          <w:tblHeader/>
        </w:trPr>
        <w:tc>
          <w:tcPr>
            <w:tcW w:w="132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20"/>
                <w:szCs w:val="22"/>
                <w:lang w:eastAsia="en-US"/>
              </w:rPr>
            </w:pP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Year 1</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Year 2</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Year 3</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Year 4</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
                <w:sz w:val="20"/>
                <w:szCs w:val="22"/>
                <w:lang w:eastAsia="en-US"/>
              </w:rPr>
            </w:pPr>
            <w:r w:rsidRPr="00C47C3B">
              <w:rPr>
                <w:rFonts w:ascii="Arial Narrow" w:eastAsiaTheme="minorHAnsi" w:hAnsi="Arial Narrow" w:cstheme="minorBidi"/>
                <w:b/>
                <w:sz w:val="20"/>
                <w:szCs w:val="22"/>
                <w:lang w:eastAsia="en-US"/>
              </w:rPr>
              <w:t>Year 5</w:t>
            </w:r>
          </w:p>
        </w:tc>
      </w:tr>
      <w:tr w:rsidR="00C47C3B" w:rsidRPr="00C47C3B" w:rsidTr="009F446F">
        <w:tc>
          <w:tcPr>
            <w:tcW w:w="5000" w:type="pct"/>
            <w:gridSpan w:val="6"/>
            <w:shd w:val="clear" w:color="auto" w:fill="auto"/>
            <w:vAlign w:val="center"/>
          </w:tcPr>
          <w:p w:rsidR="00C47C3B" w:rsidRPr="00C47C3B" w:rsidRDefault="00C47C3B" w:rsidP="00C47C3B">
            <w:pPr>
              <w:keepNext/>
              <w:spacing w:before="40" w:after="40"/>
              <w:rPr>
                <w:rFonts w:ascii="Arial Narrow" w:eastAsiaTheme="minorHAnsi" w:hAnsi="Arial Narrow" w:cstheme="minorBidi"/>
                <w:b/>
                <w:bCs/>
                <w:color w:val="000000"/>
                <w:sz w:val="20"/>
                <w:szCs w:val="22"/>
                <w:lang w:eastAsia="en-US"/>
              </w:rPr>
            </w:pPr>
            <w:r w:rsidRPr="00C47C3B">
              <w:rPr>
                <w:rFonts w:ascii="Arial Narrow" w:eastAsiaTheme="minorHAnsi" w:hAnsi="Arial Narrow" w:cstheme="minorBidi"/>
                <w:b/>
                <w:bCs/>
                <w:color w:val="000000"/>
                <w:sz w:val="20"/>
                <w:szCs w:val="22"/>
                <w:lang w:eastAsia="en-US"/>
              </w:rPr>
              <w:t>Estimated extent of use</w:t>
            </w:r>
          </w:p>
        </w:tc>
      </w:tr>
      <w:tr w:rsidR="00C47C3B" w:rsidRPr="00C47C3B" w:rsidTr="009F446F">
        <w:tc>
          <w:tcPr>
            <w:tcW w:w="1328"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Number of patients treated</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highlight w:val="black"/>
                <w:lang w:eastAsia="en-US"/>
              </w:rPr>
            </w:pPr>
            <w:r w:rsidRPr="00C47C3B">
              <w:rPr>
                <w:rFonts w:ascii="Arial Narrow" w:eastAsiaTheme="minorHAnsi" w:hAnsi="Arial Narrow" w:cs="Calibri"/>
                <w:noProof/>
                <w:color w:val="000000"/>
                <w:sz w:val="20"/>
                <w:szCs w:val="22"/>
                <w:highlight w:val="black"/>
                <w:lang w:eastAsia="zh-CN"/>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highlight w:val="black"/>
                <w:lang w:eastAsia="en-US"/>
              </w:rPr>
            </w:pPr>
            <w:r w:rsidRPr="00C47C3B">
              <w:rPr>
                <w:rFonts w:ascii="Arial Narrow" w:eastAsiaTheme="minorHAnsi" w:hAnsi="Arial Narrow" w:cs="Calibri"/>
                <w:noProof/>
                <w:color w:val="000000"/>
                <w:sz w:val="20"/>
                <w:szCs w:val="22"/>
                <w:highlight w:val="black"/>
                <w:lang w:eastAsia="zh-CN"/>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highlight w:val="black"/>
                <w:lang w:eastAsia="en-US"/>
              </w:rPr>
            </w:pPr>
            <w:r w:rsidRPr="00C47C3B">
              <w:rPr>
                <w:rFonts w:ascii="Arial Narrow" w:eastAsiaTheme="minorHAnsi" w:hAnsi="Arial Narrow" w:cs="Calibri"/>
                <w:noProof/>
                <w:color w:val="000000"/>
                <w:sz w:val="20"/>
                <w:szCs w:val="22"/>
                <w:highlight w:val="black"/>
                <w:lang w:eastAsia="zh-CN"/>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highlight w:val="black"/>
                <w:lang w:eastAsia="en-US"/>
              </w:rPr>
            </w:pPr>
            <w:r w:rsidRPr="00C47C3B">
              <w:rPr>
                <w:rFonts w:ascii="Arial Narrow" w:eastAsiaTheme="minorHAnsi" w:hAnsi="Arial Narrow" w:cs="Calibri"/>
                <w:noProof/>
                <w:color w:val="000000"/>
                <w:sz w:val="20"/>
                <w:szCs w:val="22"/>
                <w:highlight w:val="black"/>
                <w:lang w:eastAsia="zh-CN"/>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highlight w:val="black"/>
                <w:lang w:eastAsia="en-US"/>
              </w:rPr>
            </w:pPr>
            <w:r w:rsidRPr="00C47C3B">
              <w:rPr>
                <w:rFonts w:ascii="Arial Narrow" w:eastAsiaTheme="minorHAnsi" w:hAnsi="Arial Narrow" w:cs="Calibri"/>
                <w:noProof/>
                <w:color w:val="000000"/>
                <w:sz w:val="20"/>
                <w:szCs w:val="22"/>
                <w:highlight w:val="black"/>
                <w:lang w:eastAsia="zh-CN"/>
              </w:rPr>
              <w:t>''''''''''''</w:t>
            </w:r>
          </w:p>
        </w:tc>
      </w:tr>
      <w:tr w:rsidR="00C47C3B" w:rsidRPr="00C47C3B" w:rsidTr="009F446F">
        <w:trPr>
          <w:trHeight w:val="368"/>
        </w:trPr>
        <w:tc>
          <w:tcPr>
            <w:tcW w:w="1328"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20"/>
                <w:szCs w:val="22"/>
                <w:lang w:eastAsia="en-US"/>
              </w:rPr>
              <w:t xml:space="preserve">Number of scripts </w:t>
            </w:r>
            <w:proofErr w:type="spellStart"/>
            <w:r w:rsidRPr="00C47C3B">
              <w:rPr>
                <w:rFonts w:ascii="Arial Narrow" w:eastAsiaTheme="minorHAnsi" w:hAnsi="Arial Narrow" w:cstheme="minorBidi"/>
                <w:sz w:val="20"/>
                <w:szCs w:val="22"/>
                <w:lang w:eastAsia="en-US"/>
              </w:rPr>
              <w:t>dispensed</w:t>
            </w:r>
            <w:r w:rsidRPr="00C47C3B">
              <w:rPr>
                <w:rFonts w:ascii="Arial Narrow" w:eastAsiaTheme="minorHAnsi" w:hAnsi="Arial Narrow" w:cstheme="minorBidi"/>
                <w:sz w:val="20"/>
                <w:szCs w:val="22"/>
                <w:vertAlign w:val="superscript"/>
                <w:lang w:eastAsia="en-US"/>
              </w:rPr>
              <w:t>a</w:t>
            </w:r>
            <w:proofErr w:type="spellEnd"/>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highlight w:val="black"/>
                <w:lang w:eastAsia="en-US"/>
              </w:rPr>
            </w:pPr>
            <w:r w:rsidRPr="00C47C3B">
              <w:rPr>
                <w:rFonts w:ascii="Arial Narrow" w:eastAsiaTheme="minorHAnsi" w:hAnsi="Arial Narrow" w:cs="Calibri"/>
                <w:noProof/>
                <w:color w:val="000000"/>
                <w:sz w:val="20"/>
                <w:szCs w:val="22"/>
                <w:highlight w:val="black"/>
                <w:lang w:eastAsia="zh-CN"/>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highlight w:val="black"/>
                <w:lang w:eastAsia="en-US"/>
              </w:rPr>
            </w:pPr>
            <w:r w:rsidRPr="00C47C3B">
              <w:rPr>
                <w:rFonts w:ascii="Arial Narrow" w:eastAsiaTheme="minorHAnsi" w:hAnsi="Arial Narrow" w:cs="Calibri"/>
                <w:noProof/>
                <w:color w:val="000000"/>
                <w:sz w:val="20"/>
                <w:szCs w:val="22"/>
                <w:highlight w:val="black"/>
                <w:lang w:eastAsia="zh-CN"/>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highlight w:val="black"/>
                <w:lang w:eastAsia="en-US"/>
              </w:rPr>
            </w:pPr>
            <w:r w:rsidRPr="00C47C3B">
              <w:rPr>
                <w:rFonts w:ascii="Arial Narrow" w:eastAsiaTheme="minorHAnsi" w:hAnsi="Arial Narrow" w:cs="Calibri"/>
                <w:noProof/>
                <w:color w:val="000000"/>
                <w:sz w:val="20"/>
                <w:szCs w:val="22"/>
                <w:highlight w:val="black"/>
                <w:lang w:eastAsia="zh-CN"/>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highlight w:val="black"/>
                <w:lang w:eastAsia="en-US"/>
              </w:rPr>
            </w:pPr>
            <w:r w:rsidRPr="00C47C3B">
              <w:rPr>
                <w:rFonts w:ascii="Arial Narrow" w:eastAsiaTheme="minorHAnsi" w:hAnsi="Arial Narrow" w:cs="Calibri"/>
                <w:noProof/>
                <w:color w:val="000000"/>
                <w:sz w:val="20"/>
                <w:szCs w:val="22"/>
                <w:highlight w:val="black"/>
                <w:lang w:eastAsia="zh-CN"/>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highlight w:val="black"/>
                <w:lang w:eastAsia="en-US"/>
              </w:rPr>
            </w:pPr>
            <w:r w:rsidRPr="00C47C3B">
              <w:rPr>
                <w:rFonts w:ascii="Arial Narrow" w:eastAsiaTheme="minorHAnsi" w:hAnsi="Arial Narrow" w:cs="Calibri"/>
                <w:noProof/>
                <w:color w:val="000000"/>
                <w:sz w:val="20"/>
                <w:szCs w:val="22"/>
                <w:highlight w:val="black"/>
                <w:lang w:eastAsia="zh-CN"/>
              </w:rPr>
              <w:t>'''''''''''''''</w:t>
            </w:r>
          </w:p>
        </w:tc>
      </w:tr>
      <w:tr w:rsidR="00C47C3B" w:rsidRPr="00C47C3B" w:rsidTr="009F446F">
        <w:tc>
          <w:tcPr>
            <w:tcW w:w="5000" w:type="pct"/>
            <w:gridSpan w:val="6"/>
            <w:shd w:val="clear" w:color="auto" w:fill="auto"/>
            <w:vAlign w:val="center"/>
          </w:tcPr>
          <w:p w:rsidR="00C47C3B" w:rsidRPr="00C47C3B" w:rsidRDefault="00C47C3B" w:rsidP="00C47C3B">
            <w:pPr>
              <w:keepNext/>
              <w:spacing w:before="40" w:after="40"/>
              <w:rPr>
                <w:rFonts w:ascii="Arial Narrow" w:eastAsiaTheme="minorHAnsi" w:hAnsi="Arial Narrow" w:cstheme="minorBidi"/>
                <w:b/>
                <w:bCs/>
                <w:color w:val="000000"/>
                <w:sz w:val="20"/>
                <w:szCs w:val="22"/>
                <w:lang w:eastAsia="en-US"/>
              </w:rPr>
            </w:pPr>
            <w:r w:rsidRPr="00C47C3B">
              <w:rPr>
                <w:rFonts w:ascii="Arial Narrow" w:eastAsiaTheme="minorHAnsi" w:hAnsi="Arial Narrow" w:cstheme="minorBidi"/>
                <w:b/>
                <w:bCs/>
                <w:color w:val="000000"/>
                <w:sz w:val="20"/>
                <w:szCs w:val="22"/>
                <w:lang w:eastAsia="en-US"/>
              </w:rPr>
              <w:t xml:space="preserve">Estimated financial implications to Government PBS of </w:t>
            </w:r>
            <w:proofErr w:type="spellStart"/>
            <w:r w:rsidRPr="00C47C3B">
              <w:rPr>
                <w:rFonts w:ascii="Arial Narrow" w:eastAsiaTheme="minorHAnsi" w:hAnsi="Arial Narrow" w:cstheme="minorBidi"/>
                <w:b/>
                <w:bCs/>
                <w:color w:val="000000"/>
                <w:sz w:val="20"/>
                <w:szCs w:val="22"/>
                <w:lang w:eastAsia="en-US"/>
              </w:rPr>
              <w:t>lumacaftor</w:t>
            </w:r>
            <w:proofErr w:type="spellEnd"/>
            <w:r w:rsidRPr="00C47C3B">
              <w:rPr>
                <w:rFonts w:ascii="Arial Narrow" w:eastAsiaTheme="minorHAnsi" w:hAnsi="Arial Narrow" w:cstheme="minorBidi"/>
                <w:b/>
                <w:bCs/>
                <w:color w:val="000000"/>
                <w:sz w:val="20"/>
                <w:szCs w:val="22"/>
                <w:lang w:eastAsia="en-US"/>
              </w:rPr>
              <w:t>/</w:t>
            </w:r>
            <w:proofErr w:type="spellStart"/>
            <w:r w:rsidRPr="00C47C3B">
              <w:rPr>
                <w:rFonts w:ascii="Arial Narrow" w:eastAsiaTheme="minorHAnsi" w:hAnsi="Arial Narrow" w:cstheme="minorBidi"/>
                <w:b/>
                <w:bCs/>
                <w:color w:val="000000"/>
                <w:sz w:val="20"/>
                <w:szCs w:val="22"/>
                <w:lang w:eastAsia="en-US"/>
              </w:rPr>
              <w:t>ivacaftor</w:t>
            </w:r>
            <w:proofErr w:type="spellEnd"/>
          </w:p>
        </w:tc>
      </w:tr>
      <w:tr w:rsidR="00C47C3B" w:rsidRPr="00C47C3B" w:rsidTr="009F446F">
        <w:tc>
          <w:tcPr>
            <w:tcW w:w="1328" w:type="pct"/>
            <w:shd w:val="clear" w:color="auto" w:fill="auto"/>
            <w:vAlign w:val="center"/>
          </w:tcPr>
          <w:p w:rsidR="00C47C3B" w:rsidRPr="00C47C3B" w:rsidRDefault="00C47C3B" w:rsidP="00C47C3B">
            <w:pPr>
              <w:keepNext/>
              <w:spacing w:before="40" w:after="40"/>
              <w:rPr>
                <w:rFonts w:ascii="Times" w:hAnsi="Times"/>
                <w:sz w:val="20"/>
                <w:szCs w:val="22"/>
                <w:lang w:eastAsia="en-US"/>
              </w:rPr>
            </w:pPr>
            <w:r w:rsidRPr="00C47C3B">
              <w:rPr>
                <w:rFonts w:ascii="Arial Narrow" w:eastAsiaTheme="minorHAnsi" w:hAnsi="Arial Narrow" w:cstheme="minorBidi"/>
                <w:sz w:val="19"/>
                <w:szCs w:val="19"/>
                <w:lang w:eastAsia="en-US"/>
              </w:rPr>
              <w:t>Net cost to PBS/RPBS without financial cap</w:t>
            </w:r>
          </w:p>
        </w:tc>
        <w:tc>
          <w:tcPr>
            <w:tcW w:w="734" w:type="pct"/>
            <w:tcBorders>
              <w:bottom w:val="nil"/>
            </w:tcBorders>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w:t>
            </w:r>
            <w:r w:rsidRPr="00C47C3B">
              <w:rPr>
                <w:rFonts w:ascii="Arial Narrow" w:eastAsiaTheme="minorHAnsi" w:hAnsi="Arial Narrow" w:cs="Calibri"/>
                <w:noProof/>
                <w:color w:val="000000"/>
                <w:sz w:val="20"/>
                <w:szCs w:val="22"/>
                <w:highlight w:val="black"/>
                <w:lang w:eastAsia="en-US"/>
              </w:rPr>
              <w:t>'''''''''''''''''''''''''''''</w:t>
            </w:r>
          </w:p>
        </w:tc>
        <w:tc>
          <w:tcPr>
            <w:tcW w:w="734" w:type="pct"/>
            <w:tcBorders>
              <w:bottom w:val="nil"/>
            </w:tcBorders>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w:t>
            </w:r>
            <w:r w:rsidRPr="00C47C3B">
              <w:rPr>
                <w:rFonts w:ascii="Arial Narrow" w:eastAsiaTheme="minorHAnsi" w:hAnsi="Arial Narrow" w:cs="Calibri"/>
                <w:noProof/>
                <w:color w:val="000000"/>
                <w:sz w:val="20"/>
                <w:szCs w:val="22"/>
                <w:highlight w:val="black"/>
                <w:lang w:eastAsia="en-US"/>
              </w:rPr>
              <w:t>''''''''''''''''''''''''''''''</w:t>
            </w:r>
          </w:p>
        </w:tc>
        <w:tc>
          <w:tcPr>
            <w:tcW w:w="735" w:type="pct"/>
            <w:tcBorders>
              <w:bottom w:val="nil"/>
            </w:tcBorders>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w:t>
            </w:r>
            <w:r w:rsidRPr="00C47C3B">
              <w:rPr>
                <w:rFonts w:ascii="Arial Narrow" w:eastAsiaTheme="minorHAnsi" w:hAnsi="Arial Narrow" w:cs="Calibri"/>
                <w:noProof/>
                <w:color w:val="000000"/>
                <w:sz w:val="20"/>
                <w:szCs w:val="22"/>
                <w:highlight w:val="black"/>
                <w:lang w:eastAsia="en-US"/>
              </w:rPr>
              <w:t>''''''''''''''''''''''''''''</w:t>
            </w:r>
          </w:p>
        </w:tc>
        <w:tc>
          <w:tcPr>
            <w:tcW w:w="734" w:type="pct"/>
            <w:tcBorders>
              <w:bottom w:val="nil"/>
            </w:tcBorders>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w:t>
            </w:r>
            <w:r w:rsidRPr="00C47C3B">
              <w:rPr>
                <w:rFonts w:ascii="Arial Narrow" w:eastAsiaTheme="minorHAnsi" w:hAnsi="Arial Narrow" w:cs="Calibri"/>
                <w:noProof/>
                <w:color w:val="000000"/>
                <w:sz w:val="20"/>
                <w:szCs w:val="22"/>
                <w:highlight w:val="black"/>
                <w:lang w:eastAsia="en-US"/>
              </w:rPr>
              <w:t>'''''''''''''''''''''''''''''</w:t>
            </w:r>
          </w:p>
        </w:tc>
        <w:tc>
          <w:tcPr>
            <w:tcW w:w="735" w:type="pct"/>
            <w:tcBorders>
              <w:bottom w:val="nil"/>
            </w:tcBorders>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w:t>
            </w:r>
            <w:r w:rsidRPr="00C47C3B">
              <w:rPr>
                <w:rFonts w:ascii="Arial Narrow" w:eastAsiaTheme="minorHAnsi" w:hAnsi="Arial Narrow" w:cs="Calibri"/>
                <w:noProof/>
                <w:color w:val="000000"/>
                <w:sz w:val="20"/>
                <w:szCs w:val="22"/>
                <w:highlight w:val="black"/>
                <w:lang w:eastAsia="en-US"/>
              </w:rPr>
              <w:t>'''''''''''''''''''''''''''</w:t>
            </w:r>
          </w:p>
        </w:tc>
      </w:tr>
      <w:tr w:rsidR="00C47C3B" w:rsidRPr="00C47C3B" w:rsidTr="009F446F">
        <w:tc>
          <w:tcPr>
            <w:tcW w:w="132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19"/>
                <w:szCs w:val="19"/>
                <w:lang w:eastAsia="en-US"/>
              </w:rPr>
            </w:pPr>
            <w:r w:rsidRPr="00C47C3B">
              <w:rPr>
                <w:rFonts w:ascii="Arial Narrow" w:eastAsiaTheme="minorHAnsi" w:hAnsi="Arial Narrow" w:cstheme="minorBidi"/>
                <w:sz w:val="19"/>
                <w:szCs w:val="19"/>
                <w:lang w:eastAsia="en-US"/>
              </w:rPr>
              <w:t>Net cost to PBS/RPBS with proposed financial cap</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w:t>
            </w:r>
            <w:r w:rsidRPr="00C47C3B">
              <w:rPr>
                <w:rFonts w:ascii="Arial Narrow" w:eastAsiaTheme="minorHAnsi" w:hAnsi="Arial Narrow" w:cs="Calibri"/>
                <w:noProof/>
                <w:color w:val="000000"/>
                <w:sz w:val="20"/>
                <w:szCs w:val="22"/>
                <w:highlight w:val="black"/>
                <w:lang w:eastAsia="en-US"/>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w:t>
            </w:r>
            <w:r w:rsidRPr="00C47C3B">
              <w:rPr>
                <w:rFonts w:ascii="Arial Narrow" w:eastAsiaTheme="minorHAnsi" w:hAnsi="Arial Narrow" w:cs="Calibri"/>
                <w:noProof/>
                <w:color w:val="000000"/>
                <w:sz w:val="20"/>
                <w:szCs w:val="22"/>
                <w:highlight w:val="black"/>
                <w:lang w:eastAsia="en-US"/>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w:t>
            </w:r>
            <w:r w:rsidRPr="00C47C3B">
              <w:rPr>
                <w:rFonts w:ascii="Arial Narrow" w:eastAsiaTheme="minorHAnsi" w:hAnsi="Arial Narrow" w:cs="Calibri"/>
                <w:noProof/>
                <w:color w:val="000000"/>
                <w:sz w:val="20"/>
                <w:szCs w:val="22"/>
                <w:highlight w:val="black"/>
                <w:lang w:eastAsia="en-US"/>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w:t>
            </w:r>
            <w:r w:rsidRPr="00C47C3B">
              <w:rPr>
                <w:rFonts w:ascii="Arial Narrow" w:eastAsiaTheme="minorHAnsi" w:hAnsi="Arial Narrow" w:cs="Calibri"/>
                <w:noProof/>
                <w:color w:val="000000"/>
                <w:sz w:val="20"/>
                <w:szCs w:val="22"/>
                <w:highlight w:val="black"/>
                <w:lang w:eastAsia="en-US"/>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w:t>
            </w:r>
            <w:r w:rsidRPr="00C47C3B">
              <w:rPr>
                <w:rFonts w:ascii="Arial Narrow" w:eastAsiaTheme="minorHAnsi" w:hAnsi="Arial Narrow" w:cs="Calibri"/>
                <w:noProof/>
                <w:color w:val="000000"/>
                <w:sz w:val="20"/>
                <w:szCs w:val="22"/>
                <w:highlight w:val="black"/>
                <w:lang w:eastAsia="en-US"/>
              </w:rPr>
              <w:t>''''''''''''''''''''''''''''''''</w:t>
            </w:r>
          </w:p>
        </w:tc>
      </w:tr>
      <w:tr w:rsidR="00C47C3B" w:rsidRPr="00C47C3B" w:rsidTr="009F446F">
        <w:tc>
          <w:tcPr>
            <w:tcW w:w="5000" w:type="pct"/>
            <w:gridSpan w:val="6"/>
            <w:shd w:val="clear" w:color="auto" w:fill="auto"/>
            <w:vAlign w:val="center"/>
          </w:tcPr>
          <w:p w:rsidR="00C47C3B" w:rsidRPr="00C47C3B" w:rsidRDefault="00C47C3B" w:rsidP="00C47C3B">
            <w:pPr>
              <w:keepNext/>
              <w:spacing w:before="40" w:after="40"/>
              <w:rPr>
                <w:rFonts w:ascii="Arial Narrow" w:eastAsiaTheme="minorHAnsi" w:hAnsi="Arial Narrow" w:cstheme="minorBidi"/>
                <w:bCs/>
                <w:color w:val="000000"/>
                <w:sz w:val="20"/>
                <w:szCs w:val="22"/>
                <w:lang w:eastAsia="en-US"/>
              </w:rPr>
            </w:pPr>
            <w:r w:rsidRPr="00C47C3B">
              <w:rPr>
                <w:rFonts w:ascii="Arial Narrow" w:eastAsiaTheme="minorHAnsi" w:hAnsi="Arial Narrow" w:cstheme="minorBidi"/>
                <w:b/>
                <w:bCs/>
                <w:color w:val="000000"/>
                <w:sz w:val="20"/>
                <w:szCs w:val="22"/>
                <w:lang w:eastAsia="en-US"/>
              </w:rPr>
              <w:t>Estimated financial implications for MBS</w:t>
            </w:r>
          </w:p>
        </w:tc>
      </w:tr>
      <w:tr w:rsidR="00C47C3B" w:rsidRPr="00C47C3B" w:rsidTr="009F446F">
        <w:tc>
          <w:tcPr>
            <w:tcW w:w="132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19"/>
                <w:szCs w:val="19"/>
                <w:lang w:eastAsia="en-US"/>
              </w:rPr>
            </w:pPr>
            <w:r w:rsidRPr="00C47C3B">
              <w:rPr>
                <w:rFonts w:ascii="Arial Narrow" w:eastAsiaTheme="minorHAnsi" w:hAnsi="Arial Narrow" w:cstheme="minorBidi"/>
                <w:sz w:val="19"/>
                <w:szCs w:val="19"/>
                <w:lang w:eastAsia="en-US"/>
              </w:rPr>
              <w:t>Net cost to MBS</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bCs/>
                <w:sz w:val="20"/>
                <w:szCs w:val="22"/>
                <w:lang w:eastAsia="en-US"/>
              </w:rPr>
              <w:t>$</w:t>
            </w:r>
            <w:r w:rsidRPr="00C47C3B">
              <w:rPr>
                <w:rFonts w:ascii="Arial Narrow" w:eastAsiaTheme="minorHAnsi" w:hAnsi="Arial Narrow" w:cs="Calibri"/>
                <w:bCs/>
                <w:noProof/>
                <w:color w:val="000000"/>
                <w:sz w:val="20"/>
                <w:szCs w:val="22"/>
                <w:highlight w:val="black"/>
                <w:lang w:eastAsia="en-US"/>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bCs/>
                <w:sz w:val="20"/>
                <w:szCs w:val="22"/>
                <w:lang w:eastAsia="en-US"/>
              </w:rPr>
              <w:t>$</w:t>
            </w:r>
            <w:r w:rsidRPr="00C47C3B">
              <w:rPr>
                <w:rFonts w:ascii="Arial Narrow" w:eastAsiaTheme="minorHAnsi" w:hAnsi="Arial Narrow" w:cs="Calibri"/>
                <w:bCs/>
                <w:noProof/>
                <w:color w:val="000000"/>
                <w:sz w:val="20"/>
                <w:szCs w:val="22"/>
                <w:highlight w:val="black"/>
                <w:lang w:eastAsia="en-US"/>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bCs/>
                <w:sz w:val="20"/>
                <w:szCs w:val="22"/>
                <w:lang w:eastAsia="en-US"/>
              </w:rPr>
              <w:t>$</w:t>
            </w:r>
            <w:r w:rsidRPr="00C47C3B">
              <w:rPr>
                <w:rFonts w:ascii="Arial Narrow" w:eastAsiaTheme="minorHAnsi" w:hAnsi="Arial Narrow" w:cs="Calibri"/>
                <w:bCs/>
                <w:noProof/>
                <w:color w:val="000000"/>
                <w:sz w:val="20"/>
                <w:szCs w:val="22"/>
                <w:highlight w:val="black"/>
                <w:lang w:eastAsia="en-US"/>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bCs/>
                <w:sz w:val="20"/>
                <w:szCs w:val="22"/>
                <w:lang w:eastAsia="en-US"/>
              </w:rPr>
              <w:t>$</w:t>
            </w:r>
            <w:r w:rsidRPr="00C47C3B">
              <w:rPr>
                <w:rFonts w:ascii="Arial Narrow" w:eastAsiaTheme="minorHAnsi" w:hAnsi="Arial Narrow" w:cs="Calibri"/>
                <w:bCs/>
                <w:noProof/>
                <w:color w:val="000000"/>
                <w:sz w:val="20"/>
                <w:szCs w:val="22"/>
                <w:highlight w:val="black"/>
                <w:lang w:eastAsia="en-US"/>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bCs/>
                <w:sz w:val="20"/>
                <w:szCs w:val="22"/>
                <w:lang w:eastAsia="en-US"/>
              </w:rPr>
              <w:t>$</w:t>
            </w:r>
            <w:r w:rsidRPr="00C47C3B">
              <w:rPr>
                <w:rFonts w:ascii="Arial Narrow" w:eastAsiaTheme="minorHAnsi" w:hAnsi="Arial Narrow" w:cs="Calibri"/>
                <w:bCs/>
                <w:noProof/>
                <w:color w:val="000000"/>
                <w:sz w:val="20"/>
                <w:szCs w:val="22"/>
                <w:highlight w:val="black"/>
                <w:lang w:eastAsia="en-US"/>
              </w:rPr>
              <w:t>''''''''''''''''</w:t>
            </w:r>
          </w:p>
        </w:tc>
      </w:tr>
      <w:tr w:rsidR="00C47C3B" w:rsidRPr="00C47C3B" w:rsidTr="009F446F">
        <w:tc>
          <w:tcPr>
            <w:tcW w:w="5000" w:type="pct"/>
            <w:gridSpan w:val="6"/>
            <w:shd w:val="clear" w:color="auto" w:fill="auto"/>
            <w:vAlign w:val="center"/>
          </w:tcPr>
          <w:p w:rsidR="00C47C3B" w:rsidRPr="00C47C3B" w:rsidRDefault="00C47C3B" w:rsidP="00C47C3B">
            <w:pPr>
              <w:keepNext/>
              <w:spacing w:before="40" w:after="40"/>
              <w:rPr>
                <w:rFonts w:ascii="Arial Narrow" w:eastAsiaTheme="minorHAnsi" w:hAnsi="Arial Narrow" w:cs="Calibri"/>
                <w:b/>
                <w:bCs/>
                <w:sz w:val="20"/>
                <w:szCs w:val="22"/>
                <w:lang w:eastAsia="en-US"/>
              </w:rPr>
            </w:pPr>
            <w:r w:rsidRPr="00C47C3B">
              <w:rPr>
                <w:rFonts w:ascii="Arial Narrow" w:eastAsiaTheme="minorHAnsi" w:hAnsi="Arial Narrow" w:cs="Calibri"/>
                <w:b/>
                <w:bCs/>
                <w:sz w:val="20"/>
                <w:szCs w:val="22"/>
                <w:lang w:eastAsia="en-US"/>
              </w:rPr>
              <w:t xml:space="preserve">Estimated financial implications for the </w:t>
            </w:r>
            <w:r w:rsidRPr="00C47C3B">
              <w:rPr>
                <w:rFonts w:ascii="Arial Narrow" w:eastAsiaTheme="minorHAnsi" w:hAnsi="Arial Narrow" w:cstheme="minorBidi"/>
                <w:b/>
                <w:sz w:val="19"/>
                <w:szCs w:val="19"/>
                <w:lang w:eastAsia="en-US"/>
              </w:rPr>
              <w:t>PBS/RPBS/MBS</w:t>
            </w:r>
          </w:p>
        </w:tc>
      </w:tr>
      <w:tr w:rsidR="00C47C3B" w:rsidRPr="00C47C3B" w:rsidTr="009F446F">
        <w:tc>
          <w:tcPr>
            <w:tcW w:w="132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19"/>
                <w:szCs w:val="19"/>
                <w:lang w:eastAsia="en-US"/>
              </w:rPr>
            </w:pPr>
            <w:r w:rsidRPr="00C47C3B">
              <w:rPr>
                <w:rFonts w:ascii="Arial Narrow" w:eastAsiaTheme="minorHAnsi" w:hAnsi="Arial Narrow" w:cstheme="minorBidi"/>
                <w:sz w:val="19"/>
                <w:szCs w:val="19"/>
                <w:lang w:eastAsia="en-US"/>
              </w:rPr>
              <w:t>Net cost to PBS/RPBS/MBS with proposed financial cap</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Calibri"/>
                <w:bCs/>
                <w:sz w:val="20"/>
                <w:szCs w:val="22"/>
                <w:lang w:eastAsia="en-US"/>
              </w:rPr>
            </w:pPr>
            <w:r w:rsidRPr="00C47C3B">
              <w:rPr>
                <w:rFonts w:ascii="Arial Narrow" w:eastAsiaTheme="minorHAnsi" w:hAnsi="Arial Narrow" w:cs="Calibri"/>
                <w:bCs/>
                <w:color w:val="000000"/>
                <w:sz w:val="20"/>
                <w:szCs w:val="20"/>
                <w:lang w:eastAsia="en-US"/>
              </w:rPr>
              <w:t>$</w:t>
            </w:r>
            <w:r w:rsidRPr="00C47C3B">
              <w:rPr>
                <w:rFonts w:ascii="Arial Narrow" w:eastAsiaTheme="minorHAnsi" w:hAnsi="Arial Narrow" w:cs="Calibri"/>
                <w:bCs/>
                <w:noProof/>
                <w:color w:val="000000"/>
                <w:sz w:val="20"/>
                <w:szCs w:val="20"/>
                <w:highlight w:val="black"/>
                <w:lang w:eastAsia="en-US"/>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Calibri"/>
                <w:bCs/>
                <w:sz w:val="20"/>
                <w:szCs w:val="22"/>
                <w:lang w:eastAsia="en-US"/>
              </w:rPr>
            </w:pPr>
            <w:r w:rsidRPr="00C47C3B">
              <w:rPr>
                <w:rFonts w:ascii="Arial Narrow" w:eastAsiaTheme="minorHAnsi" w:hAnsi="Arial Narrow" w:cs="Calibri"/>
                <w:bCs/>
                <w:color w:val="000000"/>
                <w:sz w:val="20"/>
                <w:szCs w:val="20"/>
                <w:lang w:eastAsia="en-US"/>
              </w:rPr>
              <w:t>$</w:t>
            </w:r>
            <w:r w:rsidRPr="00C47C3B">
              <w:rPr>
                <w:rFonts w:ascii="Arial Narrow" w:eastAsiaTheme="minorHAnsi" w:hAnsi="Arial Narrow" w:cs="Calibri"/>
                <w:bCs/>
                <w:noProof/>
                <w:color w:val="000000"/>
                <w:sz w:val="20"/>
                <w:szCs w:val="20"/>
                <w:highlight w:val="black"/>
                <w:lang w:eastAsia="en-US"/>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Calibri"/>
                <w:bCs/>
                <w:sz w:val="20"/>
                <w:szCs w:val="22"/>
                <w:lang w:eastAsia="en-US"/>
              </w:rPr>
            </w:pPr>
            <w:r w:rsidRPr="00C47C3B">
              <w:rPr>
                <w:rFonts w:ascii="Arial Narrow" w:eastAsiaTheme="minorHAnsi" w:hAnsi="Arial Narrow" w:cs="Calibri"/>
                <w:bCs/>
                <w:color w:val="000000"/>
                <w:sz w:val="20"/>
                <w:szCs w:val="20"/>
                <w:lang w:eastAsia="en-US"/>
              </w:rPr>
              <w:t>$</w:t>
            </w:r>
            <w:r w:rsidRPr="00C47C3B">
              <w:rPr>
                <w:rFonts w:ascii="Arial Narrow" w:eastAsiaTheme="minorHAnsi" w:hAnsi="Arial Narrow" w:cs="Calibri"/>
                <w:bCs/>
                <w:noProof/>
                <w:color w:val="000000"/>
                <w:sz w:val="20"/>
                <w:szCs w:val="20"/>
                <w:highlight w:val="black"/>
                <w:lang w:eastAsia="en-US"/>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Calibri"/>
                <w:bCs/>
                <w:sz w:val="20"/>
                <w:szCs w:val="22"/>
                <w:lang w:eastAsia="en-US"/>
              </w:rPr>
            </w:pPr>
            <w:r w:rsidRPr="00C47C3B">
              <w:rPr>
                <w:rFonts w:ascii="Arial Narrow" w:eastAsiaTheme="minorHAnsi" w:hAnsi="Arial Narrow" w:cs="Calibri"/>
                <w:bCs/>
                <w:color w:val="000000"/>
                <w:sz w:val="20"/>
                <w:szCs w:val="20"/>
                <w:lang w:eastAsia="en-US"/>
              </w:rPr>
              <w:t>$</w:t>
            </w:r>
            <w:r w:rsidRPr="00C47C3B">
              <w:rPr>
                <w:rFonts w:ascii="Arial Narrow" w:eastAsiaTheme="minorHAnsi" w:hAnsi="Arial Narrow" w:cs="Calibri"/>
                <w:bCs/>
                <w:noProof/>
                <w:color w:val="000000"/>
                <w:sz w:val="20"/>
                <w:szCs w:val="20"/>
                <w:highlight w:val="black"/>
                <w:lang w:eastAsia="en-US"/>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Calibri"/>
                <w:bCs/>
                <w:sz w:val="20"/>
                <w:szCs w:val="22"/>
                <w:lang w:eastAsia="en-US"/>
              </w:rPr>
            </w:pPr>
            <w:r w:rsidRPr="00C47C3B">
              <w:rPr>
                <w:rFonts w:ascii="Arial Narrow" w:eastAsiaTheme="minorHAnsi" w:hAnsi="Arial Narrow" w:cs="Calibri"/>
                <w:bCs/>
                <w:color w:val="000000"/>
                <w:sz w:val="20"/>
                <w:szCs w:val="20"/>
                <w:lang w:eastAsia="en-US"/>
              </w:rPr>
              <w:t>$</w:t>
            </w:r>
            <w:r w:rsidRPr="00C47C3B">
              <w:rPr>
                <w:rFonts w:ascii="Arial Narrow" w:eastAsiaTheme="minorHAnsi" w:hAnsi="Arial Narrow" w:cs="Calibri"/>
                <w:bCs/>
                <w:noProof/>
                <w:color w:val="000000"/>
                <w:sz w:val="20"/>
                <w:szCs w:val="20"/>
                <w:highlight w:val="black"/>
                <w:lang w:eastAsia="en-US"/>
              </w:rPr>
              <w:t>''''''''''''''''''''''''''''''</w:t>
            </w:r>
          </w:p>
        </w:tc>
      </w:tr>
      <w:tr w:rsidR="00C47C3B" w:rsidRPr="00C47C3B" w:rsidTr="009F446F">
        <w:tc>
          <w:tcPr>
            <w:tcW w:w="5000" w:type="pct"/>
            <w:gridSpan w:val="6"/>
            <w:shd w:val="clear" w:color="auto" w:fill="auto"/>
            <w:vAlign w:val="center"/>
          </w:tcPr>
          <w:p w:rsidR="00C47C3B" w:rsidRPr="00C47C3B" w:rsidRDefault="00C47C3B" w:rsidP="00C47C3B">
            <w:pPr>
              <w:keepNext/>
              <w:spacing w:before="40" w:after="40"/>
              <w:rPr>
                <w:rFonts w:ascii="Arial Narrow" w:eastAsiaTheme="minorHAnsi" w:hAnsi="Arial Narrow" w:cs="Calibri"/>
                <w:b/>
                <w:sz w:val="20"/>
                <w:szCs w:val="22"/>
                <w:lang w:eastAsia="en-US"/>
              </w:rPr>
            </w:pPr>
            <w:r w:rsidRPr="00C47C3B">
              <w:rPr>
                <w:rFonts w:ascii="Arial Narrow" w:eastAsiaTheme="minorHAnsi" w:hAnsi="Arial Narrow" w:cs="Calibri"/>
                <w:b/>
                <w:sz w:val="20"/>
                <w:szCs w:val="22"/>
                <w:lang w:eastAsia="en-US"/>
              </w:rPr>
              <w:t>Estimated reduced hospitalisation costs</w:t>
            </w:r>
          </w:p>
        </w:tc>
      </w:tr>
      <w:tr w:rsidR="00C47C3B" w:rsidRPr="00C47C3B" w:rsidTr="009F446F">
        <w:tc>
          <w:tcPr>
            <w:tcW w:w="1328" w:type="pct"/>
            <w:shd w:val="clear" w:color="auto" w:fill="auto"/>
            <w:vAlign w:val="center"/>
          </w:tcPr>
          <w:p w:rsidR="00C47C3B" w:rsidRPr="00C47C3B" w:rsidRDefault="00C47C3B" w:rsidP="00C47C3B">
            <w:pPr>
              <w:keepNext/>
              <w:spacing w:before="40" w:after="40"/>
              <w:rPr>
                <w:rFonts w:ascii="Arial Narrow" w:eastAsiaTheme="minorHAnsi" w:hAnsi="Arial Narrow" w:cstheme="minorBidi"/>
                <w:sz w:val="19"/>
                <w:szCs w:val="19"/>
                <w:lang w:eastAsia="en-US"/>
              </w:rPr>
            </w:pPr>
            <w:r w:rsidRPr="00C47C3B">
              <w:rPr>
                <w:rFonts w:ascii="Arial Narrow" w:eastAsiaTheme="minorHAnsi" w:hAnsi="Arial Narrow" w:cstheme="minorBidi"/>
                <w:sz w:val="19"/>
                <w:szCs w:val="19"/>
                <w:lang w:eastAsia="en-US"/>
              </w:rPr>
              <w:t>Net cost associated with reduced hospitalisations</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 $</w:t>
            </w:r>
            <w:r w:rsidRPr="00C47C3B">
              <w:rPr>
                <w:rFonts w:ascii="Arial Narrow" w:eastAsiaTheme="minorHAnsi" w:hAnsi="Arial Narrow" w:cs="Calibri"/>
                <w:noProof/>
                <w:color w:val="000000"/>
                <w:sz w:val="20"/>
                <w:szCs w:val="22"/>
                <w:highlight w:val="black"/>
                <w:lang w:eastAsia="en-US"/>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 $</w:t>
            </w:r>
            <w:r w:rsidRPr="00C47C3B">
              <w:rPr>
                <w:rFonts w:ascii="Arial Narrow" w:eastAsiaTheme="minorHAnsi" w:hAnsi="Arial Narrow" w:cs="Calibri"/>
                <w:noProof/>
                <w:color w:val="000000"/>
                <w:sz w:val="20"/>
                <w:szCs w:val="22"/>
                <w:highlight w:val="black"/>
                <w:lang w:eastAsia="en-US"/>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 $</w:t>
            </w:r>
            <w:r w:rsidRPr="00C47C3B">
              <w:rPr>
                <w:rFonts w:ascii="Arial Narrow" w:eastAsiaTheme="minorHAnsi" w:hAnsi="Arial Narrow" w:cs="Calibri"/>
                <w:noProof/>
                <w:color w:val="000000"/>
                <w:sz w:val="20"/>
                <w:szCs w:val="22"/>
                <w:highlight w:val="black"/>
                <w:lang w:eastAsia="en-US"/>
              </w:rPr>
              <w:t>''''''''''''''''''''''''</w:t>
            </w:r>
          </w:p>
        </w:tc>
        <w:tc>
          <w:tcPr>
            <w:tcW w:w="734"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 $</w:t>
            </w:r>
            <w:r w:rsidRPr="00C47C3B">
              <w:rPr>
                <w:rFonts w:ascii="Arial Narrow" w:eastAsiaTheme="minorHAnsi" w:hAnsi="Arial Narrow" w:cs="Calibri"/>
                <w:noProof/>
                <w:color w:val="000000"/>
                <w:sz w:val="20"/>
                <w:szCs w:val="22"/>
                <w:highlight w:val="black"/>
                <w:lang w:eastAsia="en-US"/>
              </w:rPr>
              <w:t>'''''''''''''''''''''''''</w:t>
            </w:r>
          </w:p>
        </w:tc>
        <w:tc>
          <w:tcPr>
            <w:tcW w:w="735" w:type="pct"/>
            <w:shd w:val="clear" w:color="auto" w:fill="auto"/>
            <w:vAlign w:val="center"/>
          </w:tcPr>
          <w:p w:rsidR="00C47C3B" w:rsidRPr="00C47C3B" w:rsidRDefault="00C47C3B" w:rsidP="00C47C3B">
            <w:pPr>
              <w:keepNext/>
              <w:spacing w:before="40" w:after="40"/>
              <w:jc w:val="center"/>
              <w:rPr>
                <w:rFonts w:ascii="Arial Narrow" w:eastAsiaTheme="minorHAnsi" w:hAnsi="Arial Narrow" w:cstheme="minorBidi"/>
                <w:bCs/>
                <w:color w:val="000000"/>
                <w:sz w:val="20"/>
                <w:szCs w:val="22"/>
                <w:lang w:eastAsia="en-US"/>
              </w:rPr>
            </w:pPr>
            <w:r w:rsidRPr="00C47C3B">
              <w:rPr>
                <w:rFonts w:ascii="Arial Narrow" w:eastAsiaTheme="minorHAnsi" w:hAnsi="Arial Narrow" w:cs="Calibri"/>
                <w:sz w:val="20"/>
                <w:szCs w:val="22"/>
                <w:lang w:eastAsia="en-US"/>
              </w:rPr>
              <w:t>- $</w:t>
            </w:r>
            <w:r w:rsidRPr="00C47C3B">
              <w:rPr>
                <w:rFonts w:ascii="Arial Narrow" w:eastAsiaTheme="minorHAnsi" w:hAnsi="Arial Narrow" w:cs="Calibri"/>
                <w:noProof/>
                <w:color w:val="000000"/>
                <w:sz w:val="20"/>
                <w:szCs w:val="22"/>
                <w:highlight w:val="black"/>
                <w:lang w:eastAsia="en-US"/>
              </w:rPr>
              <w:t>'''''''''''''''''''''''</w:t>
            </w:r>
          </w:p>
        </w:tc>
      </w:tr>
    </w:tbl>
    <w:p w:rsidR="00C47C3B" w:rsidRPr="00C47C3B" w:rsidRDefault="00C47C3B" w:rsidP="00C47C3B">
      <w:pPr>
        <w:keepNext/>
        <w:rPr>
          <w:rFonts w:ascii="Arial Narrow" w:hAnsi="Arial Narrow" w:cs="Arial"/>
          <w:snapToGrid w:val="0"/>
          <w:sz w:val="16"/>
          <w:szCs w:val="16"/>
          <w:lang w:eastAsia="en-US"/>
        </w:rPr>
      </w:pPr>
      <w:proofErr w:type="spellStart"/>
      <w:proofErr w:type="gramStart"/>
      <w:r w:rsidRPr="00C47C3B">
        <w:rPr>
          <w:rFonts w:ascii="Arial Narrow" w:hAnsi="Arial Narrow" w:cs="Arial"/>
          <w:snapToGrid w:val="0"/>
          <w:sz w:val="16"/>
          <w:szCs w:val="16"/>
          <w:vertAlign w:val="superscript"/>
          <w:lang w:eastAsia="en-US"/>
        </w:rPr>
        <w:t>a</w:t>
      </w:r>
      <w:proofErr w:type="spellEnd"/>
      <w:proofErr w:type="gramEnd"/>
      <w:r w:rsidRPr="00C47C3B">
        <w:rPr>
          <w:rFonts w:ascii="Arial Narrow" w:hAnsi="Arial Narrow" w:cs="Arial"/>
          <w:snapToGrid w:val="0"/>
          <w:sz w:val="16"/>
          <w:szCs w:val="16"/>
          <w:lang w:eastAsia="en-US"/>
        </w:rPr>
        <w:t xml:space="preserve"> Assuming 11 scripts per patient per year as estimated by the submission. This number was derived from an assumed adherence rate of 90% and a weighted adjustment for patients with moderate/severe hepatic impairment.</w:t>
      </w:r>
    </w:p>
    <w:p w:rsidR="00C47C3B" w:rsidRPr="00C47C3B" w:rsidRDefault="00C47C3B" w:rsidP="00C47C3B">
      <w:pPr>
        <w:keepNext/>
        <w:spacing w:after="120"/>
        <w:rPr>
          <w:rFonts w:ascii="Arial Narrow" w:hAnsi="Arial Narrow" w:cs="Arial"/>
          <w:snapToGrid w:val="0"/>
          <w:sz w:val="16"/>
          <w:szCs w:val="16"/>
          <w:lang w:eastAsia="en-US"/>
        </w:rPr>
      </w:pPr>
      <w:r w:rsidRPr="00C47C3B">
        <w:rPr>
          <w:rFonts w:ascii="Arial Narrow" w:hAnsi="Arial Narrow" w:cs="Arial"/>
          <w:snapToGrid w:val="0"/>
          <w:sz w:val="16"/>
          <w:szCs w:val="16"/>
          <w:lang w:eastAsia="en-US"/>
        </w:rPr>
        <w:t>Source: T</w:t>
      </w:r>
      <w:r w:rsidRPr="00C47C3B">
        <w:rPr>
          <w:rFonts w:ascii="Arial Narrow" w:hAnsi="Arial Narrow" w:cs="Tahoma"/>
          <w:sz w:val="16"/>
          <w:szCs w:val="16"/>
        </w:rPr>
        <w:t xml:space="preserve">able E.2-7, page 204; </w:t>
      </w:r>
      <w:r w:rsidRPr="00C47C3B">
        <w:rPr>
          <w:rFonts w:ascii="Arial Narrow" w:hAnsi="Arial Narrow" w:cs="Arial"/>
          <w:snapToGrid w:val="0"/>
          <w:sz w:val="16"/>
          <w:szCs w:val="16"/>
          <w:lang w:eastAsia="en-US"/>
        </w:rPr>
        <w:t>Table E.2-10, page 205-206; Table E.4-1 and E.4-2, page 208 of resubmission.</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At year 5, the estimated number of patients was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xml:space="preserve"> and the net cost to the PBS would be more than $100 million, or including the impact of the proposed financial cap. The total cost to the PBS over the first five years of listing (including the impact of the proposed financial cap) would be more than $100 million per year. The estimated number of patients treated are broadly similar to those presented in the previous (re)submissions, but have been adjusted slightly upwards as a result of the publication of the ACFDR 2014 report, while the original submission had used the 2013 information.</w:t>
      </w:r>
    </w:p>
    <w:p w:rsidR="00C47C3B" w:rsidRPr="00C47C3B" w:rsidRDefault="00C47C3B" w:rsidP="00C47C3B">
      <w:pPr>
        <w:widowControl w:val="0"/>
        <w:numPr>
          <w:ilvl w:val="1"/>
          <w:numId w:val="5"/>
        </w:numPr>
        <w:spacing w:after="12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The size of the eligible population would be overestimated if subsidised access to the treatment was restricted to those patients with a pp</w:t>
      </w:r>
      <w:r w:rsidRPr="00C47C3B">
        <w:rPr>
          <w:rFonts w:asciiTheme="minorHAnsi" w:hAnsiTheme="minorHAnsi" w:cs="Arial"/>
          <w:snapToGrid w:val="0"/>
          <w:lang w:eastAsia="en-US"/>
        </w:rPr>
        <w:t>FEV</w:t>
      </w:r>
      <w:r w:rsidRPr="00C47C3B">
        <w:rPr>
          <w:rFonts w:asciiTheme="minorHAnsi" w:hAnsiTheme="minorHAnsi" w:cs="Arial"/>
          <w:snapToGrid w:val="0"/>
          <w:vertAlign w:val="subscript"/>
          <w:lang w:eastAsia="en-US"/>
        </w:rPr>
        <w:t>1</w:t>
      </w:r>
      <w:r w:rsidRPr="00C47C3B">
        <w:rPr>
          <w:rFonts w:asciiTheme="minorHAnsi" w:hAnsiTheme="minorHAnsi" w:cs="Arial"/>
          <w:snapToGrid w:val="0"/>
          <w:szCs w:val="20"/>
          <w:lang w:eastAsia="en-US"/>
        </w:rPr>
        <w:t xml:space="preserve"> of </w:t>
      </w:r>
      <w:r w:rsidRPr="00C47C3B">
        <w:rPr>
          <w:rFonts w:ascii="Arial" w:hAnsi="Arial" w:cs="Arial"/>
          <w:i/>
          <w:snapToGrid w:val="0"/>
          <w:sz w:val="22"/>
          <w:szCs w:val="20"/>
          <w:u w:val="single"/>
          <w:lang w:eastAsia="en-US"/>
        </w:rPr>
        <w:t>&gt;</w:t>
      </w:r>
      <w:r w:rsidRPr="00C47C3B">
        <w:rPr>
          <w:rFonts w:asciiTheme="minorHAnsi" w:hAnsiTheme="minorHAnsi" w:cs="Arial"/>
          <w:snapToGrid w:val="0"/>
          <w:szCs w:val="20"/>
          <w:lang w:eastAsia="en-US"/>
        </w:rPr>
        <w:t xml:space="preserve">40% and </w:t>
      </w:r>
      <w:r w:rsidRPr="00C47C3B">
        <w:rPr>
          <w:rFonts w:ascii="Arial" w:hAnsi="Arial" w:cs="Arial"/>
          <w:i/>
          <w:snapToGrid w:val="0"/>
          <w:sz w:val="22"/>
          <w:szCs w:val="20"/>
          <w:u w:val="single"/>
          <w:lang w:eastAsia="en-US"/>
        </w:rPr>
        <w:t>&lt;</w:t>
      </w:r>
      <w:r w:rsidRPr="00C47C3B">
        <w:rPr>
          <w:rFonts w:asciiTheme="minorHAnsi" w:hAnsiTheme="minorHAnsi" w:cs="Arial"/>
          <w:snapToGrid w:val="0"/>
          <w:szCs w:val="20"/>
          <w:lang w:eastAsia="en-US"/>
        </w:rPr>
        <w:t>90% in line with the eligibility criteria in the key trials.</w:t>
      </w:r>
    </w:p>
    <w:p w:rsidR="00C47C3B" w:rsidRPr="00C47C3B" w:rsidRDefault="00C47C3B" w:rsidP="00C47C3B">
      <w:pPr>
        <w:widowControl w:val="0"/>
        <w:numPr>
          <w:ilvl w:val="1"/>
          <w:numId w:val="5"/>
        </w:numPr>
        <w:spacing w:before="120" w:after="16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Even if subsidised access were restricted on the basis of ppFEV</w:t>
      </w:r>
      <w:r w:rsidRPr="00C47C3B">
        <w:rPr>
          <w:rFonts w:asciiTheme="minorHAnsi" w:hAnsiTheme="minorHAnsi" w:cs="Arial"/>
          <w:snapToGrid w:val="0"/>
          <w:szCs w:val="20"/>
          <w:vertAlign w:val="subscript"/>
          <w:lang w:eastAsia="en-US"/>
        </w:rPr>
        <w:t>1</w:t>
      </w:r>
      <w:r w:rsidRPr="00C47C3B">
        <w:rPr>
          <w:rFonts w:asciiTheme="minorHAnsi" w:hAnsiTheme="minorHAnsi" w:cs="Arial"/>
          <w:snapToGrid w:val="0"/>
          <w:szCs w:val="20"/>
          <w:lang w:eastAsia="en-US"/>
        </w:rPr>
        <w:t xml:space="preserve">, the ESC considered that the size of the eligible population was likely to have been underestimated. The resubmission assumed that there are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xml:space="preserve"> new patients eligible for treatment each year for the first five years (2018-2022). Data from the 2014 ACFDR indicate that there were 598 patients at the end of 2014 aged 6-11 years with a CF diagnosis. With an estimated 51.5% of this cohort (308) homozygous for F508del and becoming eligible at age 12, the increase of </w:t>
      </w:r>
      <w:r w:rsidRPr="00C47C3B">
        <w:rPr>
          <w:rFonts w:asciiTheme="minorHAnsi" w:hAnsiTheme="minorHAnsi" w:cs="Arial"/>
          <w:noProof/>
          <w:snapToGrid w:val="0"/>
          <w:color w:val="000000"/>
          <w:szCs w:val="20"/>
          <w:highlight w:val="black"/>
          <w:lang w:eastAsia="en-US"/>
        </w:rPr>
        <w:t xml:space="preserve">'''''' </w:t>
      </w:r>
      <w:r w:rsidRPr="00C47C3B">
        <w:rPr>
          <w:rFonts w:asciiTheme="minorHAnsi" w:hAnsiTheme="minorHAnsi" w:cs="Arial"/>
          <w:snapToGrid w:val="0"/>
          <w:szCs w:val="20"/>
          <w:lang w:eastAsia="en-US"/>
        </w:rPr>
        <w:t>patients assumed for each year over 5 years is therefore likely to be an underestimate.</w:t>
      </w:r>
    </w:p>
    <w:p w:rsidR="00C47C3B" w:rsidRPr="00C47C3B" w:rsidRDefault="00C47C3B" w:rsidP="00C47C3B">
      <w:pPr>
        <w:widowControl w:val="0"/>
        <w:numPr>
          <w:ilvl w:val="1"/>
          <w:numId w:val="5"/>
        </w:numPr>
        <w:spacing w:before="120" w:after="16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Drug utilisation each year could be overestimated on the basis that:</w:t>
      </w:r>
    </w:p>
    <w:p w:rsidR="00C47C3B" w:rsidRPr="00C47C3B" w:rsidRDefault="00C47C3B" w:rsidP="00ED4A83">
      <w:pPr>
        <w:widowControl w:val="0"/>
        <w:numPr>
          <w:ilvl w:val="0"/>
          <w:numId w:val="18"/>
        </w:numPr>
        <w:spacing w:after="120"/>
        <w:ind w:left="993" w:hanging="284"/>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resubmission assumed that patients could only discontinue therapy in Year 1 of their treatment, based on discontinuation rates from TRAFFIC and TRANSPORT. </w:t>
      </w:r>
      <w:r w:rsidRPr="00C47C3B">
        <w:rPr>
          <w:rFonts w:asciiTheme="minorHAnsi" w:hAnsiTheme="minorHAnsi" w:cs="Arial"/>
          <w:snapToGrid w:val="0"/>
          <w:szCs w:val="20"/>
          <w:lang w:eastAsia="en-US"/>
        </w:rPr>
        <w:lastRenderedPageBreak/>
        <w:t>The ESC noted that data from PROGRESS show that this is not realistic and that there will be a proportion of patients discontinuing treatment beyond this timeframe.</w:t>
      </w:r>
    </w:p>
    <w:p w:rsidR="00C47C3B" w:rsidRPr="00C47C3B" w:rsidRDefault="00C47C3B" w:rsidP="00ED4A83">
      <w:pPr>
        <w:widowControl w:val="0"/>
        <w:numPr>
          <w:ilvl w:val="0"/>
          <w:numId w:val="18"/>
        </w:numPr>
        <w:spacing w:after="120"/>
        <w:ind w:left="993" w:hanging="284"/>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The resubmission assumed that patients who become eligible for treatment each year receive a full year of treatment. A more reasonable assumption is that initiating patients will commence throughout the year, so that on average each patient receives the equivalent of half of a year’s supply.</w:t>
      </w:r>
    </w:p>
    <w:p w:rsidR="00C47C3B" w:rsidRPr="00C47C3B" w:rsidRDefault="00C47C3B" w:rsidP="00C47C3B">
      <w:pPr>
        <w:widowControl w:val="0"/>
        <w:numPr>
          <w:ilvl w:val="1"/>
          <w:numId w:val="5"/>
        </w:numPr>
        <w:spacing w:before="120" w:after="160"/>
        <w:ind w:left="709" w:hanging="709"/>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PBAC noted that if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were listed at the DPMQ that it considered to be acceptably cost-effective (of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see paragraph 6.59), the net cost to the PBS based on the estimates of utilisation in the resubmission would be over the first five years of listing would need to be recalculated but may be in the vicinity of $20-30 million in each of the first five years of listing.</w:t>
      </w:r>
    </w:p>
    <w:p w:rsidR="00C47C3B" w:rsidRPr="00C47C3B" w:rsidRDefault="00C47C3B" w:rsidP="00C47C3B">
      <w:pPr>
        <w:keepNext/>
        <w:spacing w:before="240" w:after="120"/>
        <w:jc w:val="both"/>
        <w:outlineLvl w:val="2"/>
        <w:rPr>
          <w:rFonts w:asciiTheme="minorHAnsi" w:hAnsiTheme="minorHAnsi" w:cs="Arial"/>
          <w:b/>
          <w:i/>
          <w:snapToGrid w:val="0"/>
          <w:sz w:val="28"/>
          <w:szCs w:val="28"/>
          <w:lang w:eastAsia="en-US"/>
        </w:rPr>
      </w:pPr>
      <w:bookmarkStart w:id="78" w:name="_Toc413139286"/>
      <w:bookmarkStart w:id="79" w:name="_Toc476306896"/>
      <w:bookmarkStart w:id="80" w:name="_Toc482713683"/>
      <w:bookmarkStart w:id="81" w:name="_Hlk482281565"/>
      <w:bookmarkEnd w:id="77"/>
      <w:r w:rsidRPr="00C47C3B">
        <w:rPr>
          <w:rFonts w:asciiTheme="minorHAnsi" w:hAnsiTheme="minorHAnsi" w:cs="Arial"/>
          <w:b/>
          <w:i/>
          <w:snapToGrid w:val="0"/>
          <w:sz w:val="28"/>
          <w:szCs w:val="28"/>
          <w:lang w:eastAsia="en-US"/>
        </w:rPr>
        <w:t>Financial Management – Risk Sharing Arrangements</w:t>
      </w:r>
      <w:bookmarkEnd w:id="78"/>
      <w:bookmarkEnd w:id="79"/>
      <w:bookmarkEnd w:id="80"/>
    </w:p>
    <w:p w:rsidR="00C47C3B" w:rsidRPr="00C47C3B" w:rsidRDefault="00C47C3B" w:rsidP="00C47C3B">
      <w:pPr>
        <w:widowControl w:val="0"/>
        <w:numPr>
          <w:ilvl w:val="1"/>
          <w:numId w:val="5"/>
        </w:numPr>
        <w:spacing w:before="120" w:after="160"/>
        <w:ind w:left="709" w:hanging="709"/>
        <w:jc w:val="both"/>
        <w:rPr>
          <w:rFonts w:asciiTheme="minorHAnsi" w:hAnsiTheme="minorHAnsi" w:cs="Arial"/>
          <w:snapToGrid w:val="0"/>
          <w:szCs w:val="20"/>
          <w:lang w:eastAsia="en-US"/>
        </w:rPr>
      </w:pPr>
      <w:bookmarkStart w:id="82" w:name="_Ref482265597"/>
      <w:bookmarkStart w:id="83" w:name="_Hlk479874235"/>
      <w:bookmarkEnd w:id="81"/>
      <w:r w:rsidRPr="00C47C3B">
        <w:rPr>
          <w:rFonts w:asciiTheme="minorHAnsi" w:hAnsiTheme="minorHAnsi" w:cs="Arial"/>
          <w:snapToGrid w:val="0"/>
          <w:szCs w:val="20"/>
          <w:lang w:eastAsia="en-US"/>
        </w:rPr>
        <w:t xml:space="preserve">The resubmission proposed a “base” financial cap that reflects </w:t>
      </w:r>
      <w:r w:rsidRPr="00C47C3B">
        <w:rPr>
          <w:rFonts w:asciiTheme="minorHAnsi" w:hAnsiTheme="minorHAnsi" w:cs="Arial"/>
          <w:noProof/>
          <w:snapToGrid w:val="0"/>
          <w:color w:val="000000"/>
          <w:szCs w:val="20"/>
          <w:highlight w:val="black"/>
          <w:lang w:eastAsia="en-US"/>
        </w:rPr>
        <w:t>''' ''''''''' ''''''''''''''''''</w:t>
      </w:r>
      <w:r w:rsidRPr="00C47C3B">
        <w:rPr>
          <w:rFonts w:asciiTheme="minorHAnsi" w:hAnsiTheme="minorHAnsi" w:cs="Arial"/>
          <w:snapToGrid w:val="0"/>
          <w:szCs w:val="20"/>
          <w:lang w:eastAsia="en-US"/>
        </w:rPr>
        <w:t xml:space="preserve"> in the estimated financial impact to the PBS budget (see Table 15). This equates to capping the gross cost to PBS (including co-payments)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to more than $100 million in each year of listing over the period of five years</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w:t>
      </w:r>
    </w:p>
    <w:p w:rsidR="00C47C3B" w:rsidRPr="00C47C3B" w:rsidRDefault="00C47C3B" w:rsidP="00C47C3B">
      <w:pPr>
        <w:widowControl w:val="0"/>
        <w:numPr>
          <w:ilvl w:val="1"/>
          <w:numId w:val="5"/>
        </w:numPr>
        <w:spacing w:before="120" w:after="160"/>
        <w:ind w:left="720" w:hanging="72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In addition, the resubmission proposed </w:t>
      </w:r>
      <w:r w:rsidRPr="00C47C3B">
        <w:rPr>
          <w:rFonts w:asciiTheme="minorHAnsi" w:hAnsiTheme="minorHAnsi" w:cs="Arial"/>
          <w:noProof/>
          <w:snapToGrid w:val="0"/>
          <w:color w:val="000000"/>
          <w:szCs w:val="20"/>
          <w:highlight w:val="black"/>
          <w:lang w:eastAsia="en-US"/>
        </w:rPr>
        <w:t>''' ''''''''''''''''''''''''''''''''''''' ''''''''''''''''''''''' '''''''''''''''' ''' ''''''''''''''''''' '''' '''''''''' '''''''''''''''''''''''''''' ''''''' ''''''''''''' ''''' ''' ''''''''''' ''''''''''''''''' '''''''''''''''''''</w:t>
      </w:r>
      <w:r w:rsidRPr="00C47C3B">
        <w:rPr>
          <w:rFonts w:asciiTheme="minorHAnsi" w:hAnsiTheme="minorHAnsi" w:cs="Arial"/>
          <w:snapToGrid w:val="0"/>
          <w:szCs w:val="20"/>
          <w:lang w:eastAsia="en-US"/>
        </w:rPr>
        <w:t xml:space="preserve"> and proposed that the financial cap on the gross PBS costs could be further reduced if </w:t>
      </w:r>
      <w:r w:rsidRPr="00C47C3B">
        <w:rPr>
          <w:rFonts w:asciiTheme="minorHAnsi" w:hAnsiTheme="minorHAnsi" w:cs="Arial"/>
          <w:noProof/>
          <w:snapToGrid w:val="0"/>
          <w:color w:val="000000"/>
          <w:szCs w:val="20"/>
          <w:highlight w:val="black"/>
          <w:lang w:eastAsia="en-US"/>
        </w:rPr>
        <w:t xml:space="preserve">''''''''''''''''' '''''''''''''' '''''''''' '''''''' '''''''' ''''' ''''''''''''''''' '''' '''''''''' '''''' </w:t>
      </w:r>
      <w:r w:rsidRPr="00C47C3B">
        <w:rPr>
          <w:rFonts w:asciiTheme="minorHAnsi" w:hAnsiTheme="minorHAnsi" w:cs="Arial"/>
          <w:snapToGrid w:val="0"/>
          <w:szCs w:val="20"/>
          <w:lang w:eastAsia="en-US"/>
        </w:rPr>
        <w:t xml:space="preserve">Conversely, the resubmission proposed </w:t>
      </w:r>
      <w:bookmarkStart w:id="84" w:name="_Hlk479700258"/>
      <w:bookmarkEnd w:id="82"/>
      <w:r w:rsidRPr="00C47C3B">
        <w:rPr>
          <w:rFonts w:asciiTheme="minorHAnsi" w:hAnsiTheme="minorHAnsi" w:cs="Arial"/>
          <w:noProof/>
          <w:snapToGrid w:val="0"/>
          <w:color w:val="000000"/>
          <w:szCs w:val="20"/>
          <w:highlight w:val="black"/>
          <w:lang w:eastAsia="en-US"/>
        </w:rPr>
        <w:t>''''''' ''' ''''''''''''''' ''''''''' '''''''''''''''''''' '''''' ''''''''''' ''''''' '''''''''' ''''''''' ''''' '''''''''''''''''''' '''''''''''''''''''''''''''''' '''''''' '''''''''''''''' ''' ''''''''''''''''</w:t>
      </w:r>
      <w:r w:rsidRPr="00C47C3B">
        <w:rPr>
          <w:rFonts w:asciiTheme="minorHAnsi" w:hAnsiTheme="minorHAnsi" w:cs="Arial"/>
          <w:snapToGrid w:val="0"/>
          <w:szCs w:val="20"/>
          <w:lang w:eastAsia="en-US"/>
        </w:rPr>
        <w:t xml:space="preserve"> receiving PBS-subsidised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would be </w:t>
      </w:r>
      <w:bookmarkEnd w:id="84"/>
      <w:r w:rsidRPr="00C47C3B">
        <w:rPr>
          <w:rFonts w:asciiTheme="minorHAnsi" w:hAnsiTheme="minorHAnsi" w:cs="Arial"/>
          <w:noProof/>
          <w:snapToGrid w:val="0"/>
          <w:color w:val="000000"/>
          <w:szCs w:val="20"/>
          <w:highlight w:val="black"/>
          <w:lang w:eastAsia="en-US"/>
        </w:rPr>
        <w:t>'''''''''''''''''''' '''''''''' ''''''''''''''''''''''''''' '''''''' ''''''''''''''''' '''' ''' '''''''''''''''''''''' '''''''''''''''''' ''''''''''''' '''''''''''''''''''''''' ''''' ''''''''''''''' '''''''' '''''' ''''''''''''''' ''''''''' '''''''''''''''''' ''''''''''''' '''''''''''''' ''' ''''''' ''''''''''''''' '''''''''''''''''' ''''''' ''''''' '''''''''</w:t>
      </w:r>
      <w:r w:rsidRPr="00C47C3B">
        <w:rPr>
          <w:rFonts w:asciiTheme="minorHAnsi" w:hAnsiTheme="minorHAnsi" w:cs="Arial"/>
          <w:snapToGrid w:val="0"/>
          <w:szCs w:val="20"/>
          <w:lang w:eastAsia="en-US"/>
        </w:rPr>
        <w:t xml:space="preserve"> The resubmission stated that patients who previously received non-PBS subsidised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such as through a clinical trial or compassionate use, would </w:t>
      </w:r>
      <w:r w:rsidRPr="00C47C3B">
        <w:rPr>
          <w:rFonts w:asciiTheme="minorHAnsi" w:hAnsiTheme="minorHAnsi" w:cs="Arial"/>
          <w:noProof/>
          <w:snapToGrid w:val="0"/>
          <w:color w:val="000000"/>
          <w:szCs w:val="20"/>
          <w:highlight w:val="black"/>
          <w:lang w:eastAsia="en-US"/>
        </w:rPr>
        <w:t>''''''''' '''' ''''''</w:t>
      </w:r>
      <w:r w:rsidRPr="00C47C3B">
        <w:rPr>
          <w:rFonts w:asciiTheme="minorHAnsi" w:hAnsiTheme="minorHAnsi" w:cs="Arial"/>
          <w:snapToGrid w:val="0"/>
          <w:szCs w:val="20"/>
          <w:lang w:eastAsia="en-US"/>
        </w:rPr>
        <w:t xml:space="preserve"> </w:t>
      </w:r>
      <w:r w:rsidRPr="00C47C3B">
        <w:rPr>
          <w:rFonts w:asciiTheme="minorHAnsi" w:hAnsiTheme="minorHAnsi" w:cs="Arial"/>
          <w:noProof/>
          <w:snapToGrid w:val="0"/>
          <w:color w:val="000000"/>
          <w:szCs w:val="20"/>
          <w:highlight w:val="black"/>
          <w:lang w:eastAsia="en-US"/>
        </w:rPr>
        <w:t xml:space="preserve">''''''''''''''''' '''''''''' '''''' '''''''''''''''''''''''' ''''' ''''' ''''''''' '''''''' ''''''''''''''''''''''' </w:t>
      </w:r>
      <w:r w:rsidRPr="00C47C3B">
        <w:rPr>
          <w:rFonts w:asciiTheme="minorHAnsi" w:hAnsiTheme="minorHAnsi" w:cs="Arial"/>
          <w:snapToGrid w:val="0"/>
          <w:szCs w:val="20"/>
          <w:lang w:eastAsia="en-US"/>
        </w:rPr>
        <w:t>The resubmission claimed this is a “pragmatic” approach that would provide high quality and representative data collection.</w:t>
      </w:r>
    </w:p>
    <w:p w:rsidR="00C47C3B" w:rsidRPr="00C47C3B" w:rsidRDefault="00C47C3B" w:rsidP="00C47C3B">
      <w:pPr>
        <w:keepNext/>
        <w:spacing w:after="60"/>
        <w:rPr>
          <w:rFonts w:ascii="Arial Narrow" w:eastAsiaTheme="minorHAnsi" w:hAnsi="Arial Narrow" w:cstheme="minorBidi"/>
          <w:b/>
          <w:sz w:val="20"/>
          <w:szCs w:val="22"/>
          <w:lang w:eastAsia="en-US"/>
        </w:rPr>
      </w:pPr>
      <w:proofErr w:type="gramStart"/>
      <w:r w:rsidRPr="00C47C3B">
        <w:rPr>
          <w:rFonts w:ascii="Arial Narrow" w:eastAsiaTheme="minorHAnsi" w:hAnsi="Arial Narrow" w:cstheme="minorBidi"/>
          <w:b/>
          <w:sz w:val="20"/>
          <w:szCs w:val="22"/>
          <w:lang w:eastAsia="en-US"/>
        </w:rPr>
        <w:t xml:space="preserve">Table </w:t>
      </w:r>
      <w:r w:rsidRPr="00C47C3B">
        <w:rPr>
          <w:rFonts w:ascii="Arial Narrow" w:eastAsiaTheme="minorHAnsi" w:hAnsi="Arial Narrow" w:cstheme="minorBidi"/>
          <w:b/>
          <w:noProof/>
          <w:sz w:val="20"/>
          <w:szCs w:val="22"/>
          <w:lang w:eastAsia="en-US"/>
        </w:rPr>
        <w:t>16</w:t>
      </w:r>
      <w:r w:rsidRPr="00C47C3B">
        <w:rPr>
          <w:rFonts w:ascii="Arial Narrow" w:eastAsiaTheme="minorHAnsi" w:hAnsi="Arial Narrow" w:cstheme="minorBidi"/>
          <w:b/>
          <w:sz w:val="20"/>
          <w:szCs w:val="22"/>
          <w:lang w:eastAsia="en-US"/>
        </w:rPr>
        <w:t xml:space="preserve">: </w:t>
      </w:r>
      <w:r w:rsidRPr="00C47C3B">
        <w:rPr>
          <w:rFonts w:ascii="Arial Narrow" w:eastAsiaTheme="minorHAnsi" w:hAnsi="Arial Narrow" w:cstheme="minorBidi"/>
          <w:b/>
          <w:noProof/>
          <w:color w:val="000000"/>
          <w:sz w:val="20"/>
          <w:szCs w:val="22"/>
          <w:highlight w:val="black"/>
          <w:lang w:eastAsia="en-US"/>
        </w:rPr>
        <w:t>''''''''''''''''''''' ''''''''''''''''''''''''''''''''''''''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326"/>
        <w:gridCol w:w="1327"/>
        <w:gridCol w:w="1326"/>
        <w:gridCol w:w="1327"/>
      </w:tblGrid>
      <w:tr w:rsidR="00C47C3B" w:rsidRPr="00C47C3B" w:rsidTr="009F446F">
        <w:tc>
          <w:tcPr>
            <w:tcW w:w="3936" w:type="dxa"/>
            <w:vAlign w:val="center"/>
          </w:tcPr>
          <w:p w:rsidR="00C47C3B" w:rsidRPr="00C47C3B" w:rsidRDefault="00C47C3B" w:rsidP="00C47C3B">
            <w:pPr>
              <w:keepNext/>
              <w:jc w:val="both"/>
              <w:rPr>
                <w:rFonts w:ascii="Arial Narrow" w:hAnsi="Arial Narrow" w:cs="Arial"/>
                <w:b/>
                <w:snapToGrid w:val="0"/>
                <w:sz w:val="20"/>
                <w:szCs w:val="20"/>
                <w:lang w:eastAsia="en-US"/>
              </w:rPr>
            </w:pPr>
          </w:p>
        </w:tc>
        <w:tc>
          <w:tcPr>
            <w:tcW w:w="1326" w:type="dxa"/>
            <w:vAlign w:val="center"/>
          </w:tcPr>
          <w:p w:rsidR="00C47C3B" w:rsidRPr="00C47C3B" w:rsidRDefault="00C47C3B" w:rsidP="00C47C3B">
            <w:pPr>
              <w:keepNext/>
              <w:jc w:val="center"/>
              <w:rPr>
                <w:rFonts w:ascii="Arial Narrow" w:hAnsi="Arial Narrow" w:cs="Arial"/>
                <w:b/>
                <w:snapToGrid w:val="0"/>
                <w:sz w:val="20"/>
                <w:szCs w:val="20"/>
                <w:highlight w:val="black"/>
                <w:lang w:eastAsia="en-US"/>
              </w:rPr>
            </w:pPr>
            <w:r w:rsidRPr="00C47C3B">
              <w:rPr>
                <w:rFonts w:ascii="Arial Narrow" w:hAnsi="Arial Narrow" w:cs="Arial"/>
                <w:b/>
                <w:noProof/>
                <w:snapToGrid w:val="0"/>
                <w:color w:val="000000"/>
                <w:sz w:val="20"/>
                <w:szCs w:val="20"/>
                <w:highlight w:val="black"/>
                <w:lang w:eastAsia="en-US"/>
              </w:rPr>
              <w:t>''''''''''''' '''''''''''</w:t>
            </w:r>
          </w:p>
          <w:p w:rsidR="00C47C3B" w:rsidRPr="00C47C3B" w:rsidRDefault="00C47C3B" w:rsidP="00C47C3B">
            <w:pPr>
              <w:keepNext/>
              <w:jc w:val="center"/>
              <w:rPr>
                <w:rFonts w:ascii="Arial Narrow" w:hAnsi="Arial Narrow" w:cs="Arial"/>
                <w:b/>
                <w:snapToGrid w:val="0"/>
                <w:sz w:val="20"/>
                <w:szCs w:val="20"/>
                <w:highlight w:val="black"/>
                <w:lang w:eastAsia="en-US"/>
              </w:rPr>
            </w:pPr>
            <w:r w:rsidRPr="00C47C3B">
              <w:rPr>
                <w:rFonts w:ascii="Arial Narrow" w:hAnsi="Arial Narrow" w:cs="Arial"/>
                <w:b/>
                <w:noProof/>
                <w:snapToGrid w:val="0"/>
                <w:color w:val="000000"/>
                <w:sz w:val="20"/>
                <w:szCs w:val="20"/>
                <w:highlight w:val="black"/>
                <w:lang w:eastAsia="en-US"/>
              </w:rPr>
              <w:t>''''''''' '''</w:t>
            </w:r>
          </w:p>
        </w:tc>
        <w:tc>
          <w:tcPr>
            <w:tcW w:w="1327" w:type="dxa"/>
            <w:vAlign w:val="center"/>
          </w:tcPr>
          <w:p w:rsidR="00C47C3B" w:rsidRPr="00C47C3B" w:rsidRDefault="00C47C3B" w:rsidP="00C47C3B">
            <w:pPr>
              <w:keepNext/>
              <w:jc w:val="center"/>
              <w:rPr>
                <w:rFonts w:ascii="Arial Narrow" w:hAnsi="Arial Narrow" w:cs="Arial"/>
                <w:b/>
                <w:snapToGrid w:val="0"/>
                <w:sz w:val="20"/>
                <w:szCs w:val="20"/>
                <w:highlight w:val="black"/>
                <w:lang w:eastAsia="en-US"/>
              </w:rPr>
            </w:pPr>
            <w:r w:rsidRPr="00C47C3B">
              <w:rPr>
                <w:rFonts w:ascii="Arial Narrow" w:hAnsi="Arial Narrow" w:cs="Arial"/>
                <w:b/>
                <w:noProof/>
                <w:snapToGrid w:val="0"/>
                <w:color w:val="000000"/>
                <w:sz w:val="20"/>
                <w:szCs w:val="20"/>
                <w:highlight w:val="black"/>
                <w:lang w:eastAsia="en-US"/>
              </w:rPr>
              <w:t>'''''''''''''' ''''''''''''</w:t>
            </w:r>
          </w:p>
          <w:p w:rsidR="00C47C3B" w:rsidRPr="00C47C3B" w:rsidRDefault="00C47C3B" w:rsidP="00C47C3B">
            <w:pPr>
              <w:keepNext/>
              <w:jc w:val="center"/>
              <w:rPr>
                <w:rFonts w:ascii="Arial Narrow" w:hAnsi="Arial Narrow" w:cs="Arial"/>
                <w:b/>
                <w:snapToGrid w:val="0"/>
                <w:sz w:val="20"/>
                <w:szCs w:val="20"/>
                <w:highlight w:val="black"/>
                <w:lang w:eastAsia="en-US"/>
              </w:rPr>
            </w:pPr>
            <w:r w:rsidRPr="00C47C3B">
              <w:rPr>
                <w:rFonts w:ascii="Arial Narrow" w:hAnsi="Arial Narrow" w:cs="Arial"/>
                <w:b/>
                <w:noProof/>
                <w:snapToGrid w:val="0"/>
                <w:color w:val="000000"/>
                <w:sz w:val="20"/>
                <w:szCs w:val="20"/>
                <w:highlight w:val="black"/>
                <w:lang w:eastAsia="en-US"/>
              </w:rPr>
              <w:t>'''''''' '''</w:t>
            </w:r>
          </w:p>
        </w:tc>
        <w:tc>
          <w:tcPr>
            <w:tcW w:w="1326" w:type="dxa"/>
            <w:vAlign w:val="center"/>
          </w:tcPr>
          <w:p w:rsidR="00C47C3B" w:rsidRPr="00C47C3B" w:rsidRDefault="00C47C3B" w:rsidP="00C47C3B">
            <w:pPr>
              <w:keepNext/>
              <w:jc w:val="center"/>
              <w:rPr>
                <w:rFonts w:ascii="Arial Narrow" w:hAnsi="Arial Narrow" w:cs="Arial"/>
                <w:b/>
                <w:snapToGrid w:val="0"/>
                <w:sz w:val="20"/>
                <w:szCs w:val="20"/>
                <w:highlight w:val="black"/>
                <w:lang w:eastAsia="en-US"/>
              </w:rPr>
            </w:pPr>
            <w:r w:rsidRPr="00C47C3B">
              <w:rPr>
                <w:rFonts w:ascii="Arial Narrow" w:hAnsi="Arial Narrow" w:cs="Arial"/>
                <w:b/>
                <w:noProof/>
                <w:snapToGrid w:val="0"/>
                <w:color w:val="000000"/>
                <w:sz w:val="20"/>
                <w:szCs w:val="20"/>
                <w:highlight w:val="black"/>
                <w:lang w:eastAsia="en-US"/>
              </w:rPr>
              <w:t>''''''''''''' ''''''''''''</w:t>
            </w:r>
          </w:p>
        </w:tc>
        <w:tc>
          <w:tcPr>
            <w:tcW w:w="1327" w:type="dxa"/>
            <w:vAlign w:val="center"/>
          </w:tcPr>
          <w:p w:rsidR="00C47C3B" w:rsidRPr="00C47C3B" w:rsidRDefault="00C47C3B" w:rsidP="00C47C3B">
            <w:pPr>
              <w:keepNext/>
              <w:jc w:val="center"/>
              <w:rPr>
                <w:rFonts w:ascii="Arial Narrow" w:hAnsi="Arial Narrow" w:cs="Arial"/>
                <w:b/>
                <w:snapToGrid w:val="0"/>
                <w:sz w:val="20"/>
                <w:szCs w:val="20"/>
                <w:highlight w:val="black"/>
                <w:lang w:eastAsia="en-US"/>
              </w:rPr>
            </w:pPr>
            <w:r w:rsidRPr="00C47C3B">
              <w:rPr>
                <w:rFonts w:ascii="Arial Narrow" w:hAnsi="Arial Narrow" w:cs="Arial"/>
                <w:b/>
                <w:noProof/>
                <w:snapToGrid w:val="0"/>
                <w:color w:val="000000"/>
                <w:sz w:val="20"/>
                <w:szCs w:val="20"/>
                <w:highlight w:val="black"/>
                <w:lang w:eastAsia="en-US"/>
              </w:rPr>
              <w:t>''''''''''''''' '''''''''''</w:t>
            </w:r>
          </w:p>
        </w:tc>
      </w:tr>
      <w:tr w:rsidR="00C47C3B" w:rsidRPr="00C47C3B" w:rsidTr="009F446F">
        <w:tc>
          <w:tcPr>
            <w:tcW w:w="3936" w:type="dxa"/>
            <w:vAlign w:val="center"/>
          </w:tcPr>
          <w:p w:rsidR="00C47C3B" w:rsidRPr="00C47C3B" w:rsidRDefault="00C47C3B" w:rsidP="00C47C3B">
            <w:pPr>
              <w:keepNext/>
              <w:jc w:val="both"/>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 ''''''' '''''''''''' '''''''''''''''''''''' ''''' '''''''''''''''''''''''''''''' ''''''''''</w:t>
            </w:r>
          </w:p>
        </w:tc>
        <w:tc>
          <w:tcPr>
            <w:tcW w:w="1326"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7"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 ''''' '''''''''''''</w:t>
            </w:r>
          </w:p>
        </w:tc>
        <w:tc>
          <w:tcPr>
            <w:tcW w:w="1326"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 '''' '''''''''''''''</w:t>
            </w:r>
          </w:p>
        </w:tc>
        <w:tc>
          <w:tcPr>
            <w:tcW w:w="1327"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r>
      <w:tr w:rsidR="00C47C3B" w:rsidRPr="00C47C3B" w:rsidTr="009F446F">
        <w:tc>
          <w:tcPr>
            <w:tcW w:w="3936" w:type="dxa"/>
            <w:vAlign w:val="center"/>
          </w:tcPr>
          <w:p w:rsidR="00C47C3B" w:rsidRPr="00C47C3B" w:rsidRDefault="00C47C3B" w:rsidP="00C47C3B">
            <w:pPr>
              <w:keepNext/>
              <w:jc w:val="both"/>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 ''''''''''</w:t>
            </w:r>
          </w:p>
        </w:tc>
        <w:tc>
          <w:tcPr>
            <w:tcW w:w="1326"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7"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6"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7"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r>
      <w:tr w:rsidR="00C47C3B" w:rsidRPr="00C47C3B" w:rsidTr="009F446F">
        <w:tc>
          <w:tcPr>
            <w:tcW w:w="3936" w:type="dxa"/>
            <w:vAlign w:val="center"/>
          </w:tcPr>
          <w:p w:rsidR="00C47C3B" w:rsidRPr="00C47C3B" w:rsidRDefault="00C47C3B" w:rsidP="00C47C3B">
            <w:pPr>
              <w:keepNext/>
              <w:jc w:val="both"/>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 ''''''''''''''''''''''''''''''''''''''''''''''' '''''''''' ''''''''''''''''''' ''''' ''''''''''' '''''''''''''''' ''''''''''''''''''''' '''''''''''''''''</w:t>
            </w:r>
          </w:p>
        </w:tc>
        <w:tc>
          <w:tcPr>
            <w:tcW w:w="1326"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7"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6"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7"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r>
      <w:tr w:rsidR="00C47C3B" w:rsidRPr="00C47C3B" w:rsidTr="009F446F">
        <w:tc>
          <w:tcPr>
            <w:tcW w:w="3936" w:type="dxa"/>
            <w:vAlign w:val="center"/>
          </w:tcPr>
          <w:p w:rsidR="00C47C3B" w:rsidRPr="00C47C3B" w:rsidRDefault="00C47C3B" w:rsidP="00C47C3B">
            <w:pPr>
              <w:keepNext/>
              <w:jc w:val="both"/>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 '''''''''''''''''''''''' ''''' ''''''''''' '''''''''''' '''' '''''''''''''''''''''''</w:t>
            </w:r>
          </w:p>
        </w:tc>
        <w:tc>
          <w:tcPr>
            <w:tcW w:w="1326"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7"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6"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7"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r>
      <w:tr w:rsidR="00C47C3B" w:rsidRPr="00C47C3B" w:rsidTr="009F446F">
        <w:tc>
          <w:tcPr>
            <w:tcW w:w="3936" w:type="dxa"/>
          </w:tcPr>
          <w:p w:rsidR="00C47C3B" w:rsidRPr="00C47C3B" w:rsidRDefault="00C47C3B" w:rsidP="00C47C3B">
            <w:pPr>
              <w:keepNext/>
              <w:jc w:val="both"/>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 '''''''''''' '''' '''''''''''' '''''''''''''''''' '''' ''''''''''''''''''''''' ''''''''' ''''''''''''''''''''''''''' ''''''''''''''''''''</w:t>
            </w:r>
          </w:p>
        </w:tc>
        <w:tc>
          <w:tcPr>
            <w:tcW w:w="1326"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7"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6"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 '''''''''''''''''</w:t>
            </w:r>
          </w:p>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c>
          <w:tcPr>
            <w:tcW w:w="1327" w:type="dxa"/>
            <w:vAlign w:val="center"/>
          </w:tcPr>
          <w:p w:rsidR="00C47C3B" w:rsidRPr="00C47C3B" w:rsidRDefault="00C47C3B" w:rsidP="00C47C3B">
            <w:pPr>
              <w:keepNext/>
              <w:jc w:val="center"/>
              <w:rPr>
                <w:rFonts w:ascii="Arial Narrow" w:hAnsi="Arial Narrow" w:cs="Arial"/>
                <w:snapToGrid w:val="0"/>
                <w:sz w:val="20"/>
                <w:szCs w:val="20"/>
                <w:highlight w:val="black"/>
                <w:lang w:eastAsia="en-US"/>
              </w:rPr>
            </w:pPr>
            <w:r w:rsidRPr="00C47C3B">
              <w:rPr>
                <w:rFonts w:ascii="Arial Narrow" w:hAnsi="Arial Narrow" w:cs="Arial"/>
                <w:noProof/>
                <w:snapToGrid w:val="0"/>
                <w:color w:val="000000"/>
                <w:sz w:val="20"/>
                <w:szCs w:val="20"/>
                <w:highlight w:val="black"/>
                <w:lang w:eastAsia="en-US"/>
              </w:rPr>
              <w:t>''''''''''''''''''''</w:t>
            </w:r>
          </w:p>
        </w:tc>
      </w:tr>
    </w:tbl>
    <w:p w:rsidR="00C47C3B" w:rsidRPr="00C47C3B" w:rsidRDefault="00C47C3B" w:rsidP="00C47C3B">
      <w:pPr>
        <w:spacing w:after="120"/>
        <w:jc w:val="both"/>
        <w:rPr>
          <w:rFonts w:ascii="Arial Narrow" w:hAnsi="Arial Narrow" w:cs="Arial"/>
          <w:snapToGrid w:val="0"/>
          <w:sz w:val="16"/>
          <w:szCs w:val="20"/>
          <w:lang w:val="en-GB" w:eastAsia="en-US"/>
        </w:rPr>
      </w:pPr>
      <w:r w:rsidRPr="00C47C3B">
        <w:rPr>
          <w:rFonts w:ascii="Arial Narrow" w:hAnsi="Arial Narrow" w:cs="Arial"/>
          <w:snapToGrid w:val="0"/>
          <w:sz w:val="16"/>
          <w:szCs w:val="20"/>
          <w:lang w:val="en-GB" w:eastAsia="en-US"/>
        </w:rPr>
        <w:t>Source: Table F.2-2, page 214 of the resubmission.</w:t>
      </w:r>
    </w:p>
    <w:p w:rsidR="00C47C3B" w:rsidRPr="00C47C3B" w:rsidRDefault="00C47C3B" w:rsidP="00C47C3B">
      <w:pPr>
        <w:widowControl w:val="0"/>
        <w:numPr>
          <w:ilvl w:val="1"/>
          <w:numId w:val="5"/>
        </w:numPr>
        <w:spacing w:after="120"/>
        <w:ind w:left="810" w:hanging="81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resubmission presented a sensitivity analysis for the cost effectiveness of </w:t>
      </w:r>
      <w:proofErr w:type="spellStart"/>
      <w:r w:rsidRPr="00C47C3B">
        <w:rPr>
          <w:rFonts w:asciiTheme="minorHAnsi" w:hAnsiTheme="minorHAnsi" w:cs="Arial"/>
          <w:snapToGrid w:val="0"/>
          <w:szCs w:val="20"/>
          <w:lang w:eastAsia="en-US"/>
        </w:rPr>
        <w:lastRenderedPageBreak/>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based on </w:t>
      </w:r>
      <w:r w:rsidRPr="00C47C3B">
        <w:rPr>
          <w:rFonts w:asciiTheme="minorHAnsi" w:hAnsiTheme="minorHAnsi" w:cs="Arial"/>
          <w:noProof/>
          <w:snapToGrid w:val="0"/>
          <w:color w:val="000000"/>
          <w:szCs w:val="20"/>
          <w:highlight w:val="black"/>
          <w:lang w:eastAsia="en-US"/>
        </w:rPr>
        <w:t>''''''' '''''''''''''''''' '''''''''''''''''''''''''''''''''''''''''' '''''''''''''''''''''''''</w:t>
      </w:r>
      <w:r w:rsidRPr="00C47C3B">
        <w:rPr>
          <w:rFonts w:asciiTheme="minorHAnsi" w:hAnsiTheme="minorHAnsi" w:cs="Arial"/>
          <w:snapToGrid w:val="0"/>
          <w:szCs w:val="20"/>
          <w:lang w:eastAsia="en-US"/>
        </w:rPr>
        <w:t xml:space="preserve">, reducing the financial cap if </w:t>
      </w:r>
      <w:r w:rsidRPr="00C47C3B">
        <w:rPr>
          <w:rFonts w:asciiTheme="minorHAnsi" w:hAnsiTheme="minorHAnsi" w:cs="Arial"/>
          <w:noProof/>
          <w:snapToGrid w:val="0"/>
          <w:color w:val="000000"/>
          <w:szCs w:val="20"/>
          <w:highlight w:val="black"/>
          <w:lang w:eastAsia="en-US"/>
        </w:rPr>
        <w:t>''''''''''' '''''''''''''''''''''''''''' '''''' ''''''''''''''' '''''' '''''''' '''''''''''''' '''''' ''''''''''''''''''''''''''' ''''''''''''''' '''''' ''''''' '''''''''''' ''''''''</w:t>
      </w:r>
      <w:r w:rsidRPr="00C47C3B">
        <w:rPr>
          <w:rFonts w:asciiTheme="minorHAnsi" w:hAnsiTheme="minorHAnsi" w:cs="Arial"/>
          <w:snapToGrid w:val="0"/>
          <w:szCs w:val="20"/>
          <w:lang w:eastAsia="en-US"/>
        </w:rPr>
        <w:t xml:space="preserve"> The resubmission suggested </w:t>
      </w:r>
      <w:r w:rsidRPr="00C47C3B">
        <w:rPr>
          <w:rFonts w:asciiTheme="minorHAnsi" w:hAnsiTheme="minorHAnsi" w:cs="Arial"/>
          <w:noProof/>
          <w:snapToGrid w:val="0"/>
          <w:color w:val="000000"/>
          <w:szCs w:val="20"/>
          <w:highlight w:val="black"/>
          <w:lang w:eastAsia="en-US"/>
        </w:rPr>
        <w:t>''''''' '''''''''''''''''' '''''''</w:t>
      </w:r>
      <w:r w:rsidRPr="00C47C3B">
        <w:rPr>
          <w:rFonts w:asciiTheme="minorHAnsi" w:hAnsiTheme="minorHAnsi" w:cs="Arial"/>
          <w:snapToGrid w:val="0"/>
          <w:szCs w:val="20"/>
          <w:lang w:eastAsia="en-US"/>
        </w:rPr>
        <w:t xml:space="preserve"> would potentially improve the cost-effectiveness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The ESC considered this was inappropriate since it relied on maintaining the underlying efficacy assumptions in the economic model and only adjusting the costs. </w:t>
      </w:r>
    </w:p>
    <w:p w:rsidR="00C47C3B" w:rsidRPr="00C47C3B" w:rsidRDefault="00C47C3B" w:rsidP="00C47C3B">
      <w:pPr>
        <w:widowControl w:val="0"/>
        <w:numPr>
          <w:ilvl w:val="1"/>
          <w:numId w:val="5"/>
        </w:numPr>
        <w:spacing w:before="120" w:after="160"/>
        <w:ind w:left="720" w:hanging="72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w:t>
      </w:r>
      <w:r w:rsidRPr="00C47C3B">
        <w:rPr>
          <w:rFonts w:asciiTheme="minorHAnsi" w:hAnsiTheme="minorHAnsi" w:cs="Arial"/>
          <w:noProof/>
          <w:snapToGrid w:val="0"/>
          <w:color w:val="000000"/>
          <w:szCs w:val="20"/>
          <w:highlight w:val="black"/>
          <w:lang w:eastAsia="en-US"/>
        </w:rPr>
        <w:t>''''''''''''''''''''''''''''''''''''''''''' ''''''''''''''''''''''''</w:t>
      </w:r>
      <w:r w:rsidRPr="00C47C3B">
        <w:rPr>
          <w:rFonts w:asciiTheme="minorHAnsi" w:hAnsiTheme="minorHAnsi" w:cs="Arial"/>
          <w:snapToGrid w:val="0"/>
          <w:szCs w:val="20"/>
          <w:lang w:eastAsia="en-US"/>
        </w:rPr>
        <w:t xml:space="preserve"> currently in place for </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monotherapy is designed to detect the magnitude of the overall clinical benefits of treatment for individual patients. </w:t>
      </w:r>
      <w:r w:rsidRPr="00C47C3B">
        <w:rPr>
          <w:rFonts w:asciiTheme="minorHAnsi" w:hAnsiTheme="minorHAnsi" w:cs="Arial"/>
          <w:noProof/>
          <w:snapToGrid w:val="0"/>
          <w:color w:val="000000"/>
          <w:szCs w:val="20"/>
          <w:highlight w:val="black"/>
          <w:lang w:eastAsia="en-US"/>
        </w:rPr>
        <w:t>''''''''''''' '''''' ''''''''''''''''''''''''''' ''''''''' ''''''''''''' ''' '''''''''''' ''''' ''' '''''''''''''''''''' ''''''''' '''''''''''''' '''' '''''''''''''''''' '''' ''''''' '''''''' ''''''''' ''''''''''''''' '''''''''''' ''''''''''''' '''' ''''''' '''''''''''''''''' '''' '''''''''''''''' ''''''''''''''' '''' '''''''''''' '''''' ''''''''' '''' '''''''''''''''''''''''''''''''' ''''''' ''' ''''''''''''' ''' ''''''''''''''''' '''''''''''' ''''' '''''''' ''''''''''''''''''''''''</w:t>
      </w:r>
      <w:r w:rsidRPr="00C47C3B">
        <w:rPr>
          <w:rFonts w:asciiTheme="minorHAnsi" w:hAnsiTheme="minorHAnsi" w:cs="Arial"/>
          <w:snapToGrid w:val="0"/>
          <w:szCs w:val="20"/>
          <w:lang w:eastAsia="en-US"/>
        </w:rPr>
        <w:t xml:space="preserve"> The resubmission described this approach as “burdensome” to both clinicians and the Department of Health and “complex” from a data collection, data management, and data analysis perspective.</w:t>
      </w:r>
    </w:p>
    <w:p w:rsidR="00C47C3B" w:rsidRPr="00C47C3B" w:rsidRDefault="00C47C3B" w:rsidP="00C47C3B">
      <w:pPr>
        <w:widowControl w:val="0"/>
        <w:numPr>
          <w:ilvl w:val="1"/>
          <w:numId w:val="5"/>
        </w:numPr>
        <w:spacing w:before="120" w:after="160"/>
        <w:ind w:left="720" w:hanging="720"/>
        <w:jc w:val="both"/>
        <w:rPr>
          <w:rFonts w:asciiTheme="minorHAnsi" w:hAnsiTheme="minorHAnsi" w:cs="Arial"/>
          <w:snapToGrid w:val="0"/>
          <w:szCs w:val="20"/>
          <w:lang w:eastAsia="en-US"/>
        </w:rPr>
      </w:pPr>
      <w:bookmarkStart w:id="85" w:name="_Ref482265609"/>
      <w:r w:rsidRPr="00C47C3B">
        <w:rPr>
          <w:rFonts w:asciiTheme="minorHAnsi" w:hAnsiTheme="minorHAnsi" w:cs="Arial"/>
          <w:snapToGrid w:val="0"/>
          <w:szCs w:val="20"/>
          <w:lang w:eastAsia="en-US"/>
        </w:rPr>
        <w:t xml:space="preserve">The ESC considered that the proposal for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is less robust than </w:t>
      </w:r>
      <w:r w:rsidRPr="00C47C3B">
        <w:rPr>
          <w:rFonts w:asciiTheme="minorHAnsi" w:hAnsiTheme="minorHAnsi" w:cs="Arial"/>
          <w:noProof/>
          <w:snapToGrid w:val="0"/>
          <w:color w:val="000000"/>
          <w:szCs w:val="20"/>
          <w:highlight w:val="black"/>
          <w:lang w:eastAsia="en-US"/>
        </w:rPr>
        <w:t xml:space="preserve">'''''' '''''''''''''' '''''''''''''''''''''''''''''''''''''''''' ''''''''''''''''''''''''' </w:t>
      </w:r>
      <w:r w:rsidRPr="00C47C3B">
        <w:rPr>
          <w:rFonts w:asciiTheme="minorHAnsi" w:hAnsiTheme="minorHAnsi" w:cs="Arial"/>
          <w:snapToGrid w:val="0"/>
          <w:szCs w:val="20"/>
          <w:lang w:eastAsia="en-US"/>
        </w:rPr>
        <w:t xml:space="preserve">that apply to </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monotherapy in that they do not rely on </w:t>
      </w:r>
      <w:r w:rsidRPr="00C47C3B">
        <w:rPr>
          <w:rFonts w:asciiTheme="minorHAnsi" w:hAnsiTheme="minorHAnsi" w:cs="Arial"/>
          <w:noProof/>
          <w:snapToGrid w:val="0"/>
          <w:color w:val="000000"/>
          <w:szCs w:val="20"/>
          <w:highlight w:val="black"/>
          <w:lang w:eastAsia="en-US"/>
        </w:rPr>
        <w:t>'''''''''''''''' ''''''''''''''''''''''' '''' ''''' '''''''''''''''''''''''''''</w:t>
      </w:r>
      <w:r w:rsidRPr="00C47C3B">
        <w:rPr>
          <w:rFonts w:asciiTheme="minorHAnsi" w:hAnsiTheme="minorHAnsi" w:cs="Arial"/>
          <w:snapToGrid w:val="0"/>
          <w:szCs w:val="20"/>
          <w:lang w:eastAsia="en-US"/>
        </w:rPr>
        <w:t xml:space="preserve">. In November 2016, the Committee stated that </w:t>
      </w:r>
      <w:r w:rsidRPr="00C47C3B">
        <w:rPr>
          <w:rFonts w:asciiTheme="minorHAnsi" w:hAnsiTheme="minorHAnsi" w:cs="Arial"/>
          <w:noProof/>
          <w:snapToGrid w:val="0"/>
          <w:color w:val="000000"/>
          <w:szCs w:val="20"/>
          <w:highlight w:val="black"/>
          <w:lang w:eastAsia="en-US"/>
        </w:rPr>
        <w:t>'''''''' '''''''''''''' '''''' ''''''''''''''''''''''''''''''''''' ''''''''''''' '''''''''' '''' ''''' ''''''''''' '''''''''''''''''''</w:t>
      </w:r>
      <w:r w:rsidRPr="00C47C3B">
        <w:rPr>
          <w:rFonts w:asciiTheme="minorHAnsi" w:hAnsiTheme="minorHAnsi" w:cs="Arial"/>
          <w:snapToGrid w:val="0"/>
          <w:szCs w:val="20"/>
          <w:lang w:eastAsia="en-US"/>
        </w:rPr>
        <w:t xml:space="preserve"> than the current one for </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monotherapy so as to manage the uncertainty regarding long-term benefits of treatment on lung function and overall survival (7.6 November 2016 PSD).</w:t>
      </w:r>
      <w:bookmarkEnd w:id="22"/>
      <w:bookmarkEnd w:id="23"/>
      <w:bookmarkEnd w:id="24"/>
      <w:bookmarkEnd w:id="25"/>
      <w:bookmarkEnd w:id="26"/>
      <w:bookmarkEnd w:id="27"/>
      <w:bookmarkEnd w:id="28"/>
      <w:bookmarkEnd w:id="29"/>
      <w:bookmarkEnd w:id="83"/>
      <w:bookmarkEnd w:id="85"/>
      <w:r w:rsidRPr="00C47C3B">
        <w:rPr>
          <w:rFonts w:asciiTheme="minorHAnsi" w:hAnsiTheme="minorHAnsi" w:cs="Arial"/>
          <w:snapToGrid w:val="0"/>
          <w:szCs w:val="20"/>
          <w:lang w:eastAsia="en-US"/>
        </w:rPr>
        <w:t xml:space="preserve"> The ESC further considered </w:t>
      </w:r>
      <w:r w:rsidRPr="00C47C3B">
        <w:rPr>
          <w:rFonts w:asciiTheme="minorHAnsi" w:hAnsiTheme="minorHAnsi" w:cs="Arial"/>
          <w:noProof/>
          <w:snapToGrid w:val="0"/>
          <w:color w:val="000000"/>
          <w:szCs w:val="20"/>
          <w:highlight w:val="black"/>
          <w:lang w:eastAsia="en-US"/>
        </w:rPr>
        <w:t>'''''' '''''''''''''''''</w:t>
      </w:r>
      <w:r w:rsidRPr="00C47C3B">
        <w:rPr>
          <w:rFonts w:asciiTheme="minorHAnsi" w:hAnsiTheme="minorHAnsi" w:cs="Arial"/>
          <w:snapToGrid w:val="0"/>
          <w:szCs w:val="20"/>
          <w:lang w:eastAsia="en-US"/>
        </w:rPr>
        <w:t xml:space="preserve"> would not account for changes </w:t>
      </w:r>
      <w:r w:rsidRPr="00C47C3B">
        <w:rPr>
          <w:rFonts w:asciiTheme="minorHAnsi" w:hAnsiTheme="minorHAnsi" w:cs="Arial"/>
          <w:noProof/>
          <w:snapToGrid w:val="0"/>
          <w:color w:val="000000"/>
          <w:szCs w:val="20"/>
          <w:highlight w:val="black"/>
          <w:lang w:eastAsia="en-US"/>
        </w:rPr>
        <w:t>''''''' '''''''' '''''''''''' '''''''''''''''''''''''''''' ''''''''' '''' ''''''''''''''' '''' '''''' '''''''''' ''''''''''''''''''' '''''''''''' ''''''' ''''''''''' ''''''''''''''''''' '''''''''''''''''' ''''' ''''''''''''''''''' ''''''''''''''' ''''''''''''' '''' ''''''''''' ''''''''''' '''''''''' ''''' ''''''''''''''''''''''''' '''''''' ''''''''''' '''''''''''''''''''''' '''' ''''''''''''''''''''''''' ''''''''''''''''''' '''''''''''''''''''' '''''''' ''''''''''''''''''''''' '''''''''''''</w:t>
      </w:r>
    </w:p>
    <w:p w:rsidR="00C47C3B" w:rsidRPr="00C47C3B" w:rsidRDefault="00C47C3B" w:rsidP="00C47C3B">
      <w:pPr>
        <w:widowControl w:val="0"/>
        <w:numPr>
          <w:ilvl w:val="1"/>
          <w:numId w:val="5"/>
        </w:numPr>
        <w:spacing w:before="120" w:after="160"/>
        <w:ind w:left="720" w:hanging="720"/>
        <w:jc w:val="both"/>
        <w:rPr>
          <w:rFonts w:asciiTheme="minorHAnsi" w:hAnsiTheme="minorHAnsi" w:cs="Arial"/>
          <w:snapToGrid w:val="0"/>
          <w:szCs w:val="20"/>
          <w:lang w:eastAsia="en-US"/>
        </w:rPr>
      </w:pPr>
      <w:r w:rsidRPr="00C47C3B">
        <w:rPr>
          <w:rFonts w:asciiTheme="minorHAnsi" w:hAnsiTheme="minorHAnsi" w:cs="Arial"/>
          <w:snapToGrid w:val="0"/>
          <w:szCs w:val="20"/>
          <w:lang w:eastAsia="en-US"/>
        </w:rPr>
        <w:t xml:space="preserve">The PBAC considered that </w:t>
      </w:r>
      <w:r w:rsidRPr="00C47C3B">
        <w:rPr>
          <w:rFonts w:asciiTheme="minorHAnsi" w:hAnsiTheme="minorHAnsi" w:cs="Arial"/>
          <w:noProof/>
          <w:snapToGrid w:val="0"/>
          <w:color w:val="000000"/>
          <w:szCs w:val="20"/>
          <w:highlight w:val="black"/>
          <w:lang w:eastAsia="en-US"/>
        </w:rPr>
        <w:t xml:space="preserve">'''''' ''''''''''''''''''' '''''''''''''''''''''''''''''''''''' </w:t>
      </w:r>
      <w:r w:rsidRPr="00C47C3B">
        <w:rPr>
          <w:rFonts w:asciiTheme="minorHAnsi" w:hAnsiTheme="minorHAnsi" w:cs="Arial"/>
          <w:snapToGrid w:val="0"/>
          <w:szCs w:val="20"/>
          <w:lang w:eastAsia="en-US"/>
        </w:rPr>
        <w:t xml:space="preserve">arrangement would not be suitable for managing the uncertainty in the long-term outcomes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as multiple factors could impact on </w:t>
      </w:r>
      <w:r w:rsidRPr="00C47C3B">
        <w:rPr>
          <w:rFonts w:asciiTheme="minorHAnsi" w:hAnsiTheme="minorHAnsi" w:cs="Arial"/>
          <w:noProof/>
          <w:snapToGrid w:val="0"/>
          <w:color w:val="000000"/>
          <w:szCs w:val="20"/>
          <w:highlight w:val="black"/>
          <w:lang w:eastAsia="en-US"/>
        </w:rPr>
        <w:t>'''''''''''''''' ''' '''''''''''''' ''' ''''''''''''''''''''''</w:t>
      </w:r>
      <w:r w:rsidRPr="00C47C3B">
        <w:rPr>
          <w:rFonts w:asciiTheme="minorHAnsi" w:hAnsiTheme="minorHAnsi" w:cs="Arial"/>
          <w:snapToGrid w:val="0"/>
          <w:szCs w:val="20"/>
          <w:lang w:eastAsia="en-US"/>
        </w:rPr>
        <w:t xml:space="preserve">. Furthermore, </w:t>
      </w:r>
      <w:r w:rsidRPr="00C47C3B">
        <w:rPr>
          <w:rFonts w:asciiTheme="minorHAnsi" w:hAnsiTheme="minorHAnsi" w:cs="Arial"/>
          <w:noProof/>
          <w:snapToGrid w:val="0"/>
          <w:color w:val="000000"/>
          <w:szCs w:val="20"/>
          <w:highlight w:val="black"/>
          <w:lang w:eastAsia="en-US"/>
        </w:rPr>
        <w:t>''''''''''''''''' ''''''' ''''''''''''''' ''''''''''''''' '''' ''''''''''''''''''''''''''' '''''' ''''''''''''' '''''' '''''''' ''' '''''''''''''''' '''''''''''' ''' ''''''''''''''''''''' '''''''''''' ''''' '''''' '''''''''' ''''''''''' ''''''' ''''' ''' ''''''''''''' '''''''''''''''' ''''' '''''''''''''''''''''''''''' '''''''''''''''''''''' ''''''''''' '''''''''' ''' ''''''''''''''''''''' ''''' ''' '''''''''''''''' '''''''''''''</w:t>
      </w:r>
      <w:r w:rsidRPr="00C47C3B">
        <w:rPr>
          <w:rFonts w:asciiTheme="minorHAnsi" w:hAnsiTheme="minorHAnsi" w:cs="Arial"/>
          <w:snapToGrid w:val="0"/>
          <w:szCs w:val="20"/>
          <w:lang w:eastAsia="en-US"/>
        </w:rPr>
        <w:t xml:space="preserve"> However, the PBAC agreed with the sponsor that the current </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w:t>
      </w:r>
      <w:r w:rsidRPr="00C47C3B">
        <w:rPr>
          <w:rFonts w:asciiTheme="minorHAnsi" w:hAnsiTheme="minorHAnsi" w:cs="Arial"/>
          <w:noProof/>
          <w:snapToGrid w:val="0"/>
          <w:color w:val="000000"/>
          <w:szCs w:val="20"/>
          <w:highlight w:val="black"/>
          <w:lang w:eastAsia="en-US"/>
        </w:rPr>
        <w:t>''''''''''''''''''''''''''''''''''''''' ''''''''''''''''''''''''</w:t>
      </w:r>
      <w:r w:rsidRPr="00C47C3B">
        <w:rPr>
          <w:rFonts w:asciiTheme="minorHAnsi" w:hAnsiTheme="minorHAnsi" w:cs="Arial"/>
          <w:snapToGrid w:val="0"/>
          <w:szCs w:val="20"/>
          <w:lang w:eastAsia="en-US"/>
        </w:rPr>
        <w:t xml:space="preserve"> is complex and administratively burdensome and that </w:t>
      </w:r>
      <w:r w:rsidRPr="00C47C3B">
        <w:rPr>
          <w:rFonts w:asciiTheme="minorHAnsi" w:hAnsiTheme="minorHAnsi" w:cs="Arial"/>
          <w:noProof/>
          <w:snapToGrid w:val="0"/>
          <w:color w:val="000000"/>
          <w:szCs w:val="20"/>
          <w:highlight w:val="black"/>
          <w:lang w:eastAsia="en-US"/>
        </w:rPr>
        <w:t>''' ''''''''''' ''''' ''''''''''' '''''''''''''''' '''''''''''''''''''''' ''''''''''' '''''' '''''' ''' ''''''''''''''''' '''''''''''''' ''''' ''''''''''''''''' ''''''' ''''''''''''''''''''' '''' ''''''''''''''''''' ''''''''''''''''' ''''' ''''''''''''''''''''''''''''''''''''''</w:t>
      </w:r>
      <w:r w:rsidRPr="00C47C3B">
        <w:rPr>
          <w:rFonts w:asciiTheme="minorHAnsi" w:hAnsiTheme="minorHAnsi" w:cs="Arial"/>
          <w:snapToGrid w:val="0"/>
          <w:szCs w:val="20"/>
          <w:lang w:eastAsia="en-US"/>
        </w:rPr>
        <w:t xml:space="preserve">. In this regard, the PBAC reiterated that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may be acceptable for recommendation at a DPMQ of $</w:t>
      </w:r>
      <w:r w:rsidRPr="00C47C3B">
        <w:rPr>
          <w:rFonts w:asciiTheme="minorHAnsi" w:hAnsiTheme="minorHAnsi" w:cs="Arial"/>
          <w:noProof/>
          <w:snapToGrid w:val="0"/>
          <w:color w:val="000000"/>
          <w:szCs w:val="20"/>
          <w:highlight w:val="black"/>
          <w:lang w:eastAsia="en-US"/>
        </w:rPr>
        <w:t>'''''''''</w:t>
      </w:r>
      <w:r w:rsidRPr="00C47C3B">
        <w:rPr>
          <w:rFonts w:asciiTheme="minorHAnsi" w:hAnsiTheme="minorHAnsi" w:cs="Arial"/>
          <w:snapToGrid w:val="0"/>
          <w:szCs w:val="20"/>
          <w:lang w:eastAsia="en-US"/>
        </w:rPr>
        <w:t xml:space="preserve">, in conjunction with an agreement between the sponsor of </w:t>
      </w:r>
      <w:proofErr w:type="spellStart"/>
      <w:r w:rsidRPr="00C47C3B">
        <w:rPr>
          <w:rFonts w:asciiTheme="minorHAnsi" w:hAnsiTheme="minorHAnsi" w:cs="Arial"/>
          <w:snapToGrid w:val="0"/>
          <w:szCs w:val="20"/>
          <w:lang w:eastAsia="en-US"/>
        </w:rPr>
        <w:t>lumacaftor</w:t>
      </w:r>
      <w:proofErr w:type="spellEnd"/>
      <w:r w:rsidRPr="00C47C3B">
        <w:rPr>
          <w:rFonts w:asciiTheme="minorHAnsi" w:hAnsiTheme="minorHAnsi" w:cs="Arial"/>
          <w:snapToGrid w:val="0"/>
          <w:szCs w:val="20"/>
          <w:lang w:eastAsia="en-US"/>
        </w:rPr>
        <w:t>/</w:t>
      </w:r>
      <w:proofErr w:type="spellStart"/>
      <w:r w:rsidRPr="00C47C3B">
        <w:rPr>
          <w:rFonts w:asciiTheme="minorHAnsi" w:hAnsiTheme="minorHAnsi" w:cs="Arial"/>
          <w:snapToGrid w:val="0"/>
          <w:szCs w:val="20"/>
          <w:lang w:eastAsia="en-US"/>
        </w:rPr>
        <w:t>ivacaftor</w:t>
      </w:r>
      <w:proofErr w:type="spellEnd"/>
      <w:r w:rsidRPr="00C47C3B">
        <w:rPr>
          <w:rFonts w:asciiTheme="minorHAnsi" w:hAnsiTheme="minorHAnsi" w:cs="Arial"/>
          <w:snapToGrid w:val="0"/>
          <w:szCs w:val="20"/>
          <w:lang w:eastAsia="en-US"/>
        </w:rPr>
        <w:t xml:space="preserve"> and the Government to cap the maximum financial expenditure based on this price and the submission’s utilisation estimates, with a 100% rebate thereafter.</w:t>
      </w:r>
    </w:p>
    <w:p w:rsidR="00C47C3B" w:rsidRPr="00C47C3B" w:rsidRDefault="00C47C3B" w:rsidP="00C47C3B">
      <w:pPr>
        <w:spacing w:after="120"/>
        <w:ind w:left="360" w:firstLine="360"/>
        <w:jc w:val="both"/>
        <w:rPr>
          <w:rFonts w:asciiTheme="minorHAnsi" w:hAnsiTheme="minorHAnsi" w:cs="Arial"/>
          <w:i/>
          <w:snapToGrid w:val="0"/>
          <w:szCs w:val="20"/>
          <w:lang w:eastAsia="en-US"/>
        </w:rPr>
      </w:pPr>
      <w:r w:rsidRPr="00C47C3B">
        <w:rPr>
          <w:rFonts w:asciiTheme="minorHAnsi" w:hAnsiTheme="minorHAnsi" w:cs="Arial"/>
          <w:i/>
          <w:snapToGrid w:val="0"/>
          <w:szCs w:val="20"/>
          <w:lang w:eastAsia="en-US"/>
        </w:rPr>
        <w:t>For more detail on PBAC’s view, see section 7 “PBAC outcome.”</w:t>
      </w:r>
    </w:p>
    <w:p w:rsidR="00C47C3B" w:rsidRPr="0073784D" w:rsidRDefault="00C47C3B" w:rsidP="0073784D">
      <w:pPr>
        <w:pStyle w:val="PBACHeading1"/>
        <w:spacing w:before="240" w:after="120"/>
        <w:rPr>
          <w:rFonts w:asciiTheme="minorHAnsi" w:hAnsiTheme="minorHAnsi" w:cstheme="minorHAnsi"/>
          <w:sz w:val="32"/>
        </w:rPr>
      </w:pPr>
      <w:r w:rsidRPr="0073784D">
        <w:rPr>
          <w:rFonts w:asciiTheme="minorHAnsi" w:hAnsiTheme="minorHAnsi" w:cstheme="minorHAnsi"/>
          <w:sz w:val="32"/>
        </w:rPr>
        <w:lastRenderedPageBreak/>
        <w:t>PBAC Outcome</w:t>
      </w:r>
    </w:p>
    <w:p w:rsidR="00C47C3B" w:rsidRPr="00C47C3B" w:rsidRDefault="00C47C3B" w:rsidP="00C47C3B">
      <w:pPr>
        <w:widowControl w:val="0"/>
        <w:numPr>
          <w:ilvl w:val="1"/>
          <w:numId w:val="1"/>
        </w:numPr>
        <w:spacing w:after="120"/>
        <w:jc w:val="both"/>
        <w:rPr>
          <w:rFonts w:asciiTheme="minorHAnsi" w:hAnsiTheme="minorHAnsi" w:cs="Arial"/>
          <w:snapToGrid w:val="0"/>
          <w:lang w:val="en-GB" w:eastAsia="en-US"/>
        </w:rPr>
      </w:pP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 xml:space="preserve"> with </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was not recommended by the PBAC for listing on the PBS for the treatment of patients with CF aged 12 years or older who are homozygous for the F508del mutation in the CFTR gene on the basis of unacceptable high cost</w:t>
      </w:r>
      <w:r w:rsidRPr="00C47C3B">
        <w:rPr>
          <w:rFonts w:asciiTheme="minorHAnsi" w:hAnsiTheme="minorHAnsi" w:cs="Arial"/>
          <w:snapToGrid w:val="0"/>
          <w:lang w:eastAsia="en-US"/>
        </w:rPr>
        <w:noBreakHyphen/>
        <w:t xml:space="preserve">effectiveness at the requested price and uncertainty around the longer term impact of </w:t>
      </w:r>
      <w:proofErr w:type="spellStart"/>
      <w:r w:rsidRPr="00C47C3B">
        <w:rPr>
          <w:rFonts w:asciiTheme="minorHAnsi" w:hAnsiTheme="minorHAnsi" w:cs="Arial"/>
          <w:snapToGrid w:val="0"/>
          <w:lang w:eastAsia="en-US"/>
        </w:rPr>
        <w:t>lumacaftor</w:t>
      </w:r>
      <w:proofErr w:type="spellEnd"/>
      <w:r w:rsidRPr="00C47C3B">
        <w:rPr>
          <w:rFonts w:asciiTheme="minorHAnsi" w:hAnsiTheme="minorHAnsi" w:cs="Arial"/>
          <w:snapToGrid w:val="0"/>
          <w:lang w:eastAsia="en-US"/>
        </w:rPr>
        <w:t>/</w:t>
      </w:r>
      <w:proofErr w:type="spellStart"/>
      <w:r w:rsidRPr="00C47C3B">
        <w:rPr>
          <w:rFonts w:asciiTheme="minorHAnsi" w:hAnsiTheme="minorHAnsi" w:cs="Arial"/>
          <w:snapToGrid w:val="0"/>
          <w:lang w:eastAsia="en-US"/>
        </w:rPr>
        <w:t>ivacaftor</w:t>
      </w:r>
      <w:proofErr w:type="spellEnd"/>
      <w:r w:rsidRPr="00C47C3B">
        <w:rPr>
          <w:rFonts w:asciiTheme="minorHAnsi" w:hAnsiTheme="minorHAnsi" w:cs="Arial"/>
          <w:snapToGrid w:val="0"/>
          <w:lang w:eastAsia="en-US"/>
        </w:rPr>
        <w:t xml:space="preserve"> on lung function and survival beyond 2 years of treatment.</w:t>
      </w:r>
    </w:p>
    <w:p w:rsidR="00C47C3B" w:rsidRPr="00C47C3B" w:rsidRDefault="00C47C3B" w:rsidP="00C47C3B">
      <w:pPr>
        <w:widowControl w:val="0"/>
        <w:numPr>
          <w:ilvl w:val="1"/>
          <w:numId w:val="1"/>
        </w:numPr>
        <w:spacing w:after="120"/>
        <w:jc w:val="both"/>
        <w:rPr>
          <w:rFonts w:asciiTheme="minorHAnsi" w:hAnsiTheme="minorHAnsi" w:cs="Arial"/>
          <w:snapToGrid w:val="0"/>
          <w:lang w:val="en-GB" w:eastAsia="en-US"/>
        </w:rPr>
      </w:pPr>
      <w:r w:rsidRPr="00C47C3B">
        <w:rPr>
          <w:rFonts w:asciiTheme="minorHAnsi" w:hAnsiTheme="minorHAnsi" w:cs="Arial"/>
          <w:snapToGrid w:val="0"/>
          <w:lang w:val="en-GB" w:eastAsia="en-US"/>
        </w:rPr>
        <w:t xml:space="preserve">The PBAC recognised the potential clinical value of </w:t>
      </w:r>
      <w:proofErr w:type="spellStart"/>
      <w:r w:rsidRPr="00C47C3B">
        <w:rPr>
          <w:rFonts w:asciiTheme="minorHAnsi" w:hAnsiTheme="minorHAnsi" w:cs="Arial"/>
          <w:snapToGrid w:val="0"/>
          <w:lang w:val="en-GB" w:eastAsia="en-US"/>
        </w:rPr>
        <w:t>lumacaftor</w:t>
      </w:r>
      <w:proofErr w:type="spellEnd"/>
      <w:r w:rsidRPr="00C47C3B">
        <w:rPr>
          <w:rFonts w:asciiTheme="minorHAnsi" w:hAnsiTheme="minorHAnsi" w:cs="Arial"/>
          <w:snapToGrid w:val="0"/>
          <w:lang w:val="en-GB" w:eastAsia="en-US"/>
        </w:rPr>
        <w:t>/</w:t>
      </w:r>
      <w:proofErr w:type="spellStart"/>
      <w:r w:rsidRPr="00C47C3B">
        <w:rPr>
          <w:rFonts w:asciiTheme="minorHAnsi" w:hAnsiTheme="minorHAnsi" w:cs="Arial"/>
          <w:snapToGrid w:val="0"/>
          <w:lang w:val="en-GB" w:eastAsia="en-US"/>
        </w:rPr>
        <w:t>ivacaftor</w:t>
      </w:r>
      <w:proofErr w:type="spellEnd"/>
      <w:r w:rsidRPr="00C47C3B">
        <w:rPr>
          <w:rFonts w:asciiTheme="minorHAnsi" w:hAnsiTheme="minorHAnsi" w:cs="Arial"/>
          <w:snapToGrid w:val="0"/>
          <w:lang w:val="en-GB" w:eastAsia="en-US"/>
        </w:rPr>
        <w:t xml:space="preserve"> in the treatment of cystic fibrosis in patients aged 12 years or older who are homozygous for the F508del mutation. The PBAC acknowledged the many consumer comments and the correspondence from Cystic Fibrosis Australia relating to this resubmission and recognised the strong support for subsidised access to </w:t>
      </w:r>
      <w:proofErr w:type="spellStart"/>
      <w:r w:rsidRPr="00C47C3B">
        <w:rPr>
          <w:rFonts w:asciiTheme="minorHAnsi" w:hAnsiTheme="minorHAnsi" w:cs="Arial"/>
          <w:snapToGrid w:val="0"/>
          <w:lang w:val="en-GB" w:eastAsia="en-US"/>
        </w:rPr>
        <w:t>lumacaftor</w:t>
      </w:r>
      <w:proofErr w:type="spellEnd"/>
      <w:r w:rsidRPr="00C47C3B">
        <w:rPr>
          <w:rFonts w:asciiTheme="minorHAnsi" w:hAnsiTheme="minorHAnsi" w:cs="Arial"/>
          <w:snapToGrid w:val="0"/>
          <w:lang w:val="en-GB" w:eastAsia="en-US"/>
        </w:rPr>
        <w:t>/</w:t>
      </w:r>
      <w:proofErr w:type="spellStart"/>
      <w:r w:rsidRPr="00C47C3B">
        <w:rPr>
          <w:rFonts w:asciiTheme="minorHAnsi" w:hAnsiTheme="minorHAnsi" w:cs="Arial"/>
          <w:snapToGrid w:val="0"/>
          <w:lang w:val="en-GB" w:eastAsia="en-US"/>
        </w:rPr>
        <w:t>ivacaftor</w:t>
      </w:r>
      <w:proofErr w:type="spellEnd"/>
      <w:r w:rsidRPr="00C47C3B">
        <w:rPr>
          <w:rFonts w:asciiTheme="minorHAnsi" w:hAnsiTheme="minorHAnsi" w:cs="Arial"/>
          <w:snapToGrid w:val="0"/>
          <w:lang w:val="en-GB" w:eastAsia="en-US"/>
        </w:rPr>
        <w:t>.</w:t>
      </w:r>
      <w:r w:rsidRPr="00C47C3B" w:rsidDel="00646936">
        <w:rPr>
          <w:rFonts w:asciiTheme="minorHAnsi" w:hAnsiTheme="minorHAnsi" w:cs="Arial"/>
          <w:snapToGrid w:val="0"/>
          <w:lang w:val="en-GB" w:eastAsia="en-US"/>
        </w:rPr>
        <w:t xml:space="preserve"> </w:t>
      </w:r>
    </w:p>
    <w:p w:rsidR="00C47C3B" w:rsidRPr="00C47C3B" w:rsidRDefault="00C47C3B" w:rsidP="00C47C3B">
      <w:pPr>
        <w:widowControl w:val="0"/>
        <w:numPr>
          <w:ilvl w:val="1"/>
          <w:numId w:val="1"/>
        </w:numPr>
        <w:spacing w:after="120"/>
        <w:jc w:val="both"/>
        <w:rPr>
          <w:rFonts w:asciiTheme="minorHAnsi" w:hAnsiTheme="minorHAnsi" w:cs="Arial"/>
          <w:bCs/>
          <w:snapToGrid w:val="0"/>
          <w:lang w:val="en-GB" w:eastAsia="en-US"/>
        </w:rPr>
      </w:pPr>
      <w:r w:rsidRPr="00C47C3B">
        <w:rPr>
          <w:rFonts w:asciiTheme="minorHAnsi" w:hAnsiTheme="minorHAnsi" w:cs="Arial"/>
          <w:bCs/>
          <w:snapToGrid w:val="0"/>
          <w:lang w:val="en-GB" w:eastAsia="en-US"/>
        </w:rPr>
        <w:t xml:space="preserve">The PBAC recalled that it previously rejected </w:t>
      </w:r>
      <w:proofErr w:type="spellStart"/>
      <w:r w:rsidRPr="00C47C3B">
        <w:rPr>
          <w:rFonts w:asciiTheme="minorHAnsi" w:hAnsiTheme="minorHAnsi" w:cs="Arial"/>
          <w:bCs/>
          <w:snapToGrid w:val="0"/>
          <w:lang w:val="en-GB" w:eastAsia="en-US"/>
        </w:rPr>
        <w:t>lumacaftor</w:t>
      </w:r>
      <w:proofErr w:type="spellEnd"/>
      <w:r w:rsidRPr="00C47C3B">
        <w:rPr>
          <w:rFonts w:asciiTheme="minorHAnsi" w:hAnsiTheme="minorHAnsi" w:cs="Arial"/>
          <w:bCs/>
          <w:snapToGrid w:val="0"/>
          <w:lang w:val="en-GB" w:eastAsia="en-US"/>
        </w:rPr>
        <w:t>/</w:t>
      </w:r>
      <w:proofErr w:type="spellStart"/>
      <w:r w:rsidRPr="00C47C3B">
        <w:rPr>
          <w:rFonts w:asciiTheme="minorHAnsi" w:hAnsiTheme="minorHAnsi" w:cs="Arial"/>
          <w:bCs/>
          <w:snapToGrid w:val="0"/>
          <w:lang w:val="en-GB" w:eastAsia="en-US"/>
        </w:rPr>
        <w:t>ivacaftor</w:t>
      </w:r>
      <w:proofErr w:type="spellEnd"/>
      <w:r w:rsidRPr="00C47C3B">
        <w:rPr>
          <w:rFonts w:asciiTheme="minorHAnsi" w:hAnsiTheme="minorHAnsi" w:cs="Arial"/>
          <w:bCs/>
          <w:snapToGrid w:val="0"/>
          <w:lang w:val="en-GB" w:eastAsia="en-US"/>
        </w:rPr>
        <w:t xml:space="preserve"> at its March 2016 meeting on the basis of unacceptably high and uncertain incremental cost</w:t>
      </w:r>
      <w:r w:rsidRPr="00C47C3B">
        <w:rPr>
          <w:rFonts w:asciiTheme="minorHAnsi" w:hAnsiTheme="minorHAnsi" w:cs="Arial"/>
          <w:bCs/>
          <w:snapToGrid w:val="0"/>
          <w:lang w:val="en-GB" w:eastAsia="en-US"/>
        </w:rPr>
        <w:noBreakHyphen/>
        <w:t xml:space="preserve">effectiveness ratio at the requested price, and uncertainty around the impact of </w:t>
      </w:r>
      <w:proofErr w:type="spellStart"/>
      <w:r w:rsidRPr="00C47C3B">
        <w:rPr>
          <w:rFonts w:asciiTheme="minorHAnsi" w:hAnsiTheme="minorHAnsi" w:cs="Arial"/>
          <w:bCs/>
          <w:snapToGrid w:val="0"/>
          <w:lang w:val="en-GB" w:eastAsia="en-US"/>
        </w:rPr>
        <w:t>lumacaftor</w:t>
      </w:r>
      <w:proofErr w:type="spellEnd"/>
      <w:r w:rsidRPr="00C47C3B">
        <w:rPr>
          <w:rFonts w:asciiTheme="minorHAnsi" w:hAnsiTheme="minorHAnsi" w:cs="Arial"/>
          <w:bCs/>
          <w:snapToGrid w:val="0"/>
          <w:lang w:val="en-GB" w:eastAsia="en-US"/>
        </w:rPr>
        <w:t>/</w:t>
      </w:r>
      <w:proofErr w:type="spellStart"/>
      <w:r w:rsidRPr="00C47C3B">
        <w:rPr>
          <w:rFonts w:asciiTheme="minorHAnsi" w:hAnsiTheme="minorHAnsi" w:cs="Arial"/>
          <w:bCs/>
          <w:snapToGrid w:val="0"/>
          <w:lang w:val="en-GB" w:eastAsia="en-US"/>
        </w:rPr>
        <w:t>ivacaftor</w:t>
      </w:r>
      <w:proofErr w:type="spellEnd"/>
      <w:r w:rsidRPr="00C47C3B">
        <w:rPr>
          <w:rFonts w:asciiTheme="minorHAnsi" w:hAnsiTheme="minorHAnsi" w:cs="Arial"/>
          <w:bCs/>
          <w:snapToGrid w:val="0"/>
          <w:lang w:val="en-GB" w:eastAsia="en-US"/>
        </w:rPr>
        <w:t xml:space="preserve"> on long-term improvements in lung function and survival. The PBAC subsequently rejected a minor resubmission for </w:t>
      </w:r>
      <w:proofErr w:type="spellStart"/>
      <w:r w:rsidRPr="00C47C3B">
        <w:rPr>
          <w:rFonts w:asciiTheme="minorHAnsi" w:hAnsiTheme="minorHAnsi" w:cs="Arial"/>
          <w:bCs/>
          <w:snapToGrid w:val="0"/>
          <w:lang w:val="en-GB" w:eastAsia="en-US"/>
        </w:rPr>
        <w:t>lumacaftor</w:t>
      </w:r>
      <w:proofErr w:type="spellEnd"/>
      <w:r w:rsidRPr="00C47C3B">
        <w:rPr>
          <w:rFonts w:asciiTheme="minorHAnsi" w:hAnsiTheme="minorHAnsi" w:cs="Arial"/>
          <w:bCs/>
          <w:snapToGrid w:val="0"/>
          <w:lang w:val="en-GB" w:eastAsia="en-US"/>
        </w:rPr>
        <w:t>/</w:t>
      </w:r>
      <w:proofErr w:type="spellStart"/>
      <w:r w:rsidRPr="00C47C3B">
        <w:rPr>
          <w:rFonts w:asciiTheme="minorHAnsi" w:hAnsiTheme="minorHAnsi" w:cs="Arial"/>
          <w:bCs/>
          <w:snapToGrid w:val="0"/>
          <w:lang w:val="en-GB" w:eastAsia="en-US"/>
        </w:rPr>
        <w:t>ivacaftor</w:t>
      </w:r>
      <w:proofErr w:type="spellEnd"/>
      <w:r w:rsidRPr="00C47C3B">
        <w:rPr>
          <w:rFonts w:asciiTheme="minorHAnsi" w:hAnsiTheme="minorHAnsi" w:cs="Arial"/>
          <w:bCs/>
          <w:snapToGrid w:val="0"/>
          <w:lang w:val="en-GB" w:eastAsia="en-US"/>
        </w:rPr>
        <w:t xml:space="preserve"> at its November 2016 meeting, noting that the resubmission did not address the issues it identified in March 2016. </w:t>
      </w:r>
    </w:p>
    <w:p w:rsidR="00C47C3B" w:rsidRPr="00C47C3B" w:rsidRDefault="00C47C3B" w:rsidP="00C47C3B">
      <w:pPr>
        <w:widowControl w:val="0"/>
        <w:numPr>
          <w:ilvl w:val="1"/>
          <w:numId w:val="1"/>
        </w:numPr>
        <w:spacing w:before="120" w:after="120"/>
        <w:jc w:val="both"/>
        <w:rPr>
          <w:rFonts w:asciiTheme="minorHAnsi" w:hAnsiTheme="minorHAnsi" w:cs="Arial"/>
          <w:snapToGrid w:val="0"/>
          <w:szCs w:val="20"/>
          <w:lang w:val="en-US" w:eastAsia="en-US"/>
        </w:rPr>
      </w:pPr>
      <w:r w:rsidRPr="00C47C3B">
        <w:rPr>
          <w:rFonts w:asciiTheme="minorHAnsi" w:hAnsiTheme="minorHAnsi" w:cs="Arial"/>
          <w:bCs/>
          <w:snapToGrid w:val="0"/>
          <w:lang w:val="en-GB" w:eastAsia="en-US"/>
        </w:rPr>
        <w:t>The PBAC noted that updated evidence from the PROGRESS extension study demonstrated that the modest 2.81 percentage point improvement in ppFEV</w:t>
      </w:r>
      <w:r w:rsidRPr="00C47C3B">
        <w:rPr>
          <w:rFonts w:asciiTheme="minorHAnsi" w:hAnsiTheme="minorHAnsi" w:cs="Arial"/>
          <w:bCs/>
          <w:snapToGrid w:val="0"/>
          <w:vertAlign w:val="subscript"/>
          <w:lang w:val="en-GB" w:eastAsia="en-US"/>
        </w:rPr>
        <w:t>1</w:t>
      </w:r>
      <w:r w:rsidRPr="00C47C3B">
        <w:rPr>
          <w:rFonts w:asciiTheme="minorHAnsi" w:hAnsiTheme="minorHAnsi" w:cs="Arial"/>
          <w:bCs/>
          <w:snapToGrid w:val="0"/>
          <w:lang w:val="en-GB" w:eastAsia="en-US"/>
        </w:rPr>
        <w:t xml:space="preserve"> in </w:t>
      </w:r>
      <w:proofErr w:type="spellStart"/>
      <w:r w:rsidRPr="00C47C3B">
        <w:rPr>
          <w:rFonts w:asciiTheme="minorHAnsi" w:hAnsiTheme="minorHAnsi" w:cs="Arial"/>
          <w:bCs/>
          <w:snapToGrid w:val="0"/>
          <w:lang w:val="en-GB" w:eastAsia="en-US"/>
        </w:rPr>
        <w:t>lumacaftor</w:t>
      </w:r>
      <w:proofErr w:type="spellEnd"/>
      <w:r w:rsidRPr="00C47C3B">
        <w:rPr>
          <w:rFonts w:asciiTheme="minorHAnsi" w:hAnsiTheme="minorHAnsi" w:cs="Arial"/>
          <w:bCs/>
          <w:snapToGrid w:val="0"/>
          <w:lang w:val="en-GB" w:eastAsia="en-US"/>
        </w:rPr>
        <w:t>/</w:t>
      </w:r>
      <w:proofErr w:type="spellStart"/>
      <w:r w:rsidRPr="00C47C3B">
        <w:rPr>
          <w:rFonts w:asciiTheme="minorHAnsi" w:hAnsiTheme="minorHAnsi" w:cs="Arial"/>
          <w:bCs/>
          <w:snapToGrid w:val="0"/>
          <w:lang w:val="en-GB" w:eastAsia="en-US"/>
        </w:rPr>
        <w:t>ivacaftor</w:t>
      </w:r>
      <w:proofErr w:type="spellEnd"/>
      <w:r w:rsidRPr="00C47C3B">
        <w:rPr>
          <w:rFonts w:asciiTheme="minorHAnsi" w:hAnsiTheme="minorHAnsi" w:cs="Arial"/>
          <w:bCs/>
          <w:snapToGrid w:val="0"/>
          <w:lang w:val="en-GB" w:eastAsia="en-US"/>
        </w:rPr>
        <w:t xml:space="preserve"> treated patients versus placebo observed in TRAFFIC/TRANSPORT at 24 weeks was not maintained after an additional 96 weeks of treatment. </w:t>
      </w:r>
    </w:p>
    <w:p w:rsidR="00C47C3B" w:rsidRPr="00C47C3B" w:rsidRDefault="00C47C3B" w:rsidP="00C47C3B">
      <w:pPr>
        <w:widowControl w:val="0"/>
        <w:numPr>
          <w:ilvl w:val="1"/>
          <w:numId w:val="1"/>
        </w:numPr>
        <w:spacing w:before="120" w:after="120"/>
        <w:jc w:val="both"/>
        <w:rPr>
          <w:rFonts w:asciiTheme="minorHAnsi" w:hAnsiTheme="minorHAnsi" w:cs="Arial"/>
          <w:snapToGrid w:val="0"/>
          <w:szCs w:val="20"/>
          <w:lang w:val="en-US" w:eastAsia="en-US"/>
        </w:rPr>
      </w:pPr>
      <w:r w:rsidRPr="00C47C3B">
        <w:rPr>
          <w:rFonts w:asciiTheme="minorHAnsi" w:hAnsiTheme="minorHAnsi" w:cs="Arial"/>
          <w:snapToGrid w:val="0"/>
          <w:szCs w:val="20"/>
          <w:lang w:val="en-US" w:eastAsia="en-US"/>
        </w:rPr>
        <w:t xml:space="preserve">The submission argued that slowing the rate of deterioration over time is the main objective of CF treatment. The PBAC noted that the submission presented a matched analysis of 455 patients treated with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in the PROGRESS extension study and 1,588 historical control patients from the US CFFPR to compare the rate of decline in ppFEV</w:t>
      </w:r>
      <w:r w:rsidRPr="00C47C3B">
        <w:rPr>
          <w:rFonts w:asciiTheme="minorHAnsi" w:hAnsiTheme="minorHAnsi" w:cs="Arial"/>
          <w:snapToGrid w:val="0"/>
          <w:szCs w:val="20"/>
          <w:vertAlign w:val="subscript"/>
          <w:lang w:val="en-US" w:eastAsia="en-US"/>
        </w:rPr>
        <w:t>1</w:t>
      </w:r>
      <w:r w:rsidRPr="00C47C3B">
        <w:rPr>
          <w:rFonts w:asciiTheme="minorHAnsi" w:hAnsiTheme="minorHAnsi" w:cs="Arial"/>
          <w:snapToGrid w:val="0"/>
          <w:szCs w:val="20"/>
          <w:lang w:val="en-US" w:eastAsia="en-US"/>
        </w:rPr>
        <w:t xml:space="preserve"> for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treated patients to the background deterioration that would have occurred with BSC. The resubmission claimed the results of this matched analysis demonstrated that the annual rate of ppFEV</w:t>
      </w:r>
      <w:r w:rsidRPr="00C47C3B">
        <w:rPr>
          <w:rFonts w:asciiTheme="minorHAnsi" w:hAnsiTheme="minorHAnsi" w:cs="Arial"/>
          <w:snapToGrid w:val="0"/>
          <w:szCs w:val="20"/>
          <w:vertAlign w:val="subscript"/>
          <w:lang w:val="en-US" w:eastAsia="en-US"/>
        </w:rPr>
        <w:t>1</w:t>
      </w:r>
      <w:r w:rsidRPr="00C47C3B">
        <w:rPr>
          <w:rFonts w:asciiTheme="minorHAnsi" w:hAnsiTheme="minorHAnsi" w:cs="Arial"/>
          <w:snapToGrid w:val="0"/>
          <w:szCs w:val="20"/>
          <w:lang w:val="en-US" w:eastAsia="en-US"/>
        </w:rPr>
        <w:t xml:space="preserve"> decline was nearly halved in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snapToGrid w:val="0"/>
          <w:szCs w:val="20"/>
          <w:lang w:val="en-US" w:eastAsia="en-US"/>
        </w:rPr>
        <w:t xml:space="preserve"> treated patients (with an annualized rate of decline of 1.33 percentage points, compared with 2.29 percentage points for the controls). However, a</w:t>
      </w:r>
      <w:r w:rsidRPr="00C47C3B">
        <w:rPr>
          <w:rFonts w:asciiTheme="minorHAnsi" w:hAnsiTheme="minorHAnsi" w:cs="Arial"/>
          <w:bCs/>
          <w:snapToGrid w:val="0"/>
          <w:lang w:val="en-GB" w:eastAsia="en-US"/>
        </w:rPr>
        <w:t xml:space="preserve">s discussed in paragraph 6.22, the PBAC considered that </w:t>
      </w:r>
      <w:r w:rsidRPr="00C47C3B">
        <w:rPr>
          <w:rFonts w:asciiTheme="minorHAnsi" w:hAnsiTheme="minorHAnsi" w:cs="Arial"/>
          <w:snapToGrid w:val="0"/>
          <w:szCs w:val="20"/>
          <w:lang w:val="en-US" w:eastAsia="en-US"/>
        </w:rPr>
        <w:t>the historical control patients from the CFFPR were unlikely to be representative of the patients in TRAFFIC/TRANSPORT or of Australian CF patients, and hence PROGRESS, and the comparison of the reduction in the rate of decline in ppFEV</w:t>
      </w:r>
      <w:r w:rsidRPr="00C47C3B">
        <w:rPr>
          <w:rFonts w:asciiTheme="minorHAnsi" w:hAnsiTheme="minorHAnsi" w:cs="Arial"/>
          <w:snapToGrid w:val="0"/>
          <w:szCs w:val="20"/>
          <w:vertAlign w:val="subscript"/>
          <w:lang w:val="en-US" w:eastAsia="en-US"/>
        </w:rPr>
        <w:t>1</w:t>
      </w:r>
      <w:r w:rsidRPr="00C47C3B">
        <w:rPr>
          <w:rFonts w:asciiTheme="minorHAnsi" w:hAnsiTheme="minorHAnsi" w:cs="Arial"/>
          <w:snapToGrid w:val="0"/>
          <w:szCs w:val="20"/>
          <w:lang w:val="en-US" w:eastAsia="en-US"/>
        </w:rPr>
        <w:t xml:space="preserve"> in PROGRESS versus the CFFPR was likely biased in </w:t>
      </w:r>
      <w:r w:rsidRPr="00C47C3B">
        <w:rPr>
          <w:rFonts w:asciiTheme="minorHAnsi" w:hAnsiTheme="minorHAnsi" w:cs="Arial"/>
          <w:snapToGrid w:val="0"/>
          <w:szCs w:val="20"/>
          <w:lang w:eastAsia="en-US"/>
        </w:rPr>
        <w:t>favour</w:t>
      </w:r>
      <w:r w:rsidRPr="00C47C3B">
        <w:rPr>
          <w:rFonts w:asciiTheme="minorHAnsi" w:hAnsiTheme="minorHAnsi" w:cs="Arial"/>
          <w:snapToGrid w:val="0"/>
          <w:szCs w:val="20"/>
          <w:lang w:val="en-US" w:eastAsia="en-US"/>
        </w:rPr>
        <w:t xml:space="preserve"> of </w:t>
      </w:r>
      <w:proofErr w:type="spellStart"/>
      <w:r w:rsidRPr="00C47C3B">
        <w:rPr>
          <w:rFonts w:asciiTheme="minorHAnsi" w:hAnsiTheme="minorHAnsi" w:cs="Arial"/>
          <w:snapToGrid w:val="0"/>
          <w:szCs w:val="20"/>
          <w:lang w:val="en-US" w:eastAsia="en-US"/>
        </w:rPr>
        <w:t>lumacaftor</w:t>
      </w:r>
      <w:proofErr w:type="spellEnd"/>
      <w:r w:rsidRPr="00C47C3B">
        <w:rPr>
          <w:rFonts w:asciiTheme="minorHAnsi" w:hAnsiTheme="minorHAnsi" w:cs="Arial"/>
          <w:snapToGrid w:val="0"/>
          <w:szCs w:val="20"/>
          <w:lang w:val="en-US" w:eastAsia="en-US"/>
        </w:rPr>
        <w:t>/</w:t>
      </w:r>
      <w:proofErr w:type="spellStart"/>
      <w:r w:rsidRPr="00C47C3B">
        <w:rPr>
          <w:rFonts w:asciiTheme="minorHAnsi" w:hAnsiTheme="minorHAnsi" w:cs="Arial"/>
          <w:snapToGrid w:val="0"/>
          <w:szCs w:val="20"/>
          <w:lang w:val="en-US" w:eastAsia="en-US"/>
        </w:rPr>
        <w:t>ivacaftor</w:t>
      </w:r>
      <w:proofErr w:type="spellEnd"/>
      <w:r w:rsidRPr="00C47C3B">
        <w:rPr>
          <w:rFonts w:asciiTheme="minorHAnsi" w:hAnsiTheme="minorHAnsi" w:cs="Arial"/>
          <w:bCs/>
          <w:snapToGrid w:val="0"/>
          <w:lang w:val="en-GB" w:eastAsia="en-US"/>
        </w:rPr>
        <w:t xml:space="preserve">. Accordingly, the PBAC considered that the claim that </w:t>
      </w:r>
      <w:proofErr w:type="spellStart"/>
      <w:r w:rsidRPr="00C47C3B">
        <w:rPr>
          <w:rFonts w:asciiTheme="minorHAnsi" w:hAnsiTheme="minorHAnsi" w:cs="Arial"/>
          <w:bCs/>
          <w:snapToGrid w:val="0"/>
          <w:lang w:val="en-GB" w:eastAsia="en-US"/>
        </w:rPr>
        <w:t>lumacaftor</w:t>
      </w:r>
      <w:proofErr w:type="spellEnd"/>
      <w:r w:rsidRPr="00C47C3B">
        <w:rPr>
          <w:rFonts w:asciiTheme="minorHAnsi" w:hAnsiTheme="minorHAnsi" w:cs="Arial"/>
          <w:bCs/>
          <w:snapToGrid w:val="0"/>
          <w:lang w:val="en-GB" w:eastAsia="en-US"/>
        </w:rPr>
        <w:t>/</w:t>
      </w:r>
      <w:proofErr w:type="spellStart"/>
      <w:r w:rsidRPr="00C47C3B">
        <w:rPr>
          <w:rFonts w:asciiTheme="minorHAnsi" w:hAnsiTheme="minorHAnsi" w:cs="Arial"/>
          <w:bCs/>
          <w:snapToGrid w:val="0"/>
          <w:lang w:val="en-GB" w:eastAsia="en-US"/>
        </w:rPr>
        <w:t>ivacaftor</w:t>
      </w:r>
      <w:proofErr w:type="spellEnd"/>
      <w:r w:rsidRPr="00C47C3B">
        <w:rPr>
          <w:rFonts w:asciiTheme="minorHAnsi" w:hAnsiTheme="minorHAnsi" w:cs="Arial"/>
          <w:bCs/>
          <w:snapToGrid w:val="0"/>
          <w:lang w:val="en-GB" w:eastAsia="en-US"/>
        </w:rPr>
        <w:t xml:space="preserve"> slows the rate of decline in ppFEV</w:t>
      </w:r>
      <w:r w:rsidRPr="00C47C3B">
        <w:rPr>
          <w:rFonts w:asciiTheme="minorHAnsi" w:hAnsiTheme="minorHAnsi" w:cs="Arial"/>
          <w:bCs/>
          <w:snapToGrid w:val="0"/>
          <w:vertAlign w:val="subscript"/>
          <w:lang w:val="en-GB" w:eastAsia="en-US"/>
        </w:rPr>
        <w:t>1</w:t>
      </w:r>
      <w:r w:rsidRPr="00C47C3B">
        <w:rPr>
          <w:rFonts w:asciiTheme="minorHAnsi" w:hAnsiTheme="minorHAnsi" w:cs="Arial"/>
          <w:bCs/>
          <w:snapToGrid w:val="0"/>
          <w:lang w:val="en-GB" w:eastAsia="en-US"/>
        </w:rPr>
        <w:t xml:space="preserve"> beyond 24 weeks, compared with patients treated with BSC, was not adequately supported by the resubmission.</w:t>
      </w:r>
    </w:p>
    <w:p w:rsidR="00C47C3B" w:rsidRPr="00C47C3B" w:rsidRDefault="00C47C3B" w:rsidP="00C47C3B">
      <w:pPr>
        <w:widowControl w:val="0"/>
        <w:numPr>
          <w:ilvl w:val="1"/>
          <w:numId w:val="1"/>
        </w:numPr>
        <w:spacing w:after="120"/>
        <w:jc w:val="both"/>
        <w:rPr>
          <w:rFonts w:asciiTheme="minorHAnsi" w:hAnsiTheme="minorHAnsi" w:cs="Arial"/>
          <w:bCs/>
          <w:snapToGrid w:val="0"/>
          <w:lang w:val="en-GB" w:eastAsia="en-US"/>
        </w:rPr>
      </w:pPr>
      <w:r w:rsidRPr="00C47C3B">
        <w:rPr>
          <w:rFonts w:asciiTheme="minorHAnsi" w:hAnsiTheme="minorHAnsi" w:cs="Arial"/>
          <w:bCs/>
          <w:snapToGrid w:val="0"/>
          <w:lang w:val="en-GB" w:eastAsia="en-US"/>
        </w:rPr>
        <w:t xml:space="preserve">The PBAC noted that improvements in some clinical measures other than lung </w:t>
      </w:r>
      <w:r w:rsidRPr="00C47C3B">
        <w:rPr>
          <w:rFonts w:asciiTheme="minorHAnsi" w:hAnsiTheme="minorHAnsi" w:cs="Arial"/>
          <w:bCs/>
          <w:snapToGrid w:val="0"/>
          <w:lang w:val="en-GB" w:eastAsia="en-US"/>
        </w:rPr>
        <w:lastRenderedPageBreak/>
        <w:t xml:space="preserve">function, including a reduction in pulmonary exacerbations and an increase in body mass index, were maintained beyond the 24 week trial period, and therefore considered that </w:t>
      </w:r>
      <w:r w:rsidRPr="00C47C3B">
        <w:rPr>
          <w:rFonts w:asciiTheme="minorHAnsi" w:hAnsiTheme="minorHAnsi" w:cs="Arial"/>
          <w:snapToGrid w:val="0"/>
          <w:szCs w:val="20"/>
          <w:lang w:eastAsia="en-US"/>
        </w:rPr>
        <w:t xml:space="preserve">the claim of superior comparative effectiveness was reasonable and </w:t>
      </w:r>
      <w:r w:rsidRPr="00C47C3B">
        <w:rPr>
          <w:rFonts w:asciiTheme="minorHAnsi" w:hAnsiTheme="minorHAnsi" w:cs="Arial"/>
          <w:bCs/>
          <w:snapToGrid w:val="0"/>
          <w:lang w:val="en-GB" w:eastAsia="en-US"/>
        </w:rPr>
        <w:t>there is a clinical place for this medicine at a price commensurate with its clinical benefits.</w:t>
      </w:r>
    </w:p>
    <w:p w:rsidR="00C47C3B" w:rsidRPr="00C47C3B" w:rsidRDefault="00C47C3B" w:rsidP="00C47C3B">
      <w:pPr>
        <w:widowControl w:val="0"/>
        <w:numPr>
          <w:ilvl w:val="1"/>
          <w:numId w:val="1"/>
        </w:numPr>
        <w:spacing w:after="120"/>
        <w:jc w:val="both"/>
        <w:rPr>
          <w:rFonts w:asciiTheme="minorHAnsi" w:hAnsiTheme="minorHAnsi" w:cs="Arial"/>
          <w:bCs/>
          <w:snapToGrid w:val="0"/>
          <w:lang w:val="en-GB" w:eastAsia="en-US"/>
        </w:rPr>
      </w:pPr>
      <w:r w:rsidRPr="00C47C3B">
        <w:rPr>
          <w:rFonts w:asciiTheme="minorHAnsi" w:hAnsiTheme="minorHAnsi" w:cs="Arial"/>
          <w:bCs/>
          <w:snapToGrid w:val="0"/>
          <w:lang w:val="en-GB" w:eastAsia="en-US"/>
        </w:rPr>
        <w:t xml:space="preserve">The PBAC noted that the economic model included in the resubmission was based on the extreme assumption that lung function was maintained for patients treated with </w:t>
      </w:r>
      <w:proofErr w:type="spellStart"/>
      <w:r w:rsidRPr="00C47C3B">
        <w:rPr>
          <w:rFonts w:asciiTheme="minorHAnsi" w:hAnsiTheme="minorHAnsi" w:cs="Arial"/>
          <w:bCs/>
          <w:snapToGrid w:val="0"/>
          <w:lang w:val="en-GB" w:eastAsia="en-US"/>
        </w:rPr>
        <w:t>lumacaftor</w:t>
      </w:r>
      <w:proofErr w:type="spellEnd"/>
      <w:r w:rsidRPr="00C47C3B">
        <w:rPr>
          <w:rFonts w:asciiTheme="minorHAnsi" w:hAnsiTheme="minorHAnsi" w:cs="Arial"/>
          <w:bCs/>
          <w:snapToGrid w:val="0"/>
          <w:lang w:val="en-GB" w:eastAsia="en-US"/>
        </w:rPr>
        <w:t>/</w:t>
      </w:r>
      <w:proofErr w:type="spellStart"/>
      <w:r w:rsidRPr="00C47C3B">
        <w:rPr>
          <w:rFonts w:asciiTheme="minorHAnsi" w:hAnsiTheme="minorHAnsi" w:cs="Arial"/>
          <w:bCs/>
          <w:snapToGrid w:val="0"/>
          <w:lang w:val="en-GB" w:eastAsia="en-US"/>
        </w:rPr>
        <w:t>ivacaftor</w:t>
      </w:r>
      <w:proofErr w:type="spellEnd"/>
      <w:r w:rsidRPr="00C47C3B">
        <w:rPr>
          <w:rFonts w:asciiTheme="minorHAnsi" w:hAnsiTheme="minorHAnsi" w:cs="Arial"/>
          <w:bCs/>
          <w:snapToGrid w:val="0"/>
          <w:lang w:val="en-GB" w:eastAsia="en-US"/>
        </w:rPr>
        <w:t xml:space="preserve"> for the reminder of their life, and this was inconsistent with the longer-term clinical evidence. Accordingly, the PBAC defined a scenario which it considered more informative for decision making, by changing inputs to the resubmission’s economic model to better reflect the available clinical data (see paragraph 6.58). This scenario resulted in an unacceptably high ICER of significantly more than $1 million per QALY gained.</w:t>
      </w:r>
    </w:p>
    <w:p w:rsidR="00C47C3B" w:rsidRPr="00C47C3B" w:rsidRDefault="00C47C3B" w:rsidP="00C47C3B">
      <w:pPr>
        <w:widowControl w:val="0"/>
        <w:numPr>
          <w:ilvl w:val="1"/>
          <w:numId w:val="1"/>
        </w:numPr>
        <w:spacing w:after="120"/>
        <w:jc w:val="both"/>
        <w:rPr>
          <w:rFonts w:asciiTheme="minorHAnsi" w:hAnsiTheme="minorHAnsi" w:cs="Arial"/>
          <w:bCs/>
          <w:snapToGrid w:val="0"/>
        </w:rPr>
      </w:pPr>
      <w:r w:rsidRPr="00C47C3B">
        <w:rPr>
          <w:rFonts w:asciiTheme="minorHAnsi" w:hAnsiTheme="minorHAnsi" w:cs="Arial"/>
          <w:bCs/>
          <w:snapToGrid w:val="0"/>
        </w:rPr>
        <w:t xml:space="preserve">The PBAC noted that the net cost of </w:t>
      </w:r>
      <w:proofErr w:type="spellStart"/>
      <w:r w:rsidRPr="00C47C3B">
        <w:rPr>
          <w:rFonts w:asciiTheme="minorHAnsi" w:hAnsiTheme="minorHAnsi" w:cs="Arial"/>
          <w:bCs/>
          <w:snapToGrid w:val="0"/>
        </w:rPr>
        <w:t>lumacaftor</w:t>
      </w:r>
      <w:proofErr w:type="spellEnd"/>
      <w:r w:rsidRPr="00C47C3B">
        <w:rPr>
          <w:rFonts w:asciiTheme="minorHAnsi" w:hAnsiTheme="minorHAnsi" w:cs="Arial"/>
          <w:bCs/>
          <w:snapToGrid w:val="0"/>
        </w:rPr>
        <w:t>/</w:t>
      </w:r>
      <w:proofErr w:type="spellStart"/>
      <w:r w:rsidRPr="00C47C3B">
        <w:rPr>
          <w:rFonts w:asciiTheme="minorHAnsi" w:hAnsiTheme="minorHAnsi" w:cs="Arial"/>
          <w:bCs/>
          <w:snapToGrid w:val="0"/>
        </w:rPr>
        <w:t>ivacaftor</w:t>
      </w:r>
      <w:proofErr w:type="spellEnd"/>
      <w:r w:rsidRPr="00C47C3B">
        <w:rPr>
          <w:rFonts w:asciiTheme="minorHAnsi" w:hAnsiTheme="minorHAnsi" w:cs="Arial"/>
          <w:bCs/>
          <w:snapToGrid w:val="0"/>
        </w:rPr>
        <w:t xml:space="preserve"> to the PBS over the first five years of listing (including the proposed financial cap) was estimated to be more than $100 million each year, with </w:t>
      </w:r>
      <w:r w:rsidRPr="00C47C3B">
        <w:rPr>
          <w:rFonts w:asciiTheme="minorHAnsi" w:hAnsiTheme="minorHAnsi" w:cs="Arial"/>
          <w:bCs/>
          <w:noProof/>
          <w:snapToGrid w:val="0"/>
          <w:color w:val="000000"/>
          <w:highlight w:val="black"/>
        </w:rPr>
        <w:t>'''''''''''</w:t>
      </w:r>
      <w:r w:rsidRPr="00C47C3B">
        <w:rPr>
          <w:rFonts w:asciiTheme="minorHAnsi" w:hAnsiTheme="minorHAnsi" w:cs="Arial"/>
          <w:bCs/>
          <w:snapToGrid w:val="0"/>
        </w:rPr>
        <w:t xml:space="preserve"> patients treated in year 5. However, the PBAC considered that the estimates of utilisation in the resubmission, which assumed an increase of </w:t>
      </w:r>
      <w:r w:rsidRPr="00C47C3B">
        <w:rPr>
          <w:rFonts w:asciiTheme="minorHAnsi" w:hAnsiTheme="minorHAnsi" w:cs="Arial"/>
          <w:bCs/>
          <w:noProof/>
          <w:snapToGrid w:val="0"/>
          <w:color w:val="000000"/>
          <w:highlight w:val="black"/>
        </w:rPr>
        <w:t>'''''</w:t>
      </w:r>
      <w:r w:rsidRPr="00C47C3B">
        <w:rPr>
          <w:rFonts w:asciiTheme="minorHAnsi" w:hAnsiTheme="minorHAnsi" w:cs="Arial"/>
          <w:bCs/>
          <w:snapToGrid w:val="0"/>
        </w:rPr>
        <w:t xml:space="preserve"> patients per year, were underestimated based on the ACFDR data which indicate there are </w:t>
      </w:r>
      <w:r w:rsidRPr="00C47C3B">
        <w:rPr>
          <w:rFonts w:asciiTheme="minorHAnsi" w:hAnsiTheme="minorHAnsi" w:cs="Arial"/>
          <w:bCs/>
          <w:noProof/>
          <w:snapToGrid w:val="0"/>
          <w:color w:val="000000"/>
          <w:highlight w:val="black"/>
        </w:rPr>
        <w:t>''''''''</w:t>
      </w:r>
      <w:r w:rsidRPr="00C47C3B">
        <w:rPr>
          <w:rFonts w:asciiTheme="minorHAnsi" w:hAnsiTheme="minorHAnsi" w:cs="Arial"/>
          <w:bCs/>
          <w:snapToGrid w:val="0"/>
        </w:rPr>
        <w:t xml:space="preserve"> patients in the 6-11 years homozygous for the F508del mutation at the end of 2014 who will become eligible for treatment within the estimated timeframe. </w:t>
      </w:r>
    </w:p>
    <w:p w:rsidR="00C47C3B" w:rsidRPr="00C47C3B" w:rsidRDefault="00C47C3B" w:rsidP="00C47C3B">
      <w:pPr>
        <w:widowControl w:val="0"/>
        <w:numPr>
          <w:ilvl w:val="1"/>
          <w:numId w:val="1"/>
        </w:numPr>
        <w:spacing w:after="120"/>
        <w:jc w:val="both"/>
        <w:rPr>
          <w:rFonts w:asciiTheme="minorHAnsi" w:hAnsiTheme="minorHAnsi" w:cs="Arial"/>
          <w:bCs/>
          <w:snapToGrid w:val="0"/>
        </w:rPr>
      </w:pPr>
      <w:r w:rsidRPr="00C47C3B">
        <w:rPr>
          <w:rFonts w:asciiTheme="minorHAnsi" w:hAnsiTheme="minorHAnsi" w:cs="Arial"/>
          <w:bCs/>
          <w:snapToGrid w:val="0"/>
        </w:rPr>
        <w:t xml:space="preserve">The PBAC </w:t>
      </w:r>
      <w:r w:rsidRPr="00C47C3B">
        <w:rPr>
          <w:rFonts w:asciiTheme="minorHAnsi" w:hAnsiTheme="minorHAnsi" w:cs="Arial"/>
          <w:bCs/>
          <w:snapToGrid w:val="0"/>
          <w:lang w:val="en-GB" w:eastAsia="en-US"/>
        </w:rPr>
        <w:t xml:space="preserve">noted the extent of the price reduction that would be required for </w:t>
      </w:r>
      <w:proofErr w:type="spellStart"/>
      <w:r w:rsidRPr="00C47C3B">
        <w:rPr>
          <w:rFonts w:asciiTheme="minorHAnsi" w:hAnsiTheme="minorHAnsi" w:cs="Arial"/>
          <w:bCs/>
          <w:snapToGrid w:val="0"/>
          <w:lang w:val="en-GB" w:eastAsia="en-US"/>
        </w:rPr>
        <w:t>lumacaftor</w:t>
      </w:r>
      <w:proofErr w:type="spellEnd"/>
      <w:r w:rsidRPr="00C47C3B">
        <w:rPr>
          <w:rFonts w:asciiTheme="minorHAnsi" w:hAnsiTheme="minorHAnsi" w:cs="Arial"/>
          <w:bCs/>
          <w:snapToGrid w:val="0"/>
          <w:lang w:val="en-GB" w:eastAsia="en-US"/>
        </w:rPr>
        <w:t>/</w:t>
      </w:r>
      <w:proofErr w:type="spellStart"/>
      <w:r w:rsidRPr="00C47C3B">
        <w:rPr>
          <w:rFonts w:asciiTheme="minorHAnsi" w:hAnsiTheme="minorHAnsi" w:cs="Arial"/>
          <w:bCs/>
          <w:snapToGrid w:val="0"/>
          <w:lang w:val="en-GB" w:eastAsia="en-US"/>
        </w:rPr>
        <w:t>ivacaftor</w:t>
      </w:r>
      <w:proofErr w:type="spellEnd"/>
      <w:r w:rsidRPr="00C47C3B">
        <w:rPr>
          <w:rFonts w:asciiTheme="minorHAnsi" w:hAnsiTheme="minorHAnsi" w:cs="Arial"/>
          <w:bCs/>
          <w:snapToGrid w:val="0"/>
          <w:lang w:val="en-GB" w:eastAsia="en-US"/>
        </w:rPr>
        <w:t xml:space="preserve"> to be considered to be suitably cost effective to enable a recommendation for listing on the PBS (see paragraph 6.60), if implemented in conjunction with risk sharing arrangements (as outlined in paragraph 6.73). The PBAC advised that it would accept a price offer under these terms from the sponsor for PBAC consideration at any time. The PBAC advised that a resubmission, with revisions to the economic model to reflect the available clinical data, would be required to justify a request for a higher price than that advised by the PBAC, or other alternative arrangement. </w:t>
      </w:r>
    </w:p>
    <w:p w:rsidR="00C47C3B" w:rsidRPr="00C47C3B" w:rsidRDefault="00C47C3B" w:rsidP="00C47C3B">
      <w:pPr>
        <w:widowControl w:val="0"/>
        <w:numPr>
          <w:ilvl w:val="1"/>
          <w:numId w:val="1"/>
        </w:numPr>
        <w:spacing w:after="120"/>
        <w:jc w:val="both"/>
        <w:rPr>
          <w:rFonts w:asciiTheme="minorHAnsi" w:hAnsiTheme="minorHAnsi" w:cs="Arial"/>
          <w:b/>
          <w:bCs/>
          <w:snapToGrid w:val="0"/>
          <w:lang w:val="en-GB" w:eastAsia="en-US"/>
        </w:rPr>
      </w:pPr>
      <w:r w:rsidRPr="00C47C3B">
        <w:rPr>
          <w:rFonts w:asciiTheme="minorHAnsi" w:hAnsiTheme="minorHAnsi" w:cs="Arial"/>
          <w:bCs/>
          <w:snapToGrid w:val="0"/>
          <w:lang w:val="en-GB" w:eastAsia="en-US"/>
        </w:rPr>
        <w:t>The PBAC noted that this submission is eligible for an Independent Review.</w:t>
      </w:r>
      <w:r w:rsidRPr="00C47C3B">
        <w:rPr>
          <w:rFonts w:asciiTheme="minorHAnsi" w:hAnsiTheme="minorHAnsi" w:cs="Arial"/>
          <w:b/>
          <w:bCs/>
          <w:snapToGrid w:val="0"/>
          <w:lang w:val="en-GB" w:eastAsia="en-US"/>
        </w:rPr>
        <w:t xml:space="preserve"> </w:t>
      </w:r>
    </w:p>
    <w:p w:rsidR="00C47C3B" w:rsidRPr="00C47C3B" w:rsidRDefault="00C47C3B" w:rsidP="00C47C3B">
      <w:pPr>
        <w:spacing w:after="120"/>
        <w:jc w:val="both"/>
        <w:rPr>
          <w:rFonts w:asciiTheme="minorHAnsi" w:hAnsiTheme="minorHAnsi" w:cs="Arial"/>
          <w:b/>
          <w:bCs/>
          <w:snapToGrid w:val="0"/>
          <w:lang w:val="en-GB" w:eastAsia="en-US"/>
        </w:rPr>
      </w:pPr>
    </w:p>
    <w:p w:rsidR="00C47C3B" w:rsidRPr="0073784D" w:rsidRDefault="00C47C3B" w:rsidP="0073784D">
      <w:pPr>
        <w:rPr>
          <w:rFonts w:asciiTheme="minorHAnsi" w:hAnsiTheme="minorHAnsi" w:cstheme="minorHAnsi"/>
          <w:snapToGrid w:val="0"/>
          <w:lang w:val="en-GB" w:eastAsia="en-US"/>
        </w:rPr>
      </w:pPr>
      <w:r w:rsidRPr="0073784D">
        <w:rPr>
          <w:rFonts w:asciiTheme="minorHAnsi" w:hAnsiTheme="minorHAnsi" w:cstheme="minorHAnsi"/>
          <w:b/>
          <w:snapToGrid w:val="0"/>
          <w:lang w:val="en-GB" w:eastAsia="en-US"/>
        </w:rPr>
        <w:t>Outcome:</w:t>
      </w:r>
      <w:r w:rsidRPr="0073784D">
        <w:rPr>
          <w:rFonts w:asciiTheme="minorHAnsi" w:hAnsiTheme="minorHAnsi" w:cstheme="minorHAnsi"/>
          <w:snapToGrid w:val="0"/>
          <w:lang w:val="en-GB" w:eastAsia="en-US"/>
        </w:rPr>
        <w:t xml:space="preserve"> </w:t>
      </w:r>
      <w:r w:rsidRPr="0073784D">
        <w:rPr>
          <w:rFonts w:asciiTheme="minorHAnsi" w:hAnsiTheme="minorHAnsi" w:cstheme="minorHAnsi"/>
          <w:snapToGrid w:val="0"/>
          <w:lang w:val="en-GB" w:eastAsia="en-US"/>
        </w:rPr>
        <w:br/>
        <w:t>Rejected</w:t>
      </w:r>
    </w:p>
    <w:p w:rsidR="00C47C3B" w:rsidRPr="00C47C3B" w:rsidRDefault="00C47C3B" w:rsidP="00C47C3B">
      <w:pPr>
        <w:jc w:val="both"/>
        <w:rPr>
          <w:rFonts w:asciiTheme="minorHAnsi" w:hAnsiTheme="minorHAnsi" w:cs="Arial"/>
          <w:snapToGrid w:val="0"/>
          <w:lang w:eastAsia="en-US"/>
        </w:rPr>
      </w:pPr>
    </w:p>
    <w:p w:rsidR="00C47C3B" w:rsidRPr="0073784D" w:rsidRDefault="00C47C3B" w:rsidP="0073784D">
      <w:pPr>
        <w:pStyle w:val="PBACHeading1"/>
        <w:spacing w:before="240" w:after="120"/>
        <w:rPr>
          <w:rFonts w:asciiTheme="minorHAnsi" w:eastAsiaTheme="minorHAnsi" w:hAnsiTheme="minorHAnsi" w:cstheme="minorBidi"/>
          <w:b w:val="0"/>
        </w:rPr>
      </w:pPr>
      <w:r w:rsidRPr="0073784D">
        <w:rPr>
          <w:rFonts w:asciiTheme="minorHAnsi" w:hAnsiTheme="minorHAnsi" w:cstheme="minorHAnsi"/>
          <w:sz w:val="32"/>
        </w:rPr>
        <w:t>Context for Decision</w:t>
      </w:r>
    </w:p>
    <w:p w:rsidR="00C47C3B" w:rsidRPr="00C47C3B" w:rsidRDefault="00C47C3B" w:rsidP="001A7B1E">
      <w:pPr>
        <w:spacing w:line="276" w:lineRule="auto"/>
        <w:jc w:val="both"/>
        <w:rPr>
          <w:rFonts w:asciiTheme="minorHAnsi" w:eastAsiaTheme="minorHAnsi" w:hAnsiTheme="minorHAnsi" w:cs="Arial"/>
          <w:lang w:eastAsia="en-US"/>
        </w:rPr>
      </w:pPr>
      <w:r w:rsidRPr="00C47C3B">
        <w:rPr>
          <w:rFonts w:asciiTheme="minorHAnsi" w:eastAsiaTheme="minorHAnsi" w:hAnsiTheme="minorHAnsi" w:cs="Arial"/>
          <w:lang w:eastAsia="en-US"/>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w:t>
      </w:r>
      <w:r w:rsidRPr="00C47C3B">
        <w:rPr>
          <w:rFonts w:asciiTheme="minorHAnsi" w:eastAsiaTheme="minorHAnsi" w:hAnsiTheme="minorHAnsi" w:cs="Arial"/>
          <w:lang w:eastAsia="en-US"/>
        </w:rPr>
        <w:lastRenderedPageBreak/>
        <w:t>medicine. A company can resubmit to the PBAC or seek independent review of the PBAC decision.</w:t>
      </w:r>
    </w:p>
    <w:p w:rsidR="00C47C3B" w:rsidRPr="0073784D" w:rsidRDefault="00C47C3B" w:rsidP="0073784D">
      <w:pPr>
        <w:pStyle w:val="PBACHeading1"/>
        <w:spacing w:before="240" w:after="120"/>
        <w:rPr>
          <w:rFonts w:asciiTheme="minorHAnsi" w:hAnsiTheme="minorHAnsi" w:cstheme="minorHAnsi"/>
          <w:sz w:val="32"/>
        </w:rPr>
      </w:pPr>
      <w:bookmarkStart w:id="86" w:name="_GoBack"/>
      <w:bookmarkEnd w:id="86"/>
      <w:r w:rsidRPr="0073784D">
        <w:rPr>
          <w:rFonts w:asciiTheme="minorHAnsi" w:hAnsiTheme="minorHAnsi" w:cstheme="minorHAnsi"/>
          <w:sz w:val="32"/>
        </w:rPr>
        <w:t>Sponsor’s Comment</w:t>
      </w:r>
    </w:p>
    <w:p w:rsidR="00F64CC1" w:rsidRPr="0073784D" w:rsidRDefault="00C47C3B" w:rsidP="0073784D">
      <w:pPr>
        <w:spacing w:after="120" w:line="276" w:lineRule="auto"/>
        <w:jc w:val="both"/>
        <w:rPr>
          <w:rFonts w:asciiTheme="minorHAnsi" w:eastAsiaTheme="minorHAnsi" w:hAnsiTheme="minorHAnsi" w:cs="Arial"/>
          <w:bCs/>
          <w:lang w:eastAsia="en-US"/>
        </w:rPr>
      </w:pPr>
      <w:r w:rsidRPr="00C47C3B">
        <w:rPr>
          <w:rFonts w:asciiTheme="minorHAnsi" w:eastAsiaTheme="minorHAnsi" w:hAnsiTheme="minorHAnsi" w:cs="Arial"/>
          <w:bCs/>
          <w:lang w:eastAsia="en-US"/>
        </w:rPr>
        <w:t>The sponsor had no comment.</w:t>
      </w:r>
    </w:p>
    <w:sectPr w:rsidR="00F64CC1" w:rsidRPr="0073784D" w:rsidSect="00C27B58">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149" w:rsidRDefault="00190149">
      <w:r>
        <w:separator/>
      </w:r>
    </w:p>
    <w:p w:rsidR="00190149" w:rsidRDefault="00190149"/>
  </w:endnote>
  <w:endnote w:type="continuationSeparator" w:id="0">
    <w:p w:rsidR="00190149" w:rsidRDefault="00190149">
      <w:r>
        <w:continuationSeparator/>
      </w:r>
    </w:p>
    <w:p w:rsidR="00190149" w:rsidRDefault="00190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s Gothic MT">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149" w:rsidRDefault="001901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149" w:rsidRDefault="001901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149" w:rsidRDefault="001901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149" w:rsidRDefault="00190149">
      <w:r>
        <w:separator/>
      </w:r>
    </w:p>
    <w:p w:rsidR="00190149" w:rsidRDefault="00190149"/>
  </w:footnote>
  <w:footnote w:type="continuationSeparator" w:id="0">
    <w:p w:rsidR="00190149" w:rsidRDefault="00190149">
      <w:r>
        <w:continuationSeparator/>
      </w:r>
    </w:p>
    <w:p w:rsidR="00190149" w:rsidRDefault="00190149"/>
  </w:footnote>
  <w:footnote w:id="1">
    <w:p w:rsidR="00190149" w:rsidRDefault="00190149" w:rsidP="0011219B">
      <w:pPr>
        <w:pStyle w:val="FootnoteText"/>
      </w:pPr>
      <w:r>
        <w:rPr>
          <w:rStyle w:val="FootnoteReference"/>
        </w:rPr>
        <w:footnoteRef/>
      </w:r>
      <w:r>
        <w:t xml:space="preserve"> </w:t>
      </w:r>
      <w:proofErr w:type="spellStart"/>
      <w:r w:rsidRPr="0011219B">
        <w:rPr>
          <w:sz w:val="16"/>
          <w:szCs w:val="16"/>
        </w:rPr>
        <w:t>Konstan</w:t>
      </w:r>
      <w:proofErr w:type="spellEnd"/>
      <w:r w:rsidRPr="0011219B">
        <w:rPr>
          <w:sz w:val="16"/>
          <w:szCs w:val="16"/>
        </w:rPr>
        <w:t xml:space="preserve">, M. W., </w:t>
      </w:r>
      <w:proofErr w:type="spellStart"/>
      <w:r w:rsidRPr="0011219B">
        <w:rPr>
          <w:sz w:val="16"/>
          <w:szCs w:val="16"/>
        </w:rPr>
        <w:t>McKone</w:t>
      </w:r>
      <w:proofErr w:type="spellEnd"/>
      <w:r w:rsidRPr="0011219B">
        <w:rPr>
          <w:sz w:val="16"/>
          <w:szCs w:val="16"/>
        </w:rPr>
        <w:t xml:space="preserve">, E. F., Moss, R. B., et al. (2017). Assessment of safety and efficacy of long-term treatment with combination </w:t>
      </w:r>
      <w:proofErr w:type="spellStart"/>
      <w:r w:rsidRPr="0011219B">
        <w:rPr>
          <w:sz w:val="16"/>
          <w:szCs w:val="16"/>
        </w:rPr>
        <w:t>lumacaftor</w:t>
      </w:r>
      <w:proofErr w:type="spellEnd"/>
      <w:r w:rsidRPr="0011219B">
        <w:rPr>
          <w:sz w:val="16"/>
          <w:szCs w:val="16"/>
        </w:rPr>
        <w:t xml:space="preserve"> and </w:t>
      </w:r>
      <w:proofErr w:type="spellStart"/>
      <w:r w:rsidRPr="0011219B">
        <w:rPr>
          <w:sz w:val="16"/>
          <w:szCs w:val="16"/>
        </w:rPr>
        <w:t>ivacaftor</w:t>
      </w:r>
      <w:proofErr w:type="spellEnd"/>
      <w:r w:rsidRPr="0011219B">
        <w:rPr>
          <w:sz w:val="16"/>
          <w:szCs w:val="16"/>
        </w:rPr>
        <w:t xml:space="preserve"> therapy in patients with cystic fibrosis homozygous for the F508del-CFTR mutation (PROGRESS): A phase 3, extension study.</w:t>
      </w:r>
      <w:r>
        <w:rPr>
          <w:sz w:val="16"/>
          <w:szCs w:val="16"/>
        </w:rPr>
        <w:t xml:space="preserve"> </w:t>
      </w:r>
      <w:proofErr w:type="gramStart"/>
      <w:r w:rsidRPr="0011219B">
        <w:rPr>
          <w:sz w:val="16"/>
          <w:szCs w:val="16"/>
        </w:rPr>
        <w:t>The Lancet Respiratory Medicine 2017.</w:t>
      </w:r>
      <w:proofErr w:type="gramEnd"/>
      <w:r w:rsidRPr="0011219B">
        <w:rPr>
          <w:sz w:val="16"/>
          <w:szCs w:val="16"/>
        </w:rPr>
        <w:t xml:space="preserve"> 5 (2): 107-18.</w:t>
      </w:r>
    </w:p>
    <w:p w:rsidR="00190149" w:rsidRDefault="00190149">
      <w:pPr>
        <w:pStyle w:val="FootnoteText"/>
      </w:pPr>
    </w:p>
  </w:footnote>
  <w:footnote w:id="2">
    <w:p w:rsidR="00190149" w:rsidRPr="00835A62" w:rsidRDefault="00190149">
      <w:pPr>
        <w:pStyle w:val="FootnoteText"/>
        <w:rPr>
          <w:i/>
          <w:sz w:val="16"/>
          <w:szCs w:val="16"/>
        </w:rPr>
      </w:pPr>
      <w:r w:rsidRPr="00835A62">
        <w:rPr>
          <w:rStyle w:val="FootnoteReference"/>
          <w:sz w:val="16"/>
          <w:szCs w:val="16"/>
        </w:rPr>
        <w:footnoteRef/>
      </w:r>
      <w:r w:rsidRPr="00835A62">
        <w:rPr>
          <w:sz w:val="16"/>
          <w:szCs w:val="16"/>
        </w:rPr>
        <w:t xml:space="preserve"> </w:t>
      </w:r>
      <w:proofErr w:type="spellStart"/>
      <w:r w:rsidRPr="00835A62">
        <w:rPr>
          <w:sz w:val="16"/>
          <w:szCs w:val="16"/>
        </w:rPr>
        <w:t>Graeber</w:t>
      </w:r>
      <w:proofErr w:type="spellEnd"/>
      <w:r w:rsidRPr="00835A62">
        <w:rPr>
          <w:sz w:val="16"/>
          <w:szCs w:val="16"/>
        </w:rPr>
        <w:t xml:space="preserve">, S.Y., </w:t>
      </w:r>
      <w:r w:rsidRPr="00835A62">
        <w:rPr>
          <w:i/>
          <w:sz w:val="16"/>
          <w:szCs w:val="16"/>
        </w:rPr>
        <w:t xml:space="preserve">et al </w:t>
      </w:r>
      <w:r w:rsidRPr="00835A62">
        <w:rPr>
          <w:sz w:val="16"/>
          <w:szCs w:val="16"/>
        </w:rPr>
        <w:t xml:space="preserve">(2018). </w:t>
      </w:r>
      <w:proofErr w:type="gramStart"/>
      <w:r w:rsidRPr="00835A62">
        <w:rPr>
          <w:sz w:val="16"/>
          <w:szCs w:val="16"/>
        </w:rPr>
        <w:t xml:space="preserve">Effects of </w:t>
      </w:r>
      <w:proofErr w:type="spellStart"/>
      <w:r w:rsidRPr="00835A62">
        <w:rPr>
          <w:sz w:val="16"/>
          <w:szCs w:val="16"/>
        </w:rPr>
        <w:t>Lumacaftor</w:t>
      </w:r>
      <w:proofErr w:type="spellEnd"/>
      <w:r w:rsidRPr="00835A62">
        <w:rPr>
          <w:sz w:val="16"/>
          <w:szCs w:val="16"/>
        </w:rPr>
        <w:t>–</w:t>
      </w:r>
      <w:proofErr w:type="spellStart"/>
      <w:r w:rsidRPr="00835A62">
        <w:rPr>
          <w:sz w:val="16"/>
          <w:szCs w:val="16"/>
        </w:rPr>
        <w:t>Ivacaftor</w:t>
      </w:r>
      <w:proofErr w:type="spellEnd"/>
      <w:r w:rsidRPr="00835A62">
        <w:rPr>
          <w:sz w:val="16"/>
          <w:szCs w:val="16"/>
        </w:rPr>
        <w:t xml:space="preserve"> Therapy on Cystic Fibrosis Transmembrane Conductance Regulator Function in Phe508del Homozygous Patients with Cystic Fibrosis</w:t>
      </w:r>
      <w:r w:rsidRPr="00835A62">
        <w:rPr>
          <w:b/>
          <w:sz w:val="16"/>
          <w:szCs w:val="16"/>
        </w:rPr>
        <w:t>.</w:t>
      </w:r>
      <w:proofErr w:type="gramEnd"/>
      <w:r w:rsidRPr="00835A62">
        <w:rPr>
          <w:b/>
          <w:sz w:val="16"/>
          <w:szCs w:val="16"/>
        </w:rPr>
        <w:t xml:space="preserve"> </w:t>
      </w:r>
      <w:proofErr w:type="gramStart"/>
      <w:r w:rsidRPr="00835A62">
        <w:rPr>
          <w:rStyle w:val="Strong"/>
          <w:b w:val="0"/>
          <w:i/>
          <w:color w:val="000000"/>
          <w:spacing w:val="2"/>
          <w:sz w:val="16"/>
          <w:szCs w:val="16"/>
          <w:bdr w:val="none" w:sz="0" w:space="0" w:color="auto" w:frame="1"/>
          <w:shd w:val="clear" w:color="auto" w:fill="FFFFFF"/>
        </w:rPr>
        <w:t xml:space="preserve">American journal of respiratory and critical care medicine, </w:t>
      </w:r>
      <w:r w:rsidRPr="00835A62">
        <w:rPr>
          <w:rStyle w:val="Strong"/>
          <w:b w:val="0"/>
          <w:color w:val="000000"/>
          <w:spacing w:val="2"/>
          <w:sz w:val="16"/>
          <w:szCs w:val="16"/>
          <w:bdr w:val="none" w:sz="0" w:space="0" w:color="auto" w:frame="1"/>
          <w:shd w:val="clear" w:color="auto" w:fill="FFFFFF"/>
        </w:rPr>
        <w:t>Volume 197, Number 11, pp 1433 – 1442.</w:t>
      </w:r>
      <w:proofErr w:type="gramEnd"/>
      <w:r w:rsidRPr="00835A62">
        <w:rPr>
          <w:rStyle w:val="Strong"/>
          <w:b w:val="0"/>
          <w:color w:val="000000"/>
          <w:spacing w:val="2"/>
          <w:sz w:val="16"/>
          <w:szCs w:val="16"/>
          <w:bdr w:val="none" w:sz="0" w:space="0" w:color="auto" w:frame="1"/>
          <w:shd w:val="clear" w:color="auto" w:fill="FFFFFF"/>
        </w:rPr>
        <w:t xml:space="preserve"> </w:t>
      </w:r>
    </w:p>
  </w:footnote>
  <w:footnote w:id="3">
    <w:p w:rsidR="00190149" w:rsidRPr="008706C8" w:rsidRDefault="00190149" w:rsidP="00C0177A">
      <w:pPr>
        <w:pStyle w:val="FootnoteText"/>
        <w:rPr>
          <w:rFonts w:ascii="Arial Narrow" w:hAnsi="Arial Narrow"/>
          <w:sz w:val="16"/>
          <w:szCs w:val="16"/>
        </w:rPr>
      </w:pPr>
      <w:r w:rsidRPr="008706C8">
        <w:rPr>
          <w:rStyle w:val="FootnoteReference"/>
          <w:rFonts w:ascii="Arial Narrow" w:hAnsi="Arial Narrow"/>
          <w:sz w:val="16"/>
          <w:szCs w:val="16"/>
        </w:rPr>
        <w:footnoteRef/>
      </w:r>
      <w:r w:rsidRPr="008706C8">
        <w:rPr>
          <w:rFonts w:ascii="Arial Narrow" w:hAnsi="Arial Narrow"/>
          <w:sz w:val="16"/>
          <w:szCs w:val="16"/>
        </w:rPr>
        <w:t xml:space="preserve"> Stephenson AL; Sykes J; </w:t>
      </w:r>
      <w:proofErr w:type="spellStart"/>
      <w:r w:rsidRPr="008706C8">
        <w:rPr>
          <w:rFonts w:ascii="Arial Narrow" w:hAnsi="Arial Narrow"/>
          <w:sz w:val="16"/>
          <w:szCs w:val="16"/>
        </w:rPr>
        <w:t>Stanojevic</w:t>
      </w:r>
      <w:proofErr w:type="spellEnd"/>
      <w:r w:rsidRPr="008706C8">
        <w:rPr>
          <w:rFonts w:ascii="Arial Narrow" w:hAnsi="Arial Narrow"/>
          <w:sz w:val="16"/>
          <w:szCs w:val="16"/>
        </w:rPr>
        <w:t xml:space="preserve"> S; </w:t>
      </w:r>
      <w:r w:rsidRPr="008706C8">
        <w:rPr>
          <w:rFonts w:ascii="Arial Narrow" w:hAnsi="Arial Narrow"/>
          <w:i/>
          <w:sz w:val="16"/>
          <w:szCs w:val="16"/>
        </w:rPr>
        <w:t>et al</w:t>
      </w:r>
      <w:r w:rsidRPr="008706C8">
        <w:rPr>
          <w:rFonts w:ascii="Arial Narrow" w:hAnsi="Arial Narrow"/>
          <w:sz w:val="16"/>
          <w:szCs w:val="16"/>
        </w:rPr>
        <w:t xml:space="preserve">. </w:t>
      </w:r>
      <w:r w:rsidRPr="008706C8">
        <w:rPr>
          <w:rFonts w:ascii="Arial Narrow" w:hAnsi="Arial Narrow"/>
          <w:i/>
          <w:sz w:val="16"/>
          <w:szCs w:val="16"/>
        </w:rPr>
        <w:t xml:space="preserve">Survival Comparison of Patients </w:t>
      </w:r>
      <w:proofErr w:type="gramStart"/>
      <w:r w:rsidRPr="008706C8">
        <w:rPr>
          <w:rFonts w:ascii="Arial Narrow" w:hAnsi="Arial Narrow"/>
          <w:i/>
          <w:sz w:val="16"/>
          <w:szCs w:val="16"/>
        </w:rPr>
        <w:t>With</w:t>
      </w:r>
      <w:proofErr w:type="gramEnd"/>
      <w:r w:rsidRPr="008706C8">
        <w:rPr>
          <w:rFonts w:ascii="Arial Narrow" w:hAnsi="Arial Narrow"/>
          <w:i/>
          <w:sz w:val="16"/>
          <w:szCs w:val="16"/>
        </w:rPr>
        <w:t xml:space="preserve"> Cystic Fibrosis in Canada and the United States: A Population-Based Cohort Study</w:t>
      </w:r>
      <w:r w:rsidRPr="008706C8">
        <w:rPr>
          <w:rFonts w:ascii="Arial Narrow" w:hAnsi="Arial Narrow"/>
          <w:sz w:val="16"/>
          <w:szCs w:val="16"/>
        </w:rPr>
        <w:t>. Annals of Internal Medicine, 2017; 166(8):537-546.</w:t>
      </w:r>
    </w:p>
  </w:footnote>
  <w:footnote w:id="4">
    <w:p w:rsidR="00190149" w:rsidRDefault="00190149" w:rsidP="00C0177A">
      <w:pPr>
        <w:pStyle w:val="FootnoteText"/>
      </w:pPr>
      <w:r w:rsidRPr="008706C8">
        <w:rPr>
          <w:rStyle w:val="FootnoteReference"/>
          <w:rFonts w:ascii="Arial Narrow" w:hAnsi="Arial Narrow"/>
          <w:sz w:val="16"/>
          <w:szCs w:val="16"/>
        </w:rPr>
        <w:footnoteRef/>
      </w:r>
      <w:r w:rsidRPr="008706C8">
        <w:rPr>
          <w:rFonts w:ascii="Arial Narrow" w:hAnsi="Arial Narrow"/>
          <w:sz w:val="16"/>
          <w:szCs w:val="16"/>
        </w:rPr>
        <w:t xml:space="preserve"> </w:t>
      </w:r>
      <w:hyperlink r:id="rId1" w:history="1">
        <w:r w:rsidRPr="008706C8">
          <w:rPr>
            <w:rStyle w:val="Hyperlink"/>
            <w:rFonts w:ascii="Arial Narrow" w:hAnsi="Arial Narrow"/>
            <w:sz w:val="16"/>
            <w:szCs w:val="16"/>
          </w:rPr>
          <w:t>Vertex pharmaceuticals media release</w:t>
        </w:r>
      </w:hyperlink>
      <w:r w:rsidRPr="008706C8">
        <w:rPr>
          <w:rFonts w:ascii="Arial Narrow" w:hAnsi="Arial Narrow"/>
          <w:sz w:val="16"/>
          <w:szCs w:val="16"/>
        </w:rPr>
        <w:t xml:space="preserve">, 28 March 2017, Two Phase 3 Studies of the </w:t>
      </w:r>
      <w:proofErr w:type="spellStart"/>
      <w:r w:rsidRPr="008706C8">
        <w:rPr>
          <w:rFonts w:ascii="Arial Narrow" w:hAnsi="Arial Narrow"/>
          <w:sz w:val="16"/>
          <w:szCs w:val="16"/>
        </w:rPr>
        <w:t>Tezacaftor</w:t>
      </w:r>
      <w:proofErr w:type="spellEnd"/>
      <w:r w:rsidRPr="008706C8">
        <w:rPr>
          <w:rFonts w:ascii="Arial Narrow" w:hAnsi="Arial Narrow"/>
          <w:sz w:val="16"/>
          <w:szCs w:val="16"/>
        </w:rPr>
        <w:t>/</w:t>
      </w:r>
      <w:proofErr w:type="spellStart"/>
      <w:r w:rsidRPr="008706C8">
        <w:rPr>
          <w:rFonts w:ascii="Arial Narrow" w:hAnsi="Arial Narrow"/>
          <w:sz w:val="16"/>
          <w:szCs w:val="16"/>
        </w:rPr>
        <w:t>Ivacaftor</w:t>
      </w:r>
      <w:proofErr w:type="spellEnd"/>
      <w:r w:rsidRPr="008706C8">
        <w:rPr>
          <w:rFonts w:ascii="Arial Narrow" w:hAnsi="Arial Narrow"/>
          <w:sz w:val="16"/>
          <w:szCs w:val="16"/>
        </w:rPr>
        <w:t xml:space="preserve"> Combination</w:t>
      </w:r>
      <w:r w:rsidRPr="00226B30">
        <w:rPr>
          <w:rFonts w:ascii="Arial Narrow" w:hAnsi="Arial Narrow"/>
        </w:rPr>
        <w:t xml:space="preserve"> </w:t>
      </w:r>
      <w:r w:rsidRPr="008706C8">
        <w:rPr>
          <w:rFonts w:ascii="Arial Narrow" w:hAnsi="Arial Narrow"/>
          <w:sz w:val="16"/>
          <w:szCs w:val="16"/>
        </w:rPr>
        <w:t>Treatment Met Primary Endpoints with Statistically Significant Improvements in Lung Function (FEV1) in People with Cystic</w:t>
      </w:r>
      <w:r>
        <w:rPr>
          <w:rFonts w:ascii="Arial Narrow" w:hAnsi="Arial Narrow"/>
          <w:sz w:val="16"/>
          <w:szCs w:val="16"/>
        </w:rPr>
        <w:t xml:space="preserve"> Fibrosis</w:t>
      </w:r>
    </w:p>
  </w:footnote>
  <w:footnote w:id="5">
    <w:p w:rsidR="00190149" w:rsidRPr="000F3C02" w:rsidRDefault="00190149" w:rsidP="00C47C3B">
      <w:pPr>
        <w:pStyle w:val="FootnoteText"/>
        <w:rPr>
          <w:rFonts w:ascii="Arial Narrow" w:hAnsi="Arial Narrow"/>
        </w:rPr>
      </w:pPr>
      <w:r w:rsidRPr="000F3C02">
        <w:rPr>
          <w:rStyle w:val="FootnoteReference"/>
          <w:rFonts w:ascii="Arial Narrow" w:hAnsi="Arial Narrow"/>
        </w:rPr>
        <w:footnoteRef/>
      </w:r>
      <w:r w:rsidRPr="000F3C02">
        <w:rPr>
          <w:rFonts w:ascii="Arial Narrow" w:hAnsi="Arial Narrow"/>
        </w:rPr>
        <w:t xml:space="preserve"> </w:t>
      </w:r>
      <w:hyperlink r:id="rId2" w:history="1">
        <w:proofErr w:type="gramStart"/>
        <w:r w:rsidRPr="000F3C02">
          <w:rPr>
            <w:rStyle w:val="Hyperlink"/>
            <w:rFonts w:ascii="Arial Narrow" w:hAnsi="Arial Narrow"/>
          </w:rPr>
          <w:t>Cystic fibrosis in Australia 2014, 17th annual report, Australian cystic fibrosis data registry</w:t>
        </w:r>
      </w:hyperlink>
      <w:r w:rsidRPr="000F3C02">
        <w:rPr>
          <w:rFonts w:ascii="Arial Narrow" w:hAnsi="Arial Narrow"/>
        </w:rPr>
        <w:t>, p13</w:t>
      </w:r>
      <w:r>
        <w:rPr>
          <w:rFonts w:ascii="Arial Narrow" w:hAnsi="Arial Narrow"/>
        </w:rPr>
        <w:t>.</w:t>
      </w:r>
      <w:proofErr w:type="gramEnd"/>
    </w:p>
  </w:footnote>
  <w:footnote w:id="6">
    <w:p w:rsidR="00190149" w:rsidRPr="00521821" w:rsidRDefault="00190149" w:rsidP="00C47C3B">
      <w:pPr>
        <w:pStyle w:val="FootnoteText"/>
        <w:rPr>
          <w:rFonts w:ascii="Arial Narrow" w:hAnsi="Arial Narrow"/>
        </w:rPr>
      </w:pPr>
      <w:r w:rsidRPr="00521821">
        <w:rPr>
          <w:rStyle w:val="FootnoteReference"/>
          <w:rFonts w:ascii="Arial Narrow" w:hAnsi="Arial Narrow"/>
        </w:rPr>
        <w:footnoteRef/>
      </w:r>
      <w:r w:rsidRPr="00521821">
        <w:rPr>
          <w:rFonts w:ascii="Arial Narrow" w:hAnsi="Arial Narrow"/>
        </w:rPr>
        <w:t xml:space="preserve"> </w:t>
      </w:r>
      <w:hyperlink r:id="rId3" w:history="1">
        <w:r w:rsidRPr="00226B30">
          <w:rPr>
            <w:rStyle w:val="Hyperlink"/>
            <w:rFonts w:ascii="Arial Narrow" w:hAnsi="Arial Narrow"/>
          </w:rPr>
          <w:t>Vertex pharmaceuticals media release</w:t>
        </w:r>
      </w:hyperlink>
      <w:r w:rsidRPr="00226B30">
        <w:rPr>
          <w:rFonts w:ascii="Arial Narrow" w:hAnsi="Arial Narrow"/>
        </w:rPr>
        <w:t xml:space="preserve">, 28 March 2017, Two Phase 3 Studies of the </w:t>
      </w:r>
      <w:proofErr w:type="spellStart"/>
      <w:r w:rsidRPr="00226B30">
        <w:rPr>
          <w:rFonts w:ascii="Arial Narrow" w:hAnsi="Arial Narrow"/>
        </w:rPr>
        <w:t>Tezacaftor</w:t>
      </w:r>
      <w:proofErr w:type="spellEnd"/>
      <w:r w:rsidRPr="00226B30">
        <w:rPr>
          <w:rFonts w:ascii="Arial Narrow" w:hAnsi="Arial Narrow"/>
        </w:rPr>
        <w:t>/</w:t>
      </w:r>
      <w:proofErr w:type="spellStart"/>
      <w:r w:rsidRPr="00226B30">
        <w:rPr>
          <w:rFonts w:ascii="Arial Narrow" w:hAnsi="Arial Narrow"/>
        </w:rPr>
        <w:t>Ivacaftor</w:t>
      </w:r>
      <w:proofErr w:type="spellEnd"/>
      <w:r w:rsidRPr="00226B30">
        <w:rPr>
          <w:rFonts w:ascii="Arial Narrow" w:hAnsi="Arial Narrow"/>
        </w:rPr>
        <w:t xml:space="preserve"> Combination Treatment Met Primary Endpoints with Statistically Significant Improvements in Lung Function (FEV1) in People with Cystic Fibrosis.</w:t>
      </w:r>
    </w:p>
  </w:footnote>
  <w:footnote w:id="7">
    <w:p w:rsidR="00190149" w:rsidRPr="00D3005E" w:rsidRDefault="00190149" w:rsidP="00C47C3B">
      <w:pPr>
        <w:pStyle w:val="FootnoteText"/>
        <w:rPr>
          <w:rFonts w:ascii="Arial Narrow" w:hAnsi="Arial Narrow"/>
        </w:rPr>
      </w:pPr>
      <w:r w:rsidRPr="00D3005E">
        <w:rPr>
          <w:rStyle w:val="FootnoteReference"/>
          <w:rFonts w:ascii="Arial Narrow" w:hAnsi="Arial Narrow"/>
        </w:rPr>
        <w:footnoteRef/>
      </w:r>
      <w:r w:rsidRPr="00D3005E">
        <w:rPr>
          <w:rFonts w:ascii="Arial Narrow" w:hAnsi="Arial Narrow"/>
        </w:rPr>
        <w:t xml:space="preserve"> </w:t>
      </w:r>
      <w:r>
        <w:rPr>
          <w:rFonts w:ascii="Arial Narrow" w:hAnsi="Arial Narrow"/>
        </w:rPr>
        <w:t>Clinical</w:t>
      </w:r>
      <w:r w:rsidRPr="00D3005E">
        <w:rPr>
          <w:rFonts w:ascii="Arial Narrow" w:hAnsi="Arial Narrow"/>
        </w:rPr>
        <w:t>trials.gov identifiers: NCT02951182</w:t>
      </w:r>
      <w:r>
        <w:rPr>
          <w:rFonts w:ascii="Arial Narrow" w:hAnsi="Arial Narrow"/>
        </w:rPr>
        <w:t>,</w:t>
      </w:r>
      <w:r w:rsidRPr="00D3005E">
        <w:t xml:space="preserve"> </w:t>
      </w:r>
      <w:r w:rsidRPr="00D3005E">
        <w:rPr>
          <w:rFonts w:ascii="Arial Narrow" w:hAnsi="Arial Narrow"/>
        </w:rPr>
        <w:t>NCT02951195</w:t>
      </w:r>
      <w:r>
        <w:rPr>
          <w:rFonts w:ascii="Arial Narrow" w:hAnsi="Arial Narrow"/>
        </w:rPr>
        <w:t xml:space="preserve"> and </w:t>
      </w:r>
      <w:r w:rsidRPr="00D3005E">
        <w:rPr>
          <w:rFonts w:ascii="Arial Narrow" w:hAnsi="Arial Narrow"/>
        </w:rPr>
        <w:t>NCT03029455</w:t>
      </w:r>
      <w:r>
        <w:rPr>
          <w:rFonts w:ascii="Arial Narrow" w:hAnsi="Arial Narrow"/>
        </w:rPr>
        <w:t>.</w:t>
      </w:r>
    </w:p>
  </w:footnote>
  <w:footnote w:id="8">
    <w:p w:rsidR="00190149" w:rsidRPr="005178C7" w:rsidRDefault="00190149" w:rsidP="00C47C3B">
      <w:pPr>
        <w:pStyle w:val="FootnoteText"/>
        <w:rPr>
          <w:rFonts w:ascii="Arial Narrow" w:hAnsi="Arial Narrow"/>
        </w:rPr>
      </w:pPr>
      <w:r w:rsidRPr="005178C7">
        <w:rPr>
          <w:rStyle w:val="FootnoteReference"/>
          <w:rFonts w:ascii="Arial Narrow" w:hAnsi="Arial Narrow"/>
        </w:rPr>
        <w:footnoteRef/>
      </w:r>
      <w:r w:rsidRPr="005178C7">
        <w:rPr>
          <w:rFonts w:ascii="Arial Narrow" w:hAnsi="Arial Narrow"/>
        </w:rPr>
        <w:t xml:space="preserve"> </w:t>
      </w:r>
      <w:r>
        <w:rPr>
          <w:rFonts w:ascii="Arial Narrow" w:hAnsi="Arial Narrow"/>
        </w:rPr>
        <w:t>Stephenson AL</w:t>
      </w:r>
      <w:r w:rsidRPr="005178C7">
        <w:rPr>
          <w:rFonts w:ascii="Arial Narrow" w:hAnsi="Arial Narrow"/>
        </w:rPr>
        <w:t>; Sykes</w:t>
      </w:r>
      <w:r>
        <w:rPr>
          <w:rFonts w:ascii="Arial Narrow" w:hAnsi="Arial Narrow"/>
        </w:rPr>
        <w:t xml:space="preserve"> J</w:t>
      </w:r>
      <w:r w:rsidRPr="005178C7">
        <w:rPr>
          <w:rFonts w:ascii="Arial Narrow" w:hAnsi="Arial Narrow"/>
        </w:rPr>
        <w:t>;</w:t>
      </w:r>
      <w:r>
        <w:rPr>
          <w:rFonts w:ascii="Arial Narrow" w:hAnsi="Arial Narrow"/>
        </w:rPr>
        <w:t xml:space="preserve"> </w:t>
      </w:r>
      <w:proofErr w:type="spellStart"/>
      <w:r w:rsidRPr="005178C7">
        <w:rPr>
          <w:rFonts w:ascii="Arial Narrow" w:hAnsi="Arial Narrow"/>
        </w:rPr>
        <w:t>Stanojevic</w:t>
      </w:r>
      <w:proofErr w:type="spellEnd"/>
      <w:r>
        <w:rPr>
          <w:rFonts w:ascii="Arial Narrow" w:hAnsi="Arial Narrow"/>
        </w:rPr>
        <w:t xml:space="preserve"> S;</w:t>
      </w:r>
      <w:r w:rsidRPr="005178C7">
        <w:rPr>
          <w:rFonts w:ascii="Arial Narrow" w:hAnsi="Arial Narrow"/>
        </w:rPr>
        <w:t xml:space="preserve"> </w:t>
      </w:r>
      <w:r w:rsidRPr="005178C7">
        <w:rPr>
          <w:rFonts w:ascii="Arial Narrow" w:hAnsi="Arial Narrow"/>
          <w:i/>
        </w:rPr>
        <w:t>et al</w:t>
      </w:r>
      <w:r w:rsidRPr="005178C7">
        <w:rPr>
          <w:rFonts w:ascii="Arial Narrow" w:hAnsi="Arial Narrow"/>
        </w:rPr>
        <w:t xml:space="preserve">. </w:t>
      </w:r>
      <w:r w:rsidRPr="005178C7">
        <w:rPr>
          <w:rFonts w:ascii="Arial Narrow" w:hAnsi="Arial Narrow"/>
          <w:i/>
        </w:rPr>
        <w:t xml:space="preserve">Survival Comparison of Patients </w:t>
      </w:r>
      <w:proofErr w:type="gramStart"/>
      <w:r w:rsidRPr="005178C7">
        <w:rPr>
          <w:rFonts w:ascii="Arial Narrow" w:hAnsi="Arial Narrow"/>
          <w:i/>
        </w:rPr>
        <w:t>With</w:t>
      </w:r>
      <w:proofErr w:type="gramEnd"/>
      <w:r w:rsidRPr="005178C7">
        <w:rPr>
          <w:rFonts w:ascii="Arial Narrow" w:hAnsi="Arial Narrow"/>
          <w:i/>
        </w:rPr>
        <w:t xml:space="preserve"> Cystic Fibrosis in Canada and the United States: A Population-Based Cohort Study</w:t>
      </w:r>
      <w:r w:rsidRPr="005178C7">
        <w:rPr>
          <w:rFonts w:ascii="Arial Narrow" w:hAnsi="Arial Narrow"/>
        </w:rPr>
        <w:t>. Ann</w:t>
      </w:r>
      <w:r>
        <w:rPr>
          <w:rFonts w:ascii="Arial Narrow" w:hAnsi="Arial Narrow"/>
        </w:rPr>
        <w:t>als</w:t>
      </w:r>
      <w:r w:rsidRPr="005178C7">
        <w:rPr>
          <w:rFonts w:ascii="Arial Narrow" w:hAnsi="Arial Narrow"/>
        </w:rPr>
        <w:t xml:space="preserve"> </w:t>
      </w:r>
      <w:r>
        <w:rPr>
          <w:rFonts w:ascii="Arial Narrow" w:hAnsi="Arial Narrow"/>
        </w:rPr>
        <w:t xml:space="preserve">of </w:t>
      </w:r>
      <w:r w:rsidRPr="005178C7">
        <w:rPr>
          <w:rFonts w:ascii="Arial Narrow" w:hAnsi="Arial Narrow"/>
        </w:rPr>
        <w:t>Intern</w:t>
      </w:r>
      <w:r>
        <w:rPr>
          <w:rFonts w:ascii="Arial Narrow" w:hAnsi="Arial Narrow"/>
        </w:rPr>
        <w:t>al</w:t>
      </w:r>
      <w:r w:rsidRPr="005178C7">
        <w:rPr>
          <w:rFonts w:ascii="Arial Narrow" w:hAnsi="Arial Narrow"/>
        </w:rPr>
        <w:t xml:space="preserve"> Med</w:t>
      </w:r>
      <w:r>
        <w:rPr>
          <w:rFonts w:ascii="Arial Narrow" w:hAnsi="Arial Narrow"/>
        </w:rPr>
        <w:t>icine,</w:t>
      </w:r>
      <w:r w:rsidRPr="005178C7">
        <w:rPr>
          <w:rFonts w:ascii="Arial Narrow" w:hAnsi="Arial Narrow"/>
        </w:rPr>
        <w:t xml:space="preserve"> 2017</w:t>
      </w:r>
      <w:proofErr w:type="gramStart"/>
      <w:r w:rsidRPr="005178C7">
        <w:rPr>
          <w:rFonts w:ascii="Arial Narrow" w:hAnsi="Arial Narrow"/>
        </w:rPr>
        <w:t>;166</w:t>
      </w:r>
      <w:proofErr w:type="gramEnd"/>
      <w:r w:rsidRPr="005178C7">
        <w:rPr>
          <w:rFonts w:ascii="Arial Narrow" w:hAnsi="Arial Narrow"/>
        </w:rPr>
        <w:t>(8):537-546.</w:t>
      </w:r>
    </w:p>
  </w:footnote>
  <w:footnote w:id="9">
    <w:p w:rsidR="00190149" w:rsidRDefault="00190149" w:rsidP="00C47C3B">
      <w:pPr>
        <w:pStyle w:val="FootnoteText"/>
      </w:pPr>
      <w:r>
        <w:rPr>
          <w:rStyle w:val="FootnoteReference"/>
        </w:rPr>
        <w:footnoteRef/>
      </w:r>
      <w:r>
        <w:t xml:space="preserve"> </w:t>
      </w:r>
      <w:hyperlink r:id="rId4" w:history="1">
        <w:r w:rsidRPr="00226B30">
          <w:rPr>
            <w:rStyle w:val="Hyperlink"/>
            <w:rFonts w:ascii="Arial Narrow" w:hAnsi="Arial Narrow"/>
          </w:rPr>
          <w:t>Vertex pharmaceuticals media release</w:t>
        </w:r>
      </w:hyperlink>
      <w:r w:rsidRPr="00226B30">
        <w:rPr>
          <w:rFonts w:ascii="Arial Narrow" w:hAnsi="Arial Narrow"/>
        </w:rPr>
        <w:t xml:space="preserve">, 28 March 2017, Two Phase 3 Studies of the </w:t>
      </w:r>
      <w:proofErr w:type="spellStart"/>
      <w:r w:rsidRPr="00226B30">
        <w:rPr>
          <w:rFonts w:ascii="Arial Narrow" w:hAnsi="Arial Narrow"/>
        </w:rPr>
        <w:t>Tezacaftor</w:t>
      </w:r>
      <w:proofErr w:type="spellEnd"/>
      <w:r w:rsidRPr="00226B30">
        <w:rPr>
          <w:rFonts w:ascii="Arial Narrow" w:hAnsi="Arial Narrow"/>
        </w:rPr>
        <w:t>/</w:t>
      </w:r>
      <w:proofErr w:type="spellStart"/>
      <w:r w:rsidRPr="00226B30">
        <w:rPr>
          <w:rFonts w:ascii="Arial Narrow" w:hAnsi="Arial Narrow"/>
        </w:rPr>
        <w:t>Ivacaftor</w:t>
      </w:r>
      <w:proofErr w:type="spellEnd"/>
      <w:r w:rsidRPr="00226B30">
        <w:rPr>
          <w:rFonts w:ascii="Arial Narrow" w:hAnsi="Arial Narrow"/>
        </w:rPr>
        <w:t xml:space="preserve"> Combination Treatment Met Primary Endpoints with Statistically Significant Improvements in Lung Function (FEV1) in People with Cystic Fibrosis.</w:t>
      </w:r>
    </w:p>
  </w:footnote>
  <w:footnote w:id="10">
    <w:p w:rsidR="00190149" w:rsidRPr="004023B6" w:rsidRDefault="00190149" w:rsidP="00C47C3B">
      <w:pPr>
        <w:pStyle w:val="FootnoteText"/>
        <w:rPr>
          <w:rFonts w:ascii="Arial Narrow" w:hAnsi="Arial Narrow"/>
        </w:rPr>
      </w:pPr>
      <w:r w:rsidRPr="004023B6">
        <w:rPr>
          <w:rStyle w:val="FootnoteReference"/>
          <w:rFonts w:ascii="Arial Narrow" w:hAnsi="Arial Narrow"/>
        </w:rPr>
        <w:footnoteRef/>
      </w:r>
      <w:r w:rsidRPr="004023B6">
        <w:rPr>
          <w:rFonts w:ascii="Arial Narrow" w:hAnsi="Arial Narrow"/>
        </w:rPr>
        <w:t xml:space="preserve"> This reduction is also outside the terms of the recent Medicines Australia strategic agreement which sees the last F1 5% reduction occurring in April 2022, although the combination drug </w:t>
      </w:r>
      <w:proofErr w:type="spellStart"/>
      <w:r w:rsidRPr="004023B6">
        <w:rPr>
          <w:rFonts w:ascii="Arial Narrow" w:hAnsi="Arial Narrow"/>
        </w:rPr>
        <w:t>lumacaftor</w:t>
      </w:r>
      <w:proofErr w:type="spellEnd"/>
      <w:r w:rsidRPr="004023B6">
        <w:rPr>
          <w:rFonts w:ascii="Arial Narrow" w:hAnsi="Arial Narrow"/>
        </w:rPr>
        <w:t>/</w:t>
      </w:r>
      <w:proofErr w:type="spellStart"/>
      <w:r w:rsidRPr="004023B6">
        <w:rPr>
          <w:rFonts w:ascii="Arial Narrow" w:hAnsi="Arial Narrow"/>
        </w:rPr>
        <w:t>ivacaftor</w:t>
      </w:r>
      <w:proofErr w:type="spellEnd"/>
      <w:r w:rsidRPr="004023B6">
        <w:rPr>
          <w:rFonts w:ascii="Arial Narrow" w:hAnsi="Arial Narrow"/>
        </w:rPr>
        <w:t xml:space="preserve"> may take a flow on F1 5% price reduction from </w:t>
      </w:r>
      <w:proofErr w:type="spellStart"/>
      <w:r w:rsidRPr="004023B6">
        <w:rPr>
          <w:rFonts w:ascii="Arial Narrow" w:hAnsi="Arial Narrow"/>
        </w:rPr>
        <w:t>ivacaftor</w:t>
      </w:r>
      <w:proofErr w:type="spellEnd"/>
      <w:r w:rsidRPr="004023B6">
        <w:rPr>
          <w:rFonts w:ascii="Arial Narrow" w:hAnsi="Arial Narrow"/>
        </w:rPr>
        <w:t>, when the later takes that reduction on 1 April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149" w:rsidRDefault="001901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149" w:rsidRPr="004407ED" w:rsidRDefault="00190149" w:rsidP="004407ED">
    <w:pPr>
      <w:tabs>
        <w:tab w:val="center" w:pos="4513"/>
        <w:tab w:val="right" w:pos="9026"/>
      </w:tabs>
      <w:jc w:val="center"/>
      <w:rPr>
        <w:rFonts w:asciiTheme="minorHAnsi" w:eastAsiaTheme="minorHAnsi" w:hAnsiTheme="minorHAnsi" w:cstheme="minorHAnsi"/>
        <w:i/>
        <w:color w:val="808080"/>
        <w:sz w:val="22"/>
        <w:szCs w:val="22"/>
        <w:lang w:eastAsia="en-US"/>
      </w:rPr>
    </w:pPr>
    <w:r w:rsidRPr="004407ED">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4407ED">
      <w:rPr>
        <w:rFonts w:asciiTheme="minorHAnsi" w:eastAsiaTheme="minorHAnsi" w:hAnsiTheme="minorHAnsi" w:cstheme="minorHAnsi"/>
        <w:i/>
        <w:color w:val="808080"/>
        <w:sz w:val="22"/>
        <w:szCs w:val="22"/>
        <w:lang w:eastAsia="en-US"/>
      </w:rPr>
      <w:t xml:space="preserve"> PBAC Meeting</w:t>
    </w:r>
  </w:p>
  <w:p w:rsidR="00190149" w:rsidRPr="004407ED" w:rsidRDefault="00190149" w:rsidP="004407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149" w:rsidRDefault="001901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nsid w:val="000F6006"/>
    <w:multiLevelType w:val="multilevel"/>
    <w:tmpl w:val="7ACA3BAE"/>
    <w:lvl w:ilvl="0">
      <w:start w:val="6"/>
      <w:numFmt w:val="decimal"/>
      <w:lvlText w:val="%1"/>
      <w:lvlJc w:val="left"/>
      <w:pPr>
        <w:ind w:left="644" w:hanging="360"/>
      </w:pPr>
      <w:rPr>
        <w:rFonts w:hint="default"/>
      </w:rPr>
    </w:lvl>
    <w:lvl w:ilvl="1">
      <w:start w:val="1"/>
      <w:numFmt w:val="decimal"/>
      <w:lvlText w:val="%1.%2"/>
      <w:lvlJc w:val="left"/>
      <w:pPr>
        <w:ind w:left="360" w:hanging="360"/>
      </w:pPr>
      <w:rPr>
        <w:rFonts w:asciiTheme="minorHAnsi" w:hAnsiTheme="minorHAnsi" w:hint="default"/>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2A3600"/>
    <w:multiLevelType w:val="multilevel"/>
    <w:tmpl w:val="B5C6EA92"/>
    <w:numStyleLink w:val="Style2"/>
  </w:abstractNum>
  <w:abstractNum w:abstractNumId="3">
    <w:nsid w:val="09041749"/>
    <w:multiLevelType w:val="hybridMultilevel"/>
    <w:tmpl w:val="FFDAEC86"/>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095C3CF8"/>
    <w:multiLevelType w:val="hybridMultilevel"/>
    <w:tmpl w:val="82C40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99B22BB"/>
    <w:multiLevelType w:val="hybridMultilevel"/>
    <w:tmpl w:val="16FAE93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
    <w:nsid w:val="0E9C2954"/>
    <w:multiLevelType w:val="multilevel"/>
    <w:tmpl w:val="4D90FAF6"/>
    <w:lvl w:ilvl="0">
      <w:start w:val="5"/>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013C71"/>
    <w:multiLevelType w:val="multilevel"/>
    <w:tmpl w:val="B5C6EA92"/>
    <w:styleLink w:val="Style2"/>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503240E"/>
    <w:multiLevelType w:val="multilevel"/>
    <w:tmpl w:val="5C86D6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7965440"/>
    <w:multiLevelType w:val="hybridMultilevel"/>
    <w:tmpl w:val="E16EF27E"/>
    <w:lvl w:ilvl="0" w:tplc="04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B650263"/>
    <w:multiLevelType w:val="hybridMultilevel"/>
    <w:tmpl w:val="E458A022"/>
    <w:lvl w:ilvl="0" w:tplc="5B3EBADE">
      <w:numFmt w:val="bullet"/>
      <w:pStyle w:val="Bulletpoint"/>
      <w:lvlText w:val="-"/>
      <w:lvlJc w:val="left"/>
      <w:pPr>
        <w:tabs>
          <w:tab w:val="num" w:pos="720"/>
        </w:tabs>
        <w:ind w:left="720" w:hanging="360"/>
      </w:pPr>
      <w:rPr>
        <w:rFonts w:ascii="Times New Roman" w:eastAsia="Times New Roman" w:hAnsi="Times New Roman" w:cs="Times New Roman" w:hint="default"/>
      </w:rPr>
    </w:lvl>
    <w:lvl w:ilvl="1" w:tplc="5C823EAA">
      <w:start w:val="1"/>
      <w:numFmt w:val="bullet"/>
      <w:lvlText w:val="o"/>
      <w:lvlJc w:val="left"/>
      <w:pPr>
        <w:tabs>
          <w:tab w:val="num" w:pos="1440"/>
        </w:tabs>
        <w:ind w:left="1440" w:hanging="360"/>
      </w:pPr>
      <w:rPr>
        <w:rFonts w:ascii="Courier New" w:hAnsi="Courier New" w:cs="Courier New" w:hint="default"/>
      </w:rPr>
    </w:lvl>
    <w:lvl w:ilvl="2" w:tplc="735C1F4E" w:tentative="1">
      <w:start w:val="1"/>
      <w:numFmt w:val="bullet"/>
      <w:lvlText w:val=""/>
      <w:lvlJc w:val="left"/>
      <w:pPr>
        <w:tabs>
          <w:tab w:val="num" w:pos="2160"/>
        </w:tabs>
        <w:ind w:left="2160" w:hanging="360"/>
      </w:pPr>
      <w:rPr>
        <w:rFonts w:ascii="Wingdings" w:hAnsi="Wingdings" w:hint="default"/>
      </w:rPr>
    </w:lvl>
    <w:lvl w:ilvl="3" w:tplc="72BC2C8A" w:tentative="1">
      <w:start w:val="1"/>
      <w:numFmt w:val="bullet"/>
      <w:lvlText w:val=""/>
      <w:lvlJc w:val="left"/>
      <w:pPr>
        <w:tabs>
          <w:tab w:val="num" w:pos="2880"/>
        </w:tabs>
        <w:ind w:left="2880" w:hanging="360"/>
      </w:pPr>
      <w:rPr>
        <w:rFonts w:ascii="Symbol" w:hAnsi="Symbol" w:hint="default"/>
      </w:rPr>
    </w:lvl>
    <w:lvl w:ilvl="4" w:tplc="F6408CB6" w:tentative="1">
      <w:start w:val="1"/>
      <w:numFmt w:val="bullet"/>
      <w:lvlText w:val="o"/>
      <w:lvlJc w:val="left"/>
      <w:pPr>
        <w:tabs>
          <w:tab w:val="num" w:pos="3600"/>
        </w:tabs>
        <w:ind w:left="3600" w:hanging="360"/>
      </w:pPr>
      <w:rPr>
        <w:rFonts w:ascii="Courier New" w:hAnsi="Courier New" w:cs="Courier New" w:hint="default"/>
      </w:rPr>
    </w:lvl>
    <w:lvl w:ilvl="5" w:tplc="C6E6236A" w:tentative="1">
      <w:start w:val="1"/>
      <w:numFmt w:val="bullet"/>
      <w:lvlText w:val=""/>
      <w:lvlJc w:val="left"/>
      <w:pPr>
        <w:tabs>
          <w:tab w:val="num" w:pos="4320"/>
        </w:tabs>
        <w:ind w:left="4320" w:hanging="360"/>
      </w:pPr>
      <w:rPr>
        <w:rFonts w:ascii="Wingdings" w:hAnsi="Wingdings" w:hint="default"/>
      </w:rPr>
    </w:lvl>
    <w:lvl w:ilvl="6" w:tplc="135E60BC" w:tentative="1">
      <w:start w:val="1"/>
      <w:numFmt w:val="bullet"/>
      <w:lvlText w:val=""/>
      <w:lvlJc w:val="left"/>
      <w:pPr>
        <w:tabs>
          <w:tab w:val="num" w:pos="5040"/>
        </w:tabs>
        <w:ind w:left="5040" w:hanging="360"/>
      </w:pPr>
      <w:rPr>
        <w:rFonts w:ascii="Symbol" w:hAnsi="Symbol" w:hint="default"/>
      </w:rPr>
    </w:lvl>
    <w:lvl w:ilvl="7" w:tplc="A4C251FC" w:tentative="1">
      <w:start w:val="1"/>
      <w:numFmt w:val="bullet"/>
      <w:lvlText w:val="o"/>
      <w:lvlJc w:val="left"/>
      <w:pPr>
        <w:tabs>
          <w:tab w:val="num" w:pos="5760"/>
        </w:tabs>
        <w:ind w:left="5760" w:hanging="360"/>
      </w:pPr>
      <w:rPr>
        <w:rFonts w:ascii="Courier New" w:hAnsi="Courier New" w:cs="Courier New" w:hint="default"/>
      </w:rPr>
    </w:lvl>
    <w:lvl w:ilvl="8" w:tplc="9BA2086E" w:tentative="1">
      <w:start w:val="1"/>
      <w:numFmt w:val="bullet"/>
      <w:lvlText w:val=""/>
      <w:lvlJc w:val="left"/>
      <w:pPr>
        <w:tabs>
          <w:tab w:val="num" w:pos="6480"/>
        </w:tabs>
        <w:ind w:left="6480" w:hanging="360"/>
      </w:pPr>
      <w:rPr>
        <w:rFonts w:ascii="Wingdings" w:hAnsi="Wingdings" w:hint="default"/>
      </w:rPr>
    </w:lvl>
  </w:abstractNum>
  <w:abstractNum w:abstractNumId="12">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46332AF"/>
    <w:multiLevelType w:val="hybridMultilevel"/>
    <w:tmpl w:val="F15AAFFA"/>
    <w:lvl w:ilvl="0" w:tplc="951499EE">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B395EEA"/>
    <w:multiLevelType w:val="multilevel"/>
    <w:tmpl w:val="F9B67D00"/>
    <w:lvl w:ilvl="0">
      <w:start w:val="4"/>
      <w:numFmt w:val="decimal"/>
      <w:lvlText w:val="%1"/>
      <w:lvlJc w:val="left"/>
      <w:pPr>
        <w:ind w:left="360" w:hanging="360"/>
      </w:pPr>
      <w:rPr>
        <w:rFonts w:hint="default"/>
        <w:color w:val="FFFFFF" w:themeColor="background1"/>
        <w:sz w:val="4"/>
        <w:szCs w:val="4"/>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BC3675A"/>
    <w:multiLevelType w:val="multilevel"/>
    <w:tmpl w:val="D03C2224"/>
    <w:styleLink w:val="PBACstandardnumberstyle"/>
    <w:lvl w:ilvl="0">
      <w:start w:val="1"/>
      <w:numFmt w:val="upperLetter"/>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lowerLetter"/>
      <w:lvlText w:val="(%5)"/>
      <w:lvlJc w:val="left"/>
      <w:pPr>
        <w:tabs>
          <w:tab w:val="num" w:pos="1134"/>
        </w:tabs>
        <w:ind w:left="1134" w:hanging="1134"/>
      </w:pPr>
      <w:rPr>
        <w:rFonts w:hint="default"/>
      </w:rPr>
    </w:lvl>
    <w:lvl w:ilvl="5">
      <w:start w:val="1"/>
      <w:numFmt w:val="lowerRoman"/>
      <w:lvlText w:val="(%6)"/>
      <w:lvlJc w:val="left"/>
      <w:pPr>
        <w:tabs>
          <w:tab w:val="num" w:pos="1134"/>
        </w:tabs>
        <w:ind w:left="1134" w:hanging="1134"/>
      </w:pPr>
      <w:rPr>
        <w:rFonts w:hint="default"/>
      </w:rPr>
    </w:lvl>
    <w:lvl w:ilvl="6">
      <w:start w:val="1"/>
      <w:numFmt w:val="decimal"/>
      <w:lvlText w:val="%7."/>
      <w:lvlJc w:val="left"/>
      <w:pPr>
        <w:tabs>
          <w:tab w:val="num" w:pos="1134"/>
        </w:tabs>
        <w:ind w:left="1134" w:hanging="1134"/>
      </w:pPr>
      <w:rPr>
        <w:rFonts w:hint="default"/>
      </w:rPr>
    </w:lvl>
    <w:lvl w:ilvl="7">
      <w:start w:val="1"/>
      <w:numFmt w:val="lowerLetter"/>
      <w:lvlText w:val="%8."/>
      <w:lvlJc w:val="left"/>
      <w:pPr>
        <w:tabs>
          <w:tab w:val="num" w:pos="1134"/>
        </w:tabs>
        <w:ind w:left="1134" w:hanging="1134"/>
      </w:pPr>
      <w:rPr>
        <w:rFonts w:hint="default"/>
      </w:rPr>
    </w:lvl>
    <w:lvl w:ilvl="8">
      <w:start w:val="1"/>
      <w:numFmt w:val="lowerRoman"/>
      <w:lvlText w:val="%9."/>
      <w:lvlJc w:val="left"/>
      <w:pPr>
        <w:tabs>
          <w:tab w:val="num" w:pos="1134"/>
        </w:tabs>
        <w:ind w:left="1134" w:hanging="1134"/>
      </w:pPr>
      <w:rPr>
        <w:rFonts w:hint="default"/>
      </w:rPr>
    </w:lvl>
  </w:abstractNum>
  <w:abstractNum w:abstractNumId="17">
    <w:nsid w:val="70913AB3"/>
    <w:multiLevelType w:val="hybridMultilevel"/>
    <w:tmpl w:val="AE544F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DA163FB8"/>
    <w:lvl w:ilvl="0">
      <w:start w:val="1"/>
      <w:numFmt w:val="decimal"/>
      <w:pStyle w:val="PBACHeading1"/>
      <w:lvlText w:val="%1"/>
      <w:lvlJc w:val="left"/>
      <w:pPr>
        <w:ind w:left="720" w:hanging="720"/>
      </w:pPr>
      <w:rPr>
        <w:rFonts w:hint="default"/>
        <w:b/>
        <w:sz w:val="32"/>
        <w:szCs w:val="32"/>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FD26384"/>
    <w:multiLevelType w:val="multilevel"/>
    <w:tmpl w:val="6326270A"/>
    <w:lvl w:ilvl="0">
      <w:start w:val="2"/>
      <w:numFmt w:val="none"/>
      <w:pStyle w:val="HeadingLevel2"/>
      <w:lvlText w:val="1."/>
      <w:lvlJc w:val="left"/>
      <w:pPr>
        <w:tabs>
          <w:tab w:val="num" w:pos="360"/>
        </w:tabs>
        <w:ind w:left="360" w:hanging="360"/>
      </w:pPr>
      <w:rPr>
        <w:rFonts w:ascii="Verdana" w:hAnsi="Verdana" w:cs="Verdana" w:hint="default"/>
        <w:b/>
        <w:bCs/>
        <w:i w:val="0"/>
        <w:iCs w:val="0"/>
        <w:sz w:val="36"/>
        <w:szCs w:val="36"/>
      </w:rPr>
    </w:lvl>
    <w:lvl w:ilvl="1">
      <w:start w:val="1"/>
      <w:numFmt w:val="decimal"/>
      <w:lvlText w:val="%2%1.1"/>
      <w:lvlJc w:val="left"/>
      <w:pPr>
        <w:tabs>
          <w:tab w:val="num" w:pos="723"/>
        </w:tabs>
        <w:ind w:left="723" w:hanging="723"/>
      </w:pPr>
      <w:rPr>
        <w:rFonts w:ascii="Verdana" w:hAnsi="Verdana" w:cs="Verdana" w:hint="default"/>
        <w:b/>
        <w:bCs/>
        <w:i w:val="0"/>
        <w:iCs w:val="0"/>
        <w:sz w:val="28"/>
        <w:szCs w:val="28"/>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8"/>
  </w:num>
  <w:num w:numId="2">
    <w:abstractNumId w:val="0"/>
  </w:num>
  <w:num w:numId="3">
    <w:abstractNumId w:val="18"/>
  </w:num>
  <w:num w:numId="4">
    <w:abstractNumId w:val="17"/>
  </w:num>
  <w:num w:numId="5">
    <w:abstractNumId w:val="1"/>
  </w:num>
  <w:num w:numId="6">
    <w:abstractNumId w:val="13"/>
  </w:num>
  <w:num w:numId="7">
    <w:abstractNumId w:val="16"/>
  </w:num>
  <w:num w:numId="8">
    <w:abstractNumId w:val="11"/>
  </w:num>
  <w:num w:numId="9">
    <w:abstractNumId w:val="19"/>
  </w:num>
  <w:num w:numId="10">
    <w:abstractNumId w:val="12"/>
  </w:num>
  <w:num w:numId="11">
    <w:abstractNumId w:val="10"/>
  </w:num>
  <w:num w:numId="12">
    <w:abstractNumId w:val="15"/>
  </w:num>
  <w:num w:numId="13">
    <w:abstractNumId w:val="8"/>
  </w:num>
  <w:num w:numId="14">
    <w:abstractNumId w:val="14"/>
  </w:num>
  <w:num w:numId="15">
    <w:abstractNumId w:val="6"/>
  </w:num>
  <w:num w:numId="16">
    <w:abstractNumId w:val="3"/>
  </w:num>
  <w:num w:numId="17">
    <w:abstractNumId w:val="9"/>
  </w:num>
  <w:num w:numId="18">
    <w:abstractNumId w:val="4"/>
  </w:num>
  <w:num w:numId="19">
    <w:abstractNumId w:val="7"/>
  </w:num>
  <w:num w:numId="20">
    <w:abstractNumId w:val="5"/>
  </w:num>
  <w:num w:numId="21">
    <w:abstractNumId w:val="2"/>
    <w:lvlOverride w:ilvl="1">
      <w:lvl w:ilvl="1">
        <w:start w:val="1"/>
        <w:numFmt w:val="decimal"/>
        <w:lvlText w:val="%1.%2"/>
        <w:lvlJc w:val="left"/>
        <w:pPr>
          <w:ind w:left="720" w:hanging="720"/>
        </w:pPr>
        <w:rPr>
          <w:rFonts w:hint="default"/>
          <w:i w:val="0"/>
        </w:rPr>
      </w:lvl>
    </w:lvlOverride>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rs Chambers Westgarth">
    <w15:presenceInfo w15:providerId="None" w15:userId="Corrs Chambers Westgar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610"/>
    <w:rsid w:val="0000335D"/>
    <w:rsid w:val="000130FF"/>
    <w:rsid w:val="0002464A"/>
    <w:rsid w:val="00026848"/>
    <w:rsid w:val="00030722"/>
    <w:rsid w:val="0003106B"/>
    <w:rsid w:val="00033D8D"/>
    <w:rsid w:val="000421A1"/>
    <w:rsid w:val="0004240E"/>
    <w:rsid w:val="00044548"/>
    <w:rsid w:val="00044B1C"/>
    <w:rsid w:val="00045E26"/>
    <w:rsid w:val="000514B5"/>
    <w:rsid w:val="000531DC"/>
    <w:rsid w:val="00053FC5"/>
    <w:rsid w:val="0006001E"/>
    <w:rsid w:val="00060E64"/>
    <w:rsid w:val="00066755"/>
    <w:rsid w:val="000714AA"/>
    <w:rsid w:val="00072B9B"/>
    <w:rsid w:val="00077143"/>
    <w:rsid w:val="00082169"/>
    <w:rsid w:val="00082FA1"/>
    <w:rsid w:val="000904E9"/>
    <w:rsid w:val="00092A5D"/>
    <w:rsid w:val="000949E0"/>
    <w:rsid w:val="00094D52"/>
    <w:rsid w:val="00096491"/>
    <w:rsid w:val="000969AD"/>
    <w:rsid w:val="000A6504"/>
    <w:rsid w:val="000B558D"/>
    <w:rsid w:val="000C6996"/>
    <w:rsid w:val="000D23BA"/>
    <w:rsid w:val="000D2F1E"/>
    <w:rsid w:val="000D60E8"/>
    <w:rsid w:val="000E007E"/>
    <w:rsid w:val="000E681E"/>
    <w:rsid w:val="000F0003"/>
    <w:rsid w:val="000F4E6A"/>
    <w:rsid w:val="000F4FC9"/>
    <w:rsid w:val="00104227"/>
    <w:rsid w:val="001107BF"/>
    <w:rsid w:val="0011219B"/>
    <w:rsid w:val="0012417C"/>
    <w:rsid w:val="0013731D"/>
    <w:rsid w:val="00142395"/>
    <w:rsid w:val="00142714"/>
    <w:rsid w:val="001452ED"/>
    <w:rsid w:val="0014569D"/>
    <w:rsid w:val="0015387E"/>
    <w:rsid w:val="00163329"/>
    <w:rsid w:val="00163FAA"/>
    <w:rsid w:val="00164623"/>
    <w:rsid w:val="00165B64"/>
    <w:rsid w:val="00165D9A"/>
    <w:rsid w:val="00171842"/>
    <w:rsid w:val="00180713"/>
    <w:rsid w:val="001830CE"/>
    <w:rsid w:val="0018643B"/>
    <w:rsid w:val="00190149"/>
    <w:rsid w:val="00196307"/>
    <w:rsid w:val="00197B5D"/>
    <w:rsid w:val="001A33EA"/>
    <w:rsid w:val="001A3C68"/>
    <w:rsid w:val="001A5193"/>
    <w:rsid w:val="001A6630"/>
    <w:rsid w:val="001A7B1E"/>
    <w:rsid w:val="001B017F"/>
    <w:rsid w:val="001B2BBC"/>
    <w:rsid w:val="001B3BDA"/>
    <w:rsid w:val="001B3FA5"/>
    <w:rsid w:val="001B5129"/>
    <w:rsid w:val="001C1195"/>
    <w:rsid w:val="001F1850"/>
    <w:rsid w:val="00203FAC"/>
    <w:rsid w:val="00204651"/>
    <w:rsid w:val="00206DD3"/>
    <w:rsid w:val="00213CFB"/>
    <w:rsid w:val="002165F3"/>
    <w:rsid w:val="00217BE1"/>
    <w:rsid w:val="002204A6"/>
    <w:rsid w:val="00224EB1"/>
    <w:rsid w:val="002409CD"/>
    <w:rsid w:val="00240BB4"/>
    <w:rsid w:val="00243513"/>
    <w:rsid w:val="00245AE7"/>
    <w:rsid w:val="00252533"/>
    <w:rsid w:val="00271BA1"/>
    <w:rsid w:val="002762FA"/>
    <w:rsid w:val="00277505"/>
    <w:rsid w:val="00281337"/>
    <w:rsid w:val="0028570E"/>
    <w:rsid w:val="002931FF"/>
    <w:rsid w:val="0029458F"/>
    <w:rsid w:val="002951A0"/>
    <w:rsid w:val="002A104C"/>
    <w:rsid w:val="002A1DB5"/>
    <w:rsid w:val="002A215F"/>
    <w:rsid w:val="002A38E7"/>
    <w:rsid w:val="002A4960"/>
    <w:rsid w:val="002B0205"/>
    <w:rsid w:val="002B1AE6"/>
    <w:rsid w:val="002B2DE8"/>
    <w:rsid w:val="002B30F8"/>
    <w:rsid w:val="002B32F0"/>
    <w:rsid w:val="002B5596"/>
    <w:rsid w:val="002C212F"/>
    <w:rsid w:val="002C6167"/>
    <w:rsid w:val="002D4543"/>
    <w:rsid w:val="002D6558"/>
    <w:rsid w:val="002D68DC"/>
    <w:rsid w:val="002E3029"/>
    <w:rsid w:val="002E3153"/>
    <w:rsid w:val="002E4DCF"/>
    <w:rsid w:val="002E56AD"/>
    <w:rsid w:val="002E72CA"/>
    <w:rsid w:val="002F17BC"/>
    <w:rsid w:val="002F600D"/>
    <w:rsid w:val="00300AD6"/>
    <w:rsid w:val="00317C6C"/>
    <w:rsid w:val="003230EF"/>
    <w:rsid w:val="00326B99"/>
    <w:rsid w:val="00326E79"/>
    <w:rsid w:val="00330295"/>
    <w:rsid w:val="0033518A"/>
    <w:rsid w:val="00336112"/>
    <w:rsid w:val="003367EF"/>
    <w:rsid w:val="00341AE4"/>
    <w:rsid w:val="0037316B"/>
    <w:rsid w:val="003738E7"/>
    <w:rsid w:val="003872CF"/>
    <w:rsid w:val="003947E9"/>
    <w:rsid w:val="0039782C"/>
    <w:rsid w:val="003A0CE1"/>
    <w:rsid w:val="003A5B4A"/>
    <w:rsid w:val="003A6EA2"/>
    <w:rsid w:val="003A7DA0"/>
    <w:rsid w:val="003B1432"/>
    <w:rsid w:val="003B23C5"/>
    <w:rsid w:val="003B2A75"/>
    <w:rsid w:val="003B6124"/>
    <w:rsid w:val="003C2FB5"/>
    <w:rsid w:val="003D3BE7"/>
    <w:rsid w:val="003D4AC4"/>
    <w:rsid w:val="003D63B7"/>
    <w:rsid w:val="003D6A71"/>
    <w:rsid w:val="003E0B60"/>
    <w:rsid w:val="003E0E7E"/>
    <w:rsid w:val="003E468B"/>
    <w:rsid w:val="003F0BC8"/>
    <w:rsid w:val="003F3228"/>
    <w:rsid w:val="003F4098"/>
    <w:rsid w:val="003F4AFD"/>
    <w:rsid w:val="003F5C8C"/>
    <w:rsid w:val="00400EB2"/>
    <w:rsid w:val="004018E2"/>
    <w:rsid w:val="004022E5"/>
    <w:rsid w:val="004252EC"/>
    <w:rsid w:val="0043061D"/>
    <w:rsid w:val="0043458A"/>
    <w:rsid w:val="004407ED"/>
    <w:rsid w:val="004465BD"/>
    <w:rsid w:val="00446D6E"/>
    <w:rsid w:val="00447713"/>
    <w:rsid w:val="00450AF1"/>
    <w:rsid w:val="00466ADA"/>
    <w:rsid w:val="00467787"/>
    <w:rsid w:val="00470C77"/>
    <w:rsid w:val="00473DAC"/>
    <w:rsid w:val="00474D19"/>
    <w:rsid w:val="00476245"/>
    <w:rsid w:val="00476642"/>
    <w:rsid w:val="00483035"/>
    <w:rsid w:val="00485940"/>
    <w:rsid w:val="004978B4"/>
    <w:rsid w:val="00497FB4"/>
    <w:rsid w:val="004A0ED5"/>
    <w:rsid w:val="004A0F5A"/>
    <w:rsid w:val="004A2484"/>
    <w:rsid w:val="004A28D5"/>
    <w:rsid w:val="004A2D5D"/>
    <w:rsid w:val="004A5A85"/>
    <w:rsid w:val="004A71D1"/>
    <w:rsid w:val="004B0487"/>
    <w:rsid w:val="004B0E6F"/>
    <w:rsid w:val="004B5640"/>
    <w:rsid w:val="004C1BD7"/>
    <w:rsid w:val="004C31FE"/>
    <w:rsid w:val="004C691D"/>
    <w:rsid w:val="004C6C07"/>
    <w:rsid w:val="004D0E85"/>
    <w:rsid w:val="004D1901"/>
    <w:rsid w:val="004D2168"/>
    <w:rsid w:val="004D3203"/>
    <w:rsid w:val="004E09A3"/>
    <w:rsid w:val="004E692D"/>
    <w:rsid w:val="00501554"/>
    <w:rsid w:val="005065B3"/>
    <w:rsid w:val="00514CD7"/>
    <w:rsid w:val="005319B2"/>
    <w:rsid w:val="00532402"/>
    <w:rsid w:val="00532C74"/>
    <w:rsid w:val="00534E2E"/>
    <w:rsid w:val="00544552"/>
    <w:rsid w:val="00563E91"/>
    <w:rsid w:val="00565D1B"/>
    <w:rsid w:val="00566B0D"/>
    <w:rsid w:val="00577C4D"/>
    <w:rsid w:val="00581932"/>
    <w:rsid w:val="00587DD9"/>
    <w:rsid w:val="005963BB"/>
    <w:rsid w:val="005979A6"/>
    <w:rsid w:val="005A3173"/>
    <w:rsid w:val="005A3223"/>
    <w:rsid w:val="005A3DA3"/>
    <w:rsid w:val="005A4A91"/>
    <w:rsid w:val="005A52C4"/>
    <w:rsid w:val="005B04EC"/>
    <w:rsid w:val="005B3F11"/>
    <w:rsid w:val="005C5470"/>
    <w:rsid w:val="005C5817"/>
    <w:rsid w:val="005C5A18"/>
    <w:rsid w:val="005D03AB"/>
    <w:rsid w:val="005D5017"/>
    <w:rsid w:val="005E0124"/>
    <w:rsid w:val="005E1333"/>
    <w:rsid w:val="005F086A"/>
    <w:rsid w:val="00601A91"/>
    <w:rsid w:val="00602BA3"/>
    <w:rsid w:val="006045E2"/>
    <w:rsid w:val="00604A39"/>
    <w:rsid w:val="00605394"/>
    <w:rsid w:val="00612E34"/>
    <w:rsid w:val="00614159"/>
    <w:rsid w:val="00617C00"/>
    <w:rsid w:val="006263BF"/>
    <w:rsid w:val="0062748A"/>
    <w:rsid w:val="00630A2C"/>
    <w:rsid w:val="0063682E"/>
    <w:rsid w:val="006436CD"/>
    <w:rsid w:val="00650593"/>
    <w:rsid w:val="00651169"/>
    <w:rsid w:val="00653D69"/>
    <w:rsid w:val="006617B4"/>
    <w:rsid w:val="006626DB"/>
    <w:rsid w:val="006670BE"/>
    <w:rsid w:val="00670A76"/>
    <w:rsid w:val="006711AA"/>
    <w:rsid w:val="00672B57"/>
    <w:rsid w:val="00675622"/>
    <w:rsid w:val="0067630C"/>
    <w:rsid w:val="0067747D"/>
    <w:rsid w:val="00681177"/>
    <w:rsid w:val="006906DB"/>
    <w:rsid w:val="00691E6C"/>
    <w:rsid w:val="00694E37"/>
    <w:rsid w:val="00696129"/>
    <w:rsid w:val="00697CF2"/>
    <w:rsid w:val="006A12A5"/>
    <w:rsid w:val="006A31FF"/>
    <w:rsid w:val="006A3504"/>
    <w:rsid w:val="006B0D94"/>
    <w:rsid w:val="006B485D"/>
    <w:rsid w:val="006C1A5F"/>
    <w:rsid w:val="006C27BE"/>
    <w:rsid w:val="006C708E"/>
    <w:rsid w:val="006C7198"/>
    <w:rsid w:val="006C77C8"/>
    <w:rsid w:val="006D004B"/>
    <w:rsid w:val="006D14E7"/>
    <w:rsid w:val="006D6493"/>
    <w:rsid w:val="006D6EC7"/>
    <w:rsid w:val="006E0731"/>
    <w:rsid w:val="006E6C57"/>
    <w:rsid w:val="006F35B1"/>
    <w:rsid w:val="006F5125"/>
    <w:rsid w:val="006F553C"/>
    <w:rsid w:val="006F5EAB"/>
    <w:rsid w:val="00702B6F"/>
    <w:rsid w:val="0071340B"/>
    <w:rsid w:val="00713687"/>
    <w:rsid w:val="00714C7B"/>
    <w:rsid w:val="007174BB"/>
    <w:rsid w:val="0072025D"/>
    <w:rsid w:val="007353D3"/>
    <w:rsid w:val="00736129"/>
    <w:rsid w:val="0073703D"/>
    <w:rsid w:val="0073784D"/>
    <w:rsid w:val="00737C7D"/>
    <w:rsid w:val="00746372"/>
    <w:rsid w:val="007568A1"/>
    <w:rsid w:val="0076420C"/>
    <w:rsid w:val="00764BA5"/>
    <w:rsid w:val="007753C2"/>
    <w:rsid w:val="007838B8"/>
    <w:rsid w:val="0078588E"/>
    <w:rsid w:val="00787C57"/>
    <w:rsid w:val="007A4646"/>
    <w:rsid w:val="007A730C"/>
    <w:rsid w:val="007C02B9"/>
    <w:rsid w:val="007C02F3"/>
    <w:rsid w:val="007C0F57"/>
    <w:rsid w:val="007C344B"/>
    <w:rsid w:val="007C355C"/>
    <w:rsid w:val="007C40B6"/>
    <w:rsid w:val="007C729F"/>
    <w:rsid w:val="007E1D28"/>
    <w:rsid w:val="007F2641"/>
    <w:rsid w:val="007F3EFC"/>
    <w:rsid w:val="007F7C36"/>
    <w:rsid w:val="0080519B"/>
    <w:rsid w:val="00806796"/>
    <w:rsid w:val="008151D6"/>
    <w:rsid w:val="008155BB"/>
    <w:rsid w:val="00817F56"/>
    <w:rsid w:val="00820D26"/>
    <w:rsid w:val="00826F6D"/>
    <w:rsid w:val="008306F3"/>
    <w:rsid w:val="00830F4E"/>
    <w:rsid w:val="00833F8F"/>
    <w:rsid w:val="00834EE6"/>
    <w:rsid w:val="00835252"/>
    <w:rsid w:val="00835A62"/>
    <w:rsid w:val="00837AFE"/>
    <w:rsid w:val="00841412"/>
    <w:rsid w:val="00846221"/>
    <w:rsid w:val="008465BB"/>
    <w:rsid w:val="008553B5"/>
    <w:rsid w:val="00856DDD"/>
    <w:rsid w:val="00863E68"/>
    <w:rsid w:val="008705C9"/>
    <w:rsid w:val="008706C8"/>
    <w:rsid w:val="00882085"/>
    <w:rsid w:val="00883188"/>
    <w:rsid w:val="0088666D"/>
    <w:rsid w:val="00891496"/>
    <w:rsid w:val="00897D58"/>
    <w:rsid w:val="00897F22"/>
    <w:rsid w:val="008A1956"/>
    <w:rsid w:val="008A3B00"/>
    <w:rsid w:val="008A4937"/>
    <w:rsid w:val="008A50F1"/>
    <w:rsid w:val="008B03CC"/>
    <w:rsid w:val="008B1011"/>
    <w:rsid w:val="008C0C94"/>
    <w:rsid w:val="008C66E9"/>
    <w:rsid w:val="008D1901"/>
    <w:rsid w:val="008D1B5C"/>
    <w:rsid w:val="008D2599"/>
    <w:rsid w:val="008D29D6"/>
    <w:rsid w:val="008D3A5F"/>
    <w:rsid w:val="008D3C82"/>
    <w:rsid w:val="008D447E"/>
    <w:rsid w:val="008D518B"/>
    <w:rsid w:val="008D7A41"/>
    <w:rsid w:val="008E3680"/>
    <w:rsid w:val="008E5870"/>
    <w:rsid w:val="008F1434"/>
    <w:rsid w:val="008F72A8"/>
    <w:rsid w:val="008F7355"/>
    <w:rsid w:val="00902A63"/>
    <w:rsid w:val="009067B7"/>
    <w:rsid w:val="009117F7"/>
    <w:rsid w:val="0091201A"/>
    <w:rsid w:val="00912ED1"/>
    <w:rsid w:val="00913FD7"/>
    <w:rsid w:val="00917B3A"/>
    <w:rsid w:val="009234AA"/>
    <w:rsid w:val="009253C0"/>
    <w:rsid w:val="00925EC3"/>
    <w:rsid w:val="00930937"/>
    <w:rsid w:val="00933BF6"/>
    <w:rsid w:val="00933E6C"/>
    <w:rsid w:val="00934E6D"/>
    <w:rsid w:val="00937958"/>
    <w:rsid w:val="00942160"/>
    <w:rsid w:val="0094281E"/>
    <w:rsid w:val="00946552"/>
    <w:rsid w:val="0095146F"/>
    <w:rsid w:val="009602C5"/>
    <w:rsid w:val="00962223"/>
    <w:rsid w:val="00966D0D"/>
    <w:rsid w:val="0097053C"/>
    <w:rsid w:val="00974C21"/>
    <w:rsid w:val="00982457"/>
    <w:rsid w:val="009877C9"/>
    <w:rsid w:val="009901CD"/>
    <w:rsid w:val="00990855"/>
    <w:rsid w:val="00993A49"/>
    <w:rsid w:val="009A2C1B"/>
    <w:rsid w:val="009B04DB"/>
    <w:rsid w:val="009B0E64"/>
    <w:rsid w:val="009B0F67"/>
    <w:rsid w:val="009B6010"/>
    <w:rsid w:val="009C703C"/>
    <w:rsid w:val="009D3CAA"/>
    <w:rsid w:val="009E3DF4"/>
    <w:rsid w:val="009E40E1"/>
    <w:rsid w:val="009E568A"/>
    <w:rsid w:val="009F34D9"/>
    <w:rsid w:val="009F446F"/>
    <w:rsid w:val="009F4E46"/>
    <w:rsid w:val="009F5B65"/>
    <w:rsid w:val="009F5B86"/>
    <w:rsid w:val="009F5F2E"/>
    <w:rsid w:val="009F6C29"/>
    <w:rsid w:val="00A024D6"/>
    <w:rsid w:val="00A03ED2"/>
    <w:rsid w:val="00A06225"/>
    <w:rsid w:val="00A128E6"/>
    <w:rsid w:val="00A14B4D"/>
    <w:rsid w:val="00A14D3A"/>
    <w:rsid w:val="00A276F1"/>
    <w:rsid w:val="00A34E6C"/>
    <w:rsid w:val="00A360B2"/>
    <w:rsid w:val="00A37C8D"/>
    <w:rsid w:val="00A45322"/>
    <w:rsid w:val="00A45FB1"/>
    <w:rsid w:val="00A462FE"/>
    <w:rsid w:val="00A5273B"/>
    <w:rsid w:val="00A53A9D"/>
    <w:rsid w:val="00A55A56"/>
    <w:rsid w:val="00A55FEE"/>
    <w:rsid w:val="00A62C1A"/>
    <w:rsid w:val="00A6426D"/>
    <w:rsid w:val="00A665C1"/>
    <w:rsid w:val="00A70622"/>
    <w:rsid w:val="00A70977"/>
    <w:rsid w:val="00A77613"/>
    <w:rsid w:val="00A77D9D"/>
    <w:rsid w:val="00A8147B"/>
    <w:rsid w:val="00A8390C"/>
    <w:rsid w:val="00A87A77"/>
    <w:rsid w:val="00A928BD"/>
    <w:rsid w:val="00A97771"/>
    <w:rsid w:val="00AA37D5"/>
    <w:rsid w:val="00AA4D1C"/>
    <w:rsid w:val="00AB739B"/>
    <w:rsid w:val="00AC193C"/>
    <w:rsid w:val="00AC257B"/>
    <w:rsid w:val="00AC5206"/>
    <w:rsid w:val="00AD4F42"/>
    <w:rsid w:val="00AD5FFE"/>
    <w:rsid w:val="00AD6F59"/>
    <w:rsid w:val="00AE11A5"/>
    <w:rsid w:val="00AE13E2"/>
    <w:rsid w:val="00AE22D3"/>
    <w:rsid w:val="00AE3628"/>
    <w:rsid w:val="00AE7ED9"/>
    <w:rsid w:val="00AF1481"/>
    <w:rsid w:val="00AF359A"/>
    <w:rsid w:val="00AF527E"/>
    <w:rsid w:val="00AF5F59"/>
    <w:rsid w:val="00AF62DF"/>
    <w:rsid w:val="00AF68CC"/>
    <w:rsid w:val="00B02BCF"/>
    <w:rsid w:val="00B03214"/>
    <w:rsid w:val="00B04489"/>
    <w:rsid w:val="00B1059E"/>
    <w:rsid w:val="00B11192"/>
    <w:rsid w:val="00B176C8"/>
    <w:rsid w:val="00B205AA"/>
    <w:rsid w:val="00B22E84"/>
    <w:rsid w:val="00B2504F"/>
    <w:rsid w:val="00B2527E"/>
    <w:rsid w:val="00B25F75"/>
    <w:rsid w:val="00B26B3F"/>
    <w:rsid w:val="00B32BFB"/>
    <w:rsid w:val="00B3598D"/>
    <w:rsid w:val="00B37F10"/>
    <w:rsid w:val="00B43E90"/>
    <w:rsid w:val="00B467DC"/>
    <w:rsid w:val="00B47FA4"/>
    <w:rsid w:val="00B503D0"/>
    <w:rsid w:val="00B56118"/>
    <w:rsid w:val="00B62EB9"/>
    <w:rsid w:val="00B6773F"/>
    <w:rsid w:val="00B801BA"/>
    <w:rsid w:val="00B84D5C"/>
    <w:rsid w:val="00B87FC5"/>
    <w:rsid w:val="00B9096D"/>
    <w:rsid w:val="00B92F81"/>
    <w:rsid w:val="00B95831"/>
    <w:rsid w:val="00BA24C3"/>
    <w:rsid w:val="00BA6743"/>
    <w:rsid w:val="00BB3406"/>
    <w:rsid w:val="00BB39BF"/>
    <w:rsid w:val="00BB69F5"/>
    <w:rsid w:val="00BB7EC3"/>
    <w:rsid w:val="00BC4B9A"/>
    <w:rsid w:val="00BD3F35"/>
    <w:rsid w:val="00BD68DC"/>
    <w:rsid w:val="00BD784C"/>
    <w:rsid w:val="00BE42E7"/>
    <w:rsid w:val="00BF3396"/>
    <w:rsid w:val="00BF4CB6"/>
    <w:rsid w:val="00BF6AFE"/>
    <w:rsid w:val="00C00DA7"/>
    <w:rsid w:val="00C01576"/>
    <w:rsid w:val="00C0177A"/>
    <w:rsid w:val="00C02EED"/>
    <w:rsid w:val="00C12768"/>
    <w:rsid w:val="00C21F80"/>
    <w:rsid w:val="00C27B58"/>
    <w:rsid w:val="00C327CC"/>
    <w:rsid w:val="00C35996"/>
    <w:rsid w:val="00C37125"/>
    <w:rsid w:val="00C4077F"/>
    <w:rsid w:val="00C4747E"/>
    <w:rsid w:val="00C47C3B"/>
    <w:rsid w:val="00C5342C"/>
    <w:rsid w:val="00C55DF3"/>
    <w:rsid w:val="00C574B7"/>
    <w:rsid w:val="00C603D4"/>
    <w:rsid w:val="00C6256A"/>
    <w:rsid w:val="00C65937"/>
    <w:rsid w:val="00C662A4"/>
    <w:rsid w:val="00C75B0B"/>
    <w:rsid w:val="00C7726A"/>
    <w:rsid w:val="00C77891"/>
    <w:rsid w:val="00C8162B"/>
    <w:rsid w:val="00C8267D"/>
    <w:rsid w:val="00C83A0D"/>
    <w:rsid w:val="00C867A1"/>
    <w:rsid w:val="00C87E77"/>
    <w:rsid w:val="00C91449"/>
    <w:rsid w:val="00C92D10"/>
    <w:rsid w:val="00CB0030"/>
    <w:rsid w:val="00CC7B6E"/>
    <w:rsid w:val="00CD12B2"/>
    <w:rsid w:val="00CE10C4"/>
    <w:rsid w:val="00CE27B5"/>
    <w:rsid w:val="00CE7DFC"/>
    <w:rsid w:val="00CF248C"/>
    <w:rsid w:val="00CF2526"/>
    <w:rsid w:val="00D0321E"/>
    <w:rsid w:val="00D05B23"/>
    <w:rsid w:val="00D06D64"/>
    <w:rsid w:val="00D1455A"/>
    <w:rsid w:val="00D227CC"/>
    <w:rsid w:val="00D261D9"/>
    <w:rsid w:val="00D27CDE"/>
    <w:rsid w:val="00D31150"/>
    <w:rsid w:val="00D3138B"/>
    <w:rsid w:val="00D3280C"/>
    <w:rsid w:val="00D3406A"/>
    <w:rsid w:val="00D44B48"/>
    <w:rsid w:val="00D4572C"/>
    <w:rsid w:val="00D45D9B"/>
    <w:rsid w:val="00D469B2"/>
    <w:rsid w:val="00D47366"/>
    <w:rsid w:val="00D54DEF"/>
    <w:rsid w:val="00D60F62"/>
    <w:rsid w:val="00D642B6"/>
    <w:rsid w:val="00D6677D"/>
    <w:rsid w:val="00D71C08"/>
    <w:rsid w:val="00D741EB"/>
    <w:rsid w:val="00D74824"/>
    <w:rsid w:val="00D7716A"/>
    <w:rsid w:val="00D83605"/>
    <w:rsid w:val="00D84934"/>
    <w:rsid w:val="00D852C6"/>
    <w:rsid w:val="00D85D3A"/>
    <w:rsid w:val="00D86AB2"/>
    <w:rsid w:val="00D91271"/>
    <w:rsid w:val="00D919F5"/>
    <w:rsid w:val="00D94F03"/>
    <w:rsid w:val="00D97227"/>
    <w:rsid w:val="00DA06F6"/>
    <w:rsid w:val="00DA2CB5"/>
    <w:rsid w:val="00DA4BAC"/>
    <w:rsid w:val="00DD4845"/>
    <w:rsid w:val="00DE091A"/>
    <w:rsid w:val="00DE3662"/>
    <w:rsid w:val="00DE6D27"/>
    <w:rsid w:val="00DF217D"/>
    <w:rsid w:val="00DF26A7"/>
    <w:rsid w:val="00DF2CC2"/>
    <w:rsid w:val="00E023BF"/>
    <w:rsid w:val="00E15627"/>
    <w:rsid w:val="00E164B3"/>
    <w:rsid w:val="00E16910"/>
    <w:rsid w:val="00E42BDB"/>
    <w:rsid w:val="00E47369"/>
    <w:rsid w:val="00E57EEB"/>
    <w:rsid w:val="00E62D94"/>
    <w:rsid w:val="00E65E54"/>
    <w:rsid w:val="00E66AD4"/>
    <w:rsid w:val="00E67B14"/>
    <w:rsid w:val="00E76202"/>
    <w:rsid w:val="00E80155"/>
    <w:rsid w:val="00E81F28"/>
    <w:rsid w:val="00E82A2C"/>
    <w:rsid w:val="00E8428B"/>
    <w:rsid w:val="00E848C0"/>
    <w:rsid w:val="00E8637A"/>
    <w:rsid w:val="00E873CD"/>
    <w:rsid w:val="00E91B96"/>
    <w:rsid w:val="00E941A1"/>
    <w:rsid w:val="00E95CE3"/>
    <w:rsid w:val="00EA2825"/>
    <w:rsid w:val="00EA3F71"/>
    <w:rsid w:val="00EA4224"/>
    <w:rsid w:val="00EB0B63"/>
    <w:rsid w:val="00EB15BB"/>
    <w:rsid w:val="00EB1936"/>
    <w:rsid w:val="00EB4990"/>
    <w:rsid w:val="00EB5088"/>
    <w:rsid w:val="00EB6390"/>
    <w:rsid w:val="00EC0C62"/>
    <w:rsid w:val="00EC423E"/>
    <w:rsid w:val="00ED1644"/>
    <w:rsid w:val="00ED2593"/>
    <w:rsid w:val="00ED4A83"/>
    <w:rsid w:val="00ED4CA4"/>
    <w:rsid w:val="00ED4EC6"/>
    <w:rsid w:val="00ED609B"/>
    <w:rsid w:val="00ED61FE"/>
    <w:rsid w:val="00ED6E73"/>
    <w:rsid w:val="00ED7D9C"/>
    <w:rsid w:val="00EF1CD7"/>
    <w:rsid w:val="00EF44A0"/>
    <w:rsid w:val="00EF4FED"/>
    <w:rsid w:val="00F050BD"/>
    <w:rsid w:val="00F05657"/>
    <w:rsid w:val="00F075FB"/>
    <w:rsid w:val="00F12CB9"/>
    <w:rsid w:val="00F25578"/>
    <w:rsid w:val="00F258E5"/>
    <w:rsid w:val="00F300BC"/>
    <w:rsid w:val="00F3334E"/>
    <w:rsid w:val="00F36CCB"/>
    <w:rsid w:val="00F374E5"/>
    <w:rsid w:val="00F37823"/>
    <w:rsid w:val="00F41B8F"/>
    <w:rsid w:val="00F43AF2"/>
    <w:rsid w:val="00F50EC4"/>
    <w:rsid w:val="00F5490F"/>
    <w:rsid w:val="00F550CF"/>
    <w:rsid w:val="00F57A6D"/>
    <w:rsid w:val="00F638CC"/>
    <w:rsid w:val="00F64CC1"/>
    <w:rsid w:val="00F72317"/>
    <w:rsid w:val="00F74546"/>
    <w:rsid w:val="00F77361"/>
    <w:rsid w:val="00F80475"/>
    <w:rsid w:val="00F8247A"/>
    <w:rsid w:val="00F82CD8"/>
    <w:rsid w:val="00F832AC"/>
    <w:rsid w:val="00F87404"/>
    <w:rsid w:val="00F94C91"/>
    <w:rsid w:val="00F9629A"/>
    <w:rsid w:val="00F97EFC"/>
    <w:rsid w:val="00FA5883"/>
    <w:rsid w:val="00FA6055"/>
    <w:rsid w:val="00FB1ADA"/>
    <w:rsid w:val="00FB322F"/>
    <w:rsid w:val="00FB32F5"/>
    <w:rsid w:val="00FB442F"/>
    <w:rsid w:val="00FB6C72"/>
    <w:rsid w:val="00FC0255"/>
    <w:rsid w:val="00FC0598"/>
    <w:rsid w:val="00FC1929"/>
    <w:rsid w:val="00FC30A0"/>
    <w:rsid w:val="00FC5B46"/>
    <w:rsid w:val="00FC6105"/>
    <w:rsid w:val="00FD1925"/>
    <w:rsid w:val="00FD6D8E"/>
    <w:rsid w:val="00FE0E94"/>
    <w:rsid w:val="00FE4F60"/>
    <w:rsid w:val="00FE52EE"/>
    <w:rsid w:val="00FF00BD"/>
    <w:rsid w:val="00FF1ED4"/>
    <w:rsid w:val="00FF23F4"/>
    <w:rsid w:val="00FF2801"/>
    <w:rsid w:val="00FF39BC"/>
    <w:rsid w:val="00FF4A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uiPriority="1" w:qFormat="1"/>
    <w:lsdException w:name="heading 4" w:uiPriority="5"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iPriority="7" w:unhideWhenUsed="0" w:qFormat="1"/>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lsdException w:name="No Spacing" w:semiHidden="0" w:uiPriority="7"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sid w:val="005C5A18"/>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iPriority w:val="1"/>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Heading 1 - Body"/>
    <w:basedOn w:val="Normal"/>
    <w:next w:val="Normal"/>
    <w:link w:val="Heading4Char"/>
    <w:uiPriority w:val="5"/>
    <w:unhideWhenUsed/>
    <w:qFormat/>
    <w:rsid w:val="00D27CD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7"/>
    <w:qFormat/>
    <w:pPr>
      <w:spacing w:before="240" w:after="60"/>
      <w:outlineLvl w:val="4"/>
    </w:pPr>
    <w:rPr>
      <w:b/>
      <w:bCs/>
      <w:i/>
      <w:iCs/>
      <w:sz w:val="26"/>
      <w:szCs w:val="26"/>
    </w:rPr>
  </w:style>
  <w:style w:type="paragraph" w:styleId="Heading6">
    <w:name w:val="heading 6"/>
    <w:aliases w:val="Heading 3 - Body"/>
    <w:basedOn w:val="Normal"/>
    <w:next w:val="Normal"/>
    <w:link w:val="Heading6Char"/>
    <w:uiPriority w:val="7"/>
    <w:qFormat/>
    <w:pPr>
      <w:spacing w:before="240" w:after="60"/>
      <w:outlineLvl w:val="5"/>
    </w:pPr>
    <w:rPr>
      <w:b/>
      <w:bCs/>
      <w:sz w:val="22"/>
      <w:szCs w:val="22"/>
    </w:rPr>
  </w:style>
  <w:style w:type="paragraph" w:styleId="Heading7">
    <w:name w:val="heading 7"/>
    <w:basedOn w:val="Normal"/>
    <w:next w:val="Normal"/>
    <w:link w:val="Heading7Char"/>
    <w:uiPriority w:val="7"/>
    <w:qFormat/>
    <w:rsid w:val="0080519B"/>
    <w:pPr>
      <w:keepNext/>
      <w:widowControl w:val="0"/>
      <w:jc w:val="center"/>
      <w:outlineLvl w:val="6"/>
    </w:pPr>
    <w:rPr>
      <w:rFonts w:ascii="Arial" w:hAnsi="Arial" w:cs="Arial"/>
      <w:b/>
      <w:snapToGrid w:val="0"/>
      <w:sz w:val="20"/>
      <w:szCs w:val="20"/>
      <w:lang w:eastAsia="en-US"/>
    </w:rPr>
  </w:style>
  <w:style w:type="paragraph" w:styleId="Heading8">
    <w:name w:val="heading 8"/>
    <w:basedOn w:val="Normal"/>
    <w:next w:val="Normal"/>
    <w:link w:val="Heading8Char"/>
    <w:uiPriority w:val="7"/>
    <w:qFormat/>
    <w:rsid w:val="0080519B"/>
    <w:pPr>
      <w:keepNext/>
      <w:widowControl w:val="0"/>
      <w:jc w:val="right"/>
      <w:outlineLvl w:val="7"/>
    </w:pPr>
    <w:rPr>
      <w:rFonts w:ascii="Arial" w:hAnsi="Arial" w:cs="Arial"/>
      <w:b/>
      <w:snapToGrid w:val="0"/>
      <w:sz w:val="22"/>
      <w:szCs w:val="20"/>
      <w:lang w:eastAsia="en-US"/>
    </w:rPr>
  </w:style>
  <w:style w:type="paragraph" w:styleId="Heading9">
    <w:name w:val="heading 9"/>
    <w:aliases w:val="Section heading - Body"/>
    <w:basedOn w:val="Normal"/>
    <w:next w:val="Normal"/>
    <w:link w:val="Heading9Char"/>
    <w:uiPriority w:val="7"/>
    <w:qFormat/>
    <w:rsid w:val="0080519B"/>
    <w:pPr>
      <w:keepNext/>
      <w:widowControl w:val="0"/>
      <w:jc w:val="center"/>
      <w:outlineLvl w:val="8"/>
    </w:pPr>
    <w:rPr>
      <w:rFonts w:ascii="Arial" w:hAnsi="Arial" w:cs="Arial"/>
      <w:b/>
      <w:snapToGrid w:val="0"/>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
    <w:rPr>
      <w:rFonts w:ascii="Tahoma" w:hAnsi="Tahoma" w:cs="Tahoma"/>
      <w:sz w:val="16"/>
      <w:szCs w:val="16"/>
    </w:rPr>
  </w:style>
  <w:style w:type="table" w:styleId="TableGrid">
    <w:name w:val="Table Grid"/>
    <w:aliases w:val="Summary box,Table Gridbeth,PBAC table,new sty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uiPriority w:val="9"/>
    <w:pPr>
      <w:widowControl w:val="0"/>
      <w:jc w:val="both"/>
    </w:pPr>
    <w:rPr>
      <w:rFonts w:ascii="Arial" w:hAnsi="Arial"/>
      <w:snapToGrid w:val="0"/>
      <w:sz w:val="20"/>
      <w:szCs w:val="20"/>
      <w:lang w:eastAsia="en-US"/>
    </w:rPr>
  </w:style>
  <w:style w:type="paragraph" w:customStyle="1" w:styleId="TableHeading">
    <w:name w:val="TableHeading"/>
    <w:basedOn w:val="Normal"/>
    <w:link w:val="TableHeadingChar"/>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uiPriority w:val="9"/>
    <w:rPr>
      <w:rFonts w:ascii="Arial" w:hAnsi="Arial"/>
      <w:snapToGrid w:val="0"/>
      <w:lang w:val="en-AU" w:eastAsia="en-US" w:bidi="ar-SA"/>
    </w:rPr>
  </w:style>
  <w:style w:type="paragraph" w:customStyle="1" w:styleId="Char1CharCharChar">
    <w:name w:val="Char1 Char Char Char"/>
    <w:basedOn w:val="Normal"/>
    <w:uiPriority w:val="9"/>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
    <w:pPr>
      <w:spacing w:after="120"/>
    </w:pPr>
    <w:rPr>
      <w:sz w:val="16"/>
      <w:szCs w:val="16"/>
    </w:rPr>
  </w:style>
  <w:style w:type="character" w:customStyle="1" w:styleId="SubtitleChar">
    <w:name w:val="Subtitle Char"/>
    <w:link w:val="Subtitle"/>
    <w:uiPriority w:val="9"/>
    <w:rPr>
      <w:lang w:val="en-AU" w:eastAsia="en-US" w:bidi="ar-SA"/>
    </w:rPr>
  </w:style>
  <w:style w:type="paragraph" w:styleId="Subtitle">
    <w:name w:val="Subtitle"/>
    <w:basedOn w:val="Normal"/>
    <w:link w:val="SubtitleChar"/>
    <w:uiPriority w:val="9"/>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Footnote,Bullet point,List Paragraph11,Recommendation,ES Paragraph,PBAC ES Paragraph,PBAC normal 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aliases w:val="- H19"/>
    <w:basedOn w:val="Normal"/>
    <w:link w:val="CommentTextChar"/>
    <w:uiPriority w:val="99"/>
    <w:rsid w:val="00BB7EC3"/>
    <w:rPr>
      <w:sz w:val="20"/>
      <w:szCs w:val="20"/>
    </w:rPr>
  </w:style>
  <w:style w:type="character" w:customStyle="1" w:styleId="CommentTextChar">
    <w:name w:val="Comment Text Char"/>
    <w:aliases w:val="- H19 Char"/>
    <w:basedOn w:val="DefaultParagraphFont"/>
    <w:link w:val="CommentText"/>
    <w:uiPriority w:val="99"/>
    <w:rsid w:val="00BB7EC3"/>
  </w:style>
  <w:style w:type="paragraph" w:styleId="CommentSubject">
    <w:name w:val="annotation subject"/>
    <w:basedOn w:val="CommentText"/>
    <w:next w:val="CommentText"/>
    <w:link w:val="CommentSubjectChar"/>
    <w:uiPriority w:val="9"/>
    <w:rsid w:val="00BB7EC3"/>
    <w:rPr>
      <w:b/>
      <w:bCs/>
    </w:rPr>
  </w:style>
  <w:style w:type="character" w:customStyle="1" w:styleId="CommentSubjectChar">
    <w:name w:val="Comment Subject Char"/>
    <w:basedOn w:val="CommentTextChar"/>
    <w:link w:val="CommentSubject"/>
    <w:uiPriority w:val="9"/>
    <w:rsid w:val="00BB7EC3"/>
    <w:rPr>
      <w:b/>
      <w:bCs/>
    </w:rPr>
  </w:style>
  <w:style w:type="character" w:customStyle="1" w:styleId="Heading3Char">
    <w:name w:val="Heading 3 Char"/>
    <w:basedOn w:val="DefaultParagraphFont"/>
    <w:link w:val="Heading3"/>
    <w:uiPriority w:val="1"/>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7"/>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7"/>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7"/>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Footnote Char,Bullet point Char,List Paragraph11 Char,Recommendation Char,ES Paragraph Char,PBAC ES Paragraph Char,PBAC normal 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table" w:customStyle="1" w:styleId="OPTUMTableNormal">
    <w:name w:val="OPTUM Table Normal"/>
    <w:basedOn w:val="TableNormal"/>
    <w:rsid w:val="00206DD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Heading4Char">
    <w:name w:val="Heading 4 Char"/>
    <w:aliases w:val="Heading 1 - Body Char"/>
    <w:basedOn w:val="DefaultParagraphFont"/>
    <w:link w:val="Heading4"/>
    <w:uiPriority w:val="5"/>
    <w:rsid w:val="00D27CDE"/>
    <w:rPr>
      <w:rFonts w:asciiTheme="majorHAnsi" w:eastAsiaTheme="majorEastAsia" w:hAnsiTheme="majorHAnsi" w:cstheme="majorBidi"/>
      <w:b/>
      <w:bCs/>
      <w:i/>
      <w:iCs/>
      <w:color w:val="4F81BD" w:themeColor="accent1"/>
      <w:sz w:val="24"/>
      <w:szCs w:val="24"/>
    </w:rPr>
  </w:style>
  <w:style w:type="paragraph" w:styleId="BodyText">
    <w:name w:val="Body Text"/>
    <w:basedOn w:val="Normal"/>
    <w:link w:val="BodyTextChar"/>
    <w:qFormat/>
    <w:rsid w:val="00D27CDE"/>
    <w:pPr>
      <w:spacing w:after="120"/>
    </w:pPr>
  </w:style>
  <w:style w:type="character" w:customStyle="1" w:styleId="BodyTextChar">
    <w:name w:val="Body Text Char"/>
    <w:basedOn w:val="DefaultParagraphFont"/>
    <w:link w:val="BodyText"/>
    <w:rsid w:val="00D27CDE"/>
    <w:rPr>
      <w:sz w:val="24"/>
      <w:szCs w:val="24"/>
    </w:rPr>
  </w:style>
  <w:style w:type="paragraph" w:customStyle="1" w:styleId="TableH1">
    <w:name w:val="Table H1"/>
    <w:basedOn w:val="BodyText"/>
    <w:uiPriority w:val="4"/>
    <w:qFormat/>
    <w:rsid w:val="00D27CDE"/>
    <w:pPr>
      <w:keepNext/>
      <w:tabs>
        <w:tab w:val="left" w:pos="416"/>
        <w:tab w:val="left" w:pos="582"/>
        <w:tab w:val="left" w:pos="1134"/>
      </w:tabs>
      <w:spacing w:before="40" w:after="40"/>
    </w:pPr>
    <w:rPr>
      <w:rFonts w:asciiTheme="minorHAnsi" w:eastAsiaTheme="minorHAnsi" w:hAnsiTheme="minorHAnsi" w:cs="Tahoma"/>
      <w:b/>
      <w:spacing w:val="-1"/>
      <w:sz w:val="18"/>
      <w:szCs w:val="18"/>
      <w:lang w:val="en-US" w:eastAsia="en-US"/>
    </w:rPr>
  </w:style>
  <w:style w:type="paragraph" w:customStyle="1" w:styleId="Tabletextleft">
    <w:name w:val="Table text left"/>
    <w:basedOn w:val="Normal"/>
    <w:link w:val="TabletextleftChar"/>
    <w:qFormat/>
    <w:rsid w:val="00D27CDE"/>
    <w:pPr>
      <w:spacing w:before="20" w:after="20"/>
    </w:pPr>
    <w:rPr>
      <w:rFonts w:asciiTheme="minorHAnsi" w:hAnsiTheme="minorHAnsi"/>
      <w:sz w:val="18"/>
      <w:szCs w:val="20"/>
    </w:rPr>
  </w:style>
  <w:style w:type="character" w:customStyle="1" w:styleId="TabletextleftChar">
    <w:name w:val="Table text left Char"/>
    <w:basedOn w:val="DefaultParagraphFont"/>
    <w:link w:val="Tabletextleft"/>
    <w:rsid w:val="00D27CDE"/>
    <w:rPr>
      <w:rFonts w:asciiTheme="minorHAnsi" w:hAnsiTheme="minorHAnsi"/>
      <w:sz w:val="18"/>
    </w:rPr>
  </w:style>
  <w:style w:type="paragraph" w:customStyle="1" w:styleId="TableHeadingleft">
    <w:name w:val="Table Heading left"/>
    <w:basedOn w:val="Normal"/>
    <w:next w:val="Tabletextleft"/>
    <w:qFormat/>
    <w:rsid w:val="00D27CDE"/>
    <w:pPr>
      <w:spacing w:before="40" w:after="40"/>
    </w:pPr>
    <w:rPr>
      <w:rFonts w:asciiTheme="minorHAnsi" w:eastAsiaTheme="minorHAnsi" w:hAnsiTheme="minorHAnsi" w:cs="Tahoma"/>
      <w:b/>
      <w:sz w:val="18"/>
      <w:szCs w:val="18"/>
      <w:lang w:val="de-DE" w:eastAsia="en-US"/>
    </w:rPr>
  </w:style>
  <w:style w:type="paragraph" w:customStyle="1" w:styleId="Tabletextcent">
    <w:name w:val="Table text cent"/>
    <w:basedOn w:val="Tabletextleft"/>
    <w:qFormat/>
    <w:rsid w:val="00D27CDE"/>
    <w:pPr>
      <w:jc w:val="center"/>
    </w:pPr>
    <w:rPr>
      <w:lang w:val="de-DE"/>
    </w:rPr>
  </w:style>
  <w:style w:type="paragraph" w:customStyle="1" w:styleId="Tableheadingcent">
    <w:name w:val="Table heading cent"/>
    <w:basedOn w:val="TableHeadingleft"/>
    <w:qFormat/>
    <w:rsid w:val="00D27CDE"/>
    <w:pPr>
      <w:jc w:val="center"/>
    </w:pPr>
  </w:style>
  <w:style w:type="paragraph" w:styleId="FootnoteText">
    <w:name w:val="footnote text"/>
    <w:basedOn w:val="Normal"/>
    <w:link w:val="FootnoteTextChar"/>
    <w:uiPriority w:val="99"/>
    <w:unhideWhenUsed/>
    <w:rsid w:val="00C0177A"/>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uiPriority w:val="99"/>
    <w:rsid w:val="00C0177A"/>
    <w:rPr>
      <w:rFonts w:ascii="Arial" w:hAnsi="Arial" w:cs="Arial"/>
      <w:snapToGrid w:val="0"/>
      <w:lang w:eastAsia="en-US"/>
    </w:rPr>
  </w:style>
  <w:style w:type="character" w:styleId="FootnoteReference">
    <w:name w:val="footnote reference"/>
    <w:basedOn w:val="DefaultParagraphFont"/>
    <w:uiPriority w:val="99"/>
    <w:unhideWhenUsed/>
    <w:rsid w:val="00C0177A"/>
    <w:rPr>
      <w:vertAlign w:val="superscript"/>
    </w:rPr>
  </w:style>
  <w:style w:type="table" w:customStyle="1" w:styleId="newstyle3">
    <w:name w:val="new style3"/>
    <w:basedOn w:val="TableNormal"/>
    <w:next w:val="TableGrid"/>
    <w:uiPriority w:val="59"/>
    <w:rsid w:val="00C0177A"/>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table" w:customStyle="1" w:styleId="newstyle31">
    <w:name w:val="new style31"/>
    <w:basedOn w:val="TableNormal"/>
    <w:next w:val="TableGrid"/>
    <w:uiPriority w:val="59"/>
    <w:rsid w:val="00C0177A"/>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paragraph" w:customStyle="1" w:styleId="TableHeading0">
    <w:name w:val="Table Heading"/>
    <w:basedOn w:val="Normal"/>
    <w:qFormat/>
    <w:rsid w:val="00C0177A"/>
    <w:pPr>
      <w:keepNext/>
      <w:spacing w:after="60"/>
    </w:pPr>
    <w:rPr>
      <w:rFonts w:ascii="Arial Narrow" w:eastAsiaTheme="minorHAnsi" w:hAnsi="Arial Narrow" w:cstheme="minorBidi"/>
      <w:b/>
      <w:sz w:val="20"/>
      <w:szCs w:val="22"/>
      <w:lang w:eastAsia="en-US"/>
    </w:rPr>
  </w:style>
  <w:style w:type="table" w:customStyle="1" w:styleId="newstyle32">
    <w:name w:val="new style32"/>
    <w:basedOn w:val="TableNormal"/>
    <w:next w:val="TableGrid"/>
    <w:uiPriority w:val="59"/>
    <w:rsid w:val="00C0177A"/>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paragraph" w:customStyle="1" w:styleId="Tablefooter8pt">
    <w:name w:val="Table footer 8 pt"/>
    <w:basedOn w:val="Normal"/>
    <w:qFormat/>
    <w:rsid w:val="00C0177A"/>
    <w:pPr>
      <w:keepNext/>
    </w:pPr>
    <w:rPr>
      <w:rFonts w:ascii="Arial Narrow" w:hAnsi="Arial Narrow" w:cs="Arial"/>
      <w:snapToGrid w:val="0"/>
      <w:sz w:val="16"/>
      <w:szCs w:val="16"/>
      <w:lang w:eastAsia="en-US"/>
    </w:rPr>
  </w:style>
  <w:style w:type="paragraph" w:customStyle="1" w:styleId="TableFooter">
    <w:name w:val="Table Footer"/>
    <w:basedOn w:val="Normal"/>
    <w:link w:val="TableFooterChar"/>
    <w:qFormat/>
    <w:rsid w:val="00BA6743"/>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BA6743"/>
    <w:rPr>
      <w:rFonts w:ascii="Arial Narrow" w:hAnsi="Arial Narrow" w:cs="Arial"/>
      <w:snapToGrid w:val="0"/>
      <w:sz w:val="18"/>
      <w:szCs w:val="22"/>
      <w:lang w:eastAsia="en-US"/>
    </w:rPr>
  </w:style>
  <w:style w:type="character" w:customStyle="1" w:styleId="TabletextChar">
    <w:name w:val="Table text Char"/>
    <w:link w:val="Tabletext"/>
    <w:rsid w:val="00BA6743"/>
    <w:rPr>
      <w:rFonts w:ascii="Arial" w:hAnsi="Arial"/>
      <w:lang w:eastAsia="en-US"/>
    </w:rPr>
  </w:style>
  <w:style w:type="character" w:customStyle="1" w:styleId="BalloonTextChar">
    <w:name w:val="Balloon Text Char"/>
    <w:basedOn w:val="DefaultParagraphFont"/>
    <w:link w:val="BalloonText"/>
    <w:uiPriority w:val="9"/>
    <w:rsid w:val="00AD5FFE"/>
    <w:rPr>
      <w:rFonts w:ascii="Tahoma" w:hAnsi="Tahoma" w:cs="Tahoma"/>
      <w:sz w:val="16"/>
      <w:szCs w:val="16"/>
    </w:rPr>
  </w:style>
  <w:style w:type="character" w:customStyle="1" w:styleId="Heading7Char">
    <w:name w:val="Heading 7 Char"/>
    <w:basedOn w:val="DefaultParagraphFont"/>
    <w:link w:val="Heading7"/>
    <w:uiPriority w:val="7"/>
    <w:rsid w:val="0080519B"/>
    <w:rPr>
      <w:rFonts w:ascii="Arial" w:hAnsi="Arial" w:cs="Arial"/>
      <w:b/>
      <w:snapToGrid w:val="0"/>
      <w:lang w:eastAsia="en-US"/>
    </w:rPr>
  </w:style>
  <w:style w:type="character" w:customStyle="1" w:styleId="Heading8Char">
    <w:name w:val="Heading 8 Char"/>
    <w:basedOn w:val="DefaultParagraphFont"/>
    <w:link w:val="Heading8"/>
    <w:uiPriority w:val="7"/>
    <w:rsid w:val="0080519B"/>
    <w:rPr>
      <w:rFonts w:ascii="Arial" w:hAnsi="Arial" w:cs="Arial"/>
      <w:b/>
      <w:snapToGrid w:val="0"/>
      <w:sz w:val="22"/>
      <w:lang w:eastAsia="en-US"/>
    </w:rPr>
  </w:style>
  <w:style w:type="character" w:customStyle="1" w:styleId="Heading9Char">
    <w:name w:val="Heading 9 Char"/>
    <w:aliases w:val="Section heading - Body Char"/>
    <w:basedOn w:val="DefaultParagraphFont"/>
    <w:link w:val="Heading9"/>
    <w:uiPriority w:val="7"/>
    <w:rsid w:val="0080519B"/>
    <w:rPr>
      <w:rFonts w:ascii="Arial" w:hAnsi="Arial" w:cs="Arial"/>
      <w:b/>
      <w:snapToGrid w:val="0"/>
      <w:color w:val="000000"/>
      <w:lang w:eastAsia="en-US"/>
    </w:rPr>
  </w:style>
  <w:style w:type="numbering" w:customStyle="1" w:styleId="NoList1">
    <w:name w:val="No List1"/>
    <w:next w:val="NoList"/>
    <w:uiPriority w:val="99"/>
    <w:semiHidden/>
    <w:unhideWhenUsed/>
    <w:rsid w:val="0080519B"/>
  </w:style>
  <w:style w:type="character" w:customStyle="1" w:styleId="Heading5Char">
    <w:name w:val="Heading 5 Char"/>
    <w:aliases w:val="Heading 2 - Body Char"/>
    <w:basedOn w:val="DefaultParagraphFont"/>
    <w:link w:val="Heading5"/>
    <w:uiPriority w:val="7"/>
    <w:rsid w:val="0080519B"/>
    <w:rPr>
      <w:b/>
      <w:bCs/>
      <w:i/>
      <w:iCs/>
      <w:sz w:val="26"/>
      <w:szCs w:val="26"/>
    </w:rPr>
  </w:style>
  <w:style w:type="character" w:customStyle="1" w:styleId="Heading6Char">
    <w:name w:val="Heading 6 Char"/>
    <w:aliases w:val="Heading 3 - Body Char"/>
    <w:basedOn w:val="DefaultParagraphFont"/>
    <w:link w:val="Heading6"/>
    <w:uiPriority w:val="9"/>
    <w:rsid w:val="0080519B"/>
    <w:rPr>
      <w:b/>
      <w:bCs/>
      <w:sz w:val="22"/>
      <w:szCs w:val="22"/>
    </w:rPr>
  </w:style>
  <w:style w:type="paragraph" w:customStyle="1" w:styleId="TableHeader">
    <w:name w:val="Table Header"/>
    <w:basedOn w:val="Normal"/>
    <w:uiPriority w:val="3"/>
    <w:qFormat/>
    <w:rsid w:val="0080519B"/>
    <w:pPr>
      <w:widowControl w:val="0"/>
      <w:jc w:val="both"/>
    </w:pPr>
    <w:rPr>
      <w:rFonts w:ascii="Arial" w:hAnsi="Arial" w:cs="Arial"/>
      <w:b/>
      <w:snapToGrid w:val="0"/>
      <w:sz w:val="20"/>
      <w:szCs w:val="2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e,V5.0 Caption"/>
    <w:basedOn w:val="Normal"/>
    <w:next w:val="Normal"/>
    <w:link w:val="CaptionChar"/>
    <w:uiPriority w:val="35"/>
    <w:unhideWhenUsed/>
    <w:qFormat/>
    <w:rsid w:val="0080519B"/>
    <w:pPr>
      <w:widowControl w:val="0"/>
      <w:spacing w:after="200"/>
      <w:jc w:val="both"/>
    </w:pPr>
    <w:rPr>
      <w:rFonts w:ascii="Arial" w:hAnsi="Arial" w:cs="Arial"/>
      <w:b/>
      <w:bCs/>
      <w:snapToGrid w:val="0"/>
      <w:color w:val="4F81BD" w:themeColor="accent1"/>
      <w:sz w:val="18"/>
      <w:szCs w:val="18"/>
      <w:lang w:eastAsia="en-US"/>
    </w:rPr>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uiPriority w:val="35"/>
    <w:rsid w:val="0080519B"/>
    <w:rPr>
      <w:rFonts w:ascii="Arial" w:hAnsi="Arial" w:cs="Arial"/>
      <w:b/>
      <w:bCs/>
      <w:snapToGrid w:val="0"/>
      <w:color w:val="4F81BD" w:themeColor="accent1"/>
      <w:sz w:val="18"/>
      <w:szCs w:val="18"/>
      <w:lang w:eastAsia="en-US"/>
    </w:rPr>
  </w:style>
  <w:style w:type="paragraph" w:customStyle="1" w:styleId="RegularText">
    <w:name w:val="Regular Text"/>
    <w:basedOn w:val="BodyText"/>
    <w:link w:val="RegularTextChar"/>
    <w:uiPriority w:val="9"/>
    <w:rsid w:val="0080519B"/>
    <w:pPr>
      <w:widowControl w:val="0"/>
      <w:spacing w:after="0"/>
    </w:pPr>
    <w:rPr>
      <w:rFonts w:ascii="Arial" w:hAnsi="Arial" w:cs="Arial"/>
      <w:b/>
      <w:snapToGrid w:val="0"/>
      <w:sz w:val="22"/>
      <w:lang w:eastAsia="en-US"/>
    </w:rPr>
  </w:style>
  <w:style w:type="character" w:customStyle="1" w:styleId="RegularTextChar">
    <w:name w:val="Regular Text Char"/>
    <w:basedOn w:val="BodyTextChar"/>
    <w:link w:val="RegularText"/>
    <w:uiPriority w:val="9"/>
    <w:rsid w:val="0080519B"/>
    <w:rPr>
      <w:rFonts w:ascii="Arial" w:hAnsi="Arial" w:cs="Arial"/>
      <w:b/>
      <w:snapToGrid w:val="0"/>
      <w:sz w:val="22"/>
      <w:szCs w:val="24"/>
      <w:lang w:eastAsia="en-US"/>
    </w:rPr>
  </w:style>
  <w:style w:type="paragraph" w:customStyle="1" w:styleId="Corpsdetextemarge">
    <w:name w:val="Corps de texte marge"/>
    <w:basedOn w:val="BodyText"/>
    <w:uiPriority w:val="99"/>
    <w:rsid w:val="0080519B"/>
    <w:pPr>
      <w:spacing w:after="0"/>
      <w:jc w:val="both"/>
    </w:pPr>
    <w:rPr>
      <w:rFonts w:ascii="Times" w:hAnsi="Times"/>
      <w:szCs w:val="20"/>
      <w:lang w:val="en-US" w:eastAsia="en-US"/>
    </w:rPr>
  </w:style>
  <w:style w:type="paragraph" w:styleId="NormalWeb">
    <w:name w:val="Normal (Web)"/>
    <w:basedOn w:val="Normal"/>
    <w:uiPriority w:val="99"/>
    <w:rsid w:val="0080519B"/>
    <w:pPr>
      <w:spacing w:before="100" w:after="100"/>
    </w:pPr>
    <w:rPr>
      <w:szCs w:val="20"/>
      <w:lang w:val="en-GB" w:eastAsia="en-US"/>
    </w:rPr>
  </w:style>
  <w:style w:type="paragraph" w:styleId="TOC2">
    <w:name w:val="toc 2"/>
    <w:basedOn w:val="Normal"/>
    <w:next w:val="Normal"/>
    <w:autoRedefine/>
    <w:uiPriority w:val="39"/>
    <w:qFormat/>
    <w:rsid w:val="0080519B"/>
    <w:pPr>
      <w:widowControl w:val="0"/>
      <w:tabs>
        <w:tab w:val="left" w:pos="880"/>
        <w:tab w:val="right" w:leader="dot" w:pos="9016"/>
      </w:tabs>
      <w:spacing w:before="120"/>
      <w:ind w:left="810" w:hanging="590"/>
    </w:pPr>
    <w:rPr>
      <w:rFonts w:ascii="Arial" w:hAnsi="Arial" w:cs="Arial"/>
      <w:iCs/>
      <w:snapToGrid w:val="0"/>
      <w:sz w:val="20"/>
      <w:szCs w:val="20"/>
      <w:lang w:eastAsia="en-US"/>
    </w:rPr>
  </w:style>
  <w:style w:type="paragraph" w:styleId="TOC1">
    <w:name w:val="toc 1"/>
    <w:basedOn w:val="Normal"/>
    <w:next w:val="Normal"/>
    <w:autoRedefine/>
    <w:uiPriority w:val="39"/>
    <w:qFormat/>
    <w:rsid w:val="0080519B"/>
    <w:pPr>
      <w:widowControl w:val="0"/>
      <w:tabs>
        <w:tab w:val="left" w:pos="440"/>
        <w:tab w:val="right" w:leader="dot" w:pos="9016"/>
      </w:tabs>
      <w:spacing w:before="240" w:after="120"/>
      <w:ind w:left="450" w:hanging="450"/>
    </w:pPr>
    <w:rPr>
      <w:rFonts w:ascii="Arial" w:hAnsi="Arial" w:cs="Arial"/>
      <w:bCs/>
      <w:snapToGrid w:val="0"/>
      <w:sz w:val="20"/>
      <w:szCs w:val="20"/>
      <w:lang w:eastAsia="en-US"/>
    </w:rPr>
  </w:style>
  <w:style w:type="paragraph" w:styleId="TOCHeading">
    <w:name w:val="TOC Heading"/>
    <w:basedOn w:val="Heading1"/>
    <w:next w:val="Normal"/>
    <w:uiPriority w:val="39"/>
    <w:unhideWhenUsed/>
    <w:qFormat/>
    <w:rsid w:val="0080519B"/>
    <w:pPr>
      <w:keepNext/>
      <w:keepLines/>
      <w:widowControl/>
      <w:spacing w:before="480" w:line="276" w:lineRule="auto"/>
      <w:contextualSpacing w:val="0"/>
      <w:jc w:val="left"/>
      <w:outlineLvl w:val="9"/>
    </w:pPr>
    <w:rPr>
      <w:rFonts w:asciiTheme="majorHAnsi" w:eastAsiaTheme="majorEastAsia" w:hAnsiTheme="majorHAnsi" w:cstheme="majorBidi"/>
      <w:bCs/>
      <w:cap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80519B"/>
    <w:pPr>
      <w:widowControl w:val="0"/>
      <w:ind w:left="440"/>
    </w:pPr>
    <w:rPr>
      <w:rFonts w:asciiTheme="minorHAnsi" w:hAnsiTheme="minorHAnsi" w:cs="Arial"/>
      <w:snapToGrid w:val="0"/>
      <w:sz w:val="20"/>
      <w:szCs w:val="20"/>
      <w:lang w:eastAsia="en-US"/>
    </w:rPr>
  </w:style>
  <w:style w:type="character" w:customStyle="1" w:styleId="BodyText3Char">
    <w:name w:val="Body Text 3 Char"/>
    <w:basedOn w:val="DefaultParagraphFont"/>
    <w:link w:val="BodyText3"/>
    <w:uiPriority w:val="9"/>
    <w:rsid w:val="0080519B"/>
    <w:rPr>
      <w:sz w:val="16"/>
      <w:szCs w:val="16"/>
    </w:rPr>
  </w:style>
  <w:style w:type="paragraph" w:styleId="TOC4">
    <w:name w:val="toc 4"/>
    <w:basedOn w:val="Normal"/>
    <w:next w:val="Normal"/>
    <w:autoRedefine/>
    <w:uiPriority w:val="9"/>
    <w:rsid w:val="0080519B"/>
    <w:pPr>
      <w:widowControl w:val="0"/>
      <w:ind w:left="660"/>
    </w:pPr>
    <w:rPr>
      <w:rFonts w:asciiTheme="minorHAnsi" w:hAnsiTheme="minorHAnsi" w:cs="Arial"/>
      <w:snapToGrid w:val="0"/>
      <w:sz w:val="20"/>
      <w:szCs w:val="20"/>
      <w:lang w:eastAsia="en-US"/>
    </w:rPr>
  </w:style>
  <w:style w:type="paragraph" w:styleId="TOC5">
    <w:name w:val="toc 5"/>
    <w:basedOn w:val="Normal"/>
    <w:next w:val="Normal"/>
    <w:autoRedefine/>
    <w:uiPriority w:val="9"/>
    <w:rsid w:val="0080519B"/>
    <w:pPr>
      <w:widowControl w:val="0"/>
      <w:ind w:left="880"/>
    </w:pPr>
    <w:rPr>
      <w:rFonts w:asciiTheme="minorHAnsi" w:hAnsiTheme="minorHAnsi" w:cs="Arial"/>
      <w:snapToGrid w:val="0"/>
      <w:sz w:val="20"/>
      <w:szCs w:val="20"/>
      <w:lang w:eastAsia="en-US"/>
    </w:rPr>
  </w:style>
  <w:style w:type="paragraph" w:styleId="TOC6">
    <w:name w:val="toc 6"/>
    <w:basedOn w:val="Normal"/>
    <w:next w:val="Normal"/>
    <w:autoRedefine/>
    <w:uiPriority w:val="9"/>
    <w:rsid w:val="0080519B"/>
    <w:pPr>
      <w:widowControl w:val="0"/>
      <w:ind w:left="1100"/>
    </w:pPr>
    <w:rPr>
      <w:rFonts w:asciiTheme="minorHAnsi" w:hAnsiTheme="minorHAnsi" w:cs="Arial"/>
      <w:snapToGrid w:val="0"/>
      <w:sz w:val="20"/>
      <w:szCs w:val="20"/>
      <w:lang w:eastAsia="en-US"/>
    </w:rPr>
  </w:style>
  <w:style w:type="paragraph" w:styleId="TOC7">
    <w:name w:val="toc 7"/>
    <w:basedOn w:val="Normal"/>
    <w:next w:val="Normal"/>
    <w:autoRedefine/>
    <w:uiPriority w:val="9"/>
    <w:rsid w:val="0080519B"/>
    <w:pPr>
      <w:widowControl w:val="0"/>
      <w:ind w:left="1320"/>
    </w:pPr>
    <w:rPr>
      <w:rFonts w:asciiTheme="minorHAnsi" w:hAnsiTheme="minorHAnsi" w:cs="Arial"/>
      <w:snapToGrid w:val="0"/>
      <w:sz w:val="20"/>
      <w:szCs w:val="20"/>
      <w:lang w:eastAsia="en-US"/>
    </w:rPr>
  </w:style>
  <w:style w:type="paragraph" w:styleId="TOC8">
    <w:name w:val="toc 8"/>
    <w:basedOn w:val="Normal"/>
    <w:next w:val="Normal"/>
    <w:autoRedefine/>
    <w:uiPriority w:val="9"/>
    <w:rsid w:val="0080519B"/>
    <w:pPr>
      <w:widowControl w:val="0"/>
      <w:ind w:left="1540"/>
    </w:pPr>
    <w:rPr>
      <w:rFonts w:asciiTheme="minorHAnsi" w:hAnsiTheme="minorHAnsi" w:cs="Arial"/>
      <w:snapToGrid w:val="0"/>
      <w:sz w:val="20"/>
      <w:szCs w:val="20"/>
      <w:lang w:eastAsia="en-US"/>
    </w:rPr>
  </w:style>
  <w:style w:type="paragraph" w:styleId="TOC9">
    <w:name w:val="toc 9"/>
    <w:basedOn w:val="Normal"/>
    <w:next w:val="Normal"/>
    <w:autoRedefine/>
    <w:uiPriority w:val="9"/>
    <w:rsid w:val="0080519B"/>
    <w:pPr>
      <w:widowControl w:val="0"/>
      <w:ind w:left="1760"/>
    </w:pPr>
    <w:rPr>
      <w:rFonts w:asciiTheme="minorHAnsi" w:hAnsiTheme="minorHAnsi" w:cs="Arial"/>
      <w:snapToGrid w:val="0"/>
      <w:sz w:val="20"/>
      <w:szCs w:val="20"/>
      <w:lang w:eastAsia="en-US"/>
    </w:rPr>
  </w:style>
  <w:style w:type="paragraph" w:customStyle="1" w:styleId="TableText0">
    <w:name w:val="TableText"/>
    <w:basedOn w:val="Normal"/>
    <w:uiPriority w:val="9"/>
    <w:rsid w:val="0080519B"/>
    <w:pPr>
      <w:keepNext/>
      <w:spacing w:before="40" w:after="40"/>
    </w:pPr>
    <w:rPr>
      <w:rFonts w:ascii="Arial Narrow" w:hAnsi="Arial Narrow" w:cs="Arial Narrow"/>
      <w:sz w:val="20"/>
      <w:szCs w:val="20"/>
      <w:lang w:eastAsia="en-US"/>
    </w:rPr>
  </w:style>
  <w:style w:type="paragraph" w:customStyle="1" w:styleId="TableName">
    <w:name w:val="TableName"/>
    <w:basedOn w:val="Normal"/>
    <w:qFormat/>
    <w:rsid w:val="0080519B"/>
    <w:pPr>
      <w:keepNext/>
      <w:spacing w:before="120" w:after="120"/>
      <w:ind w:left="1800" w:hanging="1080"/>
    </w:pPr>
    <w:rPr>
      <w:rFonts w:ascii="Arial Narrow" w:hAnsi="Arial Narrow" w:cs="Arial Narrow"/>
      <w:b/>
      <w:bCs/>
      <w:sz w:val="22"/>
      <w:szCs w:val="22"/>
      <w:lang w:eastAsia="en-US"/>
    </w:rPr>
  </w:style>
  <w:style w:type="paragraph" w:customStyle="1" w:styleId="TableNotes18">
    <w:name w:val="TableNotes+18"/>
    <w:basedOn w:val="TableText0"/>
    <w:uiPriority w:val="9"/>
    <w:rsid w:val="0080519B"/>
    <w:pPr>
      <w:keepNext w:val="0"/>
      <w:keepLines/>
      <w:spacing w:before="0" w:after="360"/>
      <w:ind w:left="720"/>
    </w:pPr>
    <w:rPr>
      <w:sz w:val="18"/>
      <w:szCs w:val="18"/>
    </w:rPr>
  </w:style>
  <w:style w:type="paragraph" w:customStyle="1" w:styleId="TableNotes0">
    <w:name w:val="TableNotes+0"/>
    <w:basedOn w:val="TableNotes18"/>
    <w:uiPriority w:val="9"/>
    <w:rsid w:val="0080519B"/>
    <w:pPr>
      <w:keepNext/>
      <w:spacing w:after="0"/>
    </w:pPr>
  </w:style>
  <w:style w:type="paragraph" w:styleId="Revision">
    <w:name w:val="Revision"/>
    <w:hidden/>
    <w:uiPriority w:val="99"/>
    <w:rsid w:val="0080519B"/>
    <w:rPr>
      <w:rFonts w:ascii="Arial" w:hAnsi="Arial" w:cs="Arial"/>
      <w:snapToGrid w:val="0"/>
      <w:sz w:val="22"/>
      <w:lang w:eastAsia="en-US"/>
    </w:rPr>
  </w:style>
  <w:style w:type="paragraph" w:styleId="BodyTextIndent">
    <w:name w:val="Body Text Indent"/>
    <w:basedOn w:val="Normal"/>
    <w:link w:val="BodyTextIndentChar"/>
    <w:uiPriority w:val="9"/>
    <w:rsid w:val="0080519B"/>
    <w:pPr>
      <w:widowControl w:val="0"/>
      <w:spacing w:after="120"/>
      <w:ind w:left="283"/>
      <w:jc w:val="both"/>
    </w:pPr>
    <w:rPr>
      <w:rFonts w:ascii="Arial" w:hAnsi="Arial" w:cs="Arial"/>
      <w:snapToGrid w:val="0"/>
      <w:sz w:val="22"/>
      <w:szCs w:val="20"/>
      <w:lang w:eastAsia="en-US"/>
    </w:rPr>
  </w:style>
  <w:style w:type="character" w:customStyle="1" w:styleId="BodyTextIndentChar">
    <w:name w:val="Body Text Indent Char"/>
    <w:basedOn w:val="DefaultParagraphFont"/>
    <w:link w:val="BodyTextIndent"/>
    <w:uiPriority w:val="9"/>
    <w:rsid w:val="0080519B"/>
    <w:rPr>
      <w:rFonts w:ascii="Arial" w:hAnsi="Arial" w:cs="Arial"/>
      <w:snapToGrid w:val="0"/>
      <w:sz w:val="22"/>
      <w:lang w:eastAsia="en-US"/>
    </w:rPr>
  </w:style>
  <w:style w:type="paragraph" w:customStyle="1" w:styleId="PBACheading10">
    <w:name w:val="PBAC heading 1"/>
    <w:qFormat/>
    <w:rsid w:val="0080519B"/>
    <w:pPr>
      <w:ind w:left="720" w:hanging="720"/>
    </w:pPr>
    <w:rPr>
      <w:rFonts w:ascii="Arial" w:hAnsi="Arial" w:cs="Arial"/>
      <w:snapToGrid w:val="0"/>
      <w:sz w:val="22"/>
      <w:szCs w:val="22"/>
      <w:lang w:eastAsia="en-US"/>
    </w:rPr>
  </w:style>
  <w:style w:type="table" w:customStyle="1" w:styleId="TableGridbeth41">
    <w:name w:val="Table Gridbeth41"/>
    <w:basedOn w:val="TableNormal"/>
    <w:next w:val="TableGrid"/>
    <w:uiPriority w:val="59"/>
    <w:rsid w:val="0080519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BACTableTextChar">
    <w:name w:val="PBAC Table Text Char"/>
    <w:basedOn w:val="DefaultParagraphFont"/>
    <w:link w:val="PBACTableText"/>
    <w:locked/>
    <w:rsid w:val="0080519B"/>
    <w:rPr>
      <w:rFonts w:ascii="News Gothic MT" w:eastAsia="Batang" w:hAnsi="News Gothic MT"/>
    </w:rPr>
  </w:style>
  <w:style w:type="paragraph" w:customStyle="1" w:styleId="PBACTableText">
    <w:name w:val="PBAC Table Text"/>
    <w:basedOn w:val="Normal"/>
    <w:link w:val="PBACTableTextChar"/>
    <w:qFormat/>
    <w:rsid w:val="0080519B"/>
    <w:rPr>
      <w:rFonts w:ascii="News Gothic MT" w:eastAsia="Batang" w:hAnsi="News Gothic MT"/>
      <w:sz w:val="20"/>
      <w:szCs w:val="20"/>
    </w:rPr>
  </w:style>
  <w:style w:type="paragraph" w:customStyle="1" w:styleId="Body">
    <w:name w:val="Body"/>
    <w:basedOn w:val="Normal"/>
    <w:link w:val="BodyChar1"/>
    <w:rsid w:val="0080519B"/>
    <w:pPr>
      <w:ind w:firstLine="288"/>
      <w:jc w:val="both"/>
    </w:pPr>
    <w:rPr>
      <w:rFonts w:ascii="Arial" w:hAnsi="Arial"/>
      <w:sz w:val="20"/>
      <w:szCs w:val="20"/>
      <w:lang w:val="en-US" w:eastAsia="en-US"/>
    </w:rPr>
  </w:style>
  <w:style w:type="character" w:customStyle="1" w:styleId="BodyChar1">
    <w:name w:val="Body Char1"/>
    <w:link w:val="Body"/>
    <w:rsid w:val="0080519B"/>
    <w:rPr>
      <w:rFonts w:ascii="Arial" w:hAnsi="Arial"/>
      <w:lang w:val="en-US" w:eastAsia="en-US"/>
    </w:rPr>
  </w:style>
  <w:style w:type="paragraph" w:customStyle="1" w:styleId="Tablename0">
    <w:name w:val="Table name"/>
    <w:basedOn w:val="BodyText"/>
    <w:link w:val="TablenameChar"/>
    <w:uiPriority w:val="4"/>
    <w:qFormat/>
    <w:rsid w:val="0080519B"/>
    <w:pPr>
      <w:keepNext/>
      <w:tabs>
        <w:tab w:val="left" w:pos="1418"/>
      </w:tabs>
      <w:spacing w:before="120"/>
      <w:ind w:left="1418" w:hanging="1418"/>
    </w:pPr>
    <w:rPr>
      <w:rFonts w:ascii="Calibri" w:hAnsi="Calibri"/>
      <w:b/>
      <w:bCs/>
      <w:sz w:val="22"/>
      <w:szCs w:val="20"/>
      <w:lang w:val="en-US" w:eastAsia="en-US"/>
    </w:rPr>
  </w:style>
  <w:style w:type="character" w:customStyle="1" w:styleId="TablenameChar">
    <w:name w:val="Table name Char"/>
    <w:basedOn w:val="DefaultParagraphFont"/>
    <w:link w:val="Tablename0"/>
    <w:rsid w:val="0080519B"/>
    <w:rPr>
      <w:rFonts w:ascii="Calibri" w:hAnsi="Calibri"/>
      <w:b/>
      <w:bCs/>
      <w:sz w:val="22"/>
      <w:lang w:val="en-US" w:eastAsia="en-US"/>
    </w:rPr>
  </w:style>
  <w:style w:type="paragraph" w:customStyle="1" w:styleId="Tabletextarialnarrow">
    <w:name w:val="Table text arial narrow"/>
    <w:basedOn w:val="Normal"/>
    <w:qFormat/>
    <w:rsid w:val="0080519B"/>
    <w:pPr>
      <w:keepNext/>
      <w:jc w:val="both"/>
    </w:pPr>
    <w:rPr>
      <w:rFonts w:ascii="Arial Narrow" w:hAnsi="Arial Narrow" w:cs="Arial"/>
      <w:snapToGrid w:val="0"/>
      <w:sz w:val="20"/>
      <w:szCs w:val="20"/>
      <w:lang w:eastAsia="en-US"/>
    </w:rPr>
  </w:style>
  <w:style w:type="table" w:customStyle="1" w:styleId="TableStyle">
    <w:name w:val="Table Style"/>
    <w:basedOn w:val="TableNormal"/>
    <w:rsid w:val="0080519B"/>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ablebullet">
    <w:name w:val="Table bullet"/>
    <w:basedOn w:val="Tabletext"/>
    <w:uiPriority w:val="4"/>
    <w:qFormat/>
    <w:rsid w:val="0080519B"/>
    <w:pPr>
      <w:keepNext/>
      <w:keepLines/>
      <w:numPr>
        <w:numId w:val="6"/>
      </w:numPr>
      <w:tabs>
        <w:tab w:val="left" w:pos="284"/>
      </w:tabs>
      <w:spacing w:before="20" w:after="20"/>
    </w:pPr>
    <w:rPr>
      <w:rFonts w:ascii="Calibri" w:hAnsi="Calibri"/>
      <w:sz w:val="18"/>
    </w:rPr>
  </w:style>
  <w:style w:type="table" w:customStyle="1" w:styleId="newstyle2">
    <w:name w:val="new style2"/>
    <w:basedOn w:val="TableNormal"/>
    <w:next w:val="TableGrid"/>
    <w:uiPriority w:val="59"/>
    <w:rsid w:val="0080519B"/>
    <w:pPr>
      <w:ind w:left="113" w:right="113"/>
    </w:pPr>
    <w:rPr>
      <w:rFonts w:ascii="Calibri" w:eastAsia="Calibri" w:hAnsi="Calibri"/>
      <w:sz w:val="1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hemeFill="background1" w:themeFillShade="BF"/>
      </w:tcPr>
    </w:tblStylePr>
  </w:style>
  <w:style w:type="table" w:customStyle="1" w:styleId="TableGridbeth2">
    <w:name w:val="Table Gridbeth2"/>
    <w:basedOn w:val="TableNormal"/>
    <w:next w:val="TableGrid"/>
    <w:rsid w:val="0080519B"/>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Heading">
    <w:name w:val="BoxHeading"/>
    <w:basedOn w:val="BodyText"/>
    <w:link w:val="BoxHeadingChar"/>
    <w:uiPriority w:val="3"/>
    <w:rsid w:val="0080519B"/>
    <w:pPr>
      <w:pBdr>
        <w:top w:val="single" w:sz="6" w:space="1" w:color="000000"/>
        <w:left w:val="single" w:sz="6" w:space="4" w:color="000000"/>
        <w:bottom w:val="single" w:sz="6" w:space="1" w:color="000000"/>
        <w:right w:val="single" w:sz="6" w:space="4" w:color="000000"/>
      </w:pBdr>
      <w:tabs>
        <w:tab w:val="left" w:pos="1418"/>
      </w:tabs>
      <w:spacing w:before="120"/>
    </w:pPr>
    <w:rPr>
      <w:rFonts w:ascii="Calibri" w:hAnsi="Calibri"/>
      <w:b/>
      <w:bCs/>
      <w:sz w:val="22"/>
      <w:szCs w:val="20"/>
      <w:lang w:val="en-US" w:eastAsia="en-US"/>
    </w:rPr>
  </w:style>
  <w:style w:type="numbering" w:customStyle="1" w:styleId="PBACstandardnumberstyle">
    <w:name w:val="PBAC standard number style"/>
    <w:uiPriority w:val="99"/>
    <w:rsid w:val="0080519B"/>
    <w:pPr>
      <w:numPr>
        <w:numId w:val="7"/>
      </w:numPr>
    </w:pPr>
  </w:style>
  <w:style w:type="character" w:customStyle="1" w:styleId="BoxHeadingChar">
    <w:name w:val="BoxHeading Char"/>
    <w:basedOn w:val="DefaultParagraphFont"/>
    <w:link w:val="BoxHeading"/>
    <w:uiPriority w:val="3"/>
    <w:rsid w:val="0080519B"/>
    <w:rPr>
      <w:rFonts w:ascii="Calibri" w:hAnsi="Calibri"/>
      <w:b/>
      <w:bCs/>
      <w:sz w:val="22"/>
      <w:lang w:val="en-US" w:eastAsia="en-US"/>
    </w:rPr>
  </w:style>
  <w:style w:type="paragraph" w:customStyle="1" w:styleId="Bulletpoint">
    <w:name w:val="Bulletpoint"/>
    <w:basedOn w:val="BodyText"/>
    <w:qFormat/>
    <w:rsid w:val="0080519B"/>
    <w:pPr>
      <w:widowControl w:val="0"/>
      <w:numPr>
        <w:numId w:val="8"/>
      </w:numPr>
      <w:spacing w:after="0"/>
      <w:jc w:val="both"/>
    </w:pPr>
    <w:rPr>
      <w:snapToGrid w:val="0"/>
      <w:szCs w:val="20"/>
      <w:lang w:eastAsia="en-US"/>
    </w:rPr>
  </w:style>
  <w:style w:type="table" w:customStyle="1" w:styleId="newstyle1">
    <w:name w:val="new style1"/>
    <w:basedOn w:val="TableNormal"/>
    <w:next w:val="TableGrid"/>
    <w:uiPriority w:val="59"/>
    <w:rsid w:val="0080519B"/>
    <w:pPr>
      <w:spacing w:before="20" w:after="20"/>
    </w:pPr>
    <w:rPr>
      <w:rFonts w:ascii="Garamond" w:hAnsi="Garamond"/>
      <w:sz w:val="18"/>
    </w:rPr>
    <w:tblPr>
      <w:tblBorders>
        <w:top w:val="single" w:sz="2" w:space="0" w:color="auto"/>
        <w:left w:val="single" w:sz="2" w:space="0" w:color="auto"/>
        <w:bottom w:val="single" w:sz="2" w:space="0" w:color="auto"/>
        <w:right w:val="single" w:sz="2" w:space="0" w:color="auto"/>
      </w:tblBorders>
    </w:tblPr>
    <w:tcPr>
      <w:vAlign w:val="center"/>
    </w:tcPr>
    <w:tblStylePr w:type="firstRow">
      <w:pPr>
        <w:wordWrap/>
        <w:spacing w:beforeLines="40" w:beforeAutospacing="0" w:afterLines="20" w:afterAutospacing="0" w:line="360" w:lineRule="auto"/>
      </w:pPr>
      <w:rPr>
        <w:rFonts w:ascii="Arial Unicode MS" w:hAnsi="Arial Unicode MS"/>
        <w:b/>
        <w:i w:val="0"/>
        <w:sz w:val="22"/>
        <w:szCs w:val="22"/>
      </w:rPr>
      <w:tblPr/>
      <w:tcPr>
        <w:tcBorders>
          <w:top w:val="single" w:sz="2" w:space="0" w:color="auto"/>
          <w:left w:val="single" w:sz="2" w:space="0" w:color="auto"/>
          <w:bottom w:val="nil"/>
          <w:right w:val="single" w:sz="2" w:space="0" w:color="auto"/>
          <w:insideH w:val="nil"/>
          <w:insideV w:val="nil"/>
          <w:tl2br w:val="nil"/>
          <w:tr2bl w:val="nil"/>
        </w:tcBorders>
      </w:tcPr>
    </w:tblStylePr>
  </w:style>
  <w:style w:type="paragraph" w:customStyle="1" w:styleId="Tableleft">
    <w:name w:val="Table left"/>
    <w:basedOn w:val="TableText0"/>
    <w:link w:val="TableleftChar"/>
    <w:rsid w:val="0080519B"/>
    <w:pPr>
      <w:keepNext w:val="0"/>
    </w:pPr>
    <w:rPr>
      <w:rFonts w:ascii="Arial" w:hAnsi="Arial"/>
      <w:sz w:val="18"/>
    </w:rPr>
  </w:style>
  <w:style w:type="character" w:customStyle="1" w:styleId="TableleftChar">
    <w:name w:val="Table left Char"/>
    <w:basedOn w:val="DefaultParagraphFont"/>
    <w:link w:val="Tableleft"/>
    <w:rsid w:val="0080519B"/>
    <w:rPr>
      <w:rFonts w:ascii="Arial" w:hAnsi="Arial" w:cs="Arial Narrow"/>
      <w:sz w:val="18"/>
      <w:lang w:eastAsia="en-US"/>
    </w:rPr>
  </w:style>
  <w:style w:type="character" w:customStyle="1" w:styleId="TableHeadingChar">
    <w:name w:val="TableHeading Char"/>
    <w:link w:val="TableHeading"/>
    <w:uiPriority w:val="99"/>
    <w:rsid w:val="0080519B"/>
    <w:rPr>
      <w:rFonts w:ascii="Arial Narrow" w:hAnsi="Arial Narrow" w:cs="Arial Narrow"/>
      <w:b/>
      <w:bCs/>
      <w:lang w:eastAsia="en-US"/>
    </w:rPr>
  </w:style>
  <w:style w:type="character" w:customStyle="1" w:styleId="SubtitleChar1">
    <w:name w:val="Subtitle Char1"/>
    <w:basedOn w:val="DefaultParagraphFont"/>
    <w:uiPriority w:val="9"/>
    <w:rsid w:val="0080519B"/>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KMC-Tabletext">
    <w:name w:val="KMC - Table text"/>
    <w:basedOn w:val="Normal"/>
    <w:qFormat/>
    <w:rsid w:val="0080519B"/>
    <w:pPr>
      <w:spacing w:before="40" w:after="40"/>
    </w:pPr>
    <w:rPr>
      <w:rFonts w:ascii="Arial Narrow" w:hAnsi="Arial Narrow" w:cs="Arial"/>
      <w:bCs/>
      <w:sz w:val="22"/>
      <w:szCs w:val="20"/>
    </w:rPr>
  </w:style>
  <w:style w:type="paragraph" w:customStyle="1" w:styleId="Default">
    <w:name w:val="Default"/>
    <w:basedOn w:val="Normal"/>
    <w:rsid w:val="0080519B"/>
    <w:pPr>
      <w:autoSpaceDE w:val="0"/>
      <w:autoSpaceDN w:val="0"/>
    </w:pPr>
    <w:rPr>
      <w:rFonts w:ascii="Calibri" w:eastAsia="SimSun" w:hAnsi="Calibri" w:cs="SimSun"/>
      <w:color w:val="000000"/>
      <w:lang w:eastAsia="en-US"/>
    </w:rPr>
  </w:style>
  <w:style w:type="paragraph" w:customStyle="1" w:styleId="labeltext">
    <w:name w:val="label text"/>
    <w:link w:val="labeltextChar"/>
    <w:rsid w:val="0080519B"/>
    <w:rPr>
      <w:sz w:val="22"/>
      <w:szCs w:val="22"/>
      <w:lang w:val="en-US" w:eastAsia="en-US"/>
    </w:rPr>
  </w:style>
  <w:style w:type="character" w:customStyle="1" w:styleId="labeltextChar">
    <w:name w:val="label text Char"/>
    <w:link w:val="labeltext"/>
    <w:locked/>
    <w:rsid w:val="0080519B"/>
    <w:rPr>
      <w:sz w:val="22"/>
      <w:szCs w:val="22"/>
      <w:lang w:val="en-US" w:eastAsia="en-US"/>
    </w:rPr>
  </w:style>
  <w:style w:type="table" w:customStyle="1" w:styleId="LightShading-Accent11">
    <w:name w:val="Light Shading - Accent 11"/>
    <w:basedOn w:val="TableNormal"/>
    <w:uiPriority w:val="60"/>
    <w:rsid w:val="0080519B"/>
    <w:rPr>
      <w:color w:val="365F91" w:themeColor="accent1" w:themeShade="BF"/>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rsid w:val="0080519B"/>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Notes18">
    <w:name w:val="TableFigNotes+18"/>
    <w:basedOn w:val="BodyText"/>
    <w:next w:val="BodyText"/>
    <w:link w:val="TableFigNotes18Char"/>
    <w:uiPriority w:val="4"/>
    <w:qFormat/>
    <w:rsid w:val="0080519B"/>
    <w:pPr>
      <w:keepLines/>
      <w:spacing w:after="360"/>
    </w:pPr>
    <w:rPr>
      <w:rFonts w:ascii="Calibri" w:hAnsi="Calibri" w:cs="Tahoma"/>
      <w:color w:val="000000"/>
      <w:sz w:val="16"/>
      <w:szCs w:val="18"/>
      <w:lang w:val="en-US"/>
    </w:rPr>
  </w:style>
  <w:style w:type="character" w:customStyle="1" w:styleId="TableFigNotes18Char">
    <w:name w:val="TableFigNotes+18 Char"/>
    <w:basedOn w:val="DefaultParagraphFont"/>
    <w:link w:val="TableFigNotes18"/>
    <w:uiPriority w:val="4"/>
    <w:rsid w:val="0080519B"/>
    <w:rPr>
      <w:rFonts w:ascii="Calibri" w:hAnsi="Calibri" w:cs="Tahoma"/>
      <w:color w:val="000000"/>
      <w:sz w:val="16"/>
      <w:szCs w:val="18"/>
      <w:lang w:val="en-US"/>
    </w:rPr>
  </w:style>
  <w:style w:type="paragraph" w:customStyle="1" w:styleId="Tabletextindent">
    <w:name w:val="Table text indent"/>
    <w:basedOn w:val="Tabletext"/>
    <w:uiPriority w:val="4"/>
    <w:qFormat/>
    <w:rsid w:val="0080519B"/>
    <w:pPr>
      <w:tabs>
        <w:tab w:val="left" w:pos="416"/>
        <w:tab w:val="left" w:pos="582"/>
      </w:tabs>
      <w:spacing w:before="20" w:after="20"/>
      <w:ind w:left="170"/>
    </w:pPr>
    <w:rPr>
      <w:rFonts w:ascii="Calibri" w:hAnsi="Calibri"/>
      <w:sz w:val="18"/>
      <w:szCs w:val="18"/>
      <w:lang w:eastAsia="en-GB"/>
    </w:rPr>
  </w:style>
  <w:style w:type="paragraph" w:customStyle="1" w:styleId="TableFigNotes0">
    <w:name w:val="TableFigNotes+0"/>
    <w:basedOn w:val="TableFigNotes18"/>
    <w:uiPriority w:val="4"/>
    <w:rsid w:val="0080519B"/>
    <w:pPr>
      <w:keepNext/>
      <w:spacing w:after="0"/>
    </w:pPr>
  </w:style>
  <w:style w:type="character" w:customStyle="1" w:styleId="apple-converted-space">
    <w:name w:val="apple-converted-space"/>
    <w:basedOn w:val="DefaultParagraphFont"/>
    <w:rsid w:val="0080519B"/>
  </w:style>
  <w:style w:type="paragraph" w:customStyle="1" w:styleId="HeadingLevel2">
    <w:name w:val="Heading Level 2"/>
    <w:basedOn w:val="Normal"/>
    <w:semiHidden/>
    <w:unhideWhenUsed/>
    <w:rsid w:val="0080519B"/>
    <w:pPr>
      <w:numPr>
        <w:numId w:val="9"/>
      </w:numPr>
      <w:spacing w:after="240" w:line="360" w:lineRule="auto"/>
    </w:pPr>
    <w:rPr>
      <w:rFonts w:ascii="Calibri" w:hAnsi="Calibri" w:cs="Arial"/>
      <w:color w:val="000000"/>
      <w:sz w:val="22"/>
      <w:lang w:val="en-US" w:eastAsia="en-US"/>
    </w:rPr>
  </w:style>
  <w:style w:type="numbering" w:customStyle="1" w:styleId="PBACstandardnumberstyle1">
    <w:name w:val="PBAC standard number style1"/>
    <w:uiPriority w:val="99"/>
    <w:rsid w:val="0080519B"/>
  </w:style>
  <w:style w:type="paragraph" w:customStyle="1" w:styleId="V50Heading2nonumbers">
    <w:name w:val="V5.0 Heading 2 no numbers"/>
    <w:basedOn w:val="Heading2"/>
    <w:qFormat/>
    <w:rsid w:val="0080519B"/>
    <w:pPr>
      <w:keepLines/>
      <w:spacing w:before="240" w:after="120"/>
      <w:ind w:left="578" w:hanging="578"/>
    </w:pPr>
    <w:rPr>
      <w:rFonts w:asciiTheme="minorHAnsi" w:eastAsiaTheme="majorEastAsia" w:hAnsiTheme="minorHAnsi" w:cstheme="majorBidi"/>
      <w:sz w:val="28"/>
      <w:szCs w:val="28"/>
      <w:lang w:eastAsia="en-US"/>
    </w:rPr>
  </w:style>
  <w:style w:type="paragraph" w:customStyle="1" w:styleId="V50Instructions">
    <w:name w:val="V5.0 Instructions"/>
    <w:basedOn w:val="Normal"/>
    <w:link w:val="V50InstructionsChar"/>
    <w:qFormat/>
    <w:rsid w:val="0080519B"/>
    <w:pPr>
      <w:spacing w:before="120" w:after="160"/>
    </w:pPr>
    <w:rPr>
      <w:rFonts w:asciiTheme="minorHAnsi" w:eastAsiaTheme="minorHAnsi" w:hAnsiTheme="minorHAnsi" w:cstheme="minorBidi"/>
      <w:color w:val="4BACC6" w:themeColor="accent5"/>
      <w:szCs w:val="22"/>
      <w:lang w:eastAsia="en-US"/>
    </w:rPr>
  </w:style>
  <w:style w:type="paragraph" w:customStyle="1" w:styleId="V50Heading1nonumbers">
    <w:name w:val="V5.0 Heading 1 no numbers"/>
    <w:basedOn w:val="Heading1"/>
    <w:qFormat/>
    <w:rsid w:val="0080519B"/>
    <w:pPr>
      <w:keepNext/>
      <w:keepLines/>
      <w:widowControl/>
      <w:spacing w:before="400" w:after="120"/>
      <w:contextualSpacing w:val="0"/>
      <w:jc w:val="left"/>
    </w:pPr>
    <w:rPr>
      <w:rFonts w:asciiTheme="minorHAnsi" w:eastAsiaTheme="majorEastAsia" w:hAnsiTheme="minorHAnsi" w:cstheme="majorBidi"/>
      <w:snapToGrid/>
      <w:sz w:val="32"/>
      <w:szCs w:val="28"/>
    </w:rPr>
  </w:style>
  <w:style w:type="paragraph" w:customStyle="1" w:styleId="V50TableText">
    <w:name w:val="V5.0 TableText"/>
    <w:link w:val="V50TableTextChar"/>
    <w:qFormat/>
    <w:rsid w:val="0080519B"/>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80519B"/>
    <w:rPr>
      <w:b/>
      <w:color w:val="4BACC6" w:themeColor="accent5"/>
    </w:rPr>
  </w:style>
  <w:style w:type="paragraph" w:customStyle="1" w:styleId="V50InstructionsBullets">
    <w:name w:val="V5.0 Instructions Bullets"/>
    <w:basedOn w:val="V50Instructions"/>
    <w:qFormat/>
    <w:rsid w:val="0080519B"/>
    <w:pPr>
      <w:numPr>
        <w:numId w:val="10"/>
      </w:numPr>
      <w:tabs>
        <w:tab w:val="num" w:pos="720"/>
      </w:tabs>
      <w:spacing w:before="0" w:after="0"/>
      <w:ind w:left="714" w:hanging="357"/>
    </w:pPr>
  </w:style>
  <w:style w:type="table" w:customStyle="1" w:styleId="TableGridLight1">
    <w:name w:val="Table Grid Light1"/>
    <w:basedOn w:val="TableNormal"/>
    <w:uiPriority w:val="40"/>
    <w:rsid w:val="0080519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80519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80519B"/>
    <w:pPr>
      <w:keepNext/>
      <w:spacing w:before="40" w:after="40"/>
    </w:pPr>
    <w:rPr>
      <w:rFonts w:ascii="Arial Narrow" w:eastAsiaTheme="minorHAnsi" w:hAnsi="Arial Narrow" w:cstheme="minorBidi"/>
      <w:sz w:val="20"/>
      <w:szCs w:val="22"/>
      <w:lang w:eastAsia="en-US"/>
    </w:rPr>
  </w:style>
  <w:style w:type="paragraph" w:customStyle="1" w:styleId="TableFigNoteLast">
    <w:name w:val="TableFigNote Last"/>
    <w:basedOn w:val="Normal"/>
    <w:qFormat/>
    <w:rsid w:val="0080519B"/>
    <w:pPr>
      <w:spacing w:after="360"/>
    </w:pPr>
    <w:rPr>
      <w:rFonts w:asciiTheme="minorHAnsi" w:eastAsiaTheme="minorHAnsi" w:hAnsiTheme="minorHAnsi" w:cstheme="minorBidi"/>
      <w:sz w:val="18"/>
      <w:szCs w:val="22"/>
      <w:lang w:eastAsia="en-US"/>
    </w:rPr>
  </w:style>
  <w:style w:type="character" w:styleId="Emphasis">
    <w:name w:val="Emphasis"/>
    <w:basedOn w:val="DefaultParagraphFont"/>
    <w:uiPriority w:val="20"/>
    <w:qFormat/>
    <w:rsid w:val="0080519B"/>
    <w:rPr>
      <w:b w:val="0"/>
      <w:i/>
      <w:iCs/>
    </w:rPr>
  </w:style>
  <w:style w:type="character" w:customStyle="1" w:styleId="V50InstructionsChar">
    <w:name w:val="V5.0 Instructions Char"/>
    <w:basedOn w:val="DefaultParagraphFont"/>
    <w:link w:val="V50Instructions"/>
    <w:rsid w:val="0080519B"/>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80519B"/>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80519B"/>
    <w:pPr>
      <w:keepNext/>
    </w:pPr>
    <w:rPr>
      <w:b/>
    </w:rPr>
  </w:style>
  <w:style w:type="character" w:customStyle="1" w:styleId="V50TablenameChar">
    <w:name w:val="V5.0 Table name Char"/>
    <w:basedOn w:val="DefaultParagraphFont"/>
    <w:link w:val="V50Tablename"/>
    <w:rsid w:val="0080519B"/>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80519B"/>
    <w:pPr>
      <w:spacing w:after="120"/>
      <w:contextualSpacing/>
      <w:jc w:val="both"/>
    </w:pPr>
    <w:rPr>
      <w:sz w:val="18"/>
      <w:szCs w:val="18"/>
    </w:rPr>
  </w:style>
  <w:style w:type="character" w:customStyle="1" w:styleId="V50TablenoteChar">
    <w:name w:val="V5.0 Tablenote Char"/>
    <w:basedOn w:val="DefaultParagraphFont"/>
    <w:link w:val="V50Tablenote"/>
    <w:rsid w:val="0080519B"/>
    <w:rPr>
      <w:rFonts w:asciiTheme="minorHAnsi" w:eastAsiaTheme="minorHAnsi" w:hAnsiTheme="minorHAnsi" w:cstheme="minorBidi"/>
      <w:sz w:val="18"/>
      <w:szCs w:val="18"/>
      <w:lang w:val="en-US" w:eastAsia="en-US"/>
    </w:rPr>
  </w:style>
  <w:style w:type="paragraph" w:customStyle="1" w:styleId="TableNotes1">
    <w:name w:val="TableNotes"/>
    <w:basedOn w:val="Normal"/>
    <w:qFormat/>
    <w:rsid w:val="0080519B"/>
    <w:pPr>
      <w:spacing w:after="60"/>
    </w:pPr>
    <w:rPr>
      <w:rFonts w:asciiTheme="minorHAnsi" w:eastAsiaTheme="minorHAnsi" w:hAnsiTheme="minorHAnsi" w:cstheme="minorBidi"/>
      <w:sz w:val="20"/>
      <w:szCs w:val="22"/>
      <w:lang w:eastAsia="en-US"/>
    </w:rPr>
  </w:style>
  <w:style w:type="paragraph" w:customStyle="1" w:styleId="oldTablefooter">
    <w:name w:val="old Table footer"/>
    <w:basedOn w:val="Normal"/>
    <w:link w:val="oldTablefooterChar"/>
    <w:qFormat/>
    <w:rsid w:val="0080519B"/>
    <w:pPr>
      <w:jc w:val="both"/>
    </w:pPr>
    <w:rPr>
      <w:rFonts w:asciiTheme="minorHAnsi" w:eastAsiaTheme="minorHAnsi" w:hAnsiTheme="minorHAnsi" w:cs="Arial"/>
      <w:sz w:val="18"/>
      <w:szCs w:val="18"/>
      <w:lang w:val="en-US" w:eastAsia="en-US"/>
    </w:rPr>
  </w:style>
  <w:style w:type="character" w:customStyle="1" w:styleId="oldTablefooterChar">
    <w:name w:val="old Table footer Char"/>
    <w:basedOn w:val="V50TableTextChar"/>
    <w:link w:val="oldTablefooter"/>
    <w:rsid w:val="0080519B"/>
    <w:rPr>
      <w:rFonts w:asciiTheme="minorHAnsi" w:eastAsiaTheme="minorHAnsi" w:hAnsiTheme="minorHAnsi" w:cs="Arial"/>
      <w:sz w:val="18"/>
      <w:szCs w:val="18"/>
      <w:lang w:val="en-US" w:eastAsia="en-US"/>
    </w:rPr>
  </w:style>
  <w:style w:type="paragraph" w:customStyle="1" w:styleId="Style1">
    <w:name w:val="Style1"/>
    <w:basedOn w:val="Normal"/>
    <w:rsid w:val="0080519B"/>
    <w:pPr>
      <w:widowControl w:val="0"/>
      <w:jc w:val="both"/>
    </w:pPr>
    <w:rPr>
      <w:rFonts w:ascii="Arial" w:hAnsi="Arial" w:cs="Arial"/>
      <w:snapToGrid w:val="0"/>
      <w:sz w:val="22"/>
      <w:szCs w:val="20"/>
      <w:lang w:eastAsia="en-US"/>
    </w:rPr>
  </w:style>
  <w:style w:type="numbering" w:customStyle="1" w:styleId="Headings">
    <w:name w:val="Headings"/>
    <w:uiPriority w:val="99"/>
    <w:rsid w:val="0080519B"/>
    <w:pPr>
      <w:numPr>
        <w:numId w:val="11"/>
      </w:numPr>
    </w:pPr>
  </w:style>
  <w:style w:type="character" w:styleId="FollowedHyperlink">
    <w:name w:val="FollowedHyperlink"/>
    <w:basedOn w:val="DefaultParagraphFont"/>
    <w:uiPriority w:val="99"/>
    <w:unhideWhenUsed/>
    <w:rsid w:val="0080519B"/>
    <w:rPr>
      <w:color w:val="800080" w:themeColor="followedHyperlink"/>
      <w:u w:val="single"/>
    </w:rPr>
  </w:style>
  <w:style w:type="paragraph" w:customStyle="1" w:styleId="BulletLast">
    <w:name w:val="Bullet Last"/>
    <w:basedOn w:val="Normal"/>
    <w:qFormat/>
    <w:rsid w:val="0080519B"/>
    <w:pPr>
      <w:numPr>
        <w:numId w:val="12"/>
      </w:numPr>
      <w:spacing w:after="240"/>
      <w:ind w:left="357" w:hanging="357"/>
    </w:pPr>
    <w:rPr>
      <w:rFonts w:asciiTheme="minorHAnsi" w:eastAsiaTheme="minorHAnsi" w:hAnsiTheme="minorHAnsi" w:cstheme="minorBidi"/>
      <w:sz w:val="22"/>
      <w:szCs w:val="22"/>
      <w:lang w:eastAsia="en-US"/>
    </w:rPr>
  </w:style>
  <w:style w:type="paragraph" w:customStyle="1" w:styleId="TableFigNote">
    <w:name w:val="TableFigNote"/>
    <w:basedOn w:val="Normal"/>
    <w:qFormat/>
    <w:rsid w:val="0080519B"/>
    <w:rPr>
      <w:rFonts w:asciiTheme="minorHAnsi" w:eastAsiaTheme="minorHAnsi" w:hAnsiTheme="minorHAnsi" w:cstheme="minorBidi"/>
      <w:sz w:val="18"/>
      <w:szCs w:val="22"/>
      <w:lang w:eastAsia="en-US"/>
    </w:rPr>
  </w:style>
  <w:style w:type="character" w:customStyle="1" w:styleId="StyleArial11pt">
    <w:name w:val="Style Arial 11 pt"/>
    <w:basedOn w:val="DefaultParagraphFont"/>
    <w:rsid w:val="0080519B"/>
    <w:rPr>
      <w:rFonts w:ascii="Arial" w:hAnsi="Arial"/>
      <w:sz w:val="22"/>
    </w:rPr>
  </w:style>
  <w:style w:type="paragraph" w:customStyle="1" w:styleId="tabletext00">
    <w:name w:val="tabletext0"/>
    <w:basedOn w:val="Normal"/>
    <w:rsid w:val="0080519B"/>
    <w:pPr>
      <w:spacing w:before="100" w:beforeAutospacing="1" w:after="100" w:afterAutospacing="1"/>
    </w:pPr>
  </w:style>
  <w:style w:type="paragraph" w:customStyle="1" w:styleId="H2-nontoc">
    <w:name w:val="H2-nontoc"/>
    <w:basedOn w:val="Heading2"/>
    <w:next w:val="BodyText"/>
    <w:uiPriority w:val="1"/>
    <w:qFormat/>
    <w:rsid w:val="0080519B"/>
    <w:pPr>
      <w:spacing w:before="120" w:after="240"/>
      <w:ind w:left="720" w:hanging="360"/>
      <w:outlineLvl w:val="9"/>
    </w:pPr>
    <w:rPr>
      <w:rFonts w:ascii="Tahoma" w:hAnsi="Tahoma" w:cs="Arial"/>
      <w:b w:val="0"/>
      <w:i w:val="0"/>
      <w:iCs/>
      <w:smallCaps/>
      <w:kern w:val="32"/>
      <w:sz w:val="28"/>
      <w:szCs w:val="28"/>
      <w:lang w:val="en-GB" w:eastAsia="en-GB"/>
    </w:rPr>
  </w:style>
  <w:style w:type="table" w:customStyle="1" w:styleId="Summarybox1">
    <w:name w:val="Summary box1"/>
    <w:basedOn w:val="TableNormal"/>
    <w:next w:val="TableGrid"/>
    <w:uiPriority w:val="59"/>
    <w:rsid w:val="00805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80519B"/>
    <w:pPr>
      <w:numPr>
        <w:numId w:val="19"/>
      </w:numPr>
    </w:pPr>
  </w:style>
  <w:style w:type="paragraph" w:styleId="ListBullet">
    <w:name w:val="List Bullet"/>
    <w:basedOn w:val="Normal"/>
    <w:autoRedefine/>
    <w:rsid w:val="0080519B"/>
    <w:pPr>
      <w:jc w:val="both"/>
    </w:pPr>
    <w:rPr>
      <w:rFonts w:ascii="Arial" w:hAnsi="Arial" w:cs="Arial"/>
      <w:snapToGrid w:val="0"/>
      <w:sz w:val="20"/>
      <w:szCs w:val="20"/>
      <w:lang w:eastAsia="en-US"/>
    </w:rPr>
  </w:style>
  <w:style w:type="character" w:customStyle="1" w:styleId="singlehighlightclass">
    <w:name w:val="single_highlight_class"/>
    <w:basedOn w:val="DefaultParagraphFont"/>
    <w:rsid w:val="00FC0255"/>
  </w:style>
  <w:style w:type="character" w:styleId="Strong">
    <w:name w:val="Strong"/>
    <w:basedOn w:val="DefaultParagraphFont"/>
    <w:uiPriority w:val="22"/>
    <w:qFormat/>
    <w:rsid w:val="00913FD7"/>
    <w:rPr>
      <w:b/>
      <w:bCs/>
    </w:rPr>
  </w:style>
  <w:style w:type="table" w:customStyle="1" w:styleId="OPTUMTableNormal1">
    <w:name w:val="OPTUM Table Normal1"/>
    <w:basedOn w:val="TableNormal"/>
    <w:rsid w:val="002A1DB5"/>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NoList2">
    <w:name w:val="No List2"/>
    <w:next w:val="NoList"/>
    <w:uiPriority w:val="99"/>
    <w:semiHidden/>
    <w:unhideWhenUsed/>
    <w:rsid w:val="00C47C3B"/>
  </w:style>
  <w:style w:type="numbering" w:customStyle="1" w:styleId="PBACstandardnumberstyle2">
    <w:name w:val="PBAC standard number style2"/>
    <w:uiPriority w:val="99"/>
    <w:rsid w:val="00C47C3B"/>
  </w:style>
  <w:style w:type="numbering" w:customStyle="1" w:styleId="PBACstandardnumberstyle11">
    <w:name w:val="PBAC standard number style11"/>
    <w:uiPriority w:val="99"/>
    <w:rsid w:val="00C47C3B"/>
  </w:style>
  <w:style w:type="numbering" w:customStyle="1" w:styleId="Headings1">
    <w:name w:val="Headings1"/>
    <w:uiPriority w:val="99"/>
    <w:rsid w:val="00C47C3B"/>
  </w:style>
  <w:style w:type="numbering" w:customStyle="1" w:styleId="Style21">
    <w:name w:val="Style21"/>
    <w:uiPriority w:val="99"/>
    <w:rsid w:val="00C47C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uiPriority="1" w:qFormat="1"/>
    <w:lsdException w:name="heading 4" w:uiPriority="5"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iPriority="7" w:unhideWhenUsed="0" w:qFormat="1"/>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lsdException w:name="No Spacing" w:semiHidden="0" w:uiPriority="7"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sid w:val="005C5A18"/>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iPriority w:val="1"/>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Heading 1 - Body"/>
    <w:basedOn w:val="Normal"/>
    <w:next w:val="Normal"/>
    <w:link w:val="Heading4Char"/>
    <w:uiPriority w:val="5"/>
    <w:unhideWhenUsed/>
    <w:qFormat/>
    <w:rsid w:val="00D27CD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7"/>
    <w:qFormat/>
    <w:pPr>
      <w:spacing w:before="240" w:after="60"/>
      <w:outlineLvl w:val="4"/>
    </w:pPr>
    <w:rPr>
      <w:b/>
      <w:bCs/>
      <w:i/>
      <w:iCs/>
      <w:sz w:val="26"/>
      <w:szCs w:val="26"/>
    </w:rPr>
  </w:style>
  <w:style w:type="paragraph" w:styleId="Heading6">
    <w:name w:val="heading 6"/>
    <w:aliases w:val="Heading 3 - Body"/>
    <w:basedOn w:val="Normal"/>
    <w:next w:val="Normal"/>
    <w:link w:val="Heading6Char"/>
    <w:uiPriority w:val="7"/>
    <w:qFormat/>
    <w:pPr>
      <w:spacing w:before="240" w:after="60"/>
      <w:outlineLvl w:val="5"/>
    </w:pPr>
    <w:rPr>
      <w:b/>
      <w:bCs/>
      <w:sz w:val="22"/>
      <w:szCs w:val="22"/>
    </w:rPr>
  </w:style>
  <w:style w:type="paragraph" w:styleId="Heading7">
    <w:name w:val="heading 7"/>
    <w:basedOn w:val="Normal"/>
    <w:next w:val="Normal"/>
    <w:link w:val="Heading7Char"/>
    <w:uiPriority w:val="7"/>
    <w:qFormat/>
    <w:rsid w:val="0080519B"/>
    <w:pPr>
      <w:keepNext/>
      <w:widowControl w:val="0"/>
      <w:jc w:val="center"/>
      <w:outlineLvl w:val="6"/>
    </w:pPr>
    <w:rPr>
      <w:rFonts w:ascii="Arial" w:hAnsi="Arial" w:cs="Arial"/>
      <w:b/>
      <w:snapToGrid w:val="0"/>
      <w:sz w:val="20"/>
      <w:szCs w:val="20"/>
      <w:lang w:eastAsia="en-US"/>
    </w:rPr>
  </w:style>
  <w:style w:type="paragraph" w:styleId="Heading8">
    <w:name w:val="heading 8"/>
    <w:basedOn w:val="Normal"/>
    <w:next w:val="Normal"/>
    <w:link w:val="Heading8Char"/>
    <w:uiPriority w:val="7"/>
    <w:qFormat/>
    <w:rsid w:val="0080519B"/>
    <w:pPr>
      <w:keepNext/>
      <w:widowControl w:val="0"/>
      <w:jc w:val="right"/>
      <w:outlineLvl w:val="7"/>
    </w:pPr>
    <w:rPr>
      <w:rFonts w:ascii="Arial" w:hAnsi="Arial" w:cs="Arial"/>
      <w:b/>
      <w:snapToGrid w:val="0"/>
      <w:sz w:val="22"/>
      <w:szCs w:val="20"/>
      <w:lang w:eastAsia="en-US"/>
    </w:rPr>
  </w:style>
  <w:style w:type="paragraph" w:styleId="Heading9">
    <w:name w:val="heading 9"/>
    <w:aliases w:val="Section heading - Body"/>
    <w:basedOn w:val="Normal"/>
    <w:next w:val="Normal"/>
    <w:link w:val="Heading9Char"/>
    <w:uiPriority w:val="7"/>
    <w:qFormat/>
    <w:rsid w:val="0080519B"/>
    <w:pPr>
      <w:keepNext/>
      <w:widowControl w:val="0"/>
      <w:jc w:val="center"/>
      <w:outlineLvl w:val="8"/>
    </w:pPr>
    <w:rPr>
      <w:rFonts w:ascii="Arial" w:hAnsi="Arial" w:cs="Arial"/>
      <w:b/>
      <w:snapToGrid w:val="0"/>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
    <w:rPr>
      <w:rFonts w:ascii="Tahoma" w:hAnsi="Tahoma" w:cs="Tahoma"/>
      <w:sz w:val="16"/>
      <w:szCs w:val="16"/>
    </w:rPr>
  </w:style>
  <w:style w:type="table" w:styleId="TableGrid">
    <w:name w:val="Table Grid"/>
    <w:aliases w:val="Summary box,Table Gridbeth,PBAC table,new sty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uiPriority w:val="9"/>
    <w:pPr>
      <w:widowControl w:val="0"/>
      <w:jc w:val="both"/>
    </w:pPr>
    <w:rPr>
      <w:rFonts w:ascii="Arial" w:hAnsi="Arial"/>
      <w:snapToGrid w:val="0"/>
      <w:sz w:val="20"/>
      <w:szCs w:val="20"/>
      <w:lang w:eastAsia="en-US"/>
    </w:rPr>
  </w:style>
  <w:style w:type="paragraph" w:customStyle="1" w:styleId="TableHeading">
    <w:name w:val="TableHeading"/>
    <w:basedOn w:val="Normal"/>
    <w:link w:val="TableHeadingChar"/>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uiPriority w:val="9"/>
    <w:rPr>
      <w:rFonts w:ascii="Arial" w:hAnsi="Arial"/>
      <w:snapToGrid w:val="0"/>
      <w:lang w:val="en-AU" w:eastAsia="en-US" w:bidi="ar-SA"/>
    </w:rPr>
  </w:style>
  <w:style w:type="paragraph" w:customStyle="1" w:styleId="Char1CharCharChar">
    <w:name w:val="Char1 Char Char Char"/>
    <w:basedOn w:val="Normal"/>
    <w:uiPriority w:val="9"/>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
    <w:pPr>
      <w:spacing w:after="120"/>
    </w:pPr>
    <w:rPr>
      <w:sz w:val="16"/>
      <w:szCs w:val="16"/>
    </w:rPr>
  </w:style>
  <w:style w:type="character" w:customStyle="1" w:styleId="SubtitleChar">
    <w:name w:val="Subtitle Char"/>
    <w:link w:val="Subtitle"/>
    <w:uiPriority w:val="9"/>
    <w:rPr>
      <w:lang w:val="en-AU" w:eastAsia="en-US" w:bidi="ar-SA"/>
    </w:rPr>
  </w:style>
  <w:style w:type="paragraph" w:styleId="Subtitle">
    <w:name w:val="Subtitle"/>
    <w:basedOn w:val="Normal"/>
    <w:link w:val="SubtitleChar"/>
    <w:uiPriority w:val="9"/>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Footnote,Bullet point,List Paragraph11,Recommendation,ES Paragraph,PBAC ES Paragraph,PBAC normal 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aliases w:val="- H19"/>
    <w:basedOn w:val="Normal"/>
    <w:link w:val="CommentTextChar"/>
    <w:uiPriority w:val="99"/>
    <w:rsid w:val="00BB7EC3"/>
    <w:rPr>
      <w:sz w:val="20"/>
      <w:szCs w:val="20"/>
    </w:rPr>
  </w:style>
  <w:style w:type="character" w:customStyle="1" w:styleId="CommentTextChar">
    <w:name w:val="Comment Text Char"/>
    <w:aliases w:val="- H19 Char"/>
    <w:basedOn w:val="DefaultParagraphFont"/>
    <w:link w:val="CommentText"/>
    <w:uiPriority w:val="99"/>
    <w:rsid w:val="00BB7EC3"/>
  </w:style>
  <w:style w:type="paragraph" w:styleId="CommentSubject">
    <w:name w:val="annotation subject"/>
    <w:basedOn w:val="CommentText"/>
    <w:next w:val="CommentText"/>
    <w:link w:val="CommentSubjectChar"/>
    <w:uiPriority w:val="9"/>
    <w:rsid w:val="00BB7EC3"/>
    <w:rPr>
      <w:b/>
      <w:bCs/>
    </w:rPr>
  </w:style>
  <w:style w:type="character" w:customStyle="1" w:styleId="CommentSubjectChar">
    <w:name w:val="Comment Subject Char"/>
    <w:basedOn w:val="CommentTextChar"/>
    <w:link w:val="CommentSubject"/>
    <w:uiPriority w:val="9"/>
    <w:rsid w:val="00BB7EC3"/>
    <w:rPr>
      <w:b/>
      <w:bCs/>
    </w:rPr>
  </w:style>
  <w:style w:type="character" w:customStyle="1" w:styleId="Heading3Char">
    <w:name w:val="Heading 3 Char"/>
    <w:basedOn w:val="DefaultParagraphFont"/>
    <w:link w:val="Heading3"/>
    <w:uiPriority w:val="1"/>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7"/>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7"/>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7"/>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Footnote Char,Bullet point Char,List Paragraph11 Char,Recommendation Char,ES Paragraph Char,PBAC ES Paragraph Char,PBAC normal 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table" w:customStyle="1" w:styleId="OPTUMTableNormal">
    <w:name w:val="OPTUM Table Normal"/>
    <w:basedOn w:val="TableNormal"/>
    <w:rsid w:val="00206DD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Heading4Char">
    <w:name w:val="Heading 4 Char"/>
    <w:aliases w:val="Heading 1 - Body Char"/>
    <w:basedOn w:val="DefaultParagraphFont"/>
    <w:link w:val="Heading4"/>
    <w:uiPriority w:val="5"/>
    <w:rsid w:val="00D27CDE"/>
    <w:rPr>
      <w:rFonts w:asciiTheme="majorHAnsi" w:eastAsiaTheme="majorEastAsia" w:hAnsiTheme="majorHAnsi" w:cstheme="majorBidi"/>
      <w:b/>
      <w:bCs/>
      <w:i/>
      <w:iCs/>
      <w:color w:val="4F81BD" w:themeColor="accent1"/>
      <w:sz w:val="24"/>
      <w:szCs w:val="24"/>
    </w:rPr>
  </w:style>
  <w:style w:type="paragraph" w:styleId="BodyText">
    <w:name w:val="Body Text"/>
    <w:basedOn w:val="Normal"/>
    <w:link w:val="BodyTextChar"/>
    <w:qFormat/>
    <w:rsid w:val="00D27CDE"/>
    <w:pPr>
      <w:spacing w:after="120"/>
    </w:pPr>
  </w:style>
  <w:style w:type="character" w:customStyle="1" w:styleId="BodyTextChar">
    <w:name w:val="Body Text Char"/>
    <w:basedOn w:val="DefaultParagraphFont"/>
    <w:link w:val="BodyText"/>
    <w:rsid w:val="00D27CDE"/>
    <w:rPr>
      <w:sz w:val="24"/>
      <w:szCs w:val="24"/>
    </w:rPr>
  </w:style>
  <w:style w:type="paragraph" w:customStyle="1" w:styleId="TableH1">
    <w:name w:val="Table H1"/>
    <w:basedOn w:val="BodyText"/>
    <w:uiPriority w:val="4"/>
    <w:qFormat/>
    <w:rsid w:val="00D27CDE"/>
    <w:pPr>
      <w:keepNext/>
      <w:tabs>
        <w:tab w:val="left" w:pos="416"/>
        <w:tab w:val="left" w:pos="582"/>
        <w:tab w:val="left" w:pos="1134"/>
      </w:tabs>
      <w:spacing w:before="40" w:after="40"/>
    </w:pPr>
    <w:rPr>
      <w:rFonts w:asciiTheme="minorHAnsi" w:eastAsiaTheme="minorHAnsi" w:hAnsiTheme="minorHAnsi" w:cs="Tahoma"/>
      <w:b/>
      <w:spacing w:val="-1"/>
      <w:sz w:val="18"/>
      <w:szCs w:val="18"/>
      <w:lang w:val="en-US" w:eastAsia="en-US"/>
    </w:rPr>
  </w:style>
  <w:style w:type="paragraph" w:customStyle="1" w:styleId="Tabletextleft">
    <w:name w:val="Table text left"/>
    <w:basedOn w:val="Normal"/>
    <w:link w:val="TabletextleftChar"/>
    <w:qFormat/>
    <w:rsid w:val="00D27CDE"/>
    <w:pPr>
      <w:spacing w:before="20" w:after="20"/>
    </w:pPr>
    <w:rPr>
      <w:rFonts w:asciiTheme="minorHAnsi" w:hAnsiTheme="minorHAnsi"/>
      <w:sz w:val="18"/>
      <w:szCs w:val="20"/>
    </w:rPr>
  </w:style>
  <w:style w:type="character" w:customStyle="1" w:styleId="TabletextleftChar">
    <w:name w:val="Table text left Char"/>
    <w:basedOn w:val="DefaultParagraphFont"/>
    <w:link w:val="Tabletextleft"/>
    <w:rsid w:val="00D27CDE"/>
    <w:rPr>
      <w:rFonts w:asciiTheme="minorHAnsi" w:hAnsiTheme="minorHAnsi"/>
      <w:sz w:val="18"/>
    </w:rPr>
  </w:style>
  <w:style w:type="paragraph" w:customStyle="1" w:styleId="TableHeadingleft">
    <w:name w:val="Table Heading left"/>
    <w:basedOn w:val="Normal"/>
    <w:next w:val="Tabletextleft"/>
    <w:qFormat/>
    <w:rsid w:val="00D27CDE"/>
    <w:pPr>
      <w:spacing w:before="40" w:after="40"/>
    </w:pPr>
    <w:rPr>
      <w:rFonts w:asciiTheme="minorHAnsi" w:eastAsiaTheme="minorHAnsi" w:hAnsiTheme="minorHAnsi" w:cs="Tahoma"/>
      <w:b/>
      <w:sz w:val="18"/>
      <w:szCs w:val="18"/>
      <w:lang w:val="de-DE" w:eastAsia="en-US"/>
    </w:rPr>
  </w:style>
  <w:style w:type="paragraph" w:customStyle="1" w:styleId="Tabletextcent">
    <w:name w:val="Table text cent"/>
    <w:basedOn w:val="Tabletextleft"/>
    <w:qFormat/>
    <w:rsid w:val="00D27CDE"/>
    <w:pPr>
      <w:jc w:val="center"/>
    </w:pPr>
    <w:rPr>
      <w:lang w:val="de-DE"/>
    </w:rPr>
  </w:style>
  <w:style w:type="paragraph" w:customStyle="1" w:styleId="Tableheadingcent">
    <w:name w:val="Table heading cent"/>
    <w:basedOn w:val="TableHeadingleft"/>
    <w:qFormat/>
    <w:rsid w:val="00D27CDE"/>
    <w:pPr>
      <w:jc w:val="center"/>
    </w:pPr>
  </w:style>
  <w:style w:type="paragraph" w:styleId="FootnoteText">
    <w:name w:val="footnote text"/>
    <w:basedOn w:val="Normal"/>
    <w:link w:val="FootnoteTextChar"/>
    <w:uiPriority w:val="99"/>
    <w:unhideWhenUsed/>
    <w:rsid w:val="00C0177A"/>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uiPriority w:val="99"/>
    <w:rsid w:val="00C0177A"/>
    <w:rPr>
      <w:rFonts w:ascii="Arial" w:hAnsi="Arial" w:cs="Arial"/>
      <w:snapToGrid w:val="0"/>
      <w:lang w:eastAsia="en-US"/>
    </w:rPr>
  </w:style>
  <w:style w:type="character" w:styleId="FootnoteReference">
    <w:name w:val="footnote reference"/>
    <w:basedOn w:val="DefaultParagraphFont"/>
    <w:uiPriority w:val="99"/>
    <w:unhideWhenUsed/>
    <w:rsid w:val="00C0177A"/>
    <w:rPr>
      <w:vertAlign w:val="superscript"/>
    </w:rPr>
  </w:style>
  <w:style w:type="table" w:customStyle="1" w:styleId="newstyle3">
    <w:name w:val="new style3"/>
    <w:basedOn w:val="TableNormal"/>
    <w:next w:val="TableGrid"/>
    <w:uiPriority w:val="59"/>
    <w:rsid w:val="00C0177A"/>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table" w:customStyle="1" w:styleId="newstyle31">
    <w:name w:val="new style31"/>
    <w:basedOn w:val="TableNormal"/>
    <w:next w:val="TableGrid"/>
    <w:uiPriority w:val="59"/>
    <w:rsid w:val="00C0177A"/>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paragraph" w:customStyle="1" w:styleId="TableHeading0">
    <w:name w:val="Table Heading"/>
    <w:basedOn w:val="Normal"/>
    <w:qFormat/>
    <w:rsid w:val="00C0177A"/>
    <w:pPr>
      <w:keepNext/>
      <w:spacing w:after="60"/>
    </w:pPr>
    <w:rPr>
      <w:rFonts w:ascii="Arial Narrow" w:eastAsiaTheme="minorHAnsi" w:hAnsi="Arial Narrow" w:cstheme="minorBidi"/>
      <w:b/>
      <w:sz w:val="20"/>
      <w:szCs w:val="22"/>
      <w:lang w:eastAsia="en-US"/>
    </w:rPr>
  </w:style>
  <w:style w:type="table" w:customStyle="1" w:styleId="newstyle32">
    <w:name w:val="new style32"/>
    <w:basedOn w:val="TableNormal"/>
    <w:next w:val="TableGrid"/>
    <w:uiPriority w:val="59"/>
    <w:rsid w:val="00C0177A"/>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paragraph" w:customStyle="1" w:styleId="Tablefooter8pt">
    <w:name w:val="Table footer 8 pt"/>
    <w:basedOn w:val="Normal"/>
    <w:qFormat/>
    <w:rsid w:val="00C0177A"/>
    <w:pPr>
      <w:keepNext/>
    </w:pPr>
    <w:rPr>
      <w:rFonts w:ascii="Arial Narrow" w:hAnsi="Arial Narrow" w:cs="Arial"/>
      <w:snapToGrid w:val="0"/>
      <w:sz w:val="16"/>
      <w:szCs w:val="16"/>
      <w:lang w:eastAsia="en-US"/>
    </w:rPr>
  </w:style>
  <w:style w:type="paragraph" w:customStyle="1" w:styleId="TableFooter">
    <w:name w:val="Table Footer"/>
    <w:basedOn w:val="Normal"/>
    <w:link w:val="TableFooterChar"/>
    <w:qFormat/>
    <w:rsid w:val="00BA6743"/>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BA6743"/>
    <w:rPr>
      <w:rFonts w:ascii="Arial Narrow" w:hAnsi="Arial Narrow" w:cs="Arial"/>
      <w:snapToGrid w:val="0"/>
      <w:sz w:val="18"/>
      <w:szCs w:val="22"/>
      <w:lang w:eastAsia="en-US"/>
    </w:rPr>
  </w:style>
  <w:style w:type="character" w:customStyle="1" w:styleId="TabletextChar">
    <w:name w:val="Table text Char"/>
    <w:link w:val="Tabletext"/>
    <w:rsid w:val="00BA6743"/>
    <w:rPr>
      <w:rFonts w:ascii="Arial" w:hAnsi="Arial"/>
      <w:lang w:eastAsia="en-US"/>
    </w:rPr>
  </w:style>
  <w:style w:type="character" w:customStyle="1" w:styleId="BalloonTextChar">
    <w:name w:val="Balloon Text Char"/>
    <w:basedOn w:val="DefaultParagraphFont"/>
    <w:link w:val="BalloonText"/>
    <w:uiPriority w:val="9"/>
    <w:rsid w:val="00AD5FFE"/>
    <w:rPr>
      <w:rFonts w:ascii="Tahoma" w:hAnsi="Tahoma" w:cs="Tahoma"/>
      <w:sz w:val="16"/>
      <w:szCs w:val="16"/>
    </w:rPr>
  </w:style>
  <w:style w:type="character" w:customStyle="1" w:styleId="Heading7Char">
    <w:name w:val="Heading 7 Char"/>
    <w:basedOn w:val="DefaultParagraphFont"/>
    <w:link w:val="Heading7"/>
    <w:uiPriority w:val="7"/>
    <w:rsid w:val="0080519B"/>
    <w:rPr>
      <w:rFonts w:ascii="Arial" w:hAnsi="Arial" w:cs="Arial"/>
      <w:b/>
      <w:snapToGrid w:val="0"/>
      <w:lang w:eastAsia="en-US"/>
    </w:rPr>
  </w:style>
  <w:style w:type="character" w:customStyle="1" w:styleId="Heading8Char">
    <w:name w:val="Heading 8 Char"/>
    <w:basedOn w:val="DefaultParagraphFont"/>
    <w:link w:val="Heading8"/>
    <w:uiPriority w:val="7"/>
    <w:rsid w:val="0080519B"/>
    <w:rPr>
      <w:rFonts w:ascii="Arial" w:hAnsi="Arial" w:cs="Arial"/>
      <w:b/>
      <w:snapToGrid w:val="0"/>
      <w:sz w:val="22"/>
      <w:lang w:eastAsia="en-US"/>
    </w:rPr>
  </w:style>
  <w:style w:type="character" w:customStyle="1" w:styleId="Heading9Char">
    <w:name w:val="Heading 9 Char"/>
    <w:aliases w:val="Section heading - Body Char"/>
    <w:basedOn w:val="DefaultParagraphFont"/>
    <w:link w:val="Heading9"/>
    <w:uiPriority w:val="7"/>
    <w:rsid w:val="0080519B"/>
    <w:rPr>
      <w:rFonts w:ascii="Arial" w:hAnsi="Arial" w:cs="Arial"/>
      <w:b/>
      <w:snapToGrid w:val="0"/>
      <w:color w:val="000000"/>
      <w:lang w:eastAsia="en-US"/>
    </w:rPr>
  </w:style>
  <w:style w:type="numbering" w:customStyle="1" w:styleId="NoList1">
    <w:name w:val="No List1"/>
    <w:next w:val="NoList"/>
    <w:uiPriority w:val="99"/>
    <w:semiHidden/>
    <w:unhideWhenUsed/>
    <w:rsid w:val="0080519B"/>
  </w:style>
  <w:style w:type="character" w:customStyle="1" w:styleId="Heading5Char">
    <w:name w:val="Heading 5 Char"/>
    <w:aliases w:val="Heading 2 - Body Char"/>
    <w:basedOn w:val="DefaultParagraphFont"/>
    <w:link w:val="Heading5"/>
    <w:uiPriority w:val="7"/>
    <w:rsid w:val="0080519B"/>
    <w:rPr>
      <w:b/>
      <w:bCs/>
      <w:i/>
      <w:iCs/>
      <w:sz w:val="26"/>
      <w:szCs w:val="26"/>
    </w:rPr>
  </w:style>
  <w:style w:type="character" w:customStyle="1" w:styleId="Heading6Char">
    <w:name w:val="Heading 6 Char"/>
    <w:aliases w:val="Heading 3 - Body Char"/>
    <w:basedOn w:val="DefaultParagraphFont"/>
    <w:link w:val="Heading6"/>
    <w:uiPriority w:val="9"/>
    <w:rsid w:val="0080519B"/>
    <w:rPr>
      <w:b/>
      <w:bCs/>
      <w:sz w:val="22"/>
      <w:szCs w:val="22"/>
    </w:rPr>
  </w:style>
  <w:style w:type="paragraph" w:customStyle="1" w:styleId="TableHeader">
    <w:name w:val="Table Header"/>
    <w:basedOn w:val="Normal"/>
    <w:uiPriority w:val="3"/>
    <w:qFormat/>
    <w:rsid w:val="0080519B"/>
    <w:pPr>
      <w:widowControl w:val="0"/>
      <w:jc w:val="both"/>
    </w:pPr>
    <w:rPr>
      <w:rFonts w:ascii="Arial" w:hAnsi="Arial" w:cs="Arial"/>
      <w:b/>
      <w:snapToGrid w:val="0"/>
      <w:sz w:val="20"/>
      <w:szCs w:val="2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e,V5.0 Caption"/>
    <w:basedOn w:val="Normal"/>
    <w:next w:val="Normal"/>
    <w:link w:val="CaptionChar"/>
    <w:uiPriority w:val="35"/>
    <w:unhideWhenUsed/>
    <w:qFormat/>
    <w:rsid w:val="0080519B"/>
    <w:pPr>
      <w:widowControl w:val="0"/>
      <w:spacing w:after="200"/>
      <w:jc w:val="both"/>
    </w:pPr>
    <w:rPr>
      <w:rFonts w:ascii="Arial" w:hAnsi="Arial" w:cs="Arial"/>
      <w:b/>
      <w:bCs/>
      <w:snapToGrid w:val="0"/>
      <w:color w:val="4F81BD" w:themeColor="accent1"/>
      <w:sz w:val="18"/>
      <w:szCs w:val="18"/>
      <w:lang w:eastAsia="en-US"/>
    </w:rPr>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uiPriority w:val="35"/>
    <w:rsid w:val="0080519B"/>
    <w:rPr>
      <w:rFonts w:ascii="Arial" w:hAnsi="Arial" w:cs="Arial"/>
      <w:b/>
      <w:bCs/>
      <w:snapToGrid w:val="0"/>
      <w:color w:val="4F81BD" w:themeColor="accent1"/>
      <w:sz w:val="18"/>
      <w:szCs w:val="18"/>
      <w:lang w:eastAsia="en-US"/>
    </w:rPr>
  </w:style>
  <w:style w:type="paragraph" w:customStyle="1" w:styleId="RegularText">
    <w:name w:val="Regular Text"/>
    <w:basedOn w:val="BodyText"/>
    <w:link w:val="RegularTextChar"/>
    <w:uiPriority w:val="9"/>
    <w:rsid w:val="0080519B"/>
    <w:pPr>
      <w:widowControl w:val="0"/>
      <w:spacing w:after="0"/>
    </w:pPr>
    <w:rPr>
      <w:rFonts w:ascii="Arial" w:hAnsi="Arial" w:cs="Arial"/>
      <w:b/>
      <w:snapToGrid w:val="0"/>
      <w:sz w:val="22"/>
      <w:lang w:eastAsia="en-US"/>
    </w:rPr>
  </w:style>
  <w:style w:type="character" w:customStyle="1" w:styleId="RegularTextChar">
    <w:name w:val="Regular Text Char"/>
    <w:basedOn w:val="BodyTextChar"/>
    <w:link w:val="RegularText"/>
    <w:uiPriority w:val="9"/>
    <w:rsid w:val="0080519B"/>
    <w:rPr>
      <w:rFonts w:ascii="Arial" w:hAnsi="Arial" w:cs="Arial"/>
      <w:b/>
      <w:snapToGrid w:val="0"/>
      <w:sz w:val="22"/>
      <w:szCs w:val="24"/>
      <w:lang w:eastAsia="en-US"/>
    </w:rPr>
  </w:style>
  <w:style w:type="paragraph" w:customStyle="1" w:styleId="Corpsdetextemarge">
    <w:name w:val="Corps de texte marge"/>
    <w:basedOn w:val="BodyText"/>
    <w:uiPriority w:val="99"/>
    <w:rsid w:val="0080519B"/>
    <w:pPr>
      <w:spacing w:after="0"/>
      <w:jc w:val="both"/>
    </w:pPr>
    <w:rPr>
      <w:rFonts w:ascii="Times" w:hAnsi="Times"/>
      <w:szCs w:val="20"/>
      <w:lang w:val="en-US" w:eastAsia="en-US"/>
    </w:rPr>
  </w:style>
  <w:style w:type="paragraph" w:styleId="NormalWeb">
    <w:name w:val="Normal (Web)"/>
    <w:basedOn w:val="Normal"/>
    <w:uiPriority w:val="99"/>
    <w:rsid w:val="0080519B"/>
    <w:pPr>
      <w:spacing w:before="100" w:after="100"/>
    </w:pPr>
    <w:rPr>
      <w:szCs w:val="20"/>
      <w:lang w:val="en-GB" w:eastAsia="en-US"/>
    </w:rPr>
  </w:style>
  <w:style w:type="paragraph" w:styleId="TOC2">
    <w:name w:val="toc 2"/>
    <w:basedOn w:val="Normal"/>
    <w:next w:val="Normal"/>
    <w:autoRedefine/>
    <w:uiPriority w:val="39"/>
    <w:qFormat/>
    <w:rsid w:val="0080519B"/>
    <w:pPr>
      <w:widowControl w:val="0"/>
      <w:tabs>
        <w:tab w:val="left" w:pos="880"/>
        <w:tab w:val="right" w:leader="dot" w:pos="9016"/>
      </w:tabs>
      <w:spacing w:before="120"/>
      <w:ind w:left="810" w:hanging="590"/>
    </w:pPr>
    <w:rPr>
      <w:rFonts w:ascii="Arial" w:hAnsi="Arial" w:cs="Arial"/>
      <w:iCs/>
      <w:snapToGrid w:val="0"/>
      <w:sz w:val="20"/>
      <w:szCs w:val="20"/>
      <w:lang w:eastAsia="en-US"/>
    </w:rPr>
  </w:style>
  <w:style w:type="paragraph" w:styleId="TOC1">
    <w:name w:val="toc 1"/>
    <w:basedOn w:val="Normal"/>
    <w:next w:val="Normal"/>
    <w:autoRedefine/>
    <w:uiPriority w:val="39"/>
    <w:qFormat/>
    <w:rsid w:val="0080519B"/>
    <w:pPr>
      <w:widowControl w:val="0"/>
      <w:tabs>
        <w:tab w:val="left" w:pos="440"/>
        <w:tab w:val="right" w:leader="dot" w:pos="9016"/>
      </w:tabs>
      <w:spacing w:before="240" w:after="120"/>
      <w:ind w:left="450" w:hanging="450"/>
    </w:pPr>
    <w:rPr>
      <w:rFonts w:ascii="Arial" w:hAnsi="Arial" w:cs="Arial"/>
      <w:bCs/>
      <w:snapToGrid w:val="0"/>
      <w:sz w:val="20"/>
      <w:szCs w:val="20"/>
      <w:lang w:eastAsia="en-US"/>
    </w:rPr>
  </w:style>
  <w:style w:type="paragraph" w:styleId="TOCHeading">
    <w:name w:val="TOC Heading"/>
    <w:basedOn w:val="Heading1"/>
    <w:next w:val="Normal"/>
    <w:uiPriority w:val="39"/>
    <w:unhideWhenUsed/>
    <w:qFormat/>
    <w:rsid w:val="0080519B"/>
    <w:pPr>
      <w:keepNext/>
      <w:keepLines/>
      <w:widowControl/>
      <w:spacing w:before="480" w:line="276" w:lineRule="auto"/>
      <w:contextualSpacing w:val="0"/>
      <w:jc w:val="left"/>
      <w:outlineLvl w:val="9"/>
    </w:pPr>
    <w:rPr>
      <w:rFonts w:asciiTheme="majorHAnsi" w:eastAsiaTheme="majorEastAsia" w:hAnsiTheme="majorHAnsi" w:cstheme="majorBidi"/>
      <w:bCs/>
      <w:cap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80519B"/>
    <w:pPr>
      <w:widowControl w:val="0"/>
      <w:ind w:left="440"/>
    </w:pPr>
    <w:rPr>
      <w:rFonts w:asciiTheme="minorHAnsi" w:hAnsiTheme="minorHAnsi" w:cs="Arial"/>
      <w:snapToGrid w:val="0"/>
      <w:sz w:val="20"/>
      <w:szCs w:val="20"/>
      <w:lang w:eastAsia="en-US"/>
    </w:rPr>
  </w:style>
  <w:style w:type="character" w:customStyle="1" w:styleId="BodyText3Char">
    <w:name w:val="Body Text 3 Char"/>
    <w:basedOn w:val="DefaultParagraphFont"/>
    <w:link w:val="BodyText3"/>
    <w:uiPriority w:val="9"/>
    <w:rsid w:val="0080519B"/>
    <w:rPr>
      <w:sz w:val="16"/>
      <w:szCs w:val="16"/>
    </w:rPr>
  </w:style>
  <w:style w:type="paragraph" w:styleId="TOC4">
    <w:name w:val="toc 4"/>
    <w:basedOn w:val="Normal"/>
    <w:next w:val="Normal"/>
    <w:autoRedefine/>
    <w:uiPriority w:val="9"/>
    <w:rsid w:val="0080519B"/>
    <w:pPr>
      <w:widowControl w:val="0"/>
      <w:ind w:left="660"/>
    </w:pPr>
    <w:rPr>
      <w:rFonts w:asciiTheme="minorHAnsi" w:hAnsiTheme="minorHAnsi" w:cs="Arial"/>
      <w:snapToGrid w:val="0"/>
      <w:sz w:val="20"/>
      <w:szCs w:val="20"/>
      <w:lang w:eastAsia="en-US"/>
    </w:rPr>
  </w:style>
  <w:style w:type="paragraph" w:styleId="TOC5">
    <w:name w:val="toc 5"/>
    <w:basedOn w:val="Normal"/>
    <w:next w:val="Normal"/>
    <w:autoRedefine/>
    <w:uiPriority w:val="9"/>
    <w:rsid w:val="0080519B"/>
    <w:pPr>
      <w:widowControl w:val="0"/>
      <w:ind w:left="880"/>
    </w:pPr>
    <w:rPr>
      <w:rFonts w:asciiTheme="minorHAnsi" w:hAnsiTheme="minorHAnsi" w:cs="Arial"/>
      <w:snapToGrid w:val="0"/>
      <w:sz w:val="20"/>
      <w:szCs w:val="20"/>
      <w:lang w:eastAsia="en-US"/>
    </w:rPr>
  </w:style>
  <w:style w:type="paragraph" w:styleId="TOC6">
    <w:name w:val="toc 6"/>
    <w:basedOn w:val="Normal"/>
    <w:next w:val="Normal"/>
    <w:autoRedefine/>
    <w:uiPriority w:val="9"/>
    <w:rsid w:val="0080519B"/>
    <w:pPr>
      <w:widowControl w:val="0"/>
      <w:ind w:left="1100"/>
    </w:pPr>
    <w:rPr>
      <w:rFonts w:asciiTheme="minorHAnsi" w:hAnsiTheme="minorHAnsi" w:cs="Arial"/>
      <w:snapToGrid w:val="0"/>
      <w:sz w:val="20"/>
      <w:szCs w:val="20"/>
      <w:lang w:eastAsia="en-US"/>
    </w:rPr>
  </w:style>
  <w:style w:type="paragraph" w:styleId="TOC7">
    <w:name w:val="toc 7"/>
    <w:basedOn w:val="Normal"/>
    <w:next w:val="Normal"/>
    <w:autoRedefine/>
    <w:uiPriority w:val="9"/>
    <w:rsid w:val="0080519B"/>
    <w:pPr>
      <w:widowControl w:val="0"/>
      <w:ind w:left="1320"/>
    </w:pPr>
    <w:rPr>
      <w:rFonts w:asciiTheme="minorHAnsi" w:hAnsiTheme="minorHAnsi" w:cs="Arial"/>
      <w:snapToGrid w:val="0"/>
      <w:sz w:val="20"/>
      <w:szCs w:val="20"/>
      <w:lang w:eastAsia="en-US"/>
    </w:rPr>
  </w:style>
  <w:style w:type="paragraph" w:styleId="TOC8">
    <w:name w:val="toc 8"/>
    <w:basedOn w:val="Normal"/>
    <w:next w:val="Normal"/>
    <w:autoRedefine/>
    <w:uiPriority w:val="9"/>
    <w:rsid w:val="0080519B"/>
    <w:pPr>
      <w:widowControl w:val="0"/>
      <w:ind w:left="1540"/>
    </w:pPr>
    <w:rPr>
      <w:rFonts w:asciiTheme="minorHAnsi" w:hAnsiTheme="minorHAnsi" w:cs="Arial"/>
      <w:snapToGrid w:val="0"/>
      <w:sz w:val="20"/>
      <w:szCs w:val="20"/>
      <w:lang w:eastAsia="en-US"/>
    </w:rPr>
  </w:style>
  <w:style w:type="paragraph" w:styleId="TOC9">
    <w:name w:val="toc 9"/>
    <w:basedOn w:val="Normal"/>
    <w:next w:val="Normal"/>
    <w:autoRedefine/>
    <w:uiPriority w:val="9"/>
    <w:rsid w:val="0080519B"/>
    <w:pPr>
      <w:widowControl w:val="0"/>
      <w:ind w:left="1760"/>
    </w:pPr>
    <w:rPr>
      <w:rFonts w:asciiTheme="minorHAnsi" w:hAnsiTheme="minorHAnsi" w:cs="Arial"/>
      <w:snapToGrid w:val="0"/>
      <w:sz w:val="20"/>
      <w:szCs w:val="20"/>
      <w:lang w:eastAsia="en-US"/>
    </w:rPr>
  </w:style>
  <w:style w:type="paragraph" w:customStyle="1" w:styleId="TableText0">
    <w:name w:val="TableText"/>
    <w:basedOn w:val="Normal"/>
    <w:uiPriority w:val="9"/>
    <w:rsid w:val="0080519B"/>
    <w:pPr>
      <w:keepNext/>
      <w:spacing w:before="40" w:after="40"/>
    </w:pPr>
    <w:rPr>
      <w:rFonts w:ascii="Arial Narrow" w:hAnsi="Arial Narrow" w:cs="Arial Narrow"/>
      <w:sz w:val="20"/>
      <w:szCs w:val="20"/>
      <w:lang w:eastAsia="en-US"/>
    </w:rPr>
  </w:style>
  <w:style w:type="paragraph" w:customStyle="1" w:styleId="TableName">
    <w:name w:val="TableName"/>
    <w:basedOn w:val="Normal"/>
    <w:qFormat/>
    <w:rsid w:val="0080519B"/>
    <w:pPr>
      <w:keepNext/>
      <w:spacing w:before="120" w:after="120"/>
      <w:ind w:left="1800" w:hanging="1080"/>
    </w:pPr>
    <w:rPr>
      <w:rFonts w:ascii="Arial Narrow" w:hAnsi="Arial Narrow" w:cs="Arial Narrow"/>
      <w:b/>
      <w:bCs/>
      <w:sz w:val="22"/>
      <w:szCs w:val="22"/>
      <w:lang w:eastAsia="en-US"/>
    </w:rPr>
  </w:style>
  <w:style w:type="paragraph" w:customStyle="1" w:styleId="TableNotes18">
    <w:name w:val="TableNotes+18"/>
    <w:basedOn w:val="TableText0"/>
    <w:uiPriority w:val="9"/>
    <w:rsid w:val="0080519B"/>
    <w:pPr>
      <w:keepNext w:val="0"/>
      <w:keepLines/>
      <w:spacing w:before="0" w:after="360"/>
      <w:ind w:left="720"/>
    </w:pPr>
    <w:rPr>
      <w:sz w:val="18"/>
      <w:szCs w:val="18"/>
    </w:rPr>
  </w:style>
  <w:style w:type="paragraph" w:customStyle="1" w:styleId="TableNotes0">
    <w:name w:val="TableNotes+0"/>
    <w:basedOn w:val="TableNotes18"/>
    <w:uiPriority w:val="9"/>
    <w:rsid w:val="0080519B"/>
    <w:pPr>
      <w:keepNext/>
      <w:spacing w:after="0"/>
    </w:pPr>
  </w:style>
  <w:style w:type="paragraph" w:styleId="Revision">
    <w:name w:val="Revision"/>
    <w:hidden/>
    <w:uiPriority w:val="99"/>
    <w:rsid w:val="0080519B"/>
    <w:rPr>
      <w:rFonts w:ascii="Arial" w:hAnsi="Arial" w:cs="Arial"/>
      <w:snapToGrid w:val="0"/>
      <w:sz w:val="22"/>
      <w:lang w:eastAsia="en-US"/>
    </w:rPr>
  </w:style>
  <w:style w:type="paragraph" w:styleId="BodyTextIndent">
    <w:name w:val="Body Text Indent"/>
    <w:basedOn w:val="Normal"/>
    <w:link w:val="BodyTextIndentChar"/>
    <w:uiPriority w:val="9"/>
    <w:rsid w:val="0080519B"/>
    <w:pPr>
      <w:widowControl w:val="0"/>
      <w:spacing w:after="120"/>
      <w:ind w:left="283"/>
      <w:jc w:val="both"/>
    </w:pPr>
    <w:rPr>
      <w:rFonts w:ascii="Arial" w:hAnsi="Arial" w:cs="Arial"/>
      <w:snapToGrid w:val="0"/>
      <w:sz w:val="22"/>
      <w:szCs w:val="20"/>
      <w:lang w:eastAsia="en-US"/>
    </w:rPr>
  </w:style>
  <w:style w:type="character" w:customStyle="1" w:styleId="BodyTextIndentChar">
    <w:name w:val="Body Text Indent Char"/>
    <w:basedOn w:val="DefaultParagraphFont"/>
    <w:link w:val="BodyTextIndent"/>
    <w:uiPriority w:val="9"/>
    <w:rsid w:val="0080519B"/>
    <w:rPr>
      <w:rFonts w:ascii="Arial" w:hAnsi="Arial" w:cs="Arial"/>
      <w:snapToGrid w:val="0"/>
      <w:sz w:val="22"/>
      <w:lang w:eastAsia="en-US"/>
    </w:rPr>
  </w:style>
  <w:style w:type="paragraph" w:customStyle="1" w:styleId="PBACheading10">
    <w:name w:val="PBAC heading 1"/>
    <w:qFormat/>
    <w:rsid w:val="0080519B"/>
    <w:pPr>
      <w:ind w:left="720" w:hanging="720"/>
    </w:pPr>
    <w:rPr>
      <w:rFonts w:ascii="Arial" w:hAnsi="Arial" w:cs="Arial"/>
      <w:snapToGrid w:val="0"/>
      <w:sz w:val="22"/>
      <w:szCs w:val="22"/>
      <w:lang w:eastAsia="en-US"/>
    </w:rPr>
  </w:style>
  <w:style w:type="table" w:customStyle="1" w:styleId="TableGridbeth41">
    <w:name w:val="Table Gridbeth41"/>
    <w:basedOn w:val="TableNormal"/>
    <w:next w:val="TableGrid"/>
    <w:uiPriority w:val="59"/>
    <w:rsid w:val="0080519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BACTableTextChar">
    <w:name w:val="PBAC Table Text Char"/>
    <w:basedOn w:val="DefaultParagraphFont"/>
    <w:link w:val="PBACTableText"/>
    <w:locked/>
    <w:rsid w:val="0080519B"/>
    <w:rPr>
      <w:rFonts w:ascii="News Gothic MT" w:eastAsia="Batang" w:hAnsi="News Gothic MT"/>
    </w:rPr>
  </w:style>
  <w:style w:type="paragraph" w:customStyle="1" w:styleId="PBACTableText">
    <w:name w:val="PBAC Table Text"/>
    <w:basedOn w:val="Normal"/>
    <w:link w:val="PBACTableTextChar"/>
    <w:qFormat/>
    <w:rsid w:val="0080519B"/>
    <w:rPr>
      <w:rFonts w:ascii="News Gothic MT" w:eastAsia="Batang" w:hAnsi="News Gothic MT"/>
      <w:sz w:val="20"/>
      <w:szCs w:val="20"/>
    </w:rPr>
  </w:style>
  <w:style w:type="paragraph" w:customStyle="1" w:styleId="Body">
    <w:name w:val="Body"/>
    <w:basedOn w:val="Normal"/>
    <w:link w:val="BodyChar1"/>
    <w:rsid w:val="0080519B"/>
    <w:pPr>
      <w:ind w:firstLine="288"/>
      <w:jc w:val="both"/>
    </w:pPr>
    <w:rPr>
      <w:rFonts w:ascii="Arial" w:hAnsi="Arial"/>
      <w:sz w:val="20"/>
      <w:szCs w:val="20"/>
      <w:lang w:val="en-US" w:eastAsia="en-US"/>
    </w:rPr>
  </w:style>
  <w:style w:type="character" w:customStyle="1" w:styleId="BodyChar1">
    <w:name w:val="Body Char1"/>
    <w:link w:val="Body"/>
    <w:rsid w:val="0080519B"/>
    <w:rPr>
      <w:rFonts w:ascii="Arial" w:hAnsi="Arial"/>
      <w:lang w:val="en-US" w:eastAsia="en-US"/>
    </w:rPr>
  </w:style>
  <w:style w:type="paragraph" w:customStyle="1" w:styleId="Tablename0">
    <w:name w:val="Table name"/>
    <w:basedOn w:val="BodyText"/>
    <w:link w:val="TablenameChar"/>
    <w:uiPriority w:val="4"/>
    <w:qFormat/>
    <w:rsid w:val="0080519B"/>
    <w:pPr>
      <w:keepNext/>
      <w:tabs>
        <w:tab w:val="left" w:pos="1418"/>
      </w:tabs>
      <w:spacing w:before="120"/>
      <w:ind w:left="1418" w:hanging="1418"/>
    </w:pPr>
    <w:rPr>
      <w:rFonts w:ascii="Calibri" w:hAnsi="Calibri"/>
      <w:b/>
      <w:bCs/>
      <w:sz w:val="22"/>
      <w:szCs w:val="20"/>
      <w:lang w:val="en-US" w:eastAsia="en-US"/>
    </w:rPr>
  </w:style>
  <w:style w:type="character" w:customStyle="1" w:styleId="TablenameChar">
    <w:name w:val="Table name Char"/>
    <w:basedOn w:val="DefaultParagraphFont"/>
    <w:link w:val="Tablename0"/>
    <w:rsid w:val="0080519B"/>
    <w:rPr>
      <w:rFonts w:ascii="Calibri" w:hAnsi="Calibri"/>
      <w:b/>
      <w:bCs/>
      <w:sz w:val="22"/>
      <w:lang w:val="en-US" w:eastAsia="en-US"/>
    </w:rPr>
  </w:style>
  <w:style w:type="paragraph" w:customStyle="1" w:styleId="Tabletextarialnarrow">
    <w:name w:val="Table text arial narrow"/>
    <w:basedOn w:val="Normal"/>
    <w:qFormat/>
    <w:rsid w:val="0080519B"/>
    <w:pPr>
      <w:keepNext/>
      <w:jc w:val="both"/>
    </w:pPr>
    <w:rPr>
      <w:rFonts w:ascii="Arial Narrow" w:hAnsi="Arial Narrow" w:cs="Arial"/>
      <w:snapToGrid w:val="0"/>
      <w:sz w:val="20"/>
      <w:szCs w:val="20"/>
      <w:lang w:eastAsia="en-US"/>
    </w:rPr>
  </w:style>
  <w:style w:type="table" w:customStyle="1" w:styleId="TableStyle">
    <w:name w:val="Table Style"/>
    <w:basedOn w:val="TableNormal"/>
    <w:rsid w:val="0080519B"/>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ablebullet">
    <w:name w:val="Table bullet"/>
    <w:basedOn w:val="Tabletext"/>
    <w:uiPriority w:val="4"/>
    <w:qFormat/>
    <w:rsid w:val="0080519B"/>
    <w:pPr>
      <w:keepNext/>
      <w:keepLines/>
      <w:numPr>
        <w:numId w:val="6"/>
      </w:numPr>
      <w:tabs>
        <w:tab w:val="left" w:pos="284"/>
      </w:tabs>
      <w:spacing w:before="20" w:after="20"/>
    </w:pPr>
    <w:rPr>
      <w:rFonts w:ascii="Calibri" w:hAnsi="Calibri"/>
      <w:sz w:val="18"/>
    </w:rPr>
  </w:style>
  <w:style w:type="table" w:customStyle="1" w:styleId="newstyle2">
    <w:name w:val="new style2"/>
    <w:basedOn w:val="TableNormal"/>
    <w:next w:val="TableGrid"/>
    <w:uiPriority w:val="59"/>
    <w:rsid w:val="0080519B"/>
    <w:pPr>
      <w:ind w:left="113" w:right="113"/>
    </w:pPr>
    <w:rPr>
      <w:rFonts w:ascii="Calibri" w:eastAsia="Calibri" w:hAnsi="Calibri"/>
      <w:sz w:val="1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hemeFill="background1" w:themeFillShade="BF"/>
      </w:tcPr>
    </w:tblStylePr>
  </w:style>
  <w:style w:type="table" w:customStyle="1" w:styleId="TableGridbeth2">
    <w:name w:val="Table Gridbeth2"/>
    <w:basedOn w:val="TableNormal"/>
    <w:next w:val="TableGrid"/>
    <w:rsid w:val="0080519B"/>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Heading">
    <w:name w:val="BoxHeading"/>
    <w:basedOn w:val="BodyText"/>
    <w:link w:val="BoxHeadingChar"/>
    <w:uiPriority w:val="3"/>
    <w:rsid w:val="0080519B"/>
    <w:pPr>
      <w:pBdr>
        <w:top w:val="single" w:sz="6" w:space="1" w:color="000000"/>
        <w:left w:val="single" w:sz="6" w:space="4" w:color="000000"/>
        <w:bottom w:val="single" w:sz="6" w:space="1" w:color="000000"/>
        <w:right w:val="single" w:sz="6" w:space="4" w:color="000000"/>
      </w:pBdr>
      <w:tabs>
        <w:tab w:val="left" w:pos="1418"/>
      </w:tabs>
      <w:spacing w:before="120"/>
    </w:pPr>
    <w:rPr>
      <w:rFonts w:ascii="Calibri" w:hAnsi="Calibri"/>
      <w:b/>
      <w:bCs/>
      <w:sz w:val="22"/>
      <w:szCs w:val="20"/>
      <w:lang w:val="en-US" w:eastAsia="en-US"/>
    </w:rPr>
  </w:style>
  <w:style w:type="numbering" w:customStyle="1" w:styleId="PBACstandardnumberstyle">
    <w:name w:val="PBAC standard number style"/>
    <w:uiPriority w:val="99"/>
    <w:rsid w:val="0080519B"/>
    <w:pPr>
      <w:numPr>
        <w:numId w:val="7"/>
      </w:numPr>
    </w:pPr>
  </w:style>
  <w:style w:type="character" w:customStyle="1" w:styleId="BoxHeadingChar">
    <w:name w:val="BoxHeading Char"/>
    <w:basedOn w:val="DefaultParagraphFont"/>
    <w:link w:val="BoxHeading"/>
    <w:uiPriority w:val="3"/>
    <w:rsid w:val="0080519B"/>
    <w:rPr>
      <w:rFonts w:ascii="Calibri" w:hAnsi="Calibri"/>
      <w:b/>
      <w:bCs/>
      <w:sz w:val="22"/>
      <w:lang w:val="en-US" w:eastAsia="en-US"/>
    </w:rPr>
  </w:style>
  <w:style w:type="paragraph" w:customStyle="1" w:styleId="Bulletpoint">
    <w:name w:val="Bulletpoint"/>
    <w:basedOn w:val="BodyText"/>
    <w:qFormat/>
    <w:rsid w:val="0080519B"/>
    <w:pPr>
      <w:widowControl w:val="0"/>
      <w:numPr>
        <w:numId w:val="8"/>
      </w:numPr>
      <w:spacing w:after="0"/>
      <w:jc w:val="both"/>
    </w:pPr>
    <w:rPr>
      <w:snapToGrid w:val="0"/>
      <w:szCs w:val="20"/>
      <w:lang w:eastAsia="en-US"/>
    </w:rPr>
  </w:style>
  <w:style w:type="table" w:customStyle="1" w:styleId="newstyle1">
    <w:name w:val="new style1"/>
    <w:basedOn w:val="TableNormal"/>
    <w:next w:val="TableGrid"/>
    <w:uiPriority w:val="59"/>
    <w:rsid w:val="0080519B"/>
    <w:pPr>
      <w:spacing w:before="20" w:after="20"/>
    </w:pPr>
    <w:rPr>
      <w:rFonts w:ascii="Garamond" w:hAnsi="Garamond"/>
      <w:sz w:val="18"/>
    </w:rPr>
    <w:tblPr>
      <w:tblBorders>
        <w:top w:val="single" w:sz="2" w:space="0" w:color="auto"/>
        <w:left w:val="single" w:sz="2" w:space="0" w:color="auto"/>
        <w:bottom w:val="single" w:sz="2" w:space="0" w:color="auto"/>
        <w:right w:val="single" w:sz="2" w:space="0" w:color="auto"/>
      </w:tblBorders>
    </w:tblPr>
    <w:tcPr>
      <w:vAlign w:val="center"/>
    </w:tcPr>
    <w:tblStylePr w:type="firstRow">
      <w:pPr>
        <w:wordWrap/>
        <w:spacing w:beforeLines="40" w:beforeAutospacing="0" w:afterLines="20" w:afterAutospacing="0" w:line="360" w:lineRule="auto"/>
      </w:pPr>
      <w:rPr>
        <w:rFonts w:ascii="Arial Unicode MS" w:hAnsi="Arial Unicode MS"/>
        <w:b/>
        <w:i w:val="0"/>
        <w:sz w:val="22"/>
        <w:szCs w:val="22"/>
      </w:rPr>
      <w:tblPr/>
      <w:tcPr>
        <w:tcBorders>
          <w:top w:val="single" w:sz="2" w:space="0" w:color="auto"/>
          <w:left w:val="single" w:sz="2" w:space="0" w:color="auto"/>
          <w:bottom w:val="nil"/>
          <w:right w:val="single" w:sz="2" w:space="0" w:color="auto"/>
          <w:insideH w:val="nil"/>
          <w:insideV w:val="nil"/>
          <w:tl2br w:val="nil"/>
          <w:tr2bl w:val="nil"/>
        </w:tcBorders>
      </w:tcPr>
    </w:tblStylePr>
  </w:style>
  <w:style w:type="paragraph" w:customStyle="1" w:styleId="Tableleft">
    <w:name w:val="Table left"/>
    <w:basedOn w:val="TableText0"/>
    <w:link w:val="TableleftChar"/>
    <w:rsid w:val="0080519B"/>
    <w:pPr>
      <w:keepNext w:val="0"/>
    </w:pPr>
    <w:rPr>
      <w:rFonts w:ascii="Arial" w:hAnsi="Arial"/>
      <w:sz w:val="18"/>
    </w:rPr>
  </w:style>
  <w:style w:type="character" w:customStyle="1" w:styleId="TableleftChar">
    <w:name w:val="Table left Char"/>
    <w:basedOn w:val="DefaultParagraphFont"/>
    <w:link w:val="Tableleft"/>
    <w:rsid w:val="0080519B"/>
    <w:rPr>
      <w:rFonts w:ascii="Arial" w:hAnsi="Arial" w:cs="Arial Narrow"/>
      <w:sz w:val="18"/>
      <w:lang w:eastAsia="en-US"/>
    </w:rPr>
  </w:style>
  <w:style w:type="character" w:customStyle="1" w:styleId="TableHeadingChar">
    <w:name w:val="TableHeading Char"/>
    <w:link w:val="TableHeading"/>
    <w:uiPriority w:val="99"/>
    <w:rsid w:val="0080519B"/>
    <w:rPr>
      <w:rFonts w:ascii="Arial Narrow" w:hAnsi="Arial Narrow" w:cs="Arial Narrow"/>
      <w:b/>
      <w:bCs/>
      <w:lang w:eastAsia="en-US"/>
    </w:rPr>
  </w:style>
  <w:style w:type="character" w:customStyle="1" w:styleId="SubtitleChar1">
    <w:name w:val="Subtitle Char1"/>
    <w:basedOn w:val="DefaultParagraphFont"/>
    <w:uiPriority w:val="9"/>
    <w:rsid w:val="0080519B"/>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KMC-Tabletext">
    <w:name w:val="KMC - Table text"/>
    <w:basedOn w:val="Normal"/>
    <w:qFormat/>
    <w:rsid w:val="0080519B"/>
    <w:pPr>
      <w:spacing w:before="40" w:after="40"/>
    </w:pPr>
    <w:rPr>
      <w:rFonts w:ascii="Arial Narrow" w:hAnsi="Arial Narrow" w:cs="Arial"/>
      <w:bCs/>
      <w:sz w:val="22"/>
      <w:szCs w:val="20"/>
    </w:rPr>
  </w:style>
  <w:style w:type="paragraph" w:customStyle="1" w:styleId="Default">
    <w:name w:val="Default"/>
    <w:basedOn w:val="Normal"/>
    <w:rsid w:val="0080519B"/>
    <w:pPr>
      <w:autoSpaceDE w:val="0"/>
      <w:autoSpaceDN w:val="0"/>
    </w:pPr>
    <w:rPr>
      <w:rFonts w:ascii="Calibri" w:eastAsia="SimSun" w:hAnsi="Calibri" w:cs="SimSun"/>
      <w:color w:val="000000"/>
      <w:lang w:eastAsia="en-US"/>
    </w:rPr>
  </w:style>
  <w:style w:type="paragraph" w:customStyle="1" w:styleId="labeltext">
    <w:name w:val="label text"/>
    <w:link w:val="labeltextChar"/>
    <w:rsid w:val="0080519B"/>
    <w:rPr>
      <w:sz w:val="22"/>
      <w:szCs w:val="22"/>
      <w:lang w:val="en-US" w:eastAsia="en-US"/>
    </w:rPr>
  </w:style>
  <w:style w:type="character" w:customStyle="1" w:styleId="labeltextChar">
    <w:name w:val="label text Char"/>
    <w:link w:val="labeltext"/>
    <w:locked/>
    <w:rsid w:val="0080519B"/>
    <w:rPr>
      <w:sz w:val="22"/>
      <w:szCs w:val="22"/>
      <w:lang w:val="en-US" w:eastAsia="en-US"/>
    </w:rPr>
  </w:style>
  <w:style w:type="table" w:customStyle="1" w:styleId="LightShading-Accent11">
    <w:name w:val="Light Shading - Accent 11"/>
    <w:basedOn w:val="TableNormal"/>
    <w:uiPriority w:val="60"/>
    <w:rsid w:val="0080519B"/>
    <w:rPr>
      <w:color w:val="365F91" w:themeColor="accent1" w:themeShade="BF"/>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rsid w:val="0080519B"/>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Notes18">
    <w:name w:val="TableFigNotes+18"/>
    <w:basedOn w:val="BodyText"/>
    <w:next w:val="BodyText"/>
    <w:link w:val="TableFigNotes18Char"/>
    <w:uiPriority w:val="4"/>
    <w:qFormat/>
    <w:rsid w:val="0080519B"/>
    <w:pPr>
      <w:keepLines/>
      <w:spacing w:after="360"/>
    </w:pPr>
    <w:rPr>
      <w:rFonts w:ascii="Calibri" w:hAnsi="Calibri" w:cs="Tahoma"/>
      <w:color w:val="000000"/>
      <w:sz w:val="16"/>
      <w:szCs w:val="18"/>
      <w:lang w:val="en-US"/>
    </w:rPr>
  </w:style>
  <w:style w:type="character" w:customStyle="1" w:styleId="TableFigNotes18Char">
    <w:name w:val="TableFigNotes+18 Char"/>
    <w:basedOn w:val="DefaultParagraphFont"/>
    <w:link w:val="TableFigNotes18"/>
    <w:uiPriority w:val="4"/>
    <w:rsid w:val="0080519B"/>
    <w:rPr>
      <w:rFonts w:ascii="Calibri" w:hAnsi="Calibri" w:cs="Tahoma"/>
      <w:color w:val="000000"/>
      <w:sz w:val="16"/>
      <w:szCs w:val="18"/>
      <w:lang w:val="en-US"/>
    </w:rPr>
  </w:style>
  <w:style w:type="paragraph" w:customStyle="1" w:styleId="Tabletextindent">
    <w:name w:val="Table text indent"/>
    <w:basedOn w:val="Tabletext"/>
    <w:uiPriority w:val="4"/>
    <w:qFormat/>
    <w:rsid w:val="0080519B"/>
    <w:pPr>
      <w:tabs>
        <w:tab w:val="left" w:pos="416"/>
        <w:tab w:val="left" w:pos="582"/>
      </w:tabs>
      <w:spacing w:before="20" w:after="20"/>
      <w:ind w:left="170"/>
    </w:pPr>
    <w:rPr>
      <w:rFonts w:ascii="Calibri" w:hAnsi="Calibri"/>
      <w:sz w:val="18"/>
      <w:szCs w:val="18"/>
      <w:lang w:eastAsia="en-GB"/>
    </w:rPr>
  </w:style>
  <w:style w:type="paragraph" w:customStyle="1" w:styleId="TableFigNotes0">
    <w:name w:val="TableFigNotes+0"/>
    <w:basedOn w:val="TableFigNotes18"/>
    <w:uiPriority w:val="4"/>
    <w:rsid w:val="0080519B"/>
    <w:pPr>
      <w:keepNext/>
      <w:spacing w:after="0"/>
    </w:pPr>
  </w:style>
  <w:style w:type="character" w:customStyle="1" w:styleId="apple-converted-space">
    <w:name w:val="apple-converted-space"/>
    <w:basedOn w:val="DefaultParagraphFont"/>
    <w:rsid w:val="0080519B"/>
  </w:style>
  <w:style w:type="paragraph" w:customStyle="1" w:styleId="HeadingLevel2">
    <w:name w:val="Heading Level 2"/>
    <w:basedOn w:val="Normal"/>
    <w:semiHidden/>
    <w:unhideWhenUsed/>
    <w:rsid w:val="0080519B"/>
    <w:pPr>
      <w:numPr>
        <w:numId w:val="9"/>
      </w:numPr>
      <w:spacing w:after="240" w:line="360" w:lineRule="auto"/>
    </w:pPr>
    <w:rPr>
      <w:rFonts w:ascii="Calibri" w:hAnsi="Calibri" w:cs="Arial"/>
      <w:color w:val="000000"/>
      <w:sz w:val="22"/>
      <w:lang w:val="en-US" w:eastAsia="en-US"/>
    </w:rPr>
  </w:style>
  <w:style w:type="numbering" w:customStyle="1" w:styleId="PBACstandardnumberstyle1">
    <w:name w:val="PBAC standard number style1"/>
    <w:uiPriority w:val="99"/>
    <w:rsid w:val="0080519B"/>
  </w:style>
  <w:style w:type="paragraph" w:customStyle="1" w:styleId="V50Heading2nonumbers">
    <w:name w:val="V5.0 Heading 2 no numbers"/>
    <w:basedOn w:val="Heading2"/>
    <w:qFormat/>
    <w:rsid w:val="0080519B"/>
    <w:pPr>
      <w:keepLines/>
      <w:spacing w:before="240" w:after="120"/>
      <w:ind w:left="578" w:hanging="578"/>
    </w:pPr>
    <w:rPr>
      <w:rFonts w:asciiTheme="minorHAnsi" w:eastAsiaTheme="majorEastAsia" w:hAnsiTheme="minorHAnsi" w:cstheme="majorBidi"/>
      <w:sz w:val="28"/>
      <w:szCs w:val="28"/>
      <w:lang w:eastAsia="en-US"/>
    </w:rPr>
  </w:style>
  <w:style w:type="paragraph" w:customStyle="1" w:styleId="V50Instructions">
    <w:name w:val="V5.0 Instructions"/>
    <w:basedOn w:val="Normal"/>
    <w:link w:val="V50InstructionsChar"/>
    <w:qFormat/>
    <w:rsid w:val="0080519B"/>
    <w:pPr>
      <w:spacing w:before="120" w:after="160"/>
    </w:pPr>
    <w:rPr>
      <w:rFonts w:asciiTheme="minorHAnsi" w:eastAsiaTheme="minorHAnsi" w:hAnsiTheme="minorHAnsi" w:cstheme="minorBidi"/>
      <w:color w:val="4BACC6" w:themeColor="accent5"/>
      <w:szCs w:val="22"/>
      <w:lang w:eastAsia="en-US"/>
    </w:rPr>
  </w:style>
  <w:style w:type="paragraph" w:customStyle="1" w:styleId="V50Heading1nonumbers">
    <w:name w:val="V5.0 Heading 1 no numbers"/>
    <w:basedOn w:val="Heading1"/>
    <w:qFormat/>
    <w:rsid w:val="0080519B"/>
    <w:pPr>
      <w:keepNext/>
      <w:keepLines/>
      <w:widowControl/>
      <w:spacing w:before="400" w:after="120"/>
      <w:contextualSpacing w:val="0"/>
      <w:jc w:val="left"/>
    </w:pPr>
    <w:rPr>
      <w:rFonts w:asciiTheme="minorHAnsi" w:eastAsiaTheme="majorEastAsia" w:hAnsiTheme="minorHAnsi" w:cstheme="majorBidi"/>
      <w:snapToGrid/>
      <w:sz w:val="32"/>
      <w:szCs w:val="28"/>
    </w:rPr>
  </w:style>
  <w:style w:type="paragraph" w:customStyle="1" w:styleId="V50TableText">
    <w:name w:val="V5.0 TableText"/>
    <w:link w:val="V50TableTextChar"/>
    <w:qFormat/>
    <w:rsid w:val="0080519B"/>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80519B"/>
    <w:rPr>
      <w:b/>
      <w:color w:val="4BACC6" w:themeColor="accent5"/>
    </w:rPr>
  </w:style>
  <w:style w:type="paragraph" w:customStyle="1" w:styleId="V50InstructionsBullets">
    <w:name w:val="V5.0 Instructions Bullets"/>
    <w:basedOn w:val="V50Instructions"/>
    <w:qFormat/>
    <w:rsid w:val="0080519B"/>
    <w:pPr>
      <w:numPr>
        <w:numId w:val="10"/>
      </w:numPr>
      <w:tabs>
        <w:tab w:val="num" w:pos="720"/>
      </w:tabs>
      <w:spacing w:before="0" w:after="0"/>
      <w:ind w:left="714" w:hanging="357"/>
    </w:pPr>
  </w:style>
  <w:style w:type="table" w:customStyle="1" w:styleId="TableGridLight1">
    <w:name w:val="Table Grid Light1"/>
    <w:basedOn w:val="TableNormal"/>
    <w:uiPriority w:val="40"/>
    <w:rsid w:val="0080519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80519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80519B"/>
    <w:pPr>
      <w:keepNext/>
      <w:spacing w:before="40" w:after="40"/>
    </w:pPr>
    <w:rPr>
      <w:rFonts w:ascii="Arial Narrow" w:eastAsiaTheme="minorHAnsi" w:hAnsi="Arial Narrow" w:cstheme="minorBidi"/>
      <w:sz w:val="20"/>
      <w:szCs w:val="22"/>
      <w:lang w:eastAsia="en-US"/>
    </w:rPr>
  </w:style>
  <w:style w:type="paragraph" w:customStyle="1" w:styleId="TableFigNoteLast">
    <w:name w:val="TableFigNote Last"/>
    <w:basedOn w:val="Normal"/>
    <w:qFormat/>
    <w:rsid w:val="0080519B"/>
    <w:pPr>
      <w:spacing w:after="360"/>
    </w:pPr>
    <w:rPr>
      <w:rFonts w:asciiTheme="minorHAnsi" w:eastAsiaTheme="minorHAnsi" w:hAnsiTheme="minorHAnsi" w:cstheme="minorBidi"/>
      <w:sz w:val="18"/>
      <w:szCs w:val="22"/>
      <w:lang w:eastAsia="en-US"/>
    </w:rPr>
  </w:style>
  <w:style w:type="character" w:styleId="Emphasis">
    <w:name w:val="Emphasis"/>
    <w:basedOn w:val="DefaultParagraphFont"/>
    <w:uiPriority w:val="20"/>
    <w:qFormat/>
    <w:rsid w:val="0080519B"/>
    <w:rPr>
      <w:b w:val="0"/>
      <w:i/>
      <w:iCs/>
    </w:rPr>
  </w:style>
  <w:style w:type="character" w:customStyle="1" w:styleId="V50InstructionsChar">
    <w:name w:val="V5.0 Instructions Char"/>
    <w:basedOn w:val="DefaultParagraphFont"/>
    <w:link w:val="V50Instructions"/>
    <w:rsid w:val="0080519B"/>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80519B"/>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80519B"/>
    <w:pPr>
      <w:keepNext/>
    </w:pPr>
    <w:rPr>
      <w:b/>
    </w:rPr>
  </w:style>
  <w:style w:type="character" w:customStyle="1" w:styleId="V50TablenameChar">
    <w:name w:val="V5.0 Table name Char"/>
    <w:basedOn w:val="DefaultParagraphFont"/>
    <w:link w:val="V50Tablename"/>
    <w:rsid w:val="0080519B"/>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80519B"/>
    <w:pPr>
      <w:spacing w:after="120"/>
      <w:contextualSpacing/>
      <w:jc w:val="both"/>
    </w:pPr>
    <w:rPr>
      <w:sz w:val="18"/>
      <w:szCs w:val="18"/>
    </w:rPr>
  </w:style>
  <w:style w:type="character" w:customStyle="1" w:styleId="V50TablenoteChar">
    <w:name w:val="V5.0 Tablenote Char"/>
    <w:basedOn w:val="DefaultParagraphFont"/>
    <w:link w:val="V50Tablenote"/>
    <w:rsid w:val="0080519B"/>
    <w:rPr>
      <w:rFonts w:asciiTheme="minorHAnsi" w:eastAsiaTheme="minorHAnsi" w:hAnsiTheme="minorHAnsi" w:cstheme="minorBidi"/>
      <w:sz w:val="18"/>
      <w:szCs w:val="18"/>
      <w:lang w:val="en-US" w:eastAsia="en-US"/>
    </w:rPr>
  </w:style>
  <w:style w:type="paragraph" w:customStyle="1" w:styleId="TableNotes1">
    <w:name w:val="TableNotes"/>
    <w:basedOn w:val="Normal"/>
    <w:qFormat/>
    <w:rsid w:val="0080519B"/>
    <w:pPr>
      <w:spacing w:after="60"/>
    </w:pPr>
    <w:rPr>
      <w:rFonts w:asciiTheme="minorHAnsi" w:eastAsiaTheme="minorHAnsi" w:hAnsiTheme="minorHAnsi" w:cstheme="minorBidi"/>
      <w:sz w:val="20"/>
      <w:szCs w:val="22"/>
      <w:lang w:eastAsia="en-US"/>
    </w:rPr>
  </w:style>
  <w:style w:type="paragraph" w:customStyle="1" w:styleId="oldTablefooter">
    <w:name w:val="old Table footer"/>
    <w:basedOn w:val="Normal"/>
    <w:link w:val="oldTablefooterChar"/>
    <w:qFormat/>
    <w:rsid w:val="0080519B"/>
    <w:pPr>
      <w:jc w:val="both"/>
    </w:pPr>
    <w:rPr>
      <w:rFonts w:asciiTheme="minorHAnsi" w:eastAsiaTheme="minorHAnsi" w:hAnsiTheme="minorHAnsi" w:cs="Arial"/>
      <w:sz w:val="18"/>
      <w:szCs w:val="18"/>
      <w:lang w:val="en-US" w:eastAsia="en-US"/>
    </w:rPr>
  </w:style>
  <w:style w:type="character" w:customStyle="1" w:styleId="oldTablefooterChar">
    <w:name w:val="old Table footer Char"/>
    <w:basedOn w:val="V50TableTextChar"/>
    <w:link w:val="oldTablefooter"/>
    <w:rsid w:val="0080519B"/>
    <w:rPr>
      <w:rFonts w:asciiTheme="minorHAnsi" w:eastAsiaTheme="minorHAnsi" w:hAnsiTheme="minorHAnsi" w:cs="Arial"/>
      <w:sz w:val="18"/>
      <w:szCs w:val="18"/>
      <w:lang w:val="en-US" w:eastAsia="en-US"/>
    </w:rPr>
  </w:style>
  <w:style w:type="paragraph" w:customStyle="1" w:styleId="Style1">
    <w:name w:val="Style1"/>
    <w:basedOn w:val="Normal"/>
    <w:rsid w:val="0080519B"/>
    <w:pPr>
      <w:widowControl w:val="0"/>
      <w:jc w:val="both"/>
    </w:pPr>
    <w:rPr>
      <w:rFonts w:ascii="Arial" w:hAnsi="Arial" w:cs="Arial"/>
      <w:snapToGrid w:val="0"/>
      <w:sz w:val="22"/>
      <w:szCs w:val="20"/>
      <w:lang w:eastAsia="en-US"/>
    </w:rPr>
  </w:style>
  <w:style w:type="numbering" w:customStyle="1" w:styleId="Headings">
    <w:name w:val="Headings"/>
    <w:uiPriority w:val="99"/>
    <w:rsid w:val="0080519B"/>
    <w:pPr>
      <w:numPr>
        <w:numId w:val="11"/>
      </w:numPr>
    </w:pPr>
  </w:style>
  <w:style w:type="character" w:styleId="FollowedHyperlink">
    <w:name w:val="FollowedHyperlink"/>
    <w:basedOn w:val="DefaultParagraphFont"/>
    <w:uiPriority w:val="99"/>
    <w:unhideWhenUsed/>
    <w:rsid w:val="0080519B"/>
    <w:rPr>
      <w:color w:val="800080" w:themeColor="followedHyperlink"/>
      <w:u w:val="single"/>
    </w:rPr>
  </w:style>
  <w:style w:type="paragraph" w:customStyle="1" w:styleId="BulletLast">
    <w:name w:val="Bullet Last"/>
    <w:basedOn w:val="Normal"/>
    <w:qFormat/>
    <w:rsid w:val="0080519B"/>
    <w:pPr>
      <w:numPr>
        <w:numId w:val="12"/>
      </w:numPr>
      <w:spacing w:after="240"/>
      <w:ind w:left="357" w:hanging="357"/>
    </w:pPr>
    <w:rPr>
      <w:rFonts w:asciiTheme="minorHAnsi" w:eastAsiaTheme="minorHAnsi" w:hAnsiTheme="minorHAnsi" w:cstheme="minorBidi"/>
      <w:sz w:val="22"/>
      <w:szCs w:val="22"/>
      <w:lang w:eastAsia="en-US"/>
    </w:rPr>
  </w:style>
  <w:style w:type="paragraph" w:customStyle="1" w:styleId="TableFigNote">
    <w:name w:val="TableFigNote"/>
    <w:basedOn w:val="Normal"/>
    <w:qFormat/>
    <w:rsid w:val="0080519B"/>
    <w:rPr>
      <w:rFonts w:asciiTheme="minorHAnsi" w:eastAsiaTheme="minorHAnsi" w:hAnsiTheme="minorHAnsi" w:cstheme="minorBidi"/>
      <w:sz w:val="18"/>
      <w:szCs w:val="22"/>
      <w:lang w:eastAsia="en-US"/>
    </w:rPr>
  </w:style>
  <w:style w:type="character" w:customStyle="1" w:styleId="StyleArial11pt">
    <w:name w:val="Style Arial 11 pt"/>
    <w:basedOn w:val="DefaultParagraphFont"/>
    <w:rsid w:val="0080519B"/>
    <w:rPr>
      <w:rFonts w:ascii="Arial" w:hAnsi="Arial"/>
      <w:sz w:val="22"/>
    </w:rPr>
  </w:style>
  <w:style w:type="paragraph" w:customStyle="1" w:styleId="tabletext00">
    <w:name w:val="tabletext0"/>
    <w:basedOn w:val="Normal"/>
    <w:rsid w:val="0080519B"/>
    <w:pPr>
      <w:spacing w:before="100" w:beforeAutospacing="1" w:after="100" w:afterAutospacing="1"/>
    </w:pPr>
  </w:style>
  <w:style w:type="paragraph" w:customStyle="1" w:styleId="H2-nontoc">
    <w:name w:val="H2-nontoc"/>
    <w:basedOn w:val="Heading2"/>
    <w:next w:val="BodyText"/>
    <w:uiPriority w:val="1"/>
    <w:qFormat/>
    <w:rsid w:val="0080519B"/>
    <w:pPr>
      <w:spacing w:before="120" w:after="240"/>
      <w:ind w:left="720" w:hanging="360"/>
      <w:outlineLvl w:val="9"/>
    </w:pPr>
    <w:rPr>
      <w:rFonts w:ascii="Tahoma" w:hAnsi="Tahoma" w:cs="Arial"/>
      <w:b w:val="0"/>
      <w:i w:val="0"/>
      <w:iCs/>
      <w:smallCaps/>
      <w:kern w:val="32"/>
      <w:sz w:val="28"/>
      <w:szCs w:val="28"/>
      <w:lang w:val="en-GB" w:eastAsia="en-GB"/>
    </w:rPr>
  </w:style>
  <w:style w:type="table" w:customStyle="1" w:styleId="Summarybox1">
    <w:name w:val="Summary box1"/>
    <w:basedOn w:val="TableNormal"/>
    <w:next w:val="TableGrid"/>
    <w:uiPriority w:val="59"/>
    <w:rsid w:val="00805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80519B"/>
    <w:pPr>
      <w:numPr>
        <w:numId w:val="19"/>
      </w:numPr>
    </w:pPr>
  </w:style>
  <w:style w:type="paragraph" w:styleId="ListBullet">
    <w:name w:val="List Bullet"/>
    <w:basedOn w:val="Normal"/>
    <w:autoRedefine/>
    <w:rsid w:val="0080519B"/>
    <w:pPr>
      <w:jc w:val="both"/>
    </w:pPr>
    <w:rPr>
      <w:rFonts w:ascii="Arial" w:hAnsi="Arial" w:cs="Arial"/>
      <w:snapToGrid w:val="0"/>
      <w:sz w:val="20"/>
      <w:szCs w:val="20"/>
      <w:lang w:eastAsia="en-US"/>
    </w:rPr>
  </w:style>
  <w:style w:type="character" w:customStyle="1" w:styleId="singlehighlightclass">
    <w:name w:val="single_highlight_class"/>
    <w:basedOn w:val="DefaultParagraphFont"/>
    <w:rsid w:val="00FC0255"/>
  </w:style>
  <w:style w:type="character" w:styleId="Strong">
    <w:name w:val="Strong"/>
    <w:basedOn w:val="DefaultParagraphFont"/>
    <w:uiPriority w:val="22"/>
    <w:qFormat/>
    <w:rsid w:val="00913FD7"/>
    <w:rPr>
      <w:b/>
      <w:bCs/>
    </w:rPr>
  </w:style>
  <w:style w:type="table" w:customStyle="1" w:styleId="OPTUMTableNormal1">
    <w:name w:val="OPTUM Table Normal1"/>
    <w:basedOn w:val="TableNormal"/>
    <w:rsid w:val="002A1DB5"/>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NoList2">
    <w:name w:val="No List2"/>
    <w:next w:val="NoList"/>
    <w:uiPriority w:val="99"/>
    <w:semiHidden/>
    <w:unhideWhenUsed/>
    <w:rsid w:val="00C47C3B"/>
  </w:style>
  <w:style w:type="numbering" w:customStyle="1" w:styleId="PBACstandardnumberstyle2">
    <w:name w:val="PBAC standard number style2"/>
    <w:uiPriority w:val="99"/>
    <w:rsid w:val="00C47C3B"/>
  </w:style>
  <w:style w:type="numbering" w:customStyle="1" w:styleId="PBACstandardnumberstyle11">
    <w:name w:val="PBAC standard number style11"/>
    <w:uiPriority w:val="99"/>
    <w:rsid w:val="00C47C3B"/>
  </w:style>
  <w:style w:type="numbering" w:customStyle="1" w:styleId="Headings1">
    <w:name w:val="Headings1"/>
    <w:uiPriority w:val="99"/>
    <w:rsid w:val="00C47C3B"/>
  </w:style>
  <w:style w:type="numbering" w:customStyle="1" w:styleId="Style21">
    <w:name w:val="Style21"/>
    <w:uiPriority w:val="99"/>
    <w:rsid w:val="00C47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20545329">
      <w:bodyDiv w:val="1"/>
      <w:marLeft w:val="0"/>
      <w:marRight w:val="0"/>
      <w:marTop w:val="0"/>
      <w:marBottom w:val="0"/>
      <w:divBdr>
        <w:top w:val="none" w:sz="0" w:space="0" w:color="auto"/>
        <w:left w:val="none" w:sz="0" w:space="0" w:color="auto"/>
        <w:bottom w:val="none" w:sz="0" w:space="0" w:color="auto"/>
        <w:right w:val="none" w:sz="0" w:space="0" w:color="auto"/>
      </w:divBdr>
    </w:div>
    <w:div w:id="1134644314">
      <w:bodyDiv w:val="1"/>
      <w:marLeft w:val="0"/>
      <w:marRight w:val="0"/>
      <w:marTop w:val="0"/>
      <w:marBottom w:val="0"/>
      <w:divBdr>
        <w:top w:val="none" w:sz="0" w:space="0" w:color="auto"/>
        <w:left w:val="none" w:sz="0" w:space="0" w:color="auto"/>
        <w:bottom w:val="none" w:sz="0" w:space="0" w:color="auto"/>
        <w:right w:val="none" w:sz="0" w:space="0" w:color="auto"/>
      </w:divBdr>
    </w:div>
    <w:div w:id="140706921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8133929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eader" Target="header3.xml"/><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investors.vrtx.com/releasedetail.cfm?releaseid=1019156" TargetMode="External"/><Relationship Id="rId2" Type="http://schemas.openxmlformats.org/officeDocument/2006/relationships/hyperlink" Target="https://www.cysticfibrosis.org.au/media/wysiwyg/CF-Australia/medical-documents/CFA_DataRegistryReport_2014_Final.pdf" TargetMode="External"/><Relationship Id="rId1" Type="http://schemas.openxmlformats.org/officeDocument/2006/relationships/hyperlink" Target="http://investors.vrtx.com/releasedetail.cfm?releaseid=1019156" TargetMode="External"/><Relationship Id="rId4" Type="http://schemas.openxmlformats.org/officeDocument/2006/relationships/hyperlink" Target="http://investors.vrtx.com/releasedetail.cfm?releaseid=10191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80A40-D104-446C-BF2F-D56C30486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27603</Words>
  <Characters>160003</Characters>
  <Application>Microsoft Office Word</Application>
  <DocSecurity>0</DocSecurity>
  <Lines>1333</Lines>
  <Paragraphs>374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187232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2018-10-19T00:09:00Z</dcterms:created>
  <dcterms:modified xsi:type="dcterms:W3CDTF">2018-10-19T01:09:00Z</dcterms:modified>
</cp:coreProperties>
</file>