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FEA" w:rsidRPr="001B6FEA" w:rsidRDefault="00E072DF" w:rsidP="00B82A6B">
      <w:pPr>
        <w:widowControl/>
        <w:outlineLvl w:val="0"/>
        <w:rPr>
          <w:b/>
          <w:sz w:val="36"/>
          <w:szCs w:val="36"/>
        </w:rPr>
      </w:pPr>
      <w:r>
        <w:rPr>
          <w:b/>
          <w:sz w:val="36"/>
          <w:szCs w:val="36"/>
        </w:rPr>
        <w:t>7</w:t>
      </w:r>
      <w:r w:rsidR="00433044" w:rsidRPr="00C12C14">
        <w:rPr>
          <w:b/>
          <w:sz w:val="36"/>
          <w:szCs w:val="36"/>
        </w:rPr>
        <w:t>.</w:t>
      </w:r>
      <w:r w:rsidR="001B6FEA">
        <w:rPr>
          <w:b/>
          <w:sz w:val="36"/>
          <w:szCs w:val="36"/>
        </w:rPr>
        <w:t>06</w:t>
      </w:r>
      <w:r w:rsidR="00B60939" w:rsidRPr="00C12C14">
        <w:rPr>
          <w:b/>
          <w:sz w:val="36"/>
          <w:szCs w:val="36"/>
        </w:rPr>
        <w:tab/>
      </w:r>
      <w:r w:rsidR="001B6FEA" w:rsidRPr="001B6FEA">
        <w:rPr>
          <w:b/>
          <w:sz w:val="36"/>
          <w:szCs w:val="36"/>
        </w:rPr>
        <w:t>TOLVAPTAN,</w:t>
      </w:r>
    </w:p>
    <w:p w:rsidR="00E84994" w:rsidRDefault="001B6FEA" w:rsidP="008B4B29">
      <w:pPr>
        <w:widowControl/>
        <w:ind w:firstLine="720"/>
        <w:rPr>
          <w:b/>
          <w:sz w:val="36"/>
          <w:szCs w:val="36"/>
        </w:rPr>
      </w:pPr>
      <w:r w:rsidRPr="001B6FEA">
        <w:rPr>
          <w:b/>
          <w:sz w:val="36"/>
          <w:szCs w:val="36"/>
        </w:rPr>
        <w:t xml:space="preserve">Pack containing 28 tablets 15 mg and 28 tablets 45 mg, </w:t>
      </w:r>
    </w:p>
    <w:p w:rsidR="00E84994" w:rsidRDefault="001B6FEA" w:rsidP="008B4B29">
      <w:pPr>
        <w:widowControl/>
        <w:ind w:firstLine="720"/>
        <w:rPr>
          <w:b/>
          <w:sz w:val="36"/>
          <w:szCs w:val="36"/>
        </w:rPr>
      </w:pPr>
      <w:r w:rsidRPr="001B6FEA">
        <w:rPr>
          <w:b/>
          <w:sz w:val="36"/>
          <w:szCs w:val="36"/>
        </w:rPr>
        <w:t xml:space="preserve">Pack containing 28 tablets 30 mg and 28 tablets 60 mg, </w:t>
      </w:r>
    </w:p>
    <w:p w:rsidR="001B6FEA" w:rsidRPr="001B6FEA" w:rsidRDefault="001B6FEA" w:rsidP="008B4B29">
      <w:pPr>
        <w:widowControl/>
        <w:ind w:firstLine="720"/>
        <w:rPr>
          <w:b/>
          <w:sz w:val="36"/>
          <w:szCs w:val="36"/>
        </w:rPr>
      </w:pPr>
      <w:r w:rsidRPr="001B6FEA">
        <w:rPr>
          <w:b/>
          <w:sz w:val="36"/>
          <w:szCs w:val="36"/>
        </w:rPr>
        <w:t>Pack containing 28 tablets 30 mg and 28 tablets 90 mg,</w:t>
      </w:r>
    </w:p>
    <w:p w:rsidR="00433044" w:rsidRDefault="001B6FEA" w:rsidP="00EE3FB4">
      <w:pPr>
        <w:widowControl/>
        <w:ind w:firstLine="720"/>
        <w:rPr>
          <w:b/>
          <w:sz w:val="36"/>
          <w:szCs w:val="36"/>
        </w:rPr>
      </w:pPr>
      <w:r w:rsidRPr="001B6FEA">
        <w:rPr>
          <w:b/>
          <w:sz w:val="36"/>
          <w:szCs w:val="36"/>
        </w:rPr>
        <w:t>JINARC</w:t>
      </w:r>
      <w:r w:rsidRPr="001B6FEA">
        <w:rPr>
          <w:b/>
          <w:sz w:val="36"/>
          <w:szCs w:val="36"/>
          <w:vertAlign w:val="superscript"/>
        </w:rPr>
        <w:t>®</w:t>
      </w:r>
      <w:r w:rsidRPr="001B6FEA">
        <w:rPr>
          <w:b/>
          <w:sz w:val="36"/>
          <w:szCs w:val="36"/>
        </w:rPr>
        <w:t>,</w:t>
      </w:r>
      <w:r w:rsidR="00D90136">
        <w:rPr>
          <w:b/>
          <w:sz w:val="36"/>
          <w:szCs w:val="36"/>
        </w:rPr>
        <w:t xml:space="preserve"> </w:t>
      </w:r>
      <w:r w:rsidRPr="001B6FEA">
        <w:rPr>
          <w:b/>
          <w:sz w:val="36"/>
          <w:szCs w:val="36"/>
        </w:rPr>
        <w:t>Otsuka Australia Pharmaceutical P/L</w:t>
      </w:r>
    </w:p>
    <w:p w:rsidR="007936AC" w:rsidRDefault="007936AC" w:rsidP="008B4B29">
      <w:pPr>
        <w:widowControl/>
      </w:pPr>
    </w:p>
    <w:p w:rsidR="00576BFC" w:rsidRPr="00882085" w:rsidRDefault="00B50DB8" w:rsidP="008B4B29">
      <w:pPr>
        <w:pStyle w:val="PBACHeading1"/>
        <w:outlineLvl w:val="0"/>
      </w:pPr>
      <w:bookmarkStart w:id="0" w:name="_Toc503953360"/>
      <w:r w:rsidRPr="00407F2D">
        <w:t>Purpose of Application</w:t>
      </w:r>
      <w:bookmarkEnd w:id="0"/>
    </w:p>
    <w:p w:rsidR="00576BFC" w:rsidRDefault="00576BFC" w:rsidP="0086251F">
      <w:pPr>
        <w:pStyle w:val="ListParagraph"/>
        <w:widowControl/>
        <w:numPr>
          <w:ilvl w:val="1"/>
          <w:numId w:val="3"/>
        </w:numPr>
        <w:spacing w:before="120" w:after="120"/>
        <w:ind w:left="709" w:hanging="709"/>
      </w:pPr>
      <w:r>
        <w:t xml:space="preserve">The resubmission requested a Section 85 </w:t>
      </w:r>
      <w:r w:rsidRPr="0088724B">
        <w:t xml:space="preserve">Authority </w:t>
      </w:r>
      <w:r>
        <w:t>Required</w:t>
      </w:r>
      <w:r w:rsidR="00361028">
        <w:t xml:space="preserve"> (telephone)</w:t>
      </w:r>
      <w:r>
        <w:t xml:space="preserve"> </w:t>
      </w:r>
      <w:r w:rsidRPr="0088724B">
        <w:t xml:space="preserve">PBS listing for </w:t>
      </w:r>
      <w:r>
        <w:t xml:space="preserve">initiation of </w:t>
      </w:r>
      <w:r w:rsidRPr="0088724B">
        <w:t xml:space="preserve">tolvaptan </w:t>
      </w:r>
      <w:r>
        <w:t xml:space="preserve">and an Authority Required (Streamlined) listing for continuing treatment of </w:t>
      </w:r>
      <w:r w:rsidRPr="0088724B">
        <w:t>autosomal dominant polycystic kidney disease (ADPKD).</w:t>
      </w:r>
    </w:p>
    <w:p w:rsidR="00576BFC" w:rsidRPr="00516C4E" w:rsidRDefault="00576BFC" w:rsidP="0086251F">
      <w:pPr>
        <w:pStyle w:val="ListParagraph"/>
        <w:widowControl/>
        <w:numPr>
          <w:ilvl w:val="1"/>
          <w:numId w:val="3"/>
        </w:numPr>
        <w:spacing w:before="120" w:after="120"/>
        <w:ind w:left="709" w:hanging="709"/>
      </w:pPr>
      <w:r>
        <w:t xml:space="preserve">Tolvaptan was previously considered by the PBAC for a Section 85 </w:t>
      </w:r>
      <w:r w:rsidRPr="0088724B">
        <w:t xml:space="preserve">Authority </w:t>
      </w:r>
      <w:r>
        <w:t xml:space="preserve">Required (written) </w:t>
      </w:r>
      <w:r w:rsidRPr="0088724B">
        <w:t xml:space="preserve">PBS listing </w:t>
      </w:r>
      <w:r>
        <w:t>for the treatment of ADPKD at the March 2017 meeting.</w:t>
      </w:r>
    </w:p>
    <w:tbl>
      <w:tblPr>
        <w:tblpPr w:leftFromText="180" w:rightFromText="180" w:vertAnchor="text" w:horzAnchor="margin" w:tblpY="118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8"/>
        <w:gridCol w:w="7535"/>
      </w:tblGrid>
      <w:tr w:rsidR="00766D3A" w:rsidRPr="00691913" w:rsidTr="00766D3A">
        <w:trPr>
          <w:cantSplit/>
          <w:tblHeader/>
        </w:trPr>
        <w:tc>
          <w:tcPr>
            <w:tcW w:w="924" w:type="pct"/>
            <w:shd w:val="clear" w:color="auto" w:fill="auto"/>
          </w:tcPr>
          <w:p w:rsidR="00766D3A" w:rsidRPr="008B1757" w:rsidRDefault="00766D3A" w:rsidP="00766D3A">
            <w:pPr>
              <w:pStyle w:val="Tabletext"/>
              <w:keepNext/>
              <w:rPr>
                <w:b/>
                <w:szCs w:val="20"/>
              </w:rPr>
            </w:pPr>
            <w:r w:rsidRPr="008B1757">
              <w:rPr>
                <w:b/>
              </w:rPr>
              <w:t>Component</w:t>
            </w:r>
          </w:p>
        </w:tc>
        <w:tc>
          <w:tcPr>
            <w:tcW w:w="4076" w:type="pct"/>
            <w:shd w:val="clear" w:color="auto" w:fill="auto"/>
          </w:tcPr>
          <w:p w:rsidR="00766D3A" w:rsidRPr="008B1757" w:rsidRDefault="00766D3A" w:rsidP="00766D3A">
            <w:pPr>
              <w:pStyle w:val="Tabletext"/>
              <w:keepNext/>
              <w:jc w:val="center"/>
              <w:rPr>
                <w:b/>
              </w:rPr>
            </w:pPr>
            <w:r w:rsidRPr="008B1757">
              <w:rPr>
                <w:b/>
              </w:rPr>
              <w:t>Description</w:t>
            </w:r>
          </w:p>
        </w:tc>
      </w:tr>
      <w:tr w:rsidR="00766D3A" w:rsidRPr="00691913" w:rsidTr="00766D3A">
        <w:trPr>
          <w:cantSplit/>
        </w:trPr>
        <w:tc>
          <w:tcPr>
            <w:tcW w:w="924" w:type="pct"/>
            <w:shd w:val="clear" w:color="auto" w:fill="auto"/>
          </w:tcPr>
          <w:p w:rsidR="00766D3A" w:rsidRPr="00691913" w:rsidRDefault="00766D3A" w:rsidP="00766D3A">
            <w:pPr>
              <w:pStyle w:val="Tabletext"/>
              <w:keepNext/>
            </w:pPr>
            <w:r>
              <w:t>Population</w:t>
            </w:r>
          </w:p>
        </w:tc>
        <w:tc>
          <w:tcPr>
            <w:tcW w:w="4076" w:type="pct"/>
            <w:shd w:val="clear" w:color="auto" w:fill="auto"/>
          </w:tcPr>
          <w:p w:rsidR="00766D3A" w:rsidRPr="00691913" w:rsidRDefault="00766D3A" w:rsidP="00766D3A">
            <w:pPr>
              <w:pStyle w:val="Tabletext"/>
              <w:keepNext/>
            </w:pPr>
            <w:r>
              <w:rPr>
                <w:szCs w:val="20"/>
              </w:rPr>
              <w:t>Patients with a c</w:t>
            </w:r>
            <w:r w:rsidRPr="00E05041">
              <w:rPr>
                <w:szCs w:val="20"/>
              </w:rPr>
              <w:t xml:space="preserve">onfirmed diagnosis of ADPKD, </w:t>
            </w:r>
            <w:r>
              <w:rPr>
                <w:szCs w:val="20"/>
              </w:rPr>
              <w:t xml:space="preserve">in </w:t>
            </w:r>
            <w:r w:rsidRPr="00E05041">
              <w:rPr>
                <w:szCs w:val="20"/>
              </w:rPr>
              <w:t>CKD stages 2-3</w:t>
            </w:r>
            <w:r>
              <w:rPr>
                <w:szCs w:val="20"/>
              </w:rPr>
              <w:t>, with evidence of rapidly progressing disease. Patients who had undergone a kidney transplant or with age appropriate kidney function are excluded from treatment.</w:t>
            </w:r>
          </w:p>
        </w:tc>
      </w:tr>
      <w:tr w:rsidR="00766D3A" w:rsidRPr="00691913" w:rsidTr="00766D3A">
        <w:trPr>
          <w:cantSplit/>
        </w:trPr>
        <w:tc>
          <w:tcPr>
            <w:tcW w:w="924" w:type="pct"/>
            <w:shd w:val="clear" w:color="auto" w:fill="auto"/>
          </w:tcPr>
          <w:p w:rsidR="00766D3A" w:rsidRPr="00691913" w:rsidRDefault="00766D3A" w:rsidP="00766D3A">
            <w:pPr>
              <w:pStyle w:val="Tabletext"/>
              <w:keepNext/>
            </w:pPr>
            <w:r>
              <w:t>Intervention</w:t>
            </w:r>
          </w:p>
        </w:tc>
        <w:tc>
          <w:tcPr>
            <w:tcW w:w="4076" w:type="pct"/>
            <w:shd w:val="clear" w:color="auto" w:fill="auto"/>
          </w:tcPr>
          <w:p w:rsidR="00766D3A" w:rsidRPr="00F563B9" w:rsidRDefault="00766D3A" w:rsidP="00766D3A">
            <w:pPr>
              <w:pStyle w:val="Tabletext"/>
              <w:keepNext/>
            </w:pPr>
            <w:r w:rsidRPr="00F563B9">
              <w:t xml:space="preserve">Tolvaptan is administered twice-daily in split-dose regimens of 60 mg (45 mg + 15 mg), 90 mg (60 mg + 30 mg) or 120 mg (90 mg + 30 mg). Unchanged from the previous submission. </w:t>
            </w:r>
          </w:p>
        </w:tc>
      </w:tr>
      <w:tr w:rsidR="00766D3A" w:rsidRPr="00691913" w:rsidTr="00766D3A">
        <w:trPr>
          <w:cantSplit/>
        </w:trPr>
        <w:tc>
          <w:tcPr>
            <w:tcW w:w="924" w:type="pct"/>
            <w:shd w:val="clear" w:color="auto" w:fill="auto"/>
          </w:tcPr>
          <w:p w:rsidR="00766D3A" w:rsidRPr="00691913" w:rsidRDefault="00766D3A" w:rsidP="00766D3A">
            <w:pPr>
              <w:pStyle w:val="Tabletext"/>
              <w:keepNext/>
            </w:pPr>
            <w:r>
              <w:t>Comparator</w:t>
            </w:r>
          </w:p>
        </w:tc>
        <w:tc>
          <w:tcPr>
            <w:tcW w:w="4076" w:type="pct"/>
            <w:shd w:val="clear" w:color="auto" w:fill="auto"/>
          </w:tcPr>
          <w:p w:rsidR="00766D3A" w:rsidRPr="00F563B9" w:rsidRDefault="00766D3A" w:rsidP="00766D3A">
            <w:pPr>
              <w:pStyle w:val="Tabletext"/>
              <w:keepNext/>
            </w:pPr>
            <w:r w:rsidRPr="00F563B9">
              <w:t>Best supportive care. Unchanged from the previous submission.</w:t>
            </w:r>
          </w:p>
        </w:tc>
      </w:tr>
      <w:tr w:rsidR="00766D3A" w:rsidRPr="00691913" w:rsidTr="00766D3A">
        <w:trPr>
          <w:cantSplit/>
        </w:trPr>
        <w:tc>
          <w:tcPr>
            <w:tcW w:w="924" w:type="pct"/>
            <w:shd w:val="clear" w:color="auto" w:fill="auto"/>
          </w:tcPr>
          <w:p w:rsidR="00766D3A" w:rsidRPr="00691913" w:rsidRDefault="00766D3A" w:rsidP="00766D3A">
            <w:pPr>
              <w:pStyle w:val="Tabletext"/>
              <w:keepNext/>
            </w:pPr>
            <w:r>
              <w:t>Outcomes</w:t>
            </w:r>
          </w:p>
        </w:tc>
        <w:tc>
          <w:tcPr>
            <w:tcW w:w="4076" w:type="pct"/>
            <w:shd w:val="clear" w:color="auto" w:fill="auto"/>
          </w:tcPr>
          <w:p w:rsidR="00766D3A" w:rsidRPr="00E84EA0" w:rsidRDefault="00766D3A" w:rsidP="00766D3A">
            <w:pPr>
              <w:pStyle w:val="Tabletext"/>
              <w:keepNext/>
              <w:rPr>
                <w:szCs w:val="20"/>
              </w:rPr>
            </w:pPr>
            <w:r>
              <w:rPr>
                <w:szCs w:val="20"/>
              </w:rPr>
              <w:t xml:space="preserve">Change in kidney function over time by difference in rate of change in </w:t>
            </w:r>
            <w:r w:rsidRPr="00E84EA0">
              <w:rPr>
                <w:szCs w:val="20"/>
              </w:rPr>
              <w:t>estimated glomerular filtration rate</w:t>
            </w:r>
            <w:r>
              <w:rPr>
                <w:szCs w:val="20"/>
              </w:rPr>
              <w:t xml:space="preserve"> (eGFR), </w:t>
            </w:r>
            <w:r w:rsidRPr="00FB378F">
              <w:rPr>
                <w:szCs w:val="20"/>
              </w:rPr>
              <w:t xml:space="preserve">ADPKD </w:t>
            </w:r>
            <w:r>
              <w:rPr>
                <w:szCs w:val="20"/>
              </w:rPr>
              <w:t xml:space="preserve">composite of </w:t>
            </w:r>
            <w:r w:rsidRPr="00FB378F">
              <w:rPr>
                <w:szCs w:val="20"/>
              </w:rPr>
              <w:t>complications (</w:t>
            </w:r>
            <w:r>
              <w:rPr>
                <w:szCs w:val="20"/>
              </w:rPr>
              <w:t xml:space="preserve">e.g. </w:t>
            </w:r>
            <w:r w:rsidRPr="00FB378F">
              <w:rPr>
                <w:szCs w:val="20"/>
              </w:rPr>
              <w:t>hypertension, kidney pain)</w:t>
            </w:r>
            <w:r>
              <w:rPr>
                <w:szCs w:val="20"/>
              </w:rPr>
              <w:t>, adverse events.</w:t>
            </w:r>
          </w:p>
        </w:tc>
      </w:tr>
      <w:tr w:rsidR="00766D3A" w:rsidRPr="00691913" w:rsidTr="00766D3A">
        <w:trPr>
          <w:cantSplit/>
        </w:trPr>
        <w:tc>
          <w:tcPr>
            <w:tcW w:w="924" w:type="pct"/>
            <w:shd w:val="clear" w:color="auto" w:fill="auto"/>
          </w:tcPr>
          <w:p w:rsidR="00766D3A" w:rsidRPr="00691913" w:rsidRDefault="00766D3A" w:rsidP="00766D3A">
            <w:pPr>
              <w:pStyle w:val="Tabletext"/>
              <w:keepNext/>
            </w:pPr>
            <w:r>
              <w:t>Clinical claim</w:t>
            </w:r>
          </w:p>
        </w:tc>
        <w:tc>
          <w:tcPr>
            <w:tcW w:w="4076" w:type="pct"/>
            <w:shd w:val="clear" w:color="auto" w:fill="auto"/>
          </w:tcPr>
          <w:p w:rsidR="00766D3A" w:rsidRPr="00691913" w:rsidRDefault="00766D3A" w:rsidP="00766D3A">
            <w:pPr>
              <w:pStyle w:val="Tabletext"/>
              <w:keepNext/>
            </w:pPr>
            <w:r>
              <w:t>T</w:t>
            </w:r>
            <w:r w:rsidRPr="00305B2E">
              <w:t>olvaptan is superior in efficacy to placebo (</w:t>
            </w:r>
            <w:r>
              <w:t>both in combination with</w:t>
            </w:r>
            <w:r w:rsidRPr="00305B2E">
              <w:t xml:space="preserve"> </w:t>
            </w:r>
            <w:r>
              <w:t>best supportive care</w:t>
            </w:r>
            <w:r w:rsidRPr="00305B2E">
              <w:t>) and inferior with regard to safety in patients with ADPKD.</w:t>
            </w:r>
            <w:r>
              <w:t xml:space="preserve"> </w:t>
            </w:r>
            <w:r w:rsidRPr="00F563B9">
              <w:t>Unchanged from the previous submission</w:t>
            </w:r>
            <w:r>
              <w:t>.</w:t>
            </w:r>
          </w:p>
        </w:tc>
      </w:tr>
    </w:tbl>
    <w:p w:rsidR="00766D3A" w:rsidRDefault="00576BFC" w:rsidP="002A0A80">
      <w:pPr>
        <w:pStyle w:val="ListParagraph"/>
        <w:widowControl/>
        <w:numPr>
          <w:ilvl w:val="1"/>
          <w:numId w:val="3"/>
        </w:numPr>
        <w:spacing w:after="0"/>
        <w:ind w:left="709" w:hanging="709"/>
      </w:pPr>
      <w:r>
        <w:t>Listing was requested on the basis of a cost-utility analysis, comparing tolvaptan with placebo (both in combination with best supportive care).</w:t>
      </w:r>
    </w:p>
    <w:p w:rsidR="002A0A80" w:rsidRDefault="002A0A80" w:rsidP="002A0A80">
      <w:pPr>
        <w:pStyle w:val="ListParagraph"/>
        <w:widowControl/>
        <w:spacing w:after="0"/>
        <w:ind w:left="709"/>
      </w:pPr>
    </w:p>
    <w:p w:rsidR="002A0A80" w:rsidRPr="008B1757" w:rsidRDefault="002A0A80" w:rsidP="002A0A80">
      <w:pPr>
        <w:keepNext/>
        <w:widowControl/>
        <w:rPr>
          <w:rStyle w:val="CommentReference"/>
        </w:rPr>
      </w:pPr>
      <w:r>
        <w:rPr>
          <w:rStyle w:val="CommentReference"/>
        </w:rPr>
        <w:t>Table 1:  Key components of the clinical issues addressed by the submission</w:t>
      </w:r>
    </w:p>
    <w:p w:rsidR="00576BFC" w:rsidRDefault="00576BFC" w:rsidP="008B4B29">
      <w:pPr>
        <w:pStyle w:val="TableFooter"/>
        <w:keepNext/>
        <w:widowControl/>
      </w:pPr>
      <w:r>
        <w:t>Abbreviations: ADPKD, autosomal dominant polycystic kidney disease; CKD, chronic kidney disease</w:t>
      </w:r>
    </w:p>
    <w:p w:rsidR="00576BFC" w:rsidRDefault="00576BFC" w:rsidP="003C2C6C">
      <w:pPr>
        <w:pStyle w:val="TableFooter"/>
        <w:keepNext/>
        <w:widowControl/>
      </w:pPr>
      <w:r>
        <w:t xml:space="preserve">Source: Table 1-3, p12 </w:t>
      </w:r>
      <w:r w:rsidRPr="00D13A3E">
        <w:t xml:space="preserve">of the </w:t>
      </w:r>
      <w:r>
        <w:t>submission. See CKD stages Table 1.1.2, Attachment 1.</w:t>
      </w:r>
    </w:p>
    <w:p w:rsidR="00B82A6B" w:rsidRDefault="00B82A6B">
      <w:pPr>
        <w:widowControl/>
        <w:jc w:val="left"/>
        <w:rPr>
          <w:rFonts w:asciiTheme="minorHAnsi" w:hAnsiTheme="minorHAnsi"/>
          <w:szCs w:val="24"/>
        </w:rPr>
      </w:pPr>
      <w:r>
        <w:rPr>
          <w:rFonts w:asciiTheme="minorHAnsi" w:hAnsiTheme="minorHAnsi"/>
          <w:szCs w:val="24"/>
        </w:rPr>
        <w:br w:type="page"/>
      </w:r>
    </w:p>
    <w:p w:rsidR="00766D3A" w:rsidRPr="007C609A" w:rsidRDefault="00576BFC" w:rsidP="002A0A80">
      <w:pPr>
        <w:pStyle w:val="PBACHeading1"/>
        <w:outlineLvl w:val="0"/>
      </w:pPr>
      <w:bookmarkStart w:id="1" w:name="_Toc503203038"/>
      <w:bookmarkStart w:id="2" w:name="_Toc503953361"/>
      <w:r w:rsidRPr="00407F2D">
        <w:lastRenderedPageBreak/>
        <w:t>Requested listing</w:t>
      </w:r>
      <w:bookmarkEnd w:id="1"/>
      <w:bookmarkEnd w:id="2"/>
    </w:p>
    <w:tbl>
      <w:tblPr>
        <w:tblW w:w="5000" w:type="pct"/>
        <w:tblCellMar>
          <w:left w:w="28" w:type="dxa"/>
          <w:right w:w="28" w:type="dxa"/>
        </w:tblCellMar>
        <w:tblLook w:val="0000" w:firstRow="0" w:lastRow="0" w:firstColumn="0" w:lastColumn="0" w:noHBand="0" w:noVBand="0"/>
      </w:tblPr>
      <w:tblGrid>
        <w:gridCol w:w="1969"/>
        <w:gridCol w:w="930"/>
        <w:gridCol w:w="1037"/>
        <w:gridCol w:w="796"/>
        <w:gridCol w:w="1766"/>
        <w:gridCol w:w="619"/>
        <w:gridCol w:w="1966"/>
      </w:tblGrid>
      <w:tr w:rsidR="00576BFC" w:rsidRPr="00413860" w:rsidTr="009E698C">
        <w:trPr>
          <w:cantSplit/>
          <w:trHeight w:val="463"/>
        </w:trPr>
        <w:tc>
          <w:tcPr>
            <w:tcW w:w="1596" w:type="pct"/>
            <w:gridSpan w:val="2"/>
            <w:tcBorders>
              <w:top w:val="single" w:sz="4" w:space="0" w:color="auto"/>
              <w:bottom w:val="single" w:sz="4" w:space="0" w:color="auto"/>
            </w:tcBorders>
            <w:vAlign w:val="center"/>
          </w:tcPr>
          <w:p w:rsidR="00576BFC" w:rsidRPr="00C7151A" w:rsidRDefault="00576BFC" w:rsidP="003C2C6C">
            <w:pPr>
              <w:keepNext/>
              <w:widowControl/>
              <w:spacing w:before="120" w:after="120"/>
              <w:jc w:val="left"/>
              <w:rPr>
                <w:rFonts w:ascii="Arial Narrow" w:hAnsi="Arial Narrow"/>
                <w:b/>
                <w:sz w:val="20"/>
              </w:rPr>
            </w:pPr>
            <w:r w:rsidRPr="00C7151A">
              <w:rPr>
                <w:rFonts w:ascii="Arial Narrow" w:hAnsi="Arial Narrow"/>
                <w:b/>
                <w:sz w:val="20"/>
              </w:rPr>
              <w:t>Name, Restriction,</w:t>
            </w:r>
          </w:p>
          <w:p w:rsidR="00576BFC" w:rsidRPr="00C7151A" w:rsidRDefault="00576BFC" w:rsidP="003C2C6C">
            <w:pPr>
              <w:keepNext/>
              <w:widowControl/>
              <w:spacing w:before="120" w:after="120"/>
              <w:jc w:val="left"/>
              <w:rPr>
                <w:rFonts w:ascii="Arial Narrow" w:hAnsi="Arial Narrow"/>
                <w:b/>
                <w:sz w:val="20"/>
              </w:rPr>
            </w:pPr>
            <w:r w:rsidRPr="00C7151A">
              <w:rPr>
                <w:rFonts w:ascii="Arial Narrow" w:hAnsi="Arial Narrow"/>
                <w:b/>
                <w:sz w:val="20"/>
              </w:rPr>
              <w:t>Manner of administration and form</w:t>
            </w:r>
          </w:p>
        </w:tc>
        <w:tc>
          <w:tcPr>
            <w:tcW w:w="571" w:type="pct"/>
            <w:tcBorders>
              <w:top w:val="single" w:sz="4" w:space="0" w:color="auto"/>
              <w:bottom w:val="single" w:sz="4" w:space="0" w:color="auto"/>
            </w:tcBorders>
            <w:vAlign w:val="center"/>
          </w:tcPr>
          <w:p w:rsidR="00576BFC" w:rsidRPr="00C7151A" w:rsidRDefault="00576BFC" w:rsidP="003C2C6C">
            <w:pPr>
              <w:keepNext/>
              <w:widowControl/>
              <w:spacing w:before="120" w:after="120"/>
              <w:jc w:val="center"/>
              <w:rPr>
                <w:rFonts w:ascii="Arial Narrow" w:hAnsi="Arial Narrow"/>
                <w:b/>
                <w:sz w:val="20"/>
              </w:rPr>
            </w:pPr>
            <w:r w:rsidRPr="00C7151A">
              <w:rPr>
                <w:rFonts w:ascii="Arial Narrow" w:hAnsi="Arial Narrow"/>
                <w:b/>
                <w:sz w:val="20"/>
              </w:rPr>
              <w:t>Max.</w:t>
            </w:r>
          </w:p>
          <w:p w:rsidR="00576BFC" w:rsidRPr="00C7151A" w:rsidRDefault="00576BFC" w:rsidP="003C2C6C">
            <w:pPr>
              <w:keepNext/>
              <w:widowControl/>
              <w:spacing w:before="120" w:after="120"/>
              <w:jc w:val="center"/>
              <w:rPr>
                <w:rFonts w:ascii="Arial Narrow" w:hAnsi="Arial Narrow"/>
                <w:b/>
                <w:sz w:val="20"/>
              </w:rPr>
            </w:pPr>
            <w:r w:rsidRPr="00C7151A">
              <w:rPr>
                <w:rFonts w:ascii="Arial Narrow" w:hAnsi="Arial Narrow"/>
                <w:b/>
                <w:sz w:val="20"/>
              </w:rPr>
              <w:t xml:space="preserve">Qty </w:t>
            </w:r>
          </w:p>
        </w:tc>
        <w:tc>
          <w:tcPr>
            <w:tcW w:w="438" w:type="pct"/>
            <w:tcBorders>
              <w:top w:val="single" w:sz="4" w:space="0" w:color="auto"/>
              <w:bottom w:val="single" w:sz="4" w:space="0" w:color="auto"/>
            </w:tcBorders>
            <w:vAlign w:val="center"/>
          </w:tcPr>
          <w:p w:rsidR="00576BFC" w:rsidRPr="00C7151A" w:rsidRDefault="00576BFC" w:rsidP="003C2C6C">
            <w:pPr>
              <w:keepNext/>
              <w:widowControl/>
              <w:spacing w:before="120" w:after="120"/>
              <w:jc w:val="center"/>
              <w:rPr>
                <w:rFonts w:ascii="Arial Narrow" w:hAnsi="Arial Narrow"/>
                <w:b/>
                <w:sz w:val="20"/>
              </w:rPr>
            </w:pPr>
            <w:r w:rsidRPr="00C7151A">
              <w:rPr>
                <w:rFonts w:ascii="Arial Narrow" w:hAnsi="Arial Narrow" w:cs="Times New Roman"/>
                <w:b/>
                <w:sz w:val="20"/>
              </w:rPr>
              <w:t>№</w:t>
            </w:r>
            <w:r w:rsidRPr="00C7151A">
              <w:rPr>
                <w:rFonts w:ascii="Arial Narrow" w:hAnsi="Arial Narrow"/>
                <w:b/>
                <w:sz w:val="20"/>
              </w:rPr>
              <w:t>.of</w:t>
            </w:r>
          </w:p>
          <w:p w:rsidR="00576BFC" w:rsidRPr="00C7151A" w:rsidRDefault="00576BFC" w:rsidP="003C2C6C">
            <w:pPr>
              <w:keepNext/>
              <w:widowControl/>
              <w:spacing w:before="120" w:after="120"/>
              <w:jc w:val="center"/>
              <w:rPr>
                <w:rFonts w:ascii="Arial Narrow" w:hAnsi="Arial Narrow"/>
                <w:b/>
                <w:sz w:val="20"/>
              </w:rPr>
            </w:pPr>
            <w:r w:rsidRPr="00C7151A">
              <w:rPr>
                <w:rFonts w:ascii="Arial Narrow" w:hAnsi="Arial Narrow"/>
                <w:b/>
                <w:sz w:val="20"/>
              </w:rPr>
              <w:t>Rpts</w:t>
            </w:r>
          </w:p>
        </w:tc>
        <w:tc>
          <w:tcPr>
            <w:tcW w:w="972" w:type="pct"/>
            <w:tcBorders>
              <w:top w:val="single" w:sz="4" w:space="0" w:color="auto"/>
              <w:bottom w:val="single" w:sz="4" w:space="0" w:color="auto"/>
            </w:tcBorders>
            <w:vAlign w:val="center"/>
          </w:tcPr>
          <w:p w:rsidR="00576BFC" w:rsidRPr="00C7151A" w:rsidRDefault="00576BFC" w:rsidP="003C2C6C">
            <w:pPr>
              <w:keepNext/>
              <w:widowControl/>
              <w:spacing w:before="120" w:after="120"/>
              <w:jc w:val="center"/>
              <w:rPr>
                <w:rFonts w:ascii="Arial Narrow" w:hAnsi="Arial Narrow"/>
                <w:b/>
                <w:sz w:val="20"/>
              </w:rPr>
            </w:pPr>
            <w:r>
              <w:rPr>
                <w:rFonts w:ascii="Arial Narrow" w:hAnsi="Arial Narrow"/>
                <w:b/>
                <w:sz w:val="20"/>
              </w:rPr>
              <w:t>Published (effective) D</w:t>
            </w:r>
            <w:r w:rsidRPr="00C7151A">
              <w:rPr>
                <w:rFonts w:ascii="Arial Narrow" w:hAnsi="Arial Narrow"/>
                <w:b/>
                <w:sz w:val="20"/>
              </w:rPr>
              <w:t xml:space="preserve">ispensed Price for Max. Qty </w:t>
            </w:r>
          </w:p>
        </w:tc>
        <w:tc>
          <w:tcPr>
            <w:tcW w:w="1423" w:type="pct"/>
            <w:gridSpan w:val="2"/>
            <w:tcBorders>
              <w:top w:val="single" w:sz="4" w:space="0" w:color="auto"/>
              <w:bottom w:val="single" w:sz="4" w:space="0" w:color="auto"/>
            </w:tcBorders>
            <w:vAlign w:val="center"/>
          </w:tcPr>
          <w:p w:rsidR="00576BFC" w:rsidRPr="00C7151A" w:rsidRDefault="00576BFC" w:rsidP="003C2C6C">
            <w:pPr>
              <w:keepNext/>
              <w:widowControl/>
              <w:spacing w:before="120" w:after="120"/>
              <w:jc w:val="center"/>
              <w:rPr>
                <w:rFonts w:ascii="Arial Narrow" w:hAnsi="Arial Narrow"/>
                <w:b/>
                <w:sz w:val="20"/>
                <w:lang w:val="fr-FR"/>
              </w:rPr>
            </w:pPr>
            <w:r w:rsidRPr="00C7151A">
              <w:rPr>
                <w:rFonts w:ascii="Arial Narrow" w:hAnsi="Arial Narrow"/>
                <w:b/>
                <w:sz w:val="20"/>
              </w:rPr>
              <w:t>Proprietary Name and Manufacturer</w:t>
            </w:r>
          </w:p>
        </w:tc>
      </w:tr>
      <w:tr w:rsidR="00576BFC" w:rsidRPr="00413860" w:rsidTr="009E698C">
        <w:trPr>
          <w:cantSplit/>
          <w:trHeight w:val="567"/>
        </w:trPr>
        <w:tc>
          <w:tcPr>
            <w:tcW w:w="1596" w:type="pct"/>
            <w:gridSpan w:val="2"/>
            <w:vAlign w:val="center"/>
          </w:tcPr>
          <w:p w:rsidR="00576BFC" w:rsidRPr="00591957" w:rsidRDefault="00576BFC" w:rsidP="008B4B29">
            <w:pPr>
              <w:keepNext/>
              <w:widowControl/>
              <w:jc w:val="left"/>
              <w:rPr>
                <w:rFonts w:ascii="Arial Narrow" w:hAnsi="Arial Narrow"/>
                <w:sz w:val="20"/>
              </w:rPr>
            </w:pPr>
            <w:r>
              <w:rPr>
                <w:rFonts w:ascii="Arial Narrow" w:hAnsi="Arial Narrow"/>
                <w:smallCaps/>
                <w:sz w:val="20"/>
              </w:rPr>
              <w:t>Tolvaptan</w:t>
            </w:r>
          </w:p>
          <w:p w:rsidR="00576BFC" w:rsidRPr="00DD6BC8" w:rsidRDefault="00576BFC" w:rsidP="008B4B29">
            <w:pPr>
              <w:pStyle w:val="Tabletext"/>
              <w:keepNext/>
            </w:pPr>
            <w:r w:rsidRPr="00DD6BC8">
              <w:t>15mg + 45mg, oral tablets</w:t>
            </w:r>
          </w:p>
          <w:p w:rsidR="00576BFC" w:rsidRPr="00DD6BC8" w:rsidRDefault="00576BFC" w:rsidP="008B4B29">
            <w:pPr>
              <w:pStyle w:val="Tabletext"/>
              <w:keepNext/>
            </w:pPr>
            <w:r w:rsidRPr="00DD6BC8">
              <w:t>30mg + 60mg, oral tablets</w:t>
            </w:r>
          </w:p>
          <w:p w:rsidR="00576BFC" w:rsidRPr="00591957" w:rsidRDefault="00576BFC" w:rsidP="008B4B29">
            <w:pPr>
              <w:pStyle w:val="Tabletext"/>
              <w:keepNext/>
            </w:pPr>
            <w:r w:rsidRPr="00DD6BC8">
              <w:t>30mg + 90mg, oral tablets</w:t>
            </w:r>
          </w:p>
        </w:tc>
        <w:tc>
          <w:tcPr>
            <w:tcW w:w="571" w:type="pct"/>
            <w:vAlign w:val="center"/>
          </w:tcPr>
          <w:p w:rsidR="00576BFC" w:rsidRPr="00591957" w:rsidRDefault="00576BFC" w:rsidP="008B4B29">
            <w:pPr>
              <w:keepNext/>
              <w:widowControl/>
              <w:jc w:val="center"/>
              <w:rPr>
                <w:rFonts w:ascii="Arial Narrow" w:hAnsi="Arial Narrow"/>
                <w:sz w:val="20"/>
              </w:rPr>
            </w:pPr>
          </w:p>
          <w:p w:rsidR="00576BFC" w:rsidRPr="00591957" w:rsidRDefault="00576BFC" w:rsidP="008B4B29">
            <w:pPr>
              <w:keepNext/>
              <w:widowControl/>
              <w:jc w:val="center"/>
              <w:rPr>
                <w:rFonts w:ascii="Arial Narrow" w:hAnsi="Arial Narrow"/>
                <w:sz w:val="20"/>
              </w:rPr>
            </w:pPr>
            <w:r>
              <w:rPr>
                <w:rFonts w:ascii="Arial Narrow" w:hAnsi="Arial Narrow"/>
                <w:sz w:val="20"/>
              </w:rPr>
              <w:t>56</w:t>
            </w:r>
          </w:p>
        </w:tc>
        <w:tc>
          <w:tcPr>
            <w:tcW w:w="438" w:type="pct"/>
            <w:vAlign w:val="center"/>
          </w:tcPr>
          <w:p w:rsidR="00576BFC" w:rsidRPr="00591957" w:rsidRDefault="00576BFC" w:rsidP="008B4B29">
            <w:pPr>
              <w:keepNext/>
              <w:widowControl/>
              <w:jc w:val="center"/>
              <w:rPr>
                <w:rFonts w:ascii="Arial Narrow" w:hAnsi="Arial Narrow"/>
                <w:sz w:val="20"/>
              </w:rPr>
            </w:pPr>
          </w:p>
          <w:p w:rsidR="00576BFC" w:rsidRPr="00591957" w:rsidRDefault="00576BFC" w:rsidP="008B4B29">
            <w:pPr>
              <w:keepNext/>
              <w:widowControl/>
              <w:jc w:val="center"/>
              <w:rPr>
                <w:rFonts w:ascii="Arial Narrow" w:hAnsi="Arial Narrow"/>
                <w:sz w:val="20"/>
              </w:rPr>
            </w:pPr>
            <w:r>
              <w:rPr>
                <w:rFonts w:ascii="Arial Narrow" w:hAnsi="Arial Narrow"/>
                <w:sz w:val="20"/>
              </w:rPr>
              <w:t>5</w:t>
            </w:r>
          </w:p>
        </w:tc>
        <w:tc>
          <w:tcPr>
            <w:tcW w:w="972" w:type="pct"/>
            <w:vAlign w:val="center"/>
          </w:tcPr>
          <w:p w:rsidR="00576BFC" w:rsidRPr="00591957" w:rsidRDefault="00576BFC" w:rsidP="008B4B29">
            <w:pPr>
              <w:keepNext/>
              <w:widowControl/>
              <w:jc w:val="center"/>
              <w:rPr>
                <w:rFonts w:ascii="Arial Narrow" w:hAnsi="Arial Narrow"/>
                <w:sz w:val="20"/>
              </w:rPr>
            </w:pPr>
          </w:p>
          <w:p w:rsidR="00576BFC" w:rsidRDefault="00576BFC" w:rsidP="008B4B29">
            <w:pPr>
              <w:keepNext/>
              <w:widowControl/>
              <w:jc w:val="center"/>
              <w:rPr>
                <w:rFonts w:ascii="Arial Narrow" w:hAnsi="Arial Narrow"/>
                <w:sz w:val="20"/>
              </w:rPr>
            </w:pPr>
            <w:r w:rsidRPr="00591957">
              <w:rPr>
                <w:rFonts w:ascii="Arial Narrow" w:hAnsi="Arial Narrow"/>
                <w:sz w:val="20"/>
              </w:rPr>
              <w:t>$</w:t>
            </w:r>
            <w:r w:rsidR="00A00758">
              <w:rPr>
                <w:rFonts w:ascii="Arial Narrow" w:hAnsi="Arial Narrow"/>
                <w:noProof/>
                <w:color w:val="000000"/>
                <w:sz w:val="20"/>
                <w:highlight w:val="black"/>
              </w:rPr>
              <w:t>'''''''''''''''''''</w:t>
            </w:r>
          </w:p>
          <w:p w:rsidR="00576BFC"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341" w:type="pct"/>
            <w:vAlign w:val="center"/>
          </w:tcPr>
          <w:p w:rsidR="00576BFC" w:rsidRPr="00591957" w:rsidRDefault="00576BFC" w:rsidP="008B4B29">
            <w:pPr>
              <w:keepNext/>
              <w:widowControl/>
              <w:jc w:val="center"/>
              <w:rPr>
                <w:rFonts w:ascii="Arial Narrow" w:hAnsi="Arial Narrow"/>
                <w:sz w:val="20"/>
              </w:rPr>
            </w:pPr>
          </w:p>
        </w:tc>
        <w:tc>
          <w:tcPr>
            <w:tcW w:w="1082" w:type="pct"/>
            <w:vAlign w:val="center"/>
          </w:tcPr>
          <w:p w:rsidR="00576BFC" w:rsidRDefault="00576BFC" w:rsidP="008B4B29">
            <w:pPr>
              <w:keepNext/>
              <w:widowControl/>
              <w:jc w:val="center"/>
              <w:rPr>
                <w:rFonts w:ascii="Arial Narrow" w:hAnsi="Arial Narrow"/>
                <w:sz w:val="20"/>
                <w:vertAlign w:val="superscript"/>
              </w:rPr>
            </w:pPr>
            <w:r>
              <w:rPr>
                <w:rFonts w:ascii="Arial Narrow" w:hAnsi="Arial Narrow"/>
                <w:sz w:val="20"/>
              </w:rPr>
              <w:t>Jinarc</w:t>
            </w:r>
            <w:r w:rsidRPr="0065288C">
              <w:rPr>
                <w:rFonts w:ascii="Arial Narrow" w:hAnsi="Arial Narrow"/>
                <w:sz w:val="20"/>
                <w:vertAlign w:val="superscript"/>
              </w:rPr>
              <w:t>®</w:t>
            </w:r>
          </w:p>
          <w:p w:rsidR="00576BFC" w:rsidRPr="00591957" w:rsidRDefault="00576BFC" w:rsidP="008B4B29">
            <w:pPr>
              <w:keepNext/>
              <w:widowControl/>
              <w:jc w:val="center"/>
              <w:rPr>
                <w:rFonts w:ascii="Arial Narrow" w:hAnsi="Arial Narrow"/>
                <w:sz w:val="20"/>
              </w:rPr>
            </w:pPr>
            <w:r>
              <w:rPr>
                <w:rFonts w:ascii="Arial Narrow" w:hAnsi="Arial Narrow"/>
                <w:sz w:val="20"/>
              </w:rPr>
              <w:t xml:space="preserve">Otsuka </w:t>
            </w:r>
            <w:r w:rsidRPr="0065288C">
              <w:rPr>
                <w:rFonts w:ascii="Arial Narrow" w:hAnsi="Arial Narrow"/>
                <w:sz w:val="20"/>
              </w:rPr>
              <w:t>Australia Pharmaceutical P/L</w:t>
            </w:r>
          </w:p>
        </w:tc>
      </w:tr>
      <w:tr w:rsidR="00576BFC" w:rsidRPr="00A30A33" w:rsidTr="009E69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84" w:type="pct"/>
            <w:tcBorders>
              <w:top w:val="single" w:sz="4" w:space="0" w:color="auto"/>
              <w:left w:val="single" w:sz="4" w:space="0" w:color="auto"/>
              <w:bottom w:val="single" w:sz="4" w:space="0" w:color="auto"/>
              <w:right w:val="single" w:sz="4" w:space="0" w:color="auto"/>
            </w:tcBorders>
            <w:hideMark/>
          </w:tcPr>
          <w:p w:rsidR="00576BFC" w:rsidRPr="00A30A33" w:rsidRDefault="00576BFC" w:rsidP="008B4B29">
            <w:pPr>
              <w:pStyle w:val="Tabletext"/>
              <w:keepNext/>
              <w:rPr>
                <w:lang w:eastAsia="en-AU"/>
              </w:rPr>
            </w:pPr>
            <w:r>
              <w:rPr>
                <w:lang w:eastAsia="en-AU"/>
              </w:rPr>
              <w:t>Category/Program:</w:t>
            </w:r>
          </w:p>
        </w:tc>
        <w:tc>
          <w:tcPr>
            <w:tcW w:w="3916" w:type="pct"/>
            <w:gridSpan w:val="6"/>
            <w:tcBorders>
              <w:top w:val="single" w:sz="4" w:space="0" w:color="auto"/>
              <w:left w:val="single" w:sz="4" w:space="0" w:color="auto"/>
              <w:bottom w:val="single" w:sz="4" w:space="0" w:color="auto"/>
              <w:right w:val="single" w:sz="4" w:space="0" w:color="auto"/>
            </w:tcBorders>
          </w:tcPr>
          <w:p w:rsidR="00576BFC" w:rsidRPr="00A30A33" w:rsidRDefault="00576BFC" w:rsidP="008B4B29">
            <w:pPr>
              <w:pStyle w:val="Tabletext"/>
              <w:keepNext/>
              <w:rPr>
                <w:lang w:eastAsia="en-AU"/>
              </w:rPr>
            </w:pPr>
            <w:r>
              <w:rPr>
                <w:lang w:eastAsia="en-AU"/>
              </w:rPr>
              <w:t>General Schedule</w:t>
            </w:r>
          </w:p>
        </w:tc>
      </w:tr>
      <w:tr w:rsidR="00576BFC" w:rsidRPr="00A30A33" w:rsidTr="009E69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84" w:type="pct"/>
            <w:tcBorders>
              <w:top w:val="single" w:sz="4" w:space="0" w:color="auto"/>
              <w:left w:val="single" w:sz="4" w:space="0" w:color="auto"/>
              <w:bottom w:val="single" w:sz="4" w:space="0" w:color="auto"/>
              <w:right w:val="single" w:sz="4" w:space="0" w:color="auto"/>
            </w:tcBorders>
            <w:hideMark/>
          </w:tcPr>
          <w:p w:rsidR="00576BFC" w:rsidRPr="00A30A33" w:rsidRDefault="00576BFC" w:rsidP="008B4B29">
            <w:pPr>
              <w:pStyle w:val="Tabletext"/>
              <w:keepNext/>
              <w:rPr>
                <w:lang w:eastAsia="en-AU"/>
              </w:rPr>
            </w:pPr>
            <w:r>
              <w:rPr>
                <w:lang w:eastAsia="en-AU"/>
              </w:rPr>
              <w:t>PBS indication:</w:t>
            </w:r>
          </w:p>
        </w:tc>
        <w:tc>
          <w:tcPr>
            <w:tcW w:w="3916" w:type="pct"/>
            <w:gridSpan w:val="6"/>
            <w:tcBorders>
              <w:top w:val="single" w:sz="4" w:space="0" w:color="auto"/>
              <w:left w:val="single" w:sz="4" w:space="0" w:color="auto"/>
              <w:bottom w:val="single" w:sz="4" w:space="0" w:color="auto"/>
              <w:right w:val="single" w:sz="4" w:space="0" w:color="auto"/>
            </w:tcBorders>
          </w:tcPr>
          <w:p w:rsidR="00576BFC" w:rsidRPr="00A30A33" w:rsidRDefault="00576BFC" w:rsidP="008B4B29">
            <w:pPr>
              <w:pStyle w:val="Tabletext"/>
              <w:keepNext/>
              <w:rPr>
                <w:lang w:eastAsia="en-AU"/>
              </w:rPr>
            </w:pPr>
            <w:r w:rsidRPr="00DC69CD">
              <w:rPr>
                <w:szCs w:val="20"/>
              </w:rPr>
              <w:t>Autosomal dominant polycystic kidney disease (ADPKD)</w:t>
            </w:r>
          </w:p>
        </w:tc>
      </w:tr>
      <w:tr w:rsidR="00576BFC" w:rsidRPr="00A30A33" w:rsidTr="009E69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84" w:type="pct"/>
            <w:tcBorders>
              <w:top w:val="single" w:sz="4" w:space="0" w:color="auto"/>
              <w:left w:val="single" w:sz="4" w:space="0" w:color="auto"/>
              <w:bottom w:val="single" w:sz="4" w:space="0" w:color="auto"/>
              <w:right w:val="single" w:sz="4" w:space="0" w:color="auto"/>
            </w:tcBorders>
          </w:tcPr>
          <w:p w:rsidR="00576BFC" w:rsidRDefault="00576BFC" w:rsidP="008B4B29">
            <w:pPr>
              <w:pStyle w:val="Tabletext"/>
              <w:keepNext/>
              <w:rPr>
                <w:lang w:eastAsia="en-AU"/>
              </w:rPr>
            </w:pPr>
            <w:r>
              <w:rPr>
                <w:lang w:eastAsia="en-AU"/>
              </w:rPr>
              <w:t>Episodicity:</w:t>
            </w:r>
          </w:p>
        </w:tc>
        <w:tc>
          <w:tcPr>
            <w:tcW w:w="3916" w:type="pct"/>
            <w:gridSpan w:val="6"/>
            <w:tcBorders>
              <w:top w:val="single" w:sz="4" w:space="0" w:color="auto"/>
              <w:left w:val="single" w:sz="4" w:space="0" w:color="auto"/>
              <w:bottom w:val="single" w:sz="4" w:space="0" w:color="auto"/>
              <w:right w:val="single" w:sz="4" w:space="0" w:color="auto"/>
            </w:tcBorders>
          </w:tcPr>
          <w:p w:rsidR="00576BFC" w:rsidRPr="00DC69CD" w:rsidRDefault="00576BFC" w:rsidP="008B4B29">
            <w:pPr>
              <w:pStyle w:val="Tabletext"/>
              <w:keepNext/>
              <w:rPr>
                <w:szCs w:val="20"/>
              </w:rPr>
            </w:pPr>
            <w:r>
              <w:rPr>
                <w:szCs w:val="20"/>
              </w:rPr>
              <w:t>Chronic</w:t>
            </w:r>
          </w:p>
        </w:tc>
      </w:tr>
      <w:tr w:rsidR="00576BFC" w:rsidRPr="00A30A33" w:rsidTr="009E69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84" w:type="pct"/>
            <w:tcBorders>
              <w:top w:val="single" w:sz="4" w:space="0" w:color="auto"/>
              <w:left w:val="single" w:sz="4" w:space="0" w:color="auto"/>
              <w:bottom w:val="single" w:sz="4" w:space="0" w:color="auto"/>
              <w:right w:val="single" w:sz="4" w:space="0" w:color="auto"/>
            </w:tcBorders>
            <w:hideMark/>
          </w:tcPr>
          <w:p w:rsidR="00576BFC" w:rsidRPr="00A30A33" w:rsidRDefault="00576BFC" w:rsidP="008B4B29">
            <w:pPr>
              <w:pStyle w:val="Tabletext"/>
              <w:keepNext/>
              <w:rPr>
                <w:lang w:eastAsia="en-AU"/>
              </w:rPr>
            </w:pPr>
            <w:r>
              <w:rPr>
                <w:lang w:eastAsia="en-AU"/>
              </w:rPr>
              <w:t>Treatment phase:</w:t>
            </w:r>
          </w:p>
        </w:tc>
        <w:tc>
          <w:tcPr>
            <w:tcW w:w="3916" w:type="pct"/>
            <w:gridSpan w:val="6"/>
            <w:tcBorders>
              <w:top w:val="single" w:sz="4" w:space="0" w:color="auto"/>
              <w:left w:val="single" w:sz="4" w:space="0" w:color="auto"/>
              <w:bottom w:val="single" w:sz="4" w:space="0" w:color="auto"/>
              <w:right w:val="single" w:sz="4" w:space="0" w:color="auto"/>
            </w:tcBorders>
          </w:tcPr>
          <w:p w:rsidR="00576BFC" w:rsidRPr="00A30A33" w:rsidRDefault="00576BFC" w:rsidP="008B4B29">
            <w:pPr>
              <w:pStyle w:val="Tabletext"/>
              <w:keepNext/>
              <w:rPr>
                <w:lang w:eastAsia="en-AU"/>
              </w:rPr>
            </w:pPr>
            <w:r>
              <w:rPr>
                <w:lang w:eastAsia="en-AU"/>
              </w:rPr>
              <w:t>Initial supply</w:t>
            </w:r>
          </w:p>
        </w:tc>
      </w:tr>
      <w:tr w:rsidR="00576BFC" w:rsidRPr="00A30A33" w:rsidTr="009E69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84" w:type="pct"/>
            <w:tcBorders>
              <w:top w:val="single" w:sz="4" w:space="0" w:color="auto"/>
              <w:left w:val="single" w:sz="4" w:space="0" w:color="auto"/>
              <w:bottom w:val="single" w:sz="4" w:space="0" w:color="auto"/>
              <w:right w:val="single" w:sz="4" w:space="0" w:color="auto"/>
            </w:tcBorders>
            <w:hideMark/>
          </w:tcPr>
          <w:p w:rsidR="00576BFC" w:rsidRPr="00A30A33" w:rsidRDefault="00576BFC" w:rsidP="008B4B29">
            <w:pPr>
              <w:pStyle w:val="Tabletext"/>
              <w:keepNext/>
              <w:rPr>
                <w:lang w:eastAsia="en-AU"/>
              </w:rPr>
            </w:pPr>
            <w:r w:rsidRPr="00A30A33">
              <w:rPr>
                <w:lang w:eastAsia="en-AU"/>
              </w:rPr>
              <w:t>Restriction</w:t>
            </w:r>
            <w:r>
              <w:rPr>
                <w:lang w:eastAsia="en-AU"/>
              </w:rPr>
              <w:t>:</w:t>
            </w:r>
          </w:p>
        </w:tc>
        <w:tc>
          <w:tcPr>
            <w:tcW w:w="3916" w:type="pct"/>
            <w:gridSpan w:val="6"/>
            <w:tcBorders>
              <w:top w:val="single" w:sz="4" w:space="0" w:color="auto"/>
              <w:left w:val="single" w:sz="4" w:space="0" w:color="auto"/>
              <w:bottom w:val="single" w:sz="4" w:space="0" w:color="auto"/>
              <w:right w:val="single" w:sz="4" w:space="0" w:color="auto"/>
            </w:tcBorders>
          </w:tcPr>
          <w:p w:rsidR="00576BFC" w:rsidRPr="00A30A33" w:rsidRDefault="00576BFC" w:rsidP="008B4B29">
            <w:pPr>
              <w:pStyle w:val="Tabletext"/>
              <w:keepNext/>
              <w:rPr>
                <w:lang w:eastAsia="en-AU"/>
              </w:rPr>
            </w:pPr>
            <w:r>
              <w:rPr>
                <w:lang w:eastAsia="en-AU"/>
              </w:rPr>
              <w:t>Authority Required</w:t>
            </w:r>
          </w:p>
        </w:tc>
      </w:tr>
      <w:tr w:rsidR="00576BFC" w:rsidRPr="00A30A33" w:rsidTr="009E69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84" w:type="pct"/>
            <w:tcBorders>
              <w:top w:val="single" w:sz="4" w:space="0" w:color="auto"/>
              <w:left w:val="single" w:sz="4" w:space="0" w:color="auto"/>
              <w:bottom w:val="single" w:sz="4" w:space="0" w:color="auto"/>
              <w:right w:val="single" w:sz="4" w:space="0" w:color="auto"/>
            </w:tcBorders>
            <w:hideMark/>
          </w:tcPr>
          <w:p w:rsidR="00576BFC" w:rsidRPr="00A30A33" w:rsidRDefault="00576BFC" w:rsidP="008B4B29">
            <w:pPr>
              <w:pStyle w:val="Tabletext"/>
              <w:keepNext/>
              <w:rPr>
                <w:lang w:eastAsia="en-AU"/>
              </w:rPr>
            </w:pPr>
            <w:r w:rsidRPr="00A30A33">
              <w:rPr>
                <w:lang w:eastAsia="en-AU"/>
              </w:rPr>
              <w:t>Treatment criteria</w:t>
            </w:r>
            <w:r>
              <w:rPr>
                <w:lang w:eastAsia="en-AU"/>
              </w:rPr>
              <w:t>:</w:t>
            </w:r>
          </w:p>
        </w:tc>
        <w:tc>
          <w:tcPr>
            <w:tcW w:w="3916" w:type="pct"/>
            <w:gridSpan w:val="6"/>
            <w:tcBorders>
              <w:top w:val="single" w:sz="4" w:space="0" w:color="auto"/>
              <w:left w:val="single" w:sz="4" w:space="0" w:color="auto"/>
              <w:bottom w:val="single" w:sz="4" w:space="0" w:color="auto"/>
              <w:right w:val="single" w:sz="4" w:space="0" w:color="auto"/>
            </w:tcBorders>
          </w:tcPr>
          <w:p w:rsidR="00576BFC" w:rsidRPr="00A30A33" w:rsidRDefault="00576BFC" w:rsidP="008B4B29">
            <w:pPr>
              <w:pStyle w:val="Tabletext"/>
              <w:keepNext/>
              <w:rPr>
                <w:lang w:eastAsia="en-AU"/>
              </w:rPr>
            </w:pPr>
            <w:r w:rsidRPr="00DC69CD">
              <w:rPr>
                <w:szCs w:val="20"/>
              </w:rPr>
              <w:t>Must be treated by a specialist who has undergone tolvaptan prescriber training</w:t>
            </w:r>
          </w:p>
        </w:tc>
      </w:tr>
      <w:tr w:rsidR="00576BFC" w:rsidRPr="00A30A33" w:rsidTr="009E69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84" w:type="pct"/>
            <w:tcBorders>
              <w:top w:val="single" w:sz="4" w:space="0" w:color="auto"/>
              <w:left w:val="single" w:sz="4" w:space="0" w:color="auto"/>
              <w:bottom w:val="single" w:sz="4" w:space="0" w:color="auto"/>
              <w:right w:val="single" w:sz="4" w:space="0" w:color="auto"/>
            </w:tcBorders>
            <w:hideMark/>
          </w:tcPr>
          <w:p w:rsidR="00576BFC" w:rsidRPr="00A30A33" w:rsidRDefault="00576BFC" w:rsidP="008B4B29">
            <w:pPr>
              <w:pStyle w:val="Tabletext"/>
              <w:keepNext/>
              <w:rPr>
                <w:lang w:eastAsia="en-AU"/>
              </w:rPr>
            </w:pPr>
            <w:r w:rsidRPr="00A30A33">
              <w:rPr>
                <w:lang w:eastAsia="en-AU"/>
              </w:rPr>
              <w:t>Clinical criteria</w:t>
            </w:r>
            <w:r>
              <w:rPr>
                <w:lang w:eastAsia="en-AU"/>
              </w:rPr>
              <w:t>:</w:t>
            </w:r>
          </w:p>
        </w:tc>
        <w:tc>
          <w:tcPr>
            <w:tcW w:w="3916" w:type="pct"/>
            <w:gridSpan w:val="6"/>
            <w:tcBorders>
              <w:top w:val="single" w:sz="4" w:space="0" w:color="auto"/>
              <w:left w:val="single" w:sz="4" w:space="0" w:color="auto"/>
              <w:bottom w:val="single" w:sz="4" w:space="0" w:color="auto"/>
              <w:right w:val="single" w:sz="4" w:space="0" w:color="auto"/>
            </w:tcBorders>
          </w:tcPr>
          <w:p w:rsidR="00576BFC" w:rsidRDefault="00576BFC" w:rsidP="008B4B29">
            <w:pPr>
              <w:pStyle w:val="Tablenormal0"/>
              <w:keepNext/>
              <w:widowControl/>
              <w:spacing w:before="0" w:after="0"/>
              <w:jc w:val="both"/>
              <w:rPr>
                <w:rFonts w:ascii="Arial Narrow" w:hAnsi="Arial Narrow"/>
                <w:sz w:val="20"/>
                <w:szCs w:val="20"/>
                <w:lang w:eastAsia="en-AU"/>
              </w:rPr>
            </w:pPr>
            <w:r w:rsidRPr="00D068F2">
              <w:rPr>
                <w:rFonts w:ascii="Arial Narrow" w:hAnsi="Arial Narrow"/>
                <w:sz w:val="20"/>
                <w:szCs w:val="20"/>
                <w:lang w:eastAsia="en-AU"/>
              </w:rPr>
              <w:t>The condition must be a confirmed diagnosis of ADPKD, CKD stages 2-3 (eGFR 30-89 mL/min/1.73 m</w:t>
            </w:r>
            <w:r w:rsidRPr="00DC69CD">
              <w:rPr>
                <w:rFonts w:ascii="Arial Narrow" w:hAnsi="Arial Narrow"/>
                <w:sz w:val="20"/>
                <w:szCs w:val="20"/>
                <w:vertAlign w:val="superscript"/>
                <w:lang w:eastAsia="en-AU"/>
              </w:rPr>
              <w:t>2</w:t>
            </w:r>
            <w:r w:rsidRPr="00DC69CD">
              <w:rPr>
                <w:rFonts w:ascii="Arial Narrow" w:hAnsi="Arial Narrow"/>
                <w:sz w:val="20"/>
                <w:szCs w:val="20"/>
                <w:lang w:eastAsia="en-AU"/>
              </w:rPr>
              <w:t xml:space="preserve">) </w:t>
            </w:r>
            <w:r>
              <w:rPr>
                <w:rFonts w:ascii="Arial Narrow" w:hAnsi="Arial Narrow"/>
                <w:sz w:val="20"/>
                <w:szCs w:val="20"/>
                <w:lang w:eastAsia="en-AU"/>
              </w:rPr>
              <w:t xml:space="preserve">at the initiation of treatment; </w:t>
            </w:r>
          </w:p>
          <w:p w:rsidR="00576BFC" w:rsidRPr="00DC69CD" w:rsidRDefault="00576BFC" w:rsidP="008B4B29">
            <w:pPr>
              <w:pStyle w:val="Tablenormal0"/>
              <w:keepNext/>
              <w:widowControl/>
              <w:spacing w:before="0" w:after="0"/>
              <w:jc w:val="both"/>
              <w:rPr>
                <w:rFonts w:ascii="Arial Narrow" w:hAnsi="Arial Narrow"/>
                <w:sz w:val="20"/>
                <w:szCs w:val="20"/>
                <w:lang w:eastAsia="en-AU"/>
              </w:rPr>
            </w:pPr>
            <w:r w:rsidRPr="00DC69CD">
              <w:rPr>
                <w:rFonts w:ascii="Arial Narrow" w:hAnsi="Arial Narrow"/>
                <w:sz w:val="20"/>
                <w:szCs w:val="20"/>
                <w:lang w:eastAsia="en-AU"/>
              </w:rPr>
              <w:t>AND</w:t>
            </w:r>
          </w:p>
          <w:p w:rsidR="00576BFC" w:rsidRDefault="00576BFC" w:rsidP="008B4B29">
            <w:pPr>
              <w:pStyle w:val="Tablenormal0"/>
              <w:keepNext/>
              <w:widowControl/>
              <w:spacing w:before="0" w:after="0"/>
              <w:jc w:val="both"/>
              <w:rPr>
                <w:rFonts w:ascii="Arial Narrow" w:hAnsi="Arial Narrow"/>
                <w:sz w:val="20"/>
                <w:szCs w:val="20"/>
                <w:lang w:eastAsia="en-AU"/>
              </w:rPr>
            </w:pPr>
            <w:r w:rsidRPr="00DC69CD">
              <w:rPr>
                <w:rFonts w:ascii="Arial Narrow" w:hAnsi="Arial Narrow"/>
                <w:sz w:val="20"/>
                <w:szCs w:val="20"/>
                <w:lang w:eastAsia="en-AU"/>
              </w:rPr>
              <w:t xml:space="preserve">eGFR decline of </w:t>
            </w:r>
            <w:r w:rsidRPr="00326860">
              <w:rPr>
                <w:rFonts w:ascii="Arial Narrow" w:hAnsi="Arial Narrow" w:cs="Arial"/>
                <w:sz w:val="20"/>
                <w:szCs w:val="20"/>
                <w:lang w:eastAsia="en-AU"/>
              </w:rPr>
              <w:t>≥</w:t>
            </w:r>
            <w:r w:rsidRPr="00326860">
              <w:rPr>
                <w:rFonts w:ascii="Arial Narrow" w:hAnsi="Arial Narrow"/>
                <w:sz w:val="20"/>
                <w:szCs w:val="20"/>
                <w:lang w:eastAsia="en-AU"/>
              </w:rPr>
              <w:t>2.5 mL/min/1.73 m</w:t>
            </w:r>
            <w:r w:rsidRPr="00326860">
              <w:rPr>
                <w:rFonts w:ascii="Arial Narrow" w:hAnsi="Arial Narrow"/>
                <w:sz w:val="20"/>
                <w:szCs w:val="20"/>
                <w:vertAlign w:val="superscript"/>
                <w:lang w:eastAsia="en-AU"/>
              </w:rPr>
              <w:t>2</w:t>
            </w:r>
            <w:r w:rsidRPr="00326860">
              <w:rPr>
                <w:rFonts w:ascii="Arial Narrow" w:hAnsi="Arial Narrow"/>
                <w:sz w:val="20"/>
                <w:szCs w:val="20"/>
                <w:lang w:eastAsia="en-AU"/>
              </w:rPr>
              <w:t>/year,</w:t>
            </w:r>
            <w:r>
              <w:rPr>
                <w:rFonts w:ascii="Arial Narrow" w:hAnsi="Arial Narrow"/>
                <w:sz w:val="20"/>
                <w:szCs w:val="20"/>
                <w:lang w:eastAsia="en-AU"/>
              </w:rPr>
              <w:t xml:space="preserve"> based on historical eGFR data; </w:t>
            </w:r>
          </w:p>
          <w:p w:rsidR="00576BFC" w:rsidRPr="008A6341" w:rsidRDefault="00576BFC" w:rsidP="008B4B29">
            <w:pPr>
              <w:pStyle w:val="Tablenormal0"/>
              <w:keepNext/>
              <w:widowControl/>
              <w:spacing w:before="0" w:after="0"/>
              <w:jc w:val="both"/>
              <w:rPr>
                <w:rFonts w:ascii="Arial Narrow" w:hAnsi="Arial Narrow"/>
                <w:sz w:val="20"/>
                <w:szCs w:val="20"/>
                <w:lang w:eastAsia="en-AU"/>
              </w:rPr>
            </w:pPr>
            <w:r w:rsidRPr="008A6341">
              <w:rPr>
                <w:rFonts w:ascii="Arial Narrow" w:hAnsi="Arial Narrow"/>
                <w:sz w:val="20"/>
                <w:szCs w:val="20"/>
                <w:lang w:eastAsia="en-AU"/>
              </w:rPr>
              <w:t>AND</w:t>
            </w:r>
          </w:p>
          <w:p w:rsidR="00576BFC" w:rsidRDefault="00576BFC" w:rsidP="008B4B29">
            <w:pPr>
              <w:pStyle w:val="Tablenormal0"/>
              <w:keepNext/>
              <w:widowControl/>
              <w:spacing w:before="0" w:after="0"/>
              <w:jc w:val="both"/>
              <w:rPr>
                <w:rFonts w:ascii="Arial Narrow" w:hAnsi="Arial Narrow"/>
                <w:sz w:val="20"/>
                <w:szCs w:val="20"/>
                <w:lang w:eastAsia="en-AU"/>
              </w:rPr>
            </w:pPr>
            <w:r w:rsidRPr="0016477B">
              <w:rPr>
                <w:rFonts w:ascii="Arial Narrow" w:hAnsi="Arial Narrow"/>
                <w:sz w:val="20"/>
                <w:szCs w:val="20"/>
                <w:lang w:eastAsia="en-AU"/>
              </w:rPr>
              <w:t>The patient must not have</w:t>
            </w:r>
            <w:r>
              <w:rPr>
                <w:rFonts w:ascii="Arial Narrow" w:hAnsi="Arial Narrow"/>
                <w:sz w:val="20"/>
                <w:szCs w:val="20"/>
                <w:lang w:eastAsia="en-AU"/>
              </w:rPr>
              <w:t xml:space="preserve"> undergone a kidney transplant; </w:t>
            </w:r>
          </w:p>
          <w:p w:rsidR="00576BFC" w:rsidRPr="0016477B" w:rsidRDefault="00576BFC" w:rsidP="008B4B29">
            <w:pPr>
              <w:pStyle w:val="Tablenormal0"/>
              <w:keepNext/>
              <w:widowControl/>
              <w:spacing w:before="0" w:after="0"/>
              <w:jc w:val="both"/>
              <w:rPr>
                <w:rFonts w:ascii="Arial Narrow" w:hAnsi="Arial Narrow"/>
                <w:sz w:val="20"/>
                <w:szCs w:val="20"/>
                <w:lang w:eastAsia="en-AU"/>
              </w:rPr>
            </w:pPr>
            <w:r w:rsidRPr="0016477B">
              <w:rPr>
                <w:rFonts w:ascii="Arial Narrow" w:hAnsi="Arial Narrow"/>
                <w:sz w:val="20"/>
                <w:szCs w:val="20"/>
                <w:lang w:eastAsia="en-AU"/>
              </w:rPr>
              <w:t>AND</w:t>
            </w:r>
          </w:p>
          <w:p w:rsidR="00576BFC" w:rsidRPr="0016477B" w:rsidRDefault="00576BFC" w:rsidP="008B4B29">
            <w:pPr>
              <w:pStyle w:val="Tablenormal0"/>
              <w:keepNext/>
              <w:widowControl/>
              <w:spacing w:before="0" w:after="0"/>
              <w:jc w:val="both"/>
              <w:rPr>
                <w:rFonts w:ascii="Arial Narrow" w:hAnsi="Arial Narrow"/>
                <w:sz w:val="20"/>
                <w:szCs w:val="20"/>
                <w:u w:val="single"/>
                <w:lang w:eastAsia="en-AU"/>
              </w:rPr>
            </w:pPr>
            <w:r w:rsidRPr="0016477B">
              <w:rPr>
                <w:rFonts w:ascii="Arial Narrow" w:hAnsi="Arial Narrow"/>
                <w:sz w:val="20"/>
                <w:szCs w:val="20"/>
                <w:u w:val="single"/>
                <w:lang w:eastAsia="en-AU"/>
              </w:rPr>
              <w:t>PBS sub-population 1</w:t>
            </w:r>
          </w:p>
          <w:p w:rsidR="00576BFC" w:rsidRPr="0016477B" w:rsidRDefault="00576BFC" w:rsidP="008B4B29">
            <w:pPr>
              <w:pStyle w:val="Tablenormal0"/>
              <w:keepNext/>
              <w:widowControl/>
              <w:numPr>
                <w:ilvl w:val="0"/>
                <w:numId w:val="5"/>
              </w:numPr>
              <w:spacing w:before="0" w:after="0"/>
              <w:ind w:left="341"/>
              <w:jc w:val="both"/>
              <w:rPr>
                <w:rFonts w:ascii="Arial Narrow" w:hAnsi="Arial Narrow"/>
                <w:sz w:val="20"/>
                <w:szCs w:val="20"/>
                <w:lang w:eastAsia="en-AU"/>
              </w:rPr>
            </w:pPr>
            <w:r w:rsidRPr="0016477B">
              <w:rPr>
                <w:rFonts w:ascii="Arial Narrow" w:hAnsi="Arial Narrow"/>
                <w:sz w:val="20"/>
                <w:szCs w:val="20"/>
                <w:lang w:eastAsia="en-AU"/>
              </w:rPr>
              <w:t>Aged 18-50</w:t>
            </w:r>
          </w:p>
          <w:p w:rsidR="00576BFC" w:rsidRPr="0016477B" w:rsidRDefault="00576BFC" w:rsidP="008B4B29">
            <w:pPr>
              <w:pStyle w:val="Tablenormal0"/>
              <w:keepNext/>
              <w:widowControl/>
              <w:numPr>
                <w:ilvl w:val="0"/>
                <w:numId w:val="5"/>
              </w:numPr>
              <w:spacing w:before="0" w:after="0"/>
              <w:ind w:left="341"/>
              <w:jc w:val="both"/>
              <w:rPr>
                <w:rFonts w:ascii="Arial Narrow" w:hAnsi="Arial Narrow"/>
                <w:sz w:val="20"/>
                <w:szCs w:val="20"/>
                <w:lang w:eastAsia="en-AU"/>
              </w:rPr>
            </w:pPr>
            <w:r w:rsidRPr="0016477B">
              <w:rPr>
                <w:rFonts w:ascii="Arial Narrow" w:hAnsi="Arial Narrow"/>
                <w:sz w:val="20"/>
                <w:szCs w:val="20"/>
                <w:lang w:eastAsia="en-AU"/>
              </w:rPr>
              <w:t>eGFR of &lt;90 mL/min/1.73 m</w:t>
            </w:r>
            <w:r w:rsidRPr="0016477B">
              <w:rPr>
                <w:rFonts w:ascii="Arial Narrow" w:hAnsi="Arial Narrow"/>
                <w:sz w:val="20"/>
                <w:szCs w:val="20"/>
                <w:vertAlign w:val="superscript"/>
                <w:lang w:eastAsia="en-AU"/>
              </w:rPr>
              <w:t>2</w:t>
            </w:r>
            <w:r w:rsidRPr="0016477B">
              <w:rPr>
                <w:rFonts w:ascii="Arial Narrow" w:hAnsi="Arial Narrow"/>
                <w:sz w:val="20"/>
                <w:szCs w:val="20"/>
                <w:lang w:eastAsia="en-AU"/>
              </w:rPr>
              <w:t xml:space="preserve"> at the initiation of tolvaptan therapy;</w:t>
            </w:r>
          </w:p>
          <w:p w:rsidR="00576BFC" w:rsidRPr="0016477B" w:rsidRDefault="00576BFC" w:rsidP="008B4B29">
            <w:pPr>
              <w:pStyle w:val="Tablenormal0"/>
              <w:keepNext/>
              <w:widowControl/>
              <w:spacing w:before="0" w:after="0"/>
              <w:jc w:val="both"/>
              <w:rPr>
                <w:rFonts w:ascii="Arial Narrow" w:hAnsi="Arial Narrow"/>
                <w:sz w:val="20"/>
                <w:szCs w:val="20"/>
                <w:lang w:eastAsia="en-AU"/>
              </w:rPr>
            </w:pPr>
            <w:r w:rsidRPr="0016477B">
              <w:rPr>
                <w:rFonts w:ascii="Arial Narrow" w:hAnsi="Arial Narrow"/>
                <w:sz w:val="20"/>
                <w:szCs w:val="20"/>
                <w:lang w:eastAsia="en-AU"/>
              </w:rPr>
              <w:t>OR</w:t>
            </w:r>
          </w:p>
          <w:p w:rsidR="00576BFC" w:rsidRPr="0016477B" w:rsidRDefault="00576BFC" w:rsidP="008B4B29">
            <w:pPr>
              <w:pStyle w:val="Tablenormal0"/>
              <w:keepNext/>
              <w:widowControl/>
              <w:spacing w:before="0" w:after="0"/>
              <w:jc w:val="both"/>
              <w:rPr>
                <w:rFonts w:ascii="Arial Narrow" w:hAnsi="Arial Narrow"/>
                <w:sz w:val="20"/>
                <w:szCs w:val="20"/>
                <w:u w:val="single"/>
                <w:lang w:eastAsia="en-AU"/>
              </w:rPr>
            </w:pPr>
            <w:r w:rsidRPr="0016477B">
              <w:rPr>
                <w:rFonts w:ascii="Arial Narrow" w:hAnsi="Arial Narrow"/>
                <w:sz w:val="20"/>
                <w:szCs w:val="20"/>
                <w:u w:val="single"/>
                <w:lang w:eastAsia="en-AU"/>
              </w:rPr>
              <w:t>PBS sub-population 2</w:t>
            </w:r>
          </w:p>
          <w:p w:rsidR="00576BFC" w:rsidRPr="0016477B" w:rsidRDefault="00576BFC" w:rsidP="008B4B29">
            <w:pPr>
              <w:pStyle w:val="Tablenormal0"/>
              <w:keepNext/>
              <w:widowControl/>
              <w:numPr>
                <w:ilvl w:val="0"/>
                <w:numId w:val="6"/>
              </w:numPr>
              <w:spacing w:before="0" w:after="0"/>
              <w:ind w:left="341"/>
              <w:jc w:val="both"/>
              <w:rPr>
                <w:rFonts w:ascii="Arial Narrow" w:hAnsi="Arial Narrow"/>
                <w:sz w:val="20"/>
                <w:szCs w:val="20"/>
                <w:lang w:eastAsia="en-AU"/>
              </w:rPr>
            </w:pPr>
            <w:r w:rsidRPr="0016477B">
              <w:rPr>
                <w:rFonts w:ascii="Arial Narrow" w:hAnsi="Arial Narrow"/>
                <w:sz w:val="20"/>
                <w:szCs w:val="20"/>
                <w:lang w:eastAsia="en-AU"/>
              </w:rPr>
              <w:t>Aged 51-55</w:t>
            </w:r>
          </w:p>
          <w:p w:rsidR="00576BFC" w:rsidRDefault="00576BFC" w:rsidP="008B4B29">
            <w:pPr>
              <w:pStyle w:val="Tablenormal0"/>
              <w:keepNext/>
              <w:widowControl/>
              <w:numPr>
                <w:ilvl w:val="0"/>
                <w:numId w:val="6"/>
              </w:numPr>
              <w:spacing w:before="0" w:after="0"/>
              <w:ind w:left="341"/>
              <w:jc w:val="both"/>
              <w:rPr>
                <w:rFonts w:ascii="Arial Narrow" w:hAnsi="Arial Narrow"/>
                <w:sz w:val="20"/>
                <w:szCs w:val="20"/>
                <w:lang w:eastAsia="en-AU"/>
              </w:rPr>
            </w:pPr>
            <w:r w:rsidRPr="0016477B">
              <w:rPr>
                <w:rFonts w:ascii="Arial Narrow" w:hAnsi="Arial Narrow"/>
                <w:sz w:val="20"/>
                <w:szCs w:val="20"/>
                <w:lang w:eastAsia="en-AU"/>
              </w:rPr>
              <w:t>eGFR &lt;65 mL/min/1.73 m</w:t>
            </w:r>
            <w:r w:rsidRPr="0016477B">
              <w:rPr>
                <w:rFonts w:ascii="Arial Narrow" w:hAnsi="Arial Narrow"/>
                <w:sz w:val="20"/>
                <w:szCs w:val="20"/>
                <w:vertAlign w:val="superscript"/>
                <w:lang w:eastAsia="en-AU"/>
              </w:rPr>
              <w:t>2</w:t>
            </w:r>
            <w:r w:rsidRPr="0016477B">
              <w:rPr>
                <w:rFonts w:ascii="Arial Narrow" w:hAnsi="Arial Narrow"/>
                <w:sz w:val="20"/>
                <w:szCs w:val="20"/>
                <w:lang w:eastAsia="en-AU"/>
              </w:rPr>
              <w:t xml:space="preserve"> at the initiation of tolvaptan therapy;</w:t>
            </w:r>
          </w:p>
          <w:p w:rsidR="00576BFC" w:rsidRPr="0065288C" w:rsidRDefault="00576BFC" w:rsidP="008B4B29">
            <w:pPr>
              <w:pStyle w:val="Tablenormal0"/>
              <w:keepNext/>
              <w:widowControl/>
              <w:spacing w:before="0" w:after="0"/>
              <w:ind w:left="-19"/>
              <w:jc w:val="both"/>
              <w:rPr>
                <w:rFonts w:ascii="Arial Narrow" w:hAnsi="Arial Narrow"/>
                <w:sz w:val="20"/>
                <w:szCs w:val="20"/>
                <w:lang w:eastAsia="en-AU"/>
              </w:rPr>
            </w:pPr>
            <w:r w:rsidRPr="0065288C">
              <w:rPr>
                <w:rFonts w:ascii="Arial Narrow" w:hAnsi="Arial Narrow"/>
                <w:sz w:val="20"/>
                <w:szCs w:val="20"/>
                <w:lang w:eastAsia="en-AU"/>
              </w:rPr>
              <w:t>OR</w:t>
            </w:r>
          </w:p>
          <w:p w:rsidR="00576BFC" w:rsidRPr="0016477B" w:rsidRDefault="00576BFC" w:rsidP="008B4B29">
            <w:pPr>
              <w:pStyle w:val="Tablenormal0"/>
              <w:keepNext/>
              <w:widowControl/>
              <w:spacing w:before="0" w:after="0"/>
              <w:jc w:val="both"/>
              <w:rPr>
                <w:rFonts w:ascii="Arial Narrow" w:hAnsi="Arial Narrow"/>
                <w:sz w:val="20"/>
                <w:szCs w:val="20"/>
                <w:u w:val="single"/>
                <w:lang w:eastAsia="en-AU"/>
              </w:rPr>
            </w:pPr>
            <w:r w:rsidRPr="0016477B">
              <w:rPr>
                <w:rFonts w:ascii="Arial Narrow" w:hAnsi="Arial Narrow"/>
                <w:sz w:val="20"/>
                <w:szCs w:val="20"/>
                <w:u w:val="single"/>
                <w:lang w:eastAsia="en-AU"/>
              </w:rPr>
              <w:t>PBS sub-population 3</w:t>
            </w:r>
          </w:p>
          <w:p w:rsidR="00576BFC" w:rsidRPr="0016477B" w:rsidRDefault="00576BFC" w:rsidP="008B4B29">
            <w:pPr>
              <w:pStyle w:val="Tablenormal0"/>
              <w:keepNext/>
              <w:widowControl/>
              <w:numPr>
                <w:ilvl w:val="0"/>
                <w:numId w:val="7"/>
              </w:numPr>
              <w:spacing w:before="0" w:after="0"/>
              <w:ind w:left="341"/>
              <w:jc w:val="both"/>
              <w:rPr>
                <w:rFonts w:ascii="Arial Narrow" w:hAnsi="Arial Narrow"/>
                <w:sz w:val="20"/>
                <w:szCs w:val="20"/>
                <w:lang w:eastAsia="en-AU"/>
              </w:rPr>
            </w:pPr>
            <w:r w:rsidRPr="0016477B">
              <w:rPr>
                <w:rFonts w:ascii="Arial Narrow" w:hAnsi="Arial Narrow"/>
                <w:sz w:val="20"/>
                <w:szCs w:val="20"/>
                <w:lang w:eastAsia="en-AU"/>
              </w:rPr>
              <w:t>Aged 56-65</w:t>
            </w:r>
          </w:p>
          <w:p w:rsidR="00576BFC" w:rsidRPr="00A30A33" w:rsidRDefault="00576BFC" w:rsidP="008B4B29">
            <w:pPr>
              <w:pStyle w:val="Tabletext"/>
              <w:keepNext/>
              <w:numPr>
                <w:ilvl w:val="0"/>
                <w:numId w:val="7"/>
              </w:numPr>
              <w:ind w:left="344" w:hanging="364"/>
              <w:rPr>
                <w:lang w:eastAsia="en-AU"/>
              </w:rPr>
            </w:pPr>
            <w:proofErr w:type="gramStart"/>
            <w:r w:rsidRPr="0065288C">
              <w:rPr>
                <w:szCs w:val="20"/>
                <w:lang w:val="en-US" w:eastAsia="en-AU"/>
              </w:rPr>
              <w:t>eGFR</w:t>
            </w:r>
            <w:proofErr w:type="gramEnd"/>
            <w:r w:rsidRPr="0065288C">
              <w:rPr>
                <w:szCs w:val="20"/>
                <w:lang w:val="en-US" w:eastAsia="en-AU"/>
              </w:rPr>
              <w:t xml:space="preserve"> &lt;45 mL/min/1.73 m</w:t>
            </w:r>
            <w:r w:rsidRPr="001E6C88">
              <w:rPr>
                <w:szCs w:val="20"/>
                <w:vertAlign w:val="superscript"/>
                <w:lang w:val="en-US" w:eastAsia="en-AU"/>
              </w:rPr>
              <w:t>2</w:t>
            </w:r>
            <w:r w:rsidRPr="0065288C">
              <w:rPr>
                <w:szCs w:val="20"/>
                <w:lang w:val="en-US" w:eastAsia="en-AU"/>
              </w:rPr>
              <w:t xml:space="preserve"> at the initiation of tolvaptan therapy</w:t>
            </w:r>
            <w:r w:rsidRPr="0016477B">
              <w:rPr>
                <w:szCs w:val="20"/>
                <w:lang w:eastAsia="en-AU"/>
              </w:rPr>
              <w:t>.</w:t>
            </w:r>
          </w:p>
        </w:tc>
      </w:tr>
    </w:tbl>
    <w:p w:rsidR="00576BFC" w:rsidRPr="0065288C" w:rsidRDefault="00576BFC" w:rsidP="008B4B29">
      <w:pPr>
        <w:keepNext/>
        <w:widowControl/>
        <w:rPr>
          <w:sz w:val="4"/>
          <w:szCs w:val="4"/>
        </w:rPr>
      </w:pPr>
    </w:p>
    <w:tbl>
      <w:tblPr>
        <w:tblW w:w="5000"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969"/>
        <w:gridCol w:w="7114"/>
      </w:tblGrid>
      <w:tr w:rsidR="00576BFC" w:rsidRPr="00A30A33" w:rsidTr="00365524">
        <w:trPr>
          <w:trHeight w:val="20"/>
        </w:trPr>
        <w:tc>
          <w:tcPr>
            <w:tcW w:w="1084" w:type="pct"/>
            <w:tcBorders>
              <w:top w:val="single" w:sz="4" w:space="0" w:color="auto"/>
              <w:left w:val="single" w:sz="4" w:space="0" w:color="auto"/>
              <w:bottom w:val="single" w:sz="4" w:space="0" w:color="auto"/>
              <w:right w:val="single" w:sz="4" w:space="0" w:color="auto"/>
            </w:tcBorders>
            <w:hideMark/>
          </w:tcPr>
          <w:p w:rsidR="00576BFC" w:rsidRPr="00A30A33" w:rsidRDefault="00576BFC" w:rsidP="008B4B29">
            <w:pPr>
              <w:pStyle w:val="Tabletext"/>
              <w:keepNext/>
              <w:rPr>
                <w:lang w:eastAsia="en-AU"/>
              </w:rPr>
            </w:pPr>
            <w:r>
              <w:rPr>
                <w:lang w:eastAsia="en-AU"/>
              </w:rPr>
              <w:t>Category/Program:</w:t>
            </w:r>
          </w:p>
        </w:tc>
        <w:tc>
          <w:tcPr>
            <w:tcW w:w="3916" w:type="pct"/>
            <w:tcBorders>
              <w:top w:val="single" w:sz="4" w:space="0" w:color="auto"/>
              <w:left w:val="single" w:sz="4" w:space="0" w:color="auto"/>
              <w:bottom w:val="single" w:sz="4" w:space="0" w:color="auto"/>
              <w:right w:val="single" w:sz="4" w:space="0" w:color="auto"/>
            </w:tcBorders>
          </w:tcPr>
          <w:p w:rsidR="00576BFC" w:rsidRPr="00A30A33" w:rsidRDefault="00576BFC" w:rsidP="008B4B29">
            <w:pPr>
              <w:pStyle w:val="Tabletext"/>
              <w:keepNext/>
              <w:rPr>
                <w:lang w:eastAsia="en-AU"/>
              </w:rPr>
            </w:pPr>
            <w:r>
              <w:rPr>
                <w:lang w:eastAsia="en-AU"/>
              </w:rPr>
              <w:t>General Schedule</w:t>
            </w:r>
          </w:p>
        </w:tc>
      </w:tr>
      <w:tr w:rsidR="00576BFC" w:rsidRPr="00A30A33" w:rsidTr="00365524">
        <w:trPr>
          <w:trHeight w:val="20"/>
        </w:trPr>
        <w:tc>
          <w:tcPr>
            <w:tcW w:w="1084" w:type="pct"/>
            <w:tcBorders>
              <w:top w:val="single" w:sz="4" w:space="0" w:color="auto"/>
              <w:left w:val="single" w:sz="4" w:space="0" w:color="auto"/>
              <w:bottom w:val="single" w:sz="4" w:space="0" w:color="auto"/>
              <w:right w:val="single" w:sz="4" w:space="0" w:color="auto"/>
            </w:tcBorders>
            <w:hideMark/>
          </w:tcPr>
          <w:p w:rsidR="00576BFC" w:rsidRPr="00A30A33" w:rsidRDefault="00576BFC" w:rsidP="008B4B29">
            <w:pPr>
              <w:pStyle w:val="Tabletext"/>
              <w:keepNext/>
              <w:rPr>
                <w:lang w:eastAsia="en-AU"/>
              </w:rPr>
            </w:pPr>
            <w:r>
              <w:rPr>
                <w:lang w:eastAsia="en-AU"/>
              </w:rPr>
              <w:t>PBS indication:</w:t>
            </w:r>
          </w:p>
        </w:tc>
        <w:tc>
          <w:tcPr>
            <w:tcW w:w="3916" w:type="pct"/>
            <w:tcBorders>
              <w:top w:val="single" w:sz="4" w:space="0" w:color="auto"/>
              <w:left w:val="single" w:sz="4" w:space="0" w:color="auto"/>
              <w:bottom w:val="single" w:sz="4" w:space="0" w:color="auto"/>
              <w:right w:val="single" w:sz="4" w:space="0" w:color="auto"/>
            </w:tcBorders>
          </w:tcPr>
          <w:p w:rsidR="00576BFC" w:rsidRPr="00A30A33" w:rsidRDefault="00576BFC" w:rsidP="008B4B29">
            <w:pPr>
              <w:pStyle w:val="Tabletext"/>
              <w:keepNext/>
              <w:rPr>
                <w:lang w:eastAsia="en-AU"/>
              </w:rPr>
            </w:pPr>
            <w:r w:rsidRPr="00DC69CD">
              <w:rPr>
                <w:szCs w:val="20"/>
              </w:rPr>
              <w:t>Autosomal dominant polycystic kidney disease (ADPKD)</w:t>
            </w:r>
          </w:p>
        </w:tc>
      </w:tr>
      <w:tr w:rsidR="00576BFC" w:rsidRPr="00A30A33" w:rsidTr="00365524">
        <w:trPr>
          <w:trHeight w:val="20"/>
        </w:trPr>
        <w:tc>
          <w:tcPr>
            <w:tcW w:w="1084" w:type="pct"/>
            <w:tcBorders>
              <w:top w:val="single" w:sz="4" w:space="0" w:color="auto"/>
              <w:left w:val="single" w:sz="4" w:space="0" w:color="auto"/>
              <w:bottom w:val="single" w:sz="4" w:space="0" w:color="auto"/>
              <w:right w:val="single" w:sz="4" w:space="0" w:color="auto"/>
            </w:tcBorders>
            <w:hideMark/>
          </w:tcPr>
          <w:p w:rsidR="00576BFC" w:rsidRPr="00A30A33" w:rsidRDefault="00576BFC" w:rsidP="008B4B29">
            <w:pPr>
              <w:pStyle w:val="Tabletext"/>
              <w:keepNext/>
              <w:rPr>
                <w:lang w:eastAsia="en-AU"/>
              </w:rPr>
            </w:pPr>
            <w:r>
              <w:rPr>
                <w:lang w:eastAsia="en-AU"/>
              </w:rPr>
              <w:t>Treatment phase:</w:t>
            </w:r>
          </w:p>
        </w:tc>
        <w:tc>
          <w:tcPr>
            <w:tcW w:w="3916" w:type="pct"/>
            <w:tcBorders>
              <w:top w:val="single" w:sz="4" w:space="0" w:color="auto"/>
              <w:left w:val="single" w:sz="4" w:space="0" w:color="auto"/>
              <w:bottom w:val="single" w:sz="4" w:space="0" w:color="auto"/>
              <w:right w:val="single" w:sz="4" w:space="0" w:color="auto"/>
            </w:tcBorders>
          </w:tcPr>
          <w:p w:rsidR="00576BFC" w:rsidRPr="00A30A33" w:rsidRDefault="00576BFC" w:rsidP="008B4B29">
            <w:pPr>
              <w:pStyle w:val="Tabletext"/>
              <w:keepNext/>
              <w:rPr>
                <w:lang w:eastAsia="en-AU"/>
              </w:rPr>
            </w:pPr>
            <w:r>
              <w:rPr>
                <w:lang w:eastAsia="en-AU"/>
              </w:rPr>
              <w:t>Continuing treatment</w:t>
            </w:r>
          </w:p>
        </w:tc>
      </w:tr>
      <w:tr w:rsidR="00576BFC" w:rsidRPr="00A30A33" w:rsidTr="00365524">
        <w:trPr>
          <w:trHeight w:val="20"/>
        </w:trPr>
        <w:tc>
          <w:tcPr>
            <w:tcW w:w="1084" w:type="pct"/>
            <w:tcBorders>
              <w:top w:val="single" w:sz="4" w:space="0" w:color="auto"/>
              <w:left w:val="single" w:sz="4" w:space="0" w:color="auto"/>
              <w:bottom w:val="single" w:sz="4" w:space="0" w:color="auto"/>
              <w:right w:val="single" w:sz="4" w:space="0" w:color="auto"/>
            </w:tcBorders>
            <w:hideMark/>
          </w:tcPr>
          <w:p w:rsidR="00576BFC" w:rsidRPr="00A30A33" w:rsidRDefault="00576BFC" w:rsidP="008B4B29">
            <w:pPr>
              <w:pStyle w:val="Tabletext"/>
              <w:keepNext/>
              <w:rPr>
                <w:lang w:eastAsia="en-AU"/>
              </w:rPr>
            </w:pPr>
            <w:r w:rsidRPr="00A30A33">
              <w:rPr>
                <w:lang w:eastAsia="en-AU"/>
              </w:rPr>
              <w:t>Restriction</w:t>
            </w:r>
            <w:r>
              <w:rPr>
                <w:lang w:eastAsia="en-AU"/>
              </w:rPr>
              <w:t>:</w:t>
            </w:r>
          </w:p>
        </w:tc>
        <w:tc>
          <w:tcPr>
            <w:tcW w:w="3916" w:type="pct"/>
            <w:tcBorders>
              <w:top w:val="single" w:sz="4" w:space="0" w:color="auto"/>
              <w:left w:val="single" w:sz="4" w:space="0" w:color="auto"/>
              <w:bottom w:val="single" w:sz="4" w:space="0" w:color="auto"/>
              <w:right w:val="single" w:sz="4" w:space="0" w:color="auto"/>
            </w:tcBorders>
          </w:tcPr>
          <w:p w:rsidR="00576BFC" w:rsidRPr="00A30A33" w:rsidRDefault="00576BFC" w:rsidP="008B4B29">
            <w:pPr>
              <w:pStyle w:val="Tabletext"/>
              <w:keepNext/>
              <w:rPr>
                <w:lang w:eastAsia="en-AU"/>
              </w:rPr>
            </w:pPr>
            <w:r>
              <w:rPr>
                <w:lang w:eastAsia="en-AU"/>
              </w:rPr>
              <w:t>Authority Required (Streamlined)</w:t>
            </w:r>
          </w:p>
        </w:tc>
      </w:tr>
      <w:tr w:rsidR="00576BFC" w:rsidRPr="00A30A33" w:rsidTr="00365524">
        <w:trPr>
          <w:trHeight w:val="20"/>
        </w:trPr>
        <w:tc>
          <w:tcPr>
            <w:tcW w:w="1084" w:type="pct"/>
            <w:tcBorders>
              <w:top w:val="single" w:sz="4" w:space="0" w:color="auto"/>
              <w:left w:val="single" w:sz="4" w:space="0" w:color="auto"/>
              <w:bottom w:val="single" w:sz="4" w:space="0" w:color="auto"/>
              <w:right w:val="single" w:sz="4" w:space="0" w:color="auto"/>
            </w:tcBorders>
            <w:hideMark/>
          </w:tcPr>
          <w:p w:rsidR="00576BFC" w:rsidRPr="00A30A33" w:rsidRDefault="00576BFC" w:rsidP="008B4B29">
            <w:pPr>
              <w:pStyle w:val="Tabletext"/>
              <w:keepNext/>
              <w:rPr>
                <w:lang w:eastAsia="en-AU"/>
              </w:rPr>
            </w:pPr>
            <w:r w:rsidRPr="00A30A33">
              <w:rPr>
                <w:lang w:eastAsia="en-AU"/>
              </w:rPr>
              <w:t>Treatment criteria</w:t>
            </w:r>
            <w:r>
              <w:rPr>
                <w:lang w:eastAsia="en-AU"/>
              </w:rPr>
              <w:t>:</w:t>
            </w:r>
          </w:p>
        </w:tc>
        <w:tc>
          <w:tcPr>
            <w:tcW w:w="3916" w:type="pct"/>
            <w:tcBorders>
              <w:top w:val="single" w:sz="4" w:space="0" w:color="auto"/>
              <w:left w:val="single" w:sz="4" w:space="0" w:color="auto"/>
              <w:bottom w:val="single" w:sz="4" w:space="0" w:color="auto"/>
              <w:right w:val="single" w:sz="4" w:space="0" w:color="auto"/>
            </w:tcBorders>
          </w:tcPr>
          <w:p w:rsidR="00576BFC" w:rsidRPr="00A30A33" w:rsidRDefault="00576BFC" w:rsidP="008B4B29">
            <w:pPr>
              <w:pStyle w:val="Tabletext"/>
              <w:keepNext/>
              <w:rPr>
                <w:lang w:eastAsia="en-AU"/>
              </w:rPr>
            </w:pPr>
            <w:r w:rsidRPr="00DC69CD">
              <w:rPr>
                <w:szCs w:val="20"/>
              </w:rPr>
              <w:t>Must be treated by a specialist who has undergone tolvaptan prescriber training</w:t>
            </w:r>
          </w:p>
        </w:tc>
      </w:tr>
      <w:tr w:rsidR="00576BFC" w:rsidRPr="00A30A33" w:rsidTr="00365524">
        <w:trPr>
          <w:trHeight w:val="20"/>
        </w:trPr>
        <w:tc>
          <w:tcPr>
            <w:tcW w:w="1084" w:type="pct"/>
            <w:tcBorders>
              <w:top w:val="single" w:sz="4" w:space="0" w:color="auto"/>
              <w:left w:val="single" w:sz="4" w:space="0" w:color="auto"/>
              <w:bottom w:val="single" w:sz="4" w:space="0" w:color="auto"/>
              <w:right w:val="single" w:sz="4" w:space="0" w:color="auto"/>
            </w:tcBorders>
            <w:hideMark/>
          </w:tcPr>
          <w:p w:rsidR="00576BFC" w:rsidRPr="00A30A33" w:rsidRDefault="00576BFC" w:rsidP="008B4B29">
            <w:pPr>
              <w:pStyle w:val="Tabletext"/>
              <w:keepNext/>
              <w:rPr>
                <w:lang w:eastAsia="en-AU"/>
              </w:rPr>
            </w:pPr>
            <w:r w:rsidRPr="00A30A33">
              <w:rPr>
                <w:lang w:eastAsia="en-AU"/>
              </w:rPr>
              <w:t>Clinical criteria</w:t>
            </w:r>
            <w:r>
              <w:rPr>
                <w:lang w:eastAsia="en-AU"/>
              </w:rPr>
              <w:t>:</w:t>
            </w:r>
          </w:p>
        </w:tc>
        <w:tc>
          <w:tcPr>
            <w:tcW w:w="3916" w:type="pct"/>
            <w:tcBorders>
              <w:top w:val="single" w:sz="4" w:space="0" w:color="auto"/>
              <w:left w:val="single" w:sz="4" w:space="0" w:color="auto"/>
              <w:bottom w:val="single" w:sz="4" w:space="0" w:color="auto"/>
              <w:right w:val="single" w:sz="4" w:space="0" w:color="auto"/>
            </w:tcBorders>
          </w:tcPr>
          <w:p w:rsidR="00576BFC" w:rsidRPr="005B49F5" w:rsidRDefault="00576BFC" w:rsidP="008B4B29">
            <w:pPr>
              <w:pStyle w:val="Tablenormal0"/>
              <w:keepNext/>
              <w:widowControl/>
              <w:spacing w:before="0" w:after="0"/>
              <w:jc w:val="both"/>
              <w:rPr>
                <w:rFonts w:ascii="Arial Narrow" w:hAnsi="Arial Narrow"/>
                <w:sz w:val="20"/>
                <w:szCs w:val="20"/>
                <w:lang w:eastAsia="en-AU"/>
              </w:rPr>
            </w:pPr>
            <w:r w:rsidRPr="005B49F5">
              <w:rPr>
                <w:rFonts w:ascii="Arial Narrow" w:hAnsi="Arial Narrow"/>
                <w:sz w:val="20"/>
                <w:szCs w:val="20"/>
                <w:lang w:eastAsia="en-AU"/>
              </w:rPr>
              <w:t>The condition must be a confirmed diagnosis of ADPKD</w:t>
            </w:r>
            <w:r>
              <w:rPr>
                <w:rFonts w:ascii="Arial Narrow" w:hAnsi="Arial Narrow"/>
                <w:sz w:val="20"/>
                <w:szCs w:val="20"/>
                <w:lang w:eastAsia="en-AU"/>
              </w:rPr>
              <w:t>;</w:t>
            </w:r>
          </w:p>
          <w:p w:rsidR="00576BFC" w:rsidRPr="005B49F5" w:rsidRDefault="00576BFC" w:rsidP="008B4B29">
            <w:pPr>
              <w:pStyle w:val="Tablenormal0"/>
              <w:keepNext/>
              <w:widowControl/>
              <w:spacing w:before="0" w:after="0"/>
              <w:jc w:val="both"/>
              <w:rPr>
                <w:rFonts w:ascii="Arial Narrow" w:hAnsi="Arial Narrow"/>
                <w:sz w:val="20"/>
                <w:szCs w:val="20"/>
                <w:lang w:eastAsia="en-AU"/>
              </w:rPr>
            </w:pPr>
            <w:r w:rsidRPr="005B49F5">
              <w:rPr>
                <w:rFonts w:ascii="Arial Narrow" w:hAnsi="Arial Narrow"/>
                <w:sz w:val="20"/>
                <w:szCs w:val="20"/>
                <w:lang w:eastAsia="en-AU"/>
              </w:rPr>
              <w:t>AND</w:t>
            </w:r>
          </w:p>
          <w:p w:rsidR="00576BFC" w:rsidRPr="005B49F5" w:rsidRDefault="00576BFC" w:rsidP="008B4B29">
            <w:pPr>
              <w:pStyle w:val="Tablenormal0"/>
              <w:keepNext/>
              <w:widowControl/>
              <w:spacing w:before="0" w:after="0"/>
              <w:jc w:val="both"/>
              <w:rPr>
                <w:rFonts w:ascii="Arial Narrow" w:hAnsi="Arial Narrow"/>
                <w:sz w:val="20"/>
                <w:szCs w:val="20"/>
                <w:lang w:eastAsia="en-AU"/>
              </w:rPr>
            </w:pPr>
            <w:r w:rsidRPr="005B49F5">
              <w:rPr>
                <w:rFonts w:ascii="Arial Narrow" w:hAnsi="Arial Narrow"/>
                <w:sz w:val="20"/>
                <w:szCs w:val="20"/>
                <w:lang w:eastAsia="en-AU"/>
              </w:rPr>
              <w:t>Patient must have previously been issued with an authority prescription for this drug for this condition</w:t>
            </w:r>
            <w:r>
              <w:rPr>
                <w:rFonts w:ascii="Arial Narrow" w:hAnsi="Arial Narrow"/>
                <w:sz w:val="20"/>
                <w:szCs w:val="20"/>
                <w:lang w:eastAsia="en-AU"/>
              </w:rPr>
              <w:t>;</w:t>
            </w:r>
          </w:p>
          <w:p w:rsidR="00576BFC" w:rsidRPr="005B49F5" w:rsidRDefault="00576BFC" w:rsidP="008B4B29">
            <w:pPr>
              <w:pStyle w:val="Tablenormal0"/>
              <w:keepNext/>
              <w:widowControl/>
              <w:spacing w:before="0" w:after="0"/>
              <w:jc w:val="both"/>
              <w:rPr>
                <w:rFonts w:ascii="Arial Narrow" w:hAnsi="Arial Narrow"/>
                <w:sz w:val="20"/>
                <w:szCs w:val="20"/>
                <w:lang w:eastAsia="en-AU"/>
              </w:rPr>
            </w:pPr>
            <w:r w:rsidRPr="005B49F5">
              <w:rPr>
                <w:rFonts w:ascii="Arial Narrow" w:hAnsi="Arial Narrow"/>
                <w:sz w:val="20"/>
                <w:szCs w:val="20"/>
                <w:lang w:eastAsia="en-AU"/>
              </w:rPr>
              <w:t>AND</w:t>
            </w:r>
          </w:p>
          <w:p w:rsidR="00576BFC" w:rsidRPr="00A30A33" w:rsidRDefault="00576BFC" w:rsidP="008B4B29">
            <w:pPr>
              <w:pStyle w:val="Tabletext"/>
              <w:keepNext/>
              <w:numPr>
                <w:ilvl w:val="0"/>
                <w:numId w:val="7"/>
              </w:numPr>
              <w:ind w:left="344" w:hanging="364"/>
              <w:rPr>
                <w:lang w:eastAsia="en-AU"/>
              </w:rPr>
            </w:pPr>
            <w:r w:rsidRPr="005B49F5">
              <w:rPr>
                <w:szCs w:val="20"/>
                <w:lang w:eastAsia="en-AU"/>
              </w:rPr>
              <w:t>The patient must not have reached end-stage renal disease (eGFR &lt;15 mL/min/1.73</w:t>
            </w:r>
            <w:r>
              <w:rPr>
                <w:szCs w:val="20"/>
                <w:lang w:eastAsia="en-AU"/>
              </w:rPr>
              <w:t xml:space="preserve"> </w:t>
            </w:r>
            <w:r w:rsidRPr="005B49F5">
              <w:rPr>
                <w:szCs w:val="20"/>
                <w:lang w:eastAsia="en-AU"/>
              </w:rPr>
              <w:t>m</w:t>
            </w:r>
            <w:r w:rsidRPr="005B49F5">
              <w:rPr>
                <w:szCs w:val="20"/>
                <w:vertAlign w:val="superscript"/>
                <w:lang w:eastAsia="en-AU"/>
              </w:rPr>
              <w:t>2</w:t>
            </w:r>
            <w:r w:rsidRPr="005B49F5">
              <w:rPr>
                <w:szCs w:val="20"/>
                <w:lang w:eastAsia="en-AU"/>
              </w:rPr>
              <w:t>) or undergone a kidney transplant.</w:t>
            </w:r>
          </w:p>
        </w:tc>
      </w:tr>
    </w:tbl>
    <w:p w:rsidR="00576BFC" w:rsidRPr="00720EDF" w:rsidRDefault="00576BFC" w:rsidP="0086251F">
      <w:pPr>
        <w:pStyle w:val="ListParagraph"/>
        <w:widowControl/>
        <w:numPr>
          <w:ilvl w:val="1"/>
          <w:numId w:val="3"/>
        </w:numPr>
        <w:spacing w:before="120" w:after="120"/>
        <w:ind w:left="709" w:hanging="709"/>
      </w:pPr>
      <w:r w:rsidRPr="00995CD4">
        <w:t>The resubmission proposed a special pricing arrangement</w:t>
      </w:r>
      <w:r>
        <w:t>, with</w:t>
      </w:r>
      <w:r w:rsidRPr="00995CD4">
        <w:t xml:space="preserve"> a published price of $</w:t>
      </w:r>
      <w:r w:rsidR="00A00758">
        <w:rPr>
          <w:noProof/>
          <w:color w:val="000000"/>
          <w:highlight w:val="black"/>
        </w:rPr>
        <w:t>'''''''''''''''''</w:t>
      </w:r>
      <w:r>
        <w:t xml:space="preserve"> </w:t>
      </w:r>
      <w:r w:rsidRPr="00995CD4">
        <w:t>and an effective price of $</w:t>
      </w:r>
      <w:r w:rsidR="00A00758">
        <w:rPr>
          <w:noProof/>
          <w:color w:val="000000"/>
          <w:highlight w:val="black"/>
        </w:rPr>
        <w:t>''''''''''''</w:t>
      </w:r>
      <w:r w:rsidRPr="00995CD4">
        <w:t xml:space="preserve"> (</w:t>
      </w:r>
      <w:r>
        <w:t>compared to a published price of $</w:t>
      </w:r>
      <w:r w:rsidR="00A00758">
        <w:rPr>
          <w:noProof/>
          <w:color w:val="000000"/>
          <w:highlight w:val="black"/>
        </w:rPr>
        <w:t>'''''''''''''''</w:t>
      </w:r>
      <w:r>
        <w:t xml:space="preserve"> and an effective price of </w:t>
      </w:r>
      <w:r w:rsidRPr="00995CD4">
        <w:t>$</w:t>
      </w:r>
      <w:r w:rsidR="00A00758">
        <w:rPr>
          <w:noProof/>
          <w:color w:val="000000"/>
          <w:highlight w:val="black"/>
        </w:rPr>
        <w:t>''''''''''''''''</w:t>
      </w:r>
      <w:r>
        <w:t xml:space="preserve"> </w:t>
      </w:r>
      <w:r w:rsidRPr="00995CD4">
        <w:t xml:space="preserve">in the previous </w:t>
      </w:r>
      <w:r w:rsidRPr="00720EDF">
        <w:t>submission). In addition, a risk share arrangement by expenditure cap was proposed.</w:t>
      </w:r>
    </w:p>
    <w:p w:rsidR="00576BFC" w:rsidRPr="00591957" w:rsidRDefault="00576BFC" w:rsidP="0086251F">
      <w:pPr>
        <w:widowControl/>
        <w:spacing w:before="120" w:after="120"/>
      </w:pPr>
    </w:p>
    <w:p w:rsidR="00576BFC" w:rsidRPr="00F563B9" w:rsidRDefault="00576BFC" w:rsidP="0086251F">
      <w:pPr>
        <w:pStyle w:val="ListParagraph"/>
        <w:widowControl/>
        <w:numPr>
          <w:ilvl w:val="1"/>
          <w:numId w:val="3"/>
        </w:numPr>
        <w:spacing w:before="120" w:after="120"/>
        <w:ind w:left="709" w:hanging="709"/>
      </w:pPr>
      <w:r w:rsidRPr="00F563B9">
        <w:lastRenderedPageBreak/>
        <w:t>The requested listing is more restrictive than the TGA indication and excludes patients with CKD stage 1, reduced kidney function related to ageing and patients aged &gt;65 years. At the March 2017 meeting the PBAC noted that tolvaptan may be used in patients with slower disease progression or early stage disease in an attempt to preserve maximum kidney function (Tolvaptan PSD, March 2017, para.7.4).</w:t>
      </w:r>
    </w:p>
    <w:p w:rsidR="00365524" w:rsidRDefault="00576BFC" w:rsidP="0086251F">
      <w:pPr>
        <w:pStyle w:val="ListParagraph"/>
        <w:widowControl/>
        <w:numPr>
          <w:ilvl w:val="1"/>
          <w:numId w:val="3"/>
        </w:numPr>
        <w:spacing w:before="120" w:after="120"/>
        <w:ind w:left="709" w:hanging="709"/>
      </w:pPr>
      <w:r w:rsidRPr="00BF2004">
        <w:t xml:space="preserve">The </w:t>
      </w:r>
      <w:r>
        <w:t xml:space="preserve">restriction </w:t>
      </w:r>
      <w:r w:rsidRPr="00BF2004">
        <w:t xml:space="preserve">proposed in the resubmission </w:t>
      </w:r>
      <w:r>
        <w:t>differs</w:t>
      </w:r>
      <w:r w:rsidRPr="00BF2004">
        <w:t xml:space="preserve"> from the </w:t>
      </w:r>
      <w:r>
        <w:t>previous submission in several key criteria</w:t>
      </w:r>
      <w:r w:rsidR="00365524">
        <w:t>:</w:t>
      </w:r>
    </w:p>
    <w:p w:rsidR="00365524" w:rsidRDefault="00576BFC" w:rsidP="0086251F">
      <w:pPr>
        <w:pStyle w:val="ListParagraph"/>
        <w:widowControl/>
        <w:numPr>
          <w:ilvl w:val="0"/>
          <w:numId w:val="1"/>
        </w:numPr>
        <w:spacing w:before="120" w:after="120"/>
        <w:ind w:left="1077" w:hanging="357"/>
      </w:pPr>
      <w:r>
        <w:t xml:space="preserve">The requested restriction includes patients with </w:t>
      </w:r>
      <w:r w:rsidRPr="00BF2004">
        <w:t xml:space="preserve">CKD </w:t>
      </w:r>
      <w:r>
        <w:t>2</w:t>
      </w:r>
      <w:r w:rsidRPr="00BF2004">
        <w:t>-3</w:t>
      </w:r>
      <w:r>
        <w:t xml:space="preserve">; the </w:t>
      </w:r>
      <w:r w:rsidRPr="00BF2004">
        <w:t xml:space="preserve">previous submission </w:t>
      </w:r>
      <w:r>
        <w:t xml:space="preserve">included patients with </w:t>
      </w:r>
      <w:r w:rsidRPr="00BF2004">
        <w:t xml:space="preserve">CKD </w:t>
      </w:r>
      <w:r>
        <w:t>1-3</w:t>
      </w:r>
      <w:r w:rsidR="00365524">
        <w:t>;</w:t>
      </w:r>
    </w:p>
    <w:p w:rsidR="00365524" w:rsidRDefault="00576BFC" w:rsidP="0086251F">
      <w:pPr>
        <w:pStyle w:val="ListParagraph"/>
        <w:widowControl/>
        <w:numPr>
          <w:ilvl w:val="0"/>
          <w:numId w:val="1"/>
        </w:numPr>
        <w:spacing w:before="120" w:after="120"/>
        <w:ind w:left="1077" w:hanging="357"/>
      </w:pPr>
      <w:r>
        <w:t xml:space="preserve">The requested restriction defines rapidly progressing disease on the basis of historical rate of decline in eGFR; the previous submission defined rapidly progressing disease using the </w:t>
      </w:r>
      <w:r w:rsidRPr="00BF2004">
        <w:t>M</w:t>
      </w:r>
      <w:r>
        <w:t>ayo</w:t>
      </w:r>
      <w:r w:rsidRPr="00BF2004">
        <w:t xml:space="preserve"> classification </w:t>
      </w:r>
      <w:r>
        <w:t>or historical</w:t>
      </w:r>
      <w:r w:rsidRPr="00BF2004">
        <w:t xml:space="preserve"> rate of decline in eGFR</w:t>
      </w:r>
      <w:r w:rsidR="00365524">
        <w:t>;</w:t>
      </w:r>
    </w:p>
    <w:p w:rsidR="00365524" w:rsidRDefault="00576BFC" w:rsidP="0086251F">
      <w:pPr>
        <w:pStyle w:val="ListParagraph"/>
        <w:widowControl/>
        <w:numPr>
          <w:ilvl w:val="0"/>
          <w:numId w:val="1"/>
        </w:numPr>
        <w:spacing w:before="120" w:after="120"/>
        <w:ind w:left="1077" w:hanging="357"/>
      </w:pPr>
      <w:r>
        <w:t xml:space="preserve">The requested restriction </w:t>
      </w:r>
      <w:r w:rsidR="00365524">
        <w:t xml:space="preserve">includes the following eligibility criteria to </w:t>
      </w:r>
      <w:r>
        <w:t>exclude patients with age related decline in eGFR</w:t>
      </w:r>
      <w:r w:rsidR="00365524">
        <w:t>:</w:t>
      </w:r>
      <w:r>
        <w:t xml:space="preserve"> PBS sub-population 1: age 18-50 years, eGFR &lt;90 mL/min/1.73 m</w:t>
      </w:r>
      <w:r w:rsidRPr="00365524">
        <w:rPr>
          <w:vertAlign w:val="superscript"/>
        </w:rPr>
        <w:t>2</w:t>
      </w:r>
      <w:r>
        <w:t>; PBS sub-population 2: age 51-55 years, eGFR &lt;65</w:t>
      </w:r>
      <w:r w:rsidR="003B7DDA">
        <w:t> </w:t>
      </w:r>
      <w:r>
        <w:t>mL/min/1.73 m</w:t>
      </w:r>
      <w:r w:rsidRPr="00365524">
        <w:rPr>
          <w:vertAlign w:val="superscript"/>
        </w:rPr>
        <w:t>2</w:t>
      </w:r>
      <w:r>
        <w:t>; and PBS sub-population 3: age 56-65 years; eGFR &lt;45</w:t>
      </w:r>
      <w:r w:rsidR="003B7DDA">
        <w:t> </w:t>
      </w:r>
      <w:r>
        <w:t>mL/min/1.73 m</w:t>
      </w:r>
      <w:r w:rsidRPr="00365524">
        <w:rPr>
          <w:vertAlign w:val="superscript"/>
        </w:rPr>
        <w:t>2</w:t>
      </w:r>
      <w:r>
        <w:t>.</w:t>
      </w:r>
    </w:p>
    <w:p w:rsidR="00576BFC" w:rsidRDefault="00576BFC" w:rsidP="0086251F">
      <w:pPr>
        <w:pStyle w:val="ListParagraph"/>
        <w:widowControl/>
        <w:numPr>
          <w:ilvl w:val="0"/>
          <w:numId w:val="1"/>
        </w:numPr>
        <w:spacing w:before="120" w:after="120"/>
        <w:ind w:left="1077" w:hanging="357"/>
      </w:pPr>
      <w:r>
        <w:t>The requested restriction includes a stopping rule; patients cease treatment with tolvaptan on progression to end-stage kidney disease (ESKD; i.e. eGFR &lt;15</w:t>
      </w:r>
      <w:r w:rsidR="003B7DDA">
        <w:t> </w:t>
      </w:r>
      <w:r>
        <w:t>mL/min/1.73 m</w:t>
      </w:r>
      <w:r w:rsidRPr="00365524">
        <w:rPr>
          <w:vertAlign w:val="superscript"/>
        </w:rPr>
        <w:t>2</w:t>
      </w:r>
      <w:r>
        <w:t>) or after kidney transplant.</w:t>
      </w:r>
    </w:p>
    <w:p w:rsidR="00433044" w:rsidRPr="00720EDF" w:rsidRDefault="008B601C" w:rsidP="0086251F">
      <w:pPr>
        <w:pStyle w:val="ListParagraph"/>
        <w:widowControl/>
        <w:numPr>
          <w:ilvl w:val="1"/>
          <w:numId w:val="3"/>
        </w:numPr>
        <w:spacing w:before="120" w:after="120"/>
        <w:ind w:left="709" w:hanging="709"/>
      </w:pPr>
      <w:r w:rsidRPr="00F563B9">
        <w:t xml:space="preserve">The criteria used to exclude patients with age related decline in eGFR were derived from the inclusion criteria of the clinical trials, </w:t>
      </w:r>
      <w:r w:rsidR="00720EDF">
        <w:t xml:space="preserve">and </w:t>
      </w:r>
      <w:r w:rsidR="00D46DE4" w:rsidRPr="00F563B9">
        <w:t>were</w:t>
      </w:r>
      <w:r w:rsidRPr="00F563B9">
        <w:t xml:space="preserve"> not consistent with age related </w:t>
      </w:r>
      <w:r w:rsidR="00D46DE4" w:rsidRPr="00F563B9">
        <w:t xml:space="preserve">decline observed in the general community and were not justified. </w:t>
      </w:r>
    </w:p>
    <w:p w:rsidR="00576BFC" w:rsidRPr="005502C8" w:rsidRDefault="00DE4A7B" w:rsidP="0086251F">
      <w:pPr>
        <w:pStyle w:val="ListParagraph"/>
        <w:widowControl/>
        <w:numPr>
          <w:ilvl w:val="1"/>
          <w:numId w:val="3"/>
        </w:numPr>
        <w:spacing w:before="120" w:after="120"/>
        <w:ind w:left="709" w:hanging="709"/>
      </w:pPr>
      <w:r>
        <w:t>The evaluation considered i</w:t>
      </w:r>
      <w:r w:rsidR="00576BFC" w:rsidRPr="00F563B9">
        <w:t xml:space="preserve">t </w:t>
      </w:r>
      <w:r>
        <w:t>wa</w:t>
      </w:r>
      <w:r w:rsidR="00576BFC" w:rsidRPr="00F563B9">
        <w:t>s uncertain whether clinicians would adhere to a restriction excluding patients with CKD 1, age limited eGFR</w:t>
      </w:r>
      <w:r w:rsidR="00365524" w:rsidRPr="00F563B9">
        <w:t>,</w:t>
      </w:r>
      <w:r w:rsidR="00576BFC" w:rsidRPr="00F563B9">
        <w:t xml:space="preserve"> or </w:t>
      </w:r>
      <w:r w:rsidR="00365524" w:rsidRPr="00F563B9">
        <w:t xml:space="preserve">patients </w:t>
      </w:r>
      <w:r w:rsidR="00576BFC" w:rsidRPr="00F563B9">
        <w:t>older the 65 years, given tolvaptan would be the first treatment listed for slowing progression of ADPKD and all patients with rapidly progressing ADPKD may be perceived as likely to benefit from treatment.</w:t>
      </w:r>
      <w:r w:rsidR="00EB6196">
        <w:t xml:space="preserve"> </w:t>
      </w:r>
      <w:r w:rsidR="00EB6196" w:rsidRPr="00A6065F">
        <w:t xml:space="preserve">The ESC agreed that in the absence of other disease-modifying therapy for ADPKD, tolvaptan may be used outside the </w:t>
      </w:r>
      <w:r w:rsidR="00720EDF" w:rsidRPr="00A6065F">
        <w:t xml:space="preserve">proposed </w:t>
      </w:r>
      <w:r w:rsidR="00EB6196" w:rsidRPr="00A6065F">
        <w:t>restriction</w:t>
      </w:r>
      <w:r w:rsidR="00EB6196">
        <w:rPr>
          <w:i/>
        </w:rPr>
        <w:t>.</w:t>
      </w:r>
    </w:p>
    <w:p w:rsidR="005502C8" w:rsidRPr="00F563B9" w:rsidRDefault="0085565A" w:rsidP="0086251F">
      <w:pPr>
        <w:pStyle w:val="ListParagraph"/>
        <w:widowControl/>
        <w:numPr>
          <w:ilvl w:val="1"/>
          <w:numId w:val="3"/>
        </w:numPr>
        <w:spacing w:before="120" w:after="120"/>
        <w:ind w:left="709" w:hanging="709"/>
      </w:pPr>
      <w:r>
        <w:t>The submission</w:t>
      </w:r>
      <w:r w:rsidR="00DE4A7B">
        <w:t xml:space="preserve"> requested </w:t>
      </w:r>
      <w:r w:rsidR="005502C8">
        <w:t xml:space="preserve">the PBS restriction </w:t>
      </w:r>
      <w:r w:rsidR="00DE4A7B">
        <w:t>include</w:t>
      </w:r>
      <w:r w:rsidR="005502C8">
        <w:t xml:space="preserve"> a grandfathering clause to include </w:t>
      </w:r>
      <w:r w:rsidR="005502C8" w:rsidRPr="005502C8">
        <w:t xml:space="preserve">patients </w:t>
      </w:r>
      <w:r w:rsidR="005502C8">
        <w:t>in the</w:t>
      </w:r>
      <w:r w:rsidR="005502C8" w:rsidRPr="005502C8">
        <w:t xml:space="preserve"> patient familiarisation program (PFP). </w:t>
      </w:r>
      <w:r w:rsidR="005502C8">
        <w:t xml:space="preserve">The Pre-PBAC response </w:t>
      </w:r>
      <w:r w:rsidR="0027491F">
        <w:t>expects</w:t>
      </w:r>
      <w:r w:rsidR="005502C8" w:rsidRPr="005502C8">
        <w:t xml:space="preserve"> up to 200 </w:t>
      </w:r>
      <w:r w:rsidR="0027491F">
        <w:t xml:space="preserve">PFP </w:t>
      </w:r>
      <w:r w:rsidR="005502C8" w:rsidRPr="005502C8">
        <w:t>patients w</w:t>
      </w:r>
      <w:r w:rsidR="00DE4A7B">
        <w:t>ould</w:t>
      </w:r>
      <w:r w:rsidR="005502C8" w:rsidRPr="005502C8">
        <w:t xml:space="preserve"> </w:t>
      </w:r>
      <w:r w:rsidR="0027491F" w:rsidRPr="005502C8">
        <w:t>meet the proposed PBS eligibility criteria</w:t>
      </w:r>
      <w:r w:rsidR="005502C8" w:rsidRPr="005502C8">
        <w:t>.</w:t>
      </w:r>
    </w:p>
    <w:p w:rsidR="001D22CA" w:rsidRDefault="001341BE" w:rsidP="001D22CA">
      <w:pPr>
        <w:widowControl/>
        <w:spacing w:before="120" w:after="120"/>
        <w:ind w:firstLine="709"/>
        <w:rPr>
          <w:rFonts w:asciiTheme="minorHAnsi" w:hAnsiTheme="minorHAnsi"/>
          <w:i/>
        </w:rPr>
      </w:pPr>
      <w:r w:rsidRPr="00DE4A7B">
        <w:rPr>
          <w:rFonts w:asciiTheme="minorHAnsi" w:hAnsiTheme="minorHAnsi"/>
          <w:i/>
        </w:rPr>
        <w:t>For more detail on PBAC’s view, see section 7 PBAC outcome.</w:t>
      </w:r>
    </w:p>
    <w:p w:rsidR="001D22CA" w:rsidRDefault="001D22CA">
      <w:pPr>
        <w:widowControl/>
        <w:jc w:val="left"/>
        <w:rPr>
          <w:rFonts w:asciiTheme="minorHAnsi" w:hAnsiTheme="minorHAnsi"/>
          <w:i/>
        </w:rPr>
      </w:pPr>
      <w:r>
        <w:rPr>
          <w:rFonts w:asciiTheme="minorHAnsi" w:hAnsiTheme="minorHAnsi"/>
          <w:i/>
        </w:rPr>
        <w:br w:type="page"/>
      </w:r>
    </w:p>
    <w:p w:rsidR="009F1E0F" w:rsidRDefault="00576BFC" w:rsidP="0086251F">
      <w:pPr>
        <w:pStyle w:val="PBACHeading1"/>
        <w:spacing w:before="240" w:after="120"/>
        <w:outlineLvl w:val="0"/>
      </w:pPr>
      <w:bookmarkStart w:id="3" w:name="_Toc503203039"/>
      <w:bookmarkStart w:id="4" w:name="_Toc503953362"/>
      <w:r w:rsidRPr="00407F2D">
        <w:lastRenderedPageBreak/>
        <w:t>Background</w:t>
      </w:r>
      <w:bookmarkEnd w:id="3"/>
      <w:bookmarkEnd w:id="4"/>
    </w:p>
    <w:p w:rsidR="009F1E0F" w:rsidRPr="00FD30F4" w:rsidRDefault="009F1E0F" w:rsidP="0086251F">
      <w:pPr>
        <w:pStyle w:val="Heading2"/>
        <w:widowControl/>
        <w:spacing w:before="240"/>
      </w:pPr>
      <w:r w:rsidRPr="00FD30F4">
        <w:t>Registration Status</w:t>
      </w:r>
    </w:p>
    <w:p w:rsidR="00576BFC" w:rsidRPr="009A703D" w:rsidRDefault="00576BFC" w:rsidP="008B4B29">
      <w:pPr>
        <w:pStyle w:val="ListParagraph"/>
        <w:widowControl/>
        <w:numPr>
          <w:ilvl w:val="1"/>
          <w:numId w:val="3"/>
        </w:numPr>
        <w:spacing w:after="0"/>
        <w:ind w:left="709" w:hanging="709"/>
      </w:pPr>
      <w:r w:rsidRPr="009A703D">
        <w:t>Tolvaptan (JINARC®) was registered by the TGA on 24 March 2017 for ADPKD in 15</w:t>
      </w:r>
      <w:r w:rsidR="003B7DDA">
        <w:t> </w:t>
      </w:r>
      <w:r w:rsidRPr="009A703D">
        <w:t>mg/45 mg, 30 mg/60 mg and 30 mg/90 mg dual dose packs, as well as 15 mg tablet packs and 30 mg tablet packs</w:t>
      </w:r>
      <w:r>
        <w:t>,</w:t>
      </w:r>
      <w:r w:rsidRPr="009A703D">
        <w:t xml:space="preserve"> to slow the progression of cyst development and renal insufficiency of </w:t>
      </w:r>
      <w:r>
        <w:t>ADPKD</w:t>
      </w:r>
      <w:r w:rsidRPr="009A703D">
        <w:t xml:space="preserve"> in adults with chronic kidney disease (CKD) stage 1 to 3 at initiation of treatment with evidence of rapidly progressing disease. </w:t>
      </w:r>
    </w:p>
    <w:p w:rsidR="00576BFC" w:rsidRPr="00FD30F4" w:rsidRDefault="009F1E0F" w:rsidP="0086251F">
      <w:pPr>
        <w:pStyle w:val="Heading2"/>
        <w:widowControl/>
        <w:spacing w:before="240"/>
      </w:pPr>
      <w:r w:rsidRPr="00FD30F4">
        <w:t>Previous PBAC consideration</w:t>
      </w:r>
    </w:p>
    <w:p w:rsidR="00870975" w:rsidRDefault="00576BFC" w:rsidP="008B4B29">
      <w:pPr>
        <w:pStyle w:val="ListParagraph"/>
        <w:widowControl/>
        <w:numPr>
          <w:ilvl w:val="1"/>
          <w:numId w:val="3"/>
        </w:numPr>
        <w:spacing w:after="0"/>
        <w:ind w:left="709" w:hanging="709"/>
      </w:pPr>
      <w:r>
        <w:t xml:space="preserve">A summary of outstanding matters of concern </w:t>
      </w:r>
      <w:r w:rsidR="00616525">
        <w:t xml:space="preserve">from the March 2017 submission </w:t>
      </w:r>
      <w:r>
        <w:t xml:space="preserve">is presented </w:t>
      </w:r>
      <w:r w:rsidR="00060F9A">
        <w:t xml:space="preserve">below. </w:t>
      </w:r>
    </w:p>
    <w:p w:rsidR="00060F9A" w:rsidRPr="005E23F7" w:rsidRDefault="00060F9A" w:rsidP="008B4B29">
      <w:pPr>
        <w:keepNext/>
        <w:widowControl/>
        <w:rPr>
          <w:rStyle w:val="CommentReference"/>
        </w:rPr>
      </w:pPr>
      <w:r w:rsidRPr="005E23F7">
        <w:rPr>
          <w:rStyle w:val="CommentReference"/>
        </w:rPr>
        <w:lastRenderedPageBreak/>
        <w:t>Table 2:  Summary of outstanding matters of concern from March 2017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7"/>
        <w:gridCol w:w="4058"/>
        <w:gridCol w:w="4058"/>
      </w:tblGrid>
      <w:tr w:rsidR="00060F9A" w:rsidRPr="005E23F7" w:rsidTr="009E698C">
        <w:trPr>
          <w:tblHeader/>
        </w:trPr>
        <w:tc>
          <w:tcPr>
            <w:tcW w:w="610" w:type="pct"/>
          </w:tcPr>
          <w:p w:rsidR="00060F9A" w:rsidRPr="005E23F7" w:rsidRDefault="00060F9A" w:rsidP="008B4B29">
            <w:pPr>
              <w:pStyle w:val="Tabletext"/>
              <w:keepNext/>
              <w:rPr>
                <w:b/>
              </w:rPr>
            </w:pPr>
            <w:r w:rsidRPr="005E23F7">
              <w:rPr>
                <w:b/>
              </w:rPr>
              <w:t>Component</w:t>
            </w:r>
          </w:p>
        </w:tc>
        <w:tc>
          <w:tcPr>
            <w:tcW w:w="2195" w:type="pct"/>
          </w:tcPr>
          <w:p w:rsidR="00060F9A" w:rsidRPr="005E23F7" w:rsidRDefault="00060F9A" w:rsidP="008B4B29">
            <w:pPr>
              <w:pStyle w:val="Tabletext"/>
              <w:keepNext/>
              <w:jc w:val="center"/>
              <w:rPr>
                <w:b/>
              </w:rPr>
            </w:pPr>
            <w:r w:rsidRPr="005E23F7">
              <w:rPr>
                <w:b/>
              </w:rPr>
              <w:t>Matter of concern</w:t>
            </w:r>
          </w:p>
        </w:tc>
        <w:tc>
          <w:tcPr>
            <w:tcW w:w="2195" w:type="pct"/>
          </w:tcPr>
          <w:p w:rsidR="00060F9A" w:rsidRPr="005E23F7" w:rsidRDefault="00060F9A" w:rsidP="008B4B29">
            <w:pPr>
              <w:pStyle w:val="Tabletext"/>
              <w:keepNext/>
              <w:jc w:val="center"/>
              <w:rPr>
                <w:b/>
              </w:rPr>
            </w:pPr>
            <w:r w:rsidRPr="005E23F7">
              <w:rPr>
                <w:b/>
              </w:rPr>
              <w:t>How the resubmission addresses it</w:t>
            </w:r>
          </w:p>
        </w:tc>
      </w:tr>
      <w:tr w:rsidR="00060F9A" w:rsidRPr="005E23F7" w:rsidTr="009E698C">
        <w:tc>
          <w:tcPr>
            <w:tcW w:w="610" w:type="pct"/>
          </w:tcPr>
          <w:p w:rsidR="00060F9A" w:rsidRPr="005E23F7" w:rsidRDefault="00060F9A" w:rsidP="008B4B29">
            <w:pPr>
              <w:pStyle w:val="Tabletext"/>
              <w:keepNext/>
            </w:pPr>
            <w:r w:rsidRPr="005E23F7">
              <w:t xml:space="preserve">Clinical </w:t>
            </w:r>
            <w:r w:rsidR="00AD08CE" w:rsidRPr="005E23F7">
              <w:t>issue</w:t>
            </w:r>
          </w:p>
        </w:tc>
        <w:tc>
          <w:tcPr>
            <w:tcW w:w="2195" w:type="pct"/>
          </w:tcPr>
          <w:p w:rsidR="00060F9A" w:rsidRPr="005E23F7" w:rsidRDefault="00AD08CE" w:rsidP="008B4B29">
            <w:pPr>
              <w:pStyle w:val="Tabletext"/>
              <w:keepNext/>
            </w:pPr>
            <w:r w:rsidRPr="005E23F7">
              <w:t xml:space="preserve">[7.5] </w:t>
            </w:r>
            <w:r w:rsidR="007E5AA3" w:rsidRPr="005E23F7">
              <w:t>T</w:t>
            </w:r>
            <w:r w:rsidR="00060F9A" w:rsidRPr="005E23F7">
              <w:t>he PBAC noted that TEMPO 3:4 did not provide adequate data to support the claim that tolvaptan had superior efficacy to placebo in the treatment of autosomal dominant polycystic kidney disease (ADPKD), given the uncertain clinical importance of the very small decreases in the rate of total kidney volume (TKV) growth from baseline reported in the trial</w:t>
            </w:r>
            <w:r w:rsidRPr="005E23F7">
              <w:t>.</w:t>
            </w:r>
            <w:r w:rsidR="00060F9A" w:rsidRPr="005E23F7">
              <w:t xml:space="preserve"> </w:t>
            </w:r>
          </w:p>
          <w:p w:rsidR="007E5AA3" w:rsidRPr="005E23F7" w:rsidRDefault="007E5AA3" w:rsidP="008B4B29">
            <w:pPr>
              <w:pStyle w:val="Tabletext"/>
              <w:keepNext/>
            </w:pPr>
          </w:p>
          <w:p w:rsidR="00060F9A" w:rsidRPr="005E23F7" w:rsidRDefault="00AD08CE" w:rsidP="008B4B29">
            <w:pPr>
              <w:pStyle w:val="Tabletext"/>
              <w:keepNext/>
            </w:pPr>
            <w:r w:rsidRPr="005E23F7">
              <w:t xml:space="preserve">[7.5] </w:t>
            </w:r>
            <w:r w:rsidR="00060F9A" w:rsidRPr="005E23F7">
              <w:t>The PBAC noted that change in rate of TKV growth was not a validated surrogate outcome for chronic kidney disease (CKD) progression, and that the outcome of greatest clinical importance was prevention of end-stage kidney disease (ESKD). The PBAC accepted that estimated glomerular filtration rate (eGFR) may be a reasonable surrogate, but was not validated in this setting</w:t>
            </w:r>
            <w:r w:rsidRPr="005E23F7">
              <w:t>.</w:t>
            </w:r>
            <w:r w:rsidR="00060F9A" w:rsidRPr="005E23F7">
              <w:t xml:space="preserve"> </w:t>
            </w:r>
          </w:p>
        </w:tc>
        <w:tc>
          <w:tcPr>
            <w:tcW w:w="2195" w:type="pct"/>
          </w:tcPr>
          <w:p w:rsidR="00060F9A" w:rsidRPr="00F563B9" w:rsidRDefault="00AD08CE" w:rsidP="008B4B29">
            <w:pPr>
              <w:pStyle w:val="Tabletext"/>
              <w:keepNext/>
            </w:pPr>
            <w:r w:rsidRPr="00F563B9">
              <w:t xml:space="preserve">Additional data </w:t>
            </w:r>
            <w:r w:rsidR="0085565A">
              <w:t>we</w:t>
            </w:r>
            <w:r w:rsidRPr="00F563B9">
              <w:t xml:space="preserve">re presented in the resubmission from the REPRISE trial and TEMPO 4:4 extension study. The primary outcome presented in the resubmission </w:t>
            </w:r>
            <w:r w:rsidR="0085565A">
              <w:t>wa</w:t>
            </w:r>
            <w:r w:rsidRPr="00F563B9">
              <w:t>s relative difference in slope of annualised change in eGFR. Validation of eGFR as a surrogate for severity and disease progression in chronic CKD in ADPKD patients treated with tolvaptan was not presented in the resubmission.</w:t>
            </w:r>
          </w:p>
        </w:tc>
      </w:tr>
      <w:tr w:rsidR="00AD08CE" w:rsidRPr="005E23F7" w:rsidTr="009E698C">
        <w:tc>
          <w:tcPr>
            <w:tcW w:w="610" w:type="pct"/>
          </w:tcPr>
          <w:p w:rsidR="00AD08CE" w:rsidRPr="005E23F7" w:rsidRDefault="00AD08CE" w:rsidP="008B4B29">
            <w:pPr>
              <w:pStyle w:val="Tabletext"/>
              <w:keepNext/>
            </w:pPr>
            <w:r w:rsidRPr="005E23F7">
              <w:t>Clinical issue</w:t>
            </w:r>
          </w:p>
        </w:tc>
        <w:tc>
          <w:tcPr>
            <w:tcW w:w="2195" w:type="pct"/>
          </w:tcPr>
          <w:p w:rsidR="00AD08CE" w:rsidRPr="005E23F7" w:rsidRDefault="00AD08CE" w:rsidP="008B4B29">
            <w:pPr>
              <w:pStyle w:val="Tabletext"/>
              <w:keepNext/>
            </w:pPr>
            <w:r w:rsidRPr="005E23F7">
              <w:t>[6.25] The PBAC also noted that the use of relative reductions in slope compared to placebo as measures of treatment effect in the primary and key secondary outcomes of TEMPO 3:4 was not adequately justified, was difficult to interpret, and may not represent patient-relevant outcomes</w:t>
            </w:r>
          </w:p>
        </w:tc>
        <w:tc>
          <w:tcPr>
            <w:tcW w:w="2195" w:type="pct"/>
          </w:tcPr>
          <w:p w:rsidR="00AD08CE" w:rsidRPr="00F563B9" w:rsidRDefault="00AD08CE" w:rsidP="008B4B29">
            <w:pPr>
              <w:pStyle w:val="Tabletext"/>
              <w:keepNext/>
            </w:pPr>
            <w:r w:rsidRPr="00F563B9">
              <w:t>The relevant primary and secondary outcomes of the REPRISE and TEMPO 3:4: trials were reported as relative reductions in slope and the magnitude of clinical benefit likely to be realised in clinical practice remains uncertain.</w:t>
            </w:r>
          </w:p>
        </w:tc>
      </w:tr>
      <w:tr w:rsidR="007E5AA3" w:rsidRPr="005E23F7" w:rsidTr="009E698C">
        <w:tc>
          <w:tcPr>
            <w:tcW w:w="610" w:type="pct"/>
          </w:tcPr>
          <w:p w:rsidR="007E5AA3" w:rsidRPr="005E23F7" w:rsidRDefault="007E5AA3" w:rsidP="008B4B29">
            <w:pPr>
              <w:pStyle w:val="Tabletext"/>
              <w:keepNext/>
            </w:pPr>
            <w:r w:rsidRPr="005E23F7">
              <w:t>Clinical issue</w:t>
            </w:r>
          </w:p>
        </w:tc>
        <w:tc>
          <w:tcPr>
            <w:tcW w:w="2195" w:type="pct"/>
          </w:tcPr>
          <w:p w:rsidR="007E5AA3" w:rsidRPr="005E23F7" w:rsidRDefault="007E5AA3" w:rsidP="008B4B29">
            <w:pPr>
              <w:pStyle w:val="Tabletext"/>
              <w:keepNext/>
            </w:pPr>
            <w:r w:rsidRPr="005E23F7">
              <w:t>[6.25 and 7.5] The PBAC noted that tolvaptan was associated with an acute hemodynamic effect and that interpretation of affected outcomes in trials designed to avoid confounding due to the effect (TEMPO 3:4) was challenging</w:t>
            </w:r>
          </w:p>
        </w:tc>
        <w:tc>
          <w:tcPr>
            <w:tcW w:w="2195" w:type="pct"/>
          </w:tcPr>
          <w:p w:rsidR="007E5AA3" w:rsidRPr="00F563B9" w:rsidRDefault="007E5AA3" w:rsidP="008B4B29">
            <w:pPr>
              <w:pStyle w:val="Tabletext"/>
              <w:keepNext/>
            </w:pPr>
            <w:r w:rsidRPr="00F563B9">
              <w:t xml:space="preserve">The REPRISE and TEMPO 3:4 trials were designed and outcomes adjusted to account for the tolvaptan acute hemodynamic effect, and results unadjusted for the effect were less favourable to tolvaptan. However, it </w:t>
            </w:r>
            <w:r w:rsidR="0085565A">
              <w:t>wa</w:t>
            </w:r>
            <w:r w:rsidRPr="00F563B9">
              <w:t>s unclear whether the effect and reversal remain constant over long term treatment, what reversal of the effect means for patients treated with tolvaptan until progression to ESKD and how eGFR will be used to assess CKD progression in tolvaptan treated patients in clinical practice.</w:t>
            </w:r>
          </w:p>
        </w:tc>
      </w:tr>
      <w:tr w:rsidR="005E23F7" w:rsidRPr="005E23F7" w:rsidTr="009E698C">
        <w:tc>
          <w:tcPr>
            <w:tcW w:w="610" w:type="pct"/>
          </w:tcPr>
          <w:p w:rsidR="005E23F7" w:rsidRPr="005E23F7" w:rsidRDefault="005E23F7" w:rsidP="008B4B29">
            <w:pPr>
              <w:pStyle w:val="Tabletext"/>
              <w:keepNext/>
            </w:pPr>
            <w:r w:rsidRPr="005E23F7">
              <w:t>Economic issue</w:t>
            </w:r>
          </w:p>
        </w:tc>
        <w:tc>
          <w:tcPr>
            <w:tcW w:w="2195" w:type="pct"/>
          </w:tcPr>
          <w:p w:rsidR="005E23F7" w:rsidRPr="005E23F7" w:rsidRDefault="005E23F7" w:rsidP="008B4B29">
            <w:pPr>
              <w:pStyle w:val="Tabletext"/>
              <w:keepNext/>
            </w:pPr>
            <w:r w:rsidRPr="005E23F7">
              <w:rPr>
                <w:szCs w:val="24"/>
              </w:rPr>
              <w:t>[6.49] The PBAC noted that the use of a cohort based economic model, using 270 risk profiles as separate population cohorts to generate weighted aggregate costs and QALYs, was overly complex and increased the uncertainty of the economic model.</w:t>
            </w:r>
          </w:p>
        </w:tc>
        <w:tc>
          <w:tcPr>
            <w:tcW w:w="2195" w:type="pct"/>
          </w:tcPr>
          <w:p w:rsidR="005E23F7" w:rsidRPr="005E23F7" w:rsidRDefault="005E23F7" w:rsidP="008B4B29">
            <w:pPr>
              <w:pStyle w:val="Tabletext"/>
              <w:keepNext/>
            </w:pPr>
            <w:r w:rsidRPr="005E23F7">
              <w:t>The resubmission presented two microsimulations based on individual patient data from TEMPO 3:4 and REPRISE trial populations (selected for PBS eligibility), using TreeAge software with the same underlying structure used in the March 2017 submission; i.e. two module (pre- and post-ESKD) Markov structure with eight health states (CKD 1, CKD 2, CKD 3, CKD 4, CKD 5 pre-dialysis, CKD 5 dialysis, post-transplantation and death; Figure 3.2.1).</w:t>
            </w:r>
          </w:p>
        </w:tc>
      </w:tr>
    </w:tbl>
    <w:p w:rsidR="00060F9A" w:rsidRDefault="00AD08CE" w:rsidP="008B4B29">
      <w:pPr>
        <w:pStyle w:val="TableFooter"/>
        <w:widowControl/>
      </w:pPr>
      <w:r w:rsidRPr="005E23F7">
        <w:t xml:space="preserve">Source: </w:t>
      </w:r>
      <w:r w:rsidR="00060F9A" w:rsidRPr="005E23F7">
        <w:t>Table</w:t>
      </w:r>
      <w:r w:rsidRPr="005E23F7">
        <w:t xml:space="preserve"> ES-1</w:t>
      </w:r>
      <w:r w:rsidR="00060F9A" w:rsidRPr="005E23F7">
        <w:t xml:space="preserve">, </w:t>
      </w:r>
      <w:r w:rsidRPr="005E23F7">
        <w:t>pES-1 of the submission, and Tolvaptan Public Summary Document, March 2017</w:t>
      </w:r>
      <w:r w:rsidR="00060F9A" w:rsidRPr="005E23F7">
        <w:t>.</w:t>
      </w:r>
    </w:p>
    <w:p w:rsidR="0089735D" w:rsidRDefault="0089735D" w:rsidP="008B4B29">
      <w:pPr>
        <w:pStyle w:val="TableFooter"/>
        <w:widowControl/>
      </w:pPr>
    </w:p>
    <w:p w:rsidR="0089735D" w:rsidRDefault="0089735D" w:rsidP="0089735D">
      <w:pPr>
        <w:widowControl/>
        <w:ind w:firstLine="709"/>
        <w:rPr>
          <w:rFonts w:asciiTheme="minorHAnsi" w:hAnsiTheme="minorHAnsi"/>
          <w:i/>
        </w:rPr>
      </w:pPr>
      <w:r w:rsidRPr="0085565A">
        <w:rPr>
          <w:rFonts w:asciiTheme="minorHAnsi" w:hAnsiTheme="minorHAnsi"/>
          <w:i/>
        </w:rPr>
        <w:t>For more detail on PBAC’s view, see section 7 PBAC outcome.</w:t>
      </w:r>
    </w:p>
    <w:p w:rsidR="007E507E" w:rsidRDefault="007E507E" w:rsidP="008B4B29">
      <w:pPr>
        <w:widowControl/>
        <w:jc w:val="left"/>
      </w:pPr>
      <w:r>
        <w:br w:type="page"/>
      </w:r>
    </w:p>
    <w:p w:rsidR="00576BFC" w:rsidRPr="00882085" w:rsidRDefault="00576BFC" w:rsidP="0086251F">
      <w:pPr>
        <w:pStyle w:val="PBACHeading1"/>
        <w:spacing w:before="240" w:after="120"/>
        <w:outlineLvl w:val="0"/>
      </w:pPr>
      <w:bookmarkStart w:id="5" w:name="_Toc503203040"/>
      <w:bookmarkStart w:id="6" w:name="_Toc503953363"/>
      <w:r>
        <w:lastRenderedPageBreak/>
        <w:t>Population and disease</w:t>
      </w:r>
      <w:bookmarkEnd w:id="5"/>
      <w:bookmarkEnd w:id="6"/>
    </w:p>
    <w:p w:rsidR="00576BFC" w:rsidRPr="00540EF3" w:rsidRDefault="00576BFC" w:rsidP="0086251F">
      <w:pPr>
        <w:pStyle w:val="ListParagraph"/>
        <w:widowControl/>
        <w:numPr>
          <w:ilvl w:val="1"/>
          <w:numId w:val="3"/>
        </w:numPr>
        <w:spacing w:before="120" w:after="120"/>
        <w:ind w:left="709" w:hanging="709"/>
      </w:pPr>
      <w:r w:rsidRPr="0088724B">
        <w:t xml:space="preserve">ADPKD is a late-onset multisystem disorder characterised by bilateral renal cysts, cysts in other organs (e.g. liver, seminal vesicles, pancreas, arachnoid membrane), vascular abnormalities (e.g. intracranial aneurysms, dilatation of the aortic root, thoracic aortic dissection), mitral valve prolapse and abdominal hernias. </w:t>
      </w:r>
      <w:r w:rsidR="008B28A5">
        <w:t xml:space="preserve">Physical manifestations of the disease include hypertension, acute and chronic pain, kidney stones, haematuria, and urinary tract infections. </w:t>
      </w:r>
      <w:r w:rsidRPr="0088724B">
        <w:t>Approximately 50% of patients diagnosed with ADPKD will progress to end-stage kidney disease (ESKD) by 60 years of age.</w:t>
      </w:r>
      <w:r w:rsidRPr="00B50DB8">
        <w:rPr>
          <w:color w:val="3366FF"/>
        </w:rPr>
        <w:t xml:space="preserve"> </w:t>
      </w:r>
    </w:p>
    <w:p w:rsidR="00576BFC" w:rsidRPr="0085565A" w:rsidRDefault="00576BFC" w:rsidP="0086251F">
      <w:pPr>
        <w:pStyle w:val="ListParagraph"/>
        <w:widowControl/>
        <w:numPr>
          <w:ilvl w:val="1"/>
          <w:numId w:val="3"/>
        </w:numPr>
        <w:spacing w:before="120" w:after="120"/>
        <w:ind w:left="709" w:hanging="709"/>
      </w:pPr>
      <w:r w:rsidRPr="0088724B">
        <w:t xml:space="preserve">The submission claimed that tolvaptan would provide a treatment option for patients with a confirmed diagnosis of ADPKD, with chronic kidney disease stages </w:t>
      </w:r>
      <w:r w:rsidR="008B28A5">
        <w:t>2</w:t>
      </w:r>
      <w:r w:rsidRPr="0088724B">
        <w:t xml:space="preserve">-3 at the initiation of treatment, and evidence of rapidly progressing disease. There is currently no other </w:t>
      </w:r>
      <w:r>
        <w:t xml:space="preserve">disease modifying </w:t>
      </w:r>
      <w:r w:rsidRPr="0088724B">
        <w:t>treatment available for patients with ADPKD.</w:t>
      </w:r>
      <w:r w:rsidR="00B73491">
        <w:t xml:space="preserve"> </w:t>
      </w:r>
      <w:r w:rsidR="00B73491" w:rsidRPr="00F563B9">
        <w:t xml:space="preserve">Patients with rapidly progressing disease in CKD stage 1 were excluded from the eligible population in the resubmission on the basis that treatment of this cohort was </w:t>
      </w:r>
      <w:r w:rsidR="00B73491" w:rsidRPr="0085565A">
        <w:t>found to be not cost effective in the previous submission</w:t>
      </w:r>
      <w:r w:rsidR="00B73491" w:rsidRPr="0085565A">
        <w:rPr>
          <w:i/>
        </w:rPr>
        <w:t xml:space="preserve">. </w:t>
      </w:r>
    </w:p>
    <w:p w:rsidR="001341BE" w:rsidRPr="0085565A" w:rsidRDefault="001341BE" w:rsidP="0086251F">
      <w:pPr>
        <w:widowControl/>
        <w:spacing w:before="120" w:after="120"/>
        <w:ind w:firstLine="709"/>
        <w:rPr>
          <w:rFonts w:asciiTheme="minorHAnsi" w:hAnsiTheme="minorHAnsi"/>
          <w:i/>
        </w:rPr>
      </w:pPr>
      <w:r w:rsidRPr="0085565A">
        <w:rPr>
          <w:rFonts w:asciiTheme="minorHAnsi" w:hAnsiTheme="minorHAnsi"/>
          <w:i/>
        </w:rPr>
        <w:t>For more detail on PBAC’s view, see section 7 PBAC outcome.</w:t>
      </w:r>
    </w:p>
    <w:p w:rsidR="00576BFC" w:rsidRPr="009A703D" w:rsidRDefault="00576BFC" w:rsidP="0086251F">
      <w:pPr>
        <w:pStyle w:val="PBACHeading1"/>
        <w:spacing w:before="240" w:after="120"/>
        <w:outlineLvl w:val="0"/>
      </w:pPr>
      <w:bookmarkStart w:id="7" w:name="_Toc503203041"/>
      <w:bookmarkStart w:id="8" w:name="_Toc503953364"/>
      <w:r w:rsidRPr="0085565A">
        <w:t>Comparator</w:t>
      </w:r>
      <w:bookmarkEnd w:id="7"/>
      <w:bookmarkEnd w:id="8"/>
    </w:p>
    <w:p w:rsidR="00576BFC" w:rsidRPr="0085565A" w:rsidRDefault="00576BFC" w:rsidP="0086251F">
      <w:pPr>
        <w:pStyle w:val="ListParagraph"/>
        <w:widowControl/>
        <w:numPr>
          <w:ilvl w:val="1"/>
          <w:numId w:val="3"/>
        </w:numPr>
        <w:spacing w:before="120" w:after="120"/>
        <w:ind w:left="709" w:hanging="709"/>
      </w:pPr>
      <w:r w:rsidRPr="009A703D">
        <w:t xml:space="preserve">The resubmission nominated best supportive care (BSC) as the main comparator. </w:t>
      </w:r>
      <w:r w:rsidR="008B28A5">
        <w:t xml:space="preserve">Current best supportive care consists of a range of therapies, primarily targeted at symptomatic relief (e.g. antihypertensives and lipid lowering agents, analgesics for controlling pain, antibiotics for urinary tract infections). </w:t>
      </w:r>
      <w:r w:rsidRPr="00F563B9">
        <w:t xml:space="preserve">This was accepted by the PBAC </w:t>
      </w:r>
      <w:r w:rsidRPr="0085565A">
        <w:t xml:space="preserve">as the appropriate comparator in the previous submission. </w:t>
      </w:r>
    </w:p>
    <w:p w:rsidR="001341BE" w:rsidRDefault="001341BE" w:rsidP="0086251F">
      <w:pPr>
        <w:widowControl/>
        <w:spacing w:before="120" w:after="120"/>
        <w:ind w:firstLine="709"/>
        <w:rPr>
          <w:rFonts w:asciiTheme="minorHAnsi" w:hAnsiTheme="minorHAnsi"/>
          <w:i/>
        </w:rPr>
      </w:pPr>
      <w:r w:rsidRPr="0085565A">
        <w:rPr>
          <w:rFonts w:asciiTheme="minorHAnsi" w:hAnsiTheme="minorHAnsi"/>
          <w:i/>
        </w:rPr>
        <w:t>For more detail on PBAC’s view, see section 7 PBAC outcome.</w:t>
      </w:r>
    </w:p>
    <w:p w:rsidR="00547A02" w:rsidRPr="0085565A" w:rsidRDefault="00576BFC" w:rsidP="0086251F">
      <w:pPr>
        <w:pStyle w:val="PBACHeading1"/>
        <w:spacing w:before="240"/>
        <w:outlineLvl w:val="0"/>
      </w:pPr>
      <w:bookmarkStart w:id="9" w:name="_Toc503203042"/>
      <w:bookmarkStart w:id="10" w:name="_Toc503953365"/>
      <w:r w:rsidRPr="0085565A">
        <w:t>Consideration of the evidence</w:t>
      </w:r>
      <w:bookmarkEnd w:id="9"/>
      <w:bookmarkEnd w:id="10"/>
    </w:p>
    <w:p w:rsidR="00547A02" w:rsidRPr="00FD30F4" w:rsidRDefault="00547A02" w:rsidP="0086251F">
      <w:pPr>
        <w:pStyle w:val="Heading2"/>
        <w:widowControl/>
        <w:spacing w:before="240"/>
      </w:pPr>
      <w:r w:rsidRPr="00FD30F4">
        <w:t>Sponsor hearing</w:t>
      </w:r>
    </w:p>
    <w:p w:rsidR="00547A02" w:rsidRPr="0085565A" w:rsidRDefault="00547A02" w:rsidP="00547A02">
      <w:pPr>
        <w:numPr>
          <w:ilvl w:val="1"/>
          <w:numId w:val="3"/>
        </w:numPr>
        <w:spacing w:after="120"/>
        <w:ind w:left="720"/>
        <w:rPr>
          <w:rFonts w:asciiTheme="minorHAnsi" w:hAnsiTheme="minorHAnsi"/>
          <w:bCs/>
        </w:rPr>
      </w:pPr>
      <w:r w:rsidRPr="0085565A">
        <w:rPr>
          <w:rFonts w:asciiTheme="minorHAnsi" w:hAnsiTheme="minorHAnsi"/>
          <w:bCs/>
        </w:rPr>
        <w:t>The</w:t>
      </w:r>
      <w:r w:rsidR="0068570C" w:rsidRPr="0085565A">
        <w:rPr>
          <w:rFonts w:asciiTheme="minorHAnsi" w:hAnsiTheme="minorHAnsi"/>
          <w:bCs/>
        </w:rPr>
        <w:t>re was no hearing for this item</w:t>
      </w:r>
      <w:r w:rsidRPr="0085565A">
        <w:rPr>
          <w:rFonts w:asciiTheme="minorHAnsi" w:hAnsiTheme="minorHAnsi"/>
          <w:bCs/>
        </w:rPr>
        <w:t>.</w:t>
      </w:r>
    </w:p>
    <w:p w:rsidR="00547A02" w:rsidRPr="00FD30F4" w:rsidRDefault="00547A02" w:rsidP="0086251F">
      <w:pPr>
        <w:pStyle w:val="Heading2"/>
        <w:widowControl/>
        <w:spacing w:before="240"/>
      </w:pPr>
      <w:r w:rsidRPr="00FD30F4">
        <w:t>Consumer comments</w:t>
      </w:r>
    </w:p>
    <w:p w:rsidR="0068570C" w:rsidRPr="00456871" w:rsidRDefault="0068570C" w:rsidP="0068570C">
      <w:pPr>
        <w:widowControl/>
        <w:numPr>
          <w:ilvl w:val="1"/>
          <w:numId w:val="3"/>
        </w:numPr>
        <w:ind w:left="720"/>
        <w:rPr>
          <w:bCs/>
        </w:rPr>
      </w:pPr>
      <w:r w:rsidRPr="00C74F59">
        <w:rPr>
          <w:bCs/>
        </w:rPr>
        <w:t>The PBAC noted and welcomed the input from individuals (</w:t>
      </w:r>
      <w:r>
        <w:rPr>
          <w:bCs/>
        </w:rPr>
        <w:t>49)</w:t>
      </w:r>
      <w:r w:rsidR="00F16975">
        <w:rPr>
          <w:bCs/>
        </w:rPr>
        <w:t>, health care professionals (1)</w:t>
      </w:r>
      <w:r>
        <w:rPr>
          <w:bCs/>
        </w:rPr>
        <w:t xml:space="preserve"> and organisations (2</w:t>
      </w:r>
      <w:r w:rsidRPr="00C74F59">
        <w:rPr>
          <w:bCs/>
        </w:rPr>
        <w:t>) via the Consumer Comments facility on the PBS website.</w:t>
      </w:r>
      <w:r w:rsidRPr="00C74F59">
        <w:rPr>
          <w:bCs/>
          <w:i/>
        </w:rPr>
        <w:t xml:space="preserve"> </w:t>
      </w:r>
      <w:r w:rsidRPr="00C74F59">
        <w:rPr>
          <w:bCs/>
        </w:rPr>
        <w:t xml:space="preserve">The comments described a range of anticipated benefits of treatment with tolvaptan including </w:t>
      </w:r>
      <w:r w:rsidR="00F16975">
        <w:rPr>
          <w:bCs/>
        </w:rPr>
        <w:t>delayed</w:t>
      </w:r>
      <w:r w:rsidRPr="00C74F59">
        <w:rPr>
          <w:bCs/>
        </w:rPr>
        <w:t xml:space="preserve"> disease progression, prolonging life, </w:t>
      </w:r>
      <w:r w:rsidR="00F16975">
        <w:rPr>
          <w:bCs/>
        </w:rPr>
        <w:t>reduced pain</w:t>
      </w:r>
      <w:r w:rsidR="002A24D4">
        <w:rPr>
          <w:bCs/>
        </w:rPr>
        <w:t>,</w:t>
      </w:r>
      <w:r w:rsidR="00F16975">
        <w:rPr>
          <w:bCs/>
        </w:rPr>
        <w:t xml:space="preserve"> </w:t>
      </w:r>
      <w:proofErr w:type="gramStart"/>
      <w:r w:rsidR="002A24D4">
        <w:rPr>
          <w:bCs/>
        </w:rPr>
        <w:t>improved</w:t>
      </w:r>
      <w:proofErr w:type="gramEnd"/>
      <w:r w:rsidR="002A24D4">
        <w:rPr>
          <w:bCs/>
        </w:rPr>
        <w:t xml:space="preserve"> quality of life,</w:t>
      </w:r>
      <w:r w:rsidRPr="00C74F59">
        <w:rPr>
          <w:bCs/>
        </w:rPr>
        <w:t xml:space="preserve"> avoidance of dialysis and transplantation</w:t>
      </w:r>
      <w:r w:rsidR="00263F96">
        <w:rPr>
          <w:bCs/>
        </w:rPr>
        <w:t>,</w:t>
      </w:r>
      <w:r w:rsidR="002A24D4">
        <w:rPr>
          <w:bCs/>
        </w:rPr>
        <w:t xml:space="preserve"> and </w:t>
      </w:r>
      <w:r w:rsidR="00F16975">
        <w:rPr>
          <w:bCs/>
        </w:rPr>
        <w:t>employment opportunities</w:t>
      </w:r>
      <w:r w:rsidRPr="00C74F59">
        <w:rPr>
          <w:bCs/>
        </w:rPr>
        <w:t xml:space="preserve">. The comments noted the lack of treatment options currently available for this genetic condition, which affects multiple generations of families. </w:t>
      </w:r>
    </w:p>
    <w:p w:rsidR="0068570C" w:rsidRPr="00456871" w:rsidRDefault="0068570C" w:rsidP="0068570C">
      <w:pPr>
        <w:widowControl/>
        <w:ind w:left="720"/>
        <w:rPr>
          <w:bCs/>
        </w:rPr>
      </w:pPr>
    </w:p>
    <w:p w:rsidR="00547A02" w:rsidRPr="00456871" w:rsidRDefault="00547A02" w:rsidP="0068570C">
      <w:pPr>
        <w:numPr>
          <w:ilvl w:val="1"/>
          <w:numId w:val="3"/>
        </w:numPr>
        <w:spacing w:after="120"/>
        <w:ind w:left="720"/>
        <w:rPr>
          <w:rFonts w:asciiTheme="minorHAnsi" w:hAnsiTheme="minorHAnsi"/>
          <w:bCs/>
        </w:rPr>
      </w:pPr>
      <w:r w:rsidRPr="00456871">
        <w:rPr>
          <w:rFonts w:asciiTheme="minorHAnsi" w:hAnsiTheme="minorHAnsi"/>
          <w:bCs/>
        </w:rPr>
        <w:t xml:space="preserve">The PBAC </w:t>
      </w:r>
      <w:r w:rsidR="004A3602" w:rsidRPr="00456871">
        <w:rPr>
          <w:rFonts w:asciiTheme="minorHAnsi" w:hAnsiTheme="minorHAnsi"/>
          <w:bCs/>
        </w:rPr>
        <w:t>noted the advice received from Kidney Health Australia</w:t>
      </w:r>
      <w:r w:rsidRPr="00456871">
        <w:rPr>
          <w:rFonts w:asciiTheme="minorHAnsi" w:hAnsiTheme="minorHAnsi"/>
          <w:bCs/>
        </w:rPr>
        <w:t xml:space="preserve"> </w:t>
      </w:r>
      <w:r w:rsidR="004A3602" w:rsidRPr="00456871">
        <w:rPr>
          <w:rFonts w:asciiTheme="minorHAnsi" w:hAnsiTheme="minorHAnsi"/>
          <w:bCs/>
        </w:rPr>
        <w:t>supporting the subsidised use of tolvaptan</w:t>
      </w:r>
      <w:r w:rsidRPr="00456871">
        <w:rPr>
          <w:rFonts w:asciiTheme="minorHAnsi" w:hAnsiTheme="minorHAnsi"/>
          <w:bCs/>
        </w:rPr>
        <w:t xml:space="preserve"> in </w:t>
      </w:r>
      <w:r w:rsidR="004A3602" w:rsidRPr="00456871">
        <w:rPr>
          <w:rFonts w:asciiTheme="minorHAnsi" w:hAnsiTheme="minorHAnsi"/>
          <w:bCs/>
        </w:rPr>
        <w:t>patients deemed suitable by their nephrologist</w:t>
      </w:r>
      <w:r w:rsidRPr="00456871">
        <w:rPr>
          <w:rFonts w:asciiTheme="minorHAnsi" w:hAnsiTheme="minorHAnsi"/>
          <w:bCs/>
        </w:rPr>
        <w:t xml:space="preserve">.  The </w:t>
      </w:r>
      <w:r w:rsidR="004A3602" w:rsidRPr="00456871">
        <w:rPr>
          <w:rFonts w:asciiTheme="minorHAnsi" w:hAnsiTheme="minorHAnsi"/>
          <w:bCs/>
        </w:rPr>
        <w:t xml:space="preserve">organisation stated that tolvaptan is the first drug to offer the possibility of slowing the rate of decline in kidney function thereby delaying the need for renal </w:t>
      </w:r>
      <w:r w:rsidR="000B2C97" w:rsidRPr="00456871">
        <w:rPr>
          <w:rFonts w:asciiTheme="minorHAnsi" w:hAnsiTheme="minorHAnsi"/>
          <w:bCs/>
        </w:rPr>
        <w:t>r</w:t>
      </w:r>
      <w:r w:rsidR="00141218" w:rsidRPr="00456871">
        <w:rPr>
          <w:rFonts w:asciiTheme="minorHAnsi" w:hAnsiTheme="minorHAnsi"/>
          <w:bCs/>
        </w:rPr>
        <w:t xml:space="preserve">eplacement therapy </w:t>
      </w:r>
      <w:r w:rsidR="00263F96">
        <w:rPr>
          <w:rFonts w:asciiTheme="minorHAnsi" w:hAnsiTheme="minorHAnsi"/>
          <w:bCs/>
        </w:rPr>
        <w:t xml:space="preserve">and </w:t>
      </w:r>
      <w:r w:rsidR="000B2C97" w:rsidRPr="00456871">
        <w:rPr>
          <w:rFonts w:asciiTheme="minorHAnsi" w:hAnsiTheme="minorHAnsi"/>
          <w:bCs/>
        </w:rPr>
        <w:t>thus reducing utilisation of dialysis and renal transplantation.</w:t>
      </w:r>
      <w:r w:rsidR="004A3602" w:rsidRPr="00456871">
        <w:rPr>
          <w:rFonts w:asciiTheme="minorHAnsi" w:hAnsiTheme="minorHAnsi"/>
          <w:bCs/>
        </w:rPr>
        <w:t xml:space="preserve"> </w:t>
      </w:r>
      <w:r w:rsidR="000B2C97" w:rsidRPr="00456871">
        <w:rPr>
          <w:rFonts w:asciiTheme="minorHAnsi" w:hAnsiTheme="minorHAnsi"/>
          <w:bCs/>
        </w:rPr>
        <w:t xml:space="preserve">The </w:t>
      </w:r>
      <w:r w:rsidRPr="00456871">
        <w:rPr>
          <w:rFonts w:asciiTheme="minorHAnsi" w:hAnsiTheme="minorHAnsi"/>
          <w:bCs/>
        </w:rPr>
        <w:t xml:space="preserve">PBAC </w:t>
      </w:r>
      <w:r w:rsidR="000B2C97" w:rsidRPr="00456871">
        <w:rPr>
          <w:rFonts w:asciiTheme="minorHAnsi" w:hAnsiTheme="minorHAnsi"/>
          <w:bCs/>
        </w:rPr>
        <w:t xml:space="preserve">acknowledged the </w:t>
      </w:r>
      <w:r w:rsidR="00141218" w:rsidRPr="00456871">
        <w:rPr>
          <w:rFonts w:asciiTheme="minorHAnsi" w:hAnsiTheme="minorHAnsi"/>
          <w:bCs/>
        </w:rPr>
        <w:t xml:space="preserve">ongoing </w:t>
      </w:r>
      <w:r w:rsidR="000B2C97" w:rsidRPr="00456871">
        <w:rPr>
          <w:rFonts w:asciiTheme="minorHAnsi" w:hAnsiTheme="minorHAnsi"/>
          <w:bCs/>
        </w:rPr>
        <w:t xml:space="preserve">emotional stress </w:t>
      </w:r>
      <w:r w:rsidR="00141218" w:rsidRPr="00456871">
        <w:rPr>
          <w:rFonts w:asciiTheme="minorHAnsi" w:hAnsiTheme="minorHAnsi"/>
          <w:bCs/>
        </w:rPr>
        <w:t>on patients and families affected by</w:t>
      </w:r>
      <w:r w:rsidR="000B2C97" w:rsidRPr="00456871">
        <w:rPr>
          <w:rFonts w:asciiTheme="minorHAnsi" w:hAnsiTheme="minorHAnsi"/>
          <w:bCs/>
        </w:rPr>
        <w:t xml:space="preserve"> ADPKD.</w:t>
      </w:r>
      <w:r w:rsidRPr="00456871">
        <w:rPr>
          <w:rFonts w:asciiTheme="minorHAnsi" w:hAnsiTheme="minorHAnsi"/>
          <w:bCs/>
        </w:rPr>
        <w:t xml:space="preserve">  </w:t>
      </w:r>
      <w:r w:rsidR="0085565A" w:rsidRPr="00456871">
        <w:rPr>
          <w:rFonts w:asciiTheme="minorHAnsi" w:hAnsiTheme="minorHAnsi"/>
          <w:bCs/>
        </w:rPr>
        <w:t xml:space="preserve">However, the PBAC noted the </w:t>
      </w:r>
      <w:r w:rsidR="00FE05A6" w:rsidRPr="00456871">
        <w:rPr>
          <w:rFonts w:asciiTheme="minorHAnsi" w:hAnsiTheme="minorHAnsi"/>
          <w:bCs/>
        </w:rPr>
        <w:t>clinical trial data</w:t>
      </w:r>
      <w:r w:rsidR="008460B2" w:rsidRPr="008460B2">
        <w:rPr>
          <w:rFonts w:asciiTheme="minorHAnsi" w:hAnsiTheme="minorHAnsi"/>
          <w:bCs/>
        </w:rPr>
        <w:t xml:space="preserve"> may be consistent with a slight improvement in</w:t>
      </w:r>
      <w:r w:rsidR="00FE05A6" w:rsidRPr="00456871">
        <w:rPr>
          <w:rFonts w:asciiTheme="minorHAnsi" w:hAnsiTheme="minorHAnsi"/>
          <w:bCs/>
        </w:rPr>
        <w:t xml:space="preserve"> rate of decline </w:t>
      </w:r>
      <w:r w:rsidR="008460B2" w:rsidRPr="008460B2">
        <w:rPr>
          <w:rFonts w:asciiTheme="minorHAnsi" w:hAnsiTheme="minorHAnsi"/>
          <w:bCs/>
        </w:rPr>
        <w:t xml:space="preserve">in eGFR but this was </w:t>
      </w:r>
      <w:r w:rsidR="00624F43">
        <w:rPr>
          <w:rFonts w:asciiTheme="minorHAnsi" w:hAnsiTheme="minorHAnsi"/>
          <w:bCs/>
        </w:rPr>
        <w:t>depende</w:t>
      </w:r>
      <w:r w:rsidR="00FE05A6" w:rsidRPr="00456871">
        <w:rPr>
          <w:rFonts w:asciiTheme="minorHAnsi" w:hAnsiTheme="minorHAnsi"/>
          <w:bCs/>
        </w:rPr>
        <w:t xml:space="preserve">nt on the data points selected; even in the most optimistic case improvement over best supportive care would not be achieved until many years into treatment. No comparative data </w:t>
      </w:r>
      <w:r w:rsidR="00263F96">
        <w:rPr>
          <w:rFonts w:asciiTheme="minorHAnsi" w:hAnsiTheme="minorHAnsi"/>
          <w:bCs/>
        </w:rPr>
        <w:t>is expected to</w:t>
      </w:r>
      <w:r w:rsidR="00FE05A6" w:rsidRPr="00456871">
        <w:rPr>
          <w:rFonts w:asciiTheme="minorHAnsi" w:hAnsiTheme="minorHAnsi"/>
          <w:bCs/>
        </w:rPr>
        <w:t xml:space="preserve"> be</w:t>
      </w:r>
      <w:r w:rsidR="00263F96">
        <w:rPr>
          <w:rFonts w:asciiTheme="minorHAnsi" w:hAnsiTheme="minorHAnsi"/>
          <w:bCs/>
        </w:rPr>
        <w:t>come</w:t>
      </w:r>
      <w:r w:rsidR="00FE05A6" w:rsidRPr="00456871">
        <w:rPr>
          <w:rFonts w:asciiTheme="minorHAnsi" w:hAnsiTheme="minorHAnsi"/>
          <w:bCs/>
        </w:rPr>
        <w:t xml:space="preserve"> available to confirm this long term potential benefit.</w:t>
      </w:r>
      <w:r w:rsidR="0085565A" w:rsidRPr="00456871">
        <w:rPr>
          <w:rFonts w:asciiTheme="minorHAnsi" w:hAnsiTheme="minorHAnsi"/>
          <w:bCs/>
        </w:rPr>
        <w:t xml:space="preserve"> </w:t>
      </w:r>
    </w:p>
    <w:p w:rsidR="00576BFC" w:rsidRPr="00B82A6B" w:rsidRDefault="0060187F" w:rsidP="0086251F">
      <w:pPr>
        <w:pStyle w:val="Heading2"/>
        <w:spacing w:before="240"/>
      </w:pPr>
      <w:r w:rsidRPr="00B82A6B">
        <w:t>Clinical trials</w:t>
      </w:r>
    </w:p>
    <w:p w:rsidR="00576BFC" w:rsidRPr="009F6C50" w:rsidRDefault="00576BFC" w:rsidP="008B4B29">
      <w:pPr>
        <w:pStyle w:val="ListParagraph"/>
        <w:widowControl/>
        <w:numPr>
          <w:ilvl w:val="1"/>
          <w:numId w:val="3"/>
        </w:numPr>
        <w:spacing w:after="0"/>
        <w:ind w:left="720"/>
      </w:pPr>
      <w:r w:rsidRPr="00456871">
        <w:t>The resubmission was</w:t>
      </w:r>
      <w:r>
        <w:t xml:space="preserve"> based on the overall trial results and subgroup analyses from two direct randomised trials (TEMPO 3:4  and REPRISE), comparing tolvaptan to placebo in combination with best supportive care, and one open-label, extension study (TEMPO 4:4) comparing patients continuing treatment with tolvaptan to those switching to tolvaptan from </w:t>
      </w:r>
      <w:r w:rsidRPr="009F6C50">
        <w:t xml:space="preserve">placebo. </w:t>
      </w:r>
      <w:r w:rsidR="009F6C50" w:rsidRPr="00F563B9">
        <w:t>REPRISE and TEMPO 4:4 are recently completed studies and have not been previously considered by PBAC</w:t>
      </w:r>
      <w:r w:rsidR="009F6C50" w:rsidRPr="009F6C50">
        <w:rPr>
          <w:i/>
        </w:rPr>
        <w:t>.</w:t>
      </w:r>
    </w:p>
    <w:p w:rsidR="00576BFC" w:rsidRPr="00862502" w:rsidRDefault="00576BFC" w:rsidP="008B4B29">
      <w:pPr>
        <w:widowControl/>
      </w:pPr>
    </w:p>
    <w:p w:rsidR="00B82A6B" w:rsidRPr="00B50DB8" w:rsidRDefault="00576BFC" w:rsidP="00B82A6B">
      <w:pPr>
        <w:pStyle w:val="ListParagraph"/>
        <w:widowControl/>
        <w:numPr>
          <w:ilvl w:val="1"/>
          <w:numId w:val="3"/>
        </w:numPr>
        <w:spacing w:after="120"/>
        <w:ind w:left="720"/>
      </w:pPr>
      <w:r w:rsidRPr="00001F88">
        <w:t>Details</w:t>
      </w:r>
      <w:r w:rsidRPr="00B82A6B">
        <w:rPr>
          <w:rFonts w:cs="Calibri"/>
          <w:snapToGrid/>
          <w:szCs w:val="24"/>
          <w:lang w:val="en-US" w:eastAsia="en-AU"/>
        </w:rPr>
        <w:t xml:space="preserve"> of the trials presented in the submission are provided in the table below.  </w:t>
      </w:r>
    </w:p>
    <w:p w:rsidR="00576BFC" w:rsidRDefault="00576BFC" w:rsidP="008B4B29">
      <w:pPr>
        <w:keepNext/>
        <w:widowControl/>
        <w:rPr>
          <w:rStyle w:val="CommentReference"/>
        </w:rPr>
      </w:pPr>
      <w:r w:rsidRPr="008E0D3C">
        <w:rPr>
          <w:rStyle w:val="CommentReference"/>
        </w:rPr>
        <w:t>T</w:t>
      </w:r>
      <w:r>
        <w:rPr>
          <w:rStyle w:val="CommentReference"/>
        </w:rPr>
        <w:t xml:space="preserve">able </w:t>
      </w:r>
      <w:r w:rsidR="00D320B2">
        <w:rPr>
          <w:rStyle w:val="CommentReference"/>
        </w:rPr>
        <w:t>3</w:t>
      </w:r>
      <w:r w:rsidRPr="008E0D3C">
        <w:rPr>
          <w:rStyle w:val="CommentReference"/>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46"/>
        <w:gridCol w:w="5499"/>
        <w:gridCol w:w="2138"/>
      </w:tblGrid>
      <w:tr w:rsidR="00576BFC" w:rsidRPr="00E90491" w:rsidTr="009E698C">
        <w:trPr>
          <w:tblHeader/>
        </w:trPr>
        <w:tc>
          <w:tcPr>
            <w:tcW w:w="796" w:type="pct"/>
            <w:vAlign w:val="center"/>
          </w:tcPr>
          <w:p w:rsidR="00576BFC" w:rsidRPr="00E90491" w:rsidRDefault="00576BFC" w:rsidP="008B4B29">
            <w:pPr>
              <w:pStyle w:val="Tabletext"/>
              <w:keepNext/>
              <w:rPr>
                <w:b/>
                <w:szCs w:val="20"/>
              </w:rPr>
            </w:pPr>
            <w:r w:rsidRPr="00E90491">
              <w:rPr>
                <w:b/>
                <w:szCs w:val="20"/>
              </w:rPr>
              <w:t>Trial ID</w:t>
            </w:r>
          </w:p>
        </w:tc>
        <w:tc>
          <w:tcPr>
            <w:tcW w:w="3027" w:type="pct"/>
            <w:vAlign w:val="center"/>
          </w:tcPr>
          <w:p w:rsidR="00576BFC" w:rsidRPr="00E90491" w:rsidRDefault="00576BFC" w:rsidP="008B4B29">
            <w:pPr>
              <w:pStyle w:val="Tabletext"/>
              <w:keepNext/>
              <w:jc w:val="center"/>
              <w:rPr>
                <w:b/>
                <w:szCs w:val="20"/>
              </w:rPr>
            </w:pPr>
            <w:r w:rsidRPr="00E90491">
              <w:rPr>
                <w:b/>
                <w:szCs w:val="20"/>
              </w:rPr>
              <w:t>Protocol title/ Publication title</w:t>
            </w:r>
          </w:p>
        </w:tc>
        <w:tc>
          <w:tcPr>
            <w:tcW w:w="1177" w:type="pct"/>
            <w:vAlign w:val="center"/>
          </w:tcPr>
          <w:p w:rsidR="00576BFC" w:rsidRPr="00E90491" w:rsidRDefault="00576BFC" w:rsidP="008B4B29">
            <w:pPr>
              <w:pStyle w:val="Tabletext"/>
              <w:keepNext/>
              <w:jc w:val="center"/>
              <w:rPr>
                <w:b/>
                <w:szCs w:val="20"/>
              </w:rPr>
            </w:pPr>
            <w:r w:rsidRPr="00E90491">
              <w:rPr>
                <w:b/>
                <w:szCs w:val="20"/>
              </w:rPr>
              <w:t>Publication citation</w:t>
            </w:r>
          </w:p>
        </w:tc>
      </w:tr>
      <w:tr w:rsidR="00576BFC" w:rsidRPr="00C93451" w:rsidTr="009E698C">
        <w:tc>
          <w:tcPr>
            <w:tcW w:w="5000" w:type="pct"/>
            <w:gridSpan w:val="3"/>
            <w:tcBorders>
              <w:bottom w:val="nil"/>
            </w:tcBorders>
          </w:tcPr>
          <w:p w:rsidR="00576BFC" w:rsidRPr="00C93451" w:rsidRDefault="00576BFC" w:rsidP="008B4B29">
            <w:pPr>
              <w:pStyle w:val="Tabletext"/>
              <w:keepNext/>
              <w:rPr>
                <w:b/>
                <w:szCs w:val="20"/>
              </w:rPr>
            </w:pPr>
            <w:r w:rsidRPr="00C93451">
              <w:rPr>
                <w:b/>
                <w:szCs w:val="20"/>
              </w:rPr>
              <w:t>Included trials and studies</w:t>
            </w:r>
          </w:p>
        </w:tc>
      </w:tr>
      <w:tr w:rsidR="00576BFC" w:rsidRPr="00E90491" w:rsidTr="009E698C">
        <w:tc>
          <w:tcPr>
            <w:tcW w:w="796" w:type="pct"/>
            <w:tcBorders>
              <w:bottom w:val="nil"/>
            </w:tcBorders>
          </w:tcPr>
          <w:p w:rsidR="00576BFC" w:rsidRPr="00E90491" w:rsidRDefault="00576BFC" w:rsidP="008B4B29">
            <w:pPr>
              <w:keepNext/>
              <w:widowControl/>
              <w:jc w:val="left"/>
              <w:rPr>
                <w:rFonts w:ascii="Arial Narrow" w:hAnsi="Arial Narrow"/>
                <w:sz w:val="20"/>
                <w:szCs w:val="20"/>
              </w:rPr>
            </w:pPr>
            <w:r w:rsidRPr="00E90491">
              <w:rPr>
                <w:rFonts w:ascii="Arial Narrow" w:hAnsi="Arial Narrow"/>
                <w:sz w:val="20"/>
                <w:szCs w:val="20"/>
              </w:rPr>
              <w:t>REPRISE</w:t>
            </w:r>
          </w:p>
          <w:p w:rsidR="00576BFC" w:rsidRPr="00E90491" w:rsidRDefault="00576BFC" w:rsidP="008B4B29">
            <w:pPr>
              <w:pStyle w:val="Tabletext"/>
              <w:keepNext/>
              <w:rPr>
                <w:szCs w:val="20"/>
              </w:rPr>
            </w:pPr>
          </w:p>
        </w:tc>
        <w:tc>
          <w:tcPr>
            <w:tcW w:w="3027" w:type="pct"/>
            <w:tcBorders>
              <w:bottom w:val="nil"/>
            </w:tcBorders>
          </w:tcPr>
          <w:p w:rsidR="00576BFC" w:rsidRPr="00E90491" w:rsidRDefault="00576BFC" w:rsidP="008B4B29">
            <w:pPr>
              <w:pStyle w:val="Tablenormal0"/>
              <w:keepNext/>
              <w:widowControl/>
              <w:spacing w:before="0" w:after="0"/>
              <w:rPr>
                <w:rFonts w:ascii="Arial Narrow" w:hAnsi="Arial Narrow"/>
                <w:sz w:val="20"/>
                <w:szCs w:val="20"/>
              </w:rPr>
            </w:pPr>
            <w:r w:rsidRPr="00E90491">
              <w:rPr>
                <w:rFonts w:ascii="Arial Narrow" w:hAnsi="Arial Narrow"/>
                <w:sz w:val="20"/>
                <w:szCs w:val="20"/>
              </w:rPr>
              <w:t>An Otsuka sponsored phase 3b, randomised controlled trial in ADPKD patients with chronic kidney disease late stage 2 to early stage 4. Expected completion date May 2017. (156-13-210)</w:t>
            </w:r>
            <w:r>
              <w:rPr>
                <w:rFonts w:ascii="Arial Narrow" w:hAnsi="Arial Narrow"/>
                <w:sz w:val="20"/>
                <w:szCs w:val="20"/>
              </w:rPr>
              <w:t xml:space="preserve"> </w:t>
            </w:r>
            <w:r w:rsidRPr="00E90491">
              <w:rPr>
                <w:rFonts w:ascii="Arial Narrow" w:hAnsi="Arial Narrow"/>
                <w:sz w:val="20"/>
                <w:szCs w:val="20"/>
              </w:rPr>
              <w:t>(NCT02160145)</w:t>
            </w:r>
          </w:p>
        </w:tc>
        <w:tc>
          <w:tcPr>
            <w:tcW w:w="1177" w:type="pct"/>
            <w:tcBorders>
              <w:bottom w:val="nil"/>
            </w:tcBorders>
          </w:tcPr>
          <w:p w:rsidR="00576BFC" w:rsidRPr="00E90491" w:rsidRDefault="00576BFC" w:rsidP="008B4B29">
            <w:pPr>
              <w:pStyle w:val="Tabletext"/>
              <w:keepNext/>
              <w:rPr>
                <w:szCs w:val="20"/>
              </w:rPr>
            </w:pPr>
            <w:r w:rsidRPr="00E90491">
              <w:rPr>
                <w:szCs w:val="20"/>
              </w:rPr>
              <w:t>Clinical Study Report</w:t>
            </w:r>
            <w:proofErr w:type="gramStart"/>
            <w:r w:rsidRPr="00E90491">
              <w:rPr>
                <w:szCs w:val="20"/>
              </w:rPr>
              <w:t>:</w:t>
            </w:r>
            <w:proofErr w:type="gramEnd"/>
            <w:r w:rsidRPr="00E90491">
              <w:rPr>
                <w:szCs w:val="20"/>
              </w:rPr>
              <w:br/>
            </w:r>
            <w:r>
              <w:rPr>
                <w:szCs w:val="20"/>
              </w:rPr>
              <w:t>1</w:t>
            </w:r>
            <w:r w:rsidRPr="00E90491">
              <w:rPr>
                <w:szCs w:val="20"/>
              </w:rPr>
              <w:t xml:space="preserve"> September</w:t>
            </w:r>
            <w:r>
              <w:rPr>
                <w:szCs w:val="20"/>
              </w:rPr>
              <w:t xml:space="preserve"> 2017.</w:t>
            </w:r>
          </w:p>
        </w:tc>
      </w:tr>
      <w:tr w:rsidR="00576BFC" w:rsidRPr="00E90491" w:rsidTr="00D548AF">
        <w:tc>
          <w:tcPr>
            <w:tcW w:w="796" w:type="pct"/>
            <w:tcBorders>
              <w:top w:val="nil"/>
              <w:bottom w:val="single" w:sz="4" w:space="0" w:color="auto"/>
            </w:tcBorders>
          </w:tcPr>
          <w:p w:rsidR="00576BFC" w:rsidRPr="00E90491" w:rsidRDefault="00576BFC" w:rsidP="008B4B29">
            <w:pPr>
              <w:keepNext/>
              <w:widowControl/>
              <w:jc w:val="left"/>
              <w:rPr>
                <w:rFonts w:ascii="Arial Narrow" w:hAnsi="Arial Narrow"/>
                <w:sz w:val="20"/>
                <w:szCs w:val="20"/>
              </w:rPr>
            </w:pPr>
          </w:p>
        </w:tc>
        <w:tc>
          <w:tcPr>
            <w:tcW w:w="3027" w:type="pct"/>
            <w:tcBorders>
              <w:top w:val="nil"/>
              <w:bottom w:val="single" w:sz="4" w:space="0" w:color="auto"/>
            </w:tcBorders>
          </w:tcPr>
          <w:p w:rsidR="00576BFC" w:rsidRPr="00E90491" w:rsidRDefault="00576BFC" w:rsidP="008B4B29">
            <w:pPr>
              <w:pStyle w:val="Tablenormal0"/>
              <w:keepNext/>
              <w:widowControl/>
              <w:spacing w:before="0" w:after="0"/>
              <w:rPr>
                <w:rFonts w:ascii="Arial Narrow" w:hAnsi="Arial Narrow"/>
                <w:sz w:val="20"/>
                <w:szCs w:val="20"/>
              </w:rPr>
            </w:pPr>
            <w:r w:rsidRPr="00C93451">
              <w:rPr>
                <w:rFonts w:ascii="Arial Narrow" w:hAnsi="Arial Narrow"/>
                <w:sz w:val="20"/>
                <w:szCs w:val="20"/>
              </w:rPr>
              <w:t>Rationale and design of a clinical trial investigating tolvaptan safety and efficacy in autosomal dominant polycystic kidney disease</w:t>
            </w:r>
            <w:r>
              <w:rPr>
                <w:rFonts w:ascii="Arial Narrow" w:hAnsi="Arial Narrow"/>
                <w:sz w:val="20"/>
                <w:szCs w:val="20"/>
              </w:rPr>
              <w:t>.</w:t>
            </w:r>
          </w:p>
        </w:tc>
        <w:tc>
          <w:tcPr>
            <w:tcW w:w="1177" w:type="pct"/>
            <w:tcBorders>
              <w:top w:val="nil"/>
              <w:bottom w:val="single" w:sz="4" w:space="0" w:color="auto"/>
            </w:tcBorders>
          </w:tcPr>
          <w:p w:rsidR="00576BFC" w:rsidRPr="00E90491" w:rsidRDefault="00576BFC" w:rsidP="008B4B29">
            <w:pPr>
              <w:pStyle w:val="Tabletext"/>
              <w:keepNext/>
              <w:rPr>
                <w:szCs w:val="20"/>
              </w:rPr>
            </w:pPr>
            <w:r>
              <w:rPr>
                <w:i/>
                <w:szCs w:val="20"/>
              </w:rPr>
              <w:t xml:space="preserve">American Journal of Nephrology </w:t>
            </w:r>
            <w:r w:rsidRPr="00A852F0">
              <w:rPr>
                <w:szCs w:val="20"/>
              </w:rPr>
              <w:t>2017; 45(3): 257-266.</w:t>
            </w:r>
          </w:p>
        </w:tc>
      </w:tr>
      <w:tr w:rsidR="00576BFC" w:rsidRPr="00E90491" w:rsidTr="00D548AF">
        <w:tc>
          <w:tcPr>
            <w:tcW w:w="796" w:type="pct"/>
            <w:tcBorders>
              <w:bottom w:val="nil"/>
            </w:tcBorders>
            <w:shd w:val="clear" w:color="auto" w:fill="auto"/>
          </w:tcPr>
          <w:p w:rsidR="00576BFC" w:rsidRPr="00E90491" w:rsidRDefault="00576BFC" w:rsidP="008B4B29">
            <w:pPr>
              <w:pStyle w:val="Tabletext"/>
              <w:keepNext/>
              <w:rPr>
                <w:szCs w:val="20"/>
              </w:rPr>
            </w:pPr>
            <w:r w:rsidRPr="00E90491">
              <w:rPr>
                <w:szCs w:val="20"/>
              </w:rPr>
              <w:t>TEMPO 3:4</w:t>
            </w:r>
          </w:p>
          <w:p w:rsidR="00576BFC" w:rsidRPr="00E90491" w:rsidRDefault="00576BFC" w:rsidP="008B4B29">
            <w:pPr>
              <w:pStyle w:val="Tabletext"/>
              <w:keepNext/>
              <w:rPr>
                <w:szCs w:val="20"/>
              </w:rPr>
            </w:pPr>
          </w:p>
        </w:tc>
        <w:tc>
          <w:tcPr>
            <w:tcW w:w="3027" w:type="pct"/>
            <w:tcBorders>
              <w:bottom w:val="nil"/>
            </w:tcBorders>
            <w:shd w:val="clear" w:color="auto" w:fill="auto"/>
          </w:tcPr>
          <w:p w:rsidR="00576BFC" w:rsidRPr="00E90491" w:rsidRDefault="00576BFC" w:rsidP="008B4B29">
            <w:pPr>
              <w:pStyle w:val="Tabletext"/>
              <w:keepNext/>
              <w:rPr>
                <w:szCs w:val="20"/>
              </w:rPr>
            </w:pPr>
            <w:r w:rsidRPr="00E90491">
              <w:rPr>
                <w:szCs w:val="20"/>
              </w:rPr>
              <w:t>A phase 3, multi-center, double-blind, placebo-controlled, parallel-arm trial to determine long-term safety and efficacy of oral tolvaptan tablet regimens in adult subjects with autosomal dominant polycystic kidney disease. (156-04-251)</w:t>
            </w:r>
            <w:r>
              <w:rPr>
                <w:szCs w:val="20"/>
              </w:rPr>
              <w:t xml:space="preserve"> (</w:t>
            </w:r>
            <w:r w:rsidRPr="00C93451">
              <w:rPr>
                <w:szCs w:val="20"/>
              </w:rPr>
              <w:t>NCT00428948</w:t>
            </w:r>
            <w:r>
              <w:rPr>
                <w:szCs w:val="20"/>
              </w:rPr>
              <w:t>)</w:t>
            </w:r>
          </w:p>
        </w:tc>
        <w:tc>
          <w:tcPr>
            <w:tcW w:w="1177" w:type="pct"/>
            <w:tcBorders>
              <w:bottom w:val="nil"/>
            </w:tcBorders>
            <w:shd w:val="clear" w:color="auto" w:fill="auto"/>
          </w:tcPr>
          <w:p w:rsidR="00576BFC" w:rsidRPr="00E90491" w:rsidRDefault="00576BFC" w:rsidP="008B4B29">
            <w:pPr>
              <w:pStyle w:val="Tabletext"/>
              <w:keepNext/>
              <w:rPr>
                <w:szCs w:val="20"/>
              </w:rPr>
            </w:pPr>
            <w:r w:rsidRPr="00E90491">
              <w:rPr>
                <w:szCs w:val="20"/>
              </w:rPr>
              <w:t xml:space="preserve">Clinical Study Report: </w:t>
            </w:r>
            <w:r w:rsidRPr="00E90491">
              <w:rPr>
                <w:szCs w:val="20"/>
              </w:rPr>
              <w:br/>
              <w:t>14 February 2013.</w:t>
            </w:r>
          </w:p>
        </w:tc>
      </w:tr>
      <w:tr w:rsidR="00576BFC" w:rsidRPr="00E90491" w:rsidTr="00D548AF">
        <w:tc>
          <w:tcPr>
            <w:tcW w:w="796" w:type="pct"/>
            <w:tcBorders>
              <w:top w:val="nil"/>
              <w:bottom w:val="nil"/>
            </w:tcBorders>
            <w:shd w:val="clear" w:color="auto" w:fill="auto"/>
          </w:tcPr>
          <w:p w:rsidR="00576BFC" w:rsidRPr="00E90491" w:rsidRDefault="00576BFC" w:rsidP="008B4B29">
            <w:pPr>
              <w:pStyle w:val="Tabletext"/>
              <w:keepNext/>
              <w:rPr>
                <w:szCs w:val="20"/>
              </w:rPr>
            </w:pPr>
          </w:p>
        </w:tc>
        <w:tc>
          <w:tcPr>
            <w:tcW w:w="3027" w:type="pct"/>
            <w:tcBorders>
              <w:top w:val="nil"/>
              <w:bottom w:val="nil"/>
            </w:tcBorders>
            <w:shd w:val="clear" w:color="auto" w:fill="auto"/>
          </w:tcPr>
          <w:p w:rsidR="00576BFC" w:rsidRPr="00E90491" w:rsidRDefault="00576BFC" w:rsidP="008B4B29">
            <w:pPr>
              <w:pStyle w:val="Tabletext"/>
              <w:keepNext/>
              <w:rPr>
                <w:szCs w:val="20"/>
                <w:lang w:eastAsia="en-AU"/>
              </w:rPr>
            </w:pPr>
            <w:r w:rsidRPr="00E90491">
              <w:rPr>
                <w:szCs w:val="20"/>
              </w:rPr>
              <w:t xml:space="preserve">Torres VE, Chapman AB, Devuyst O, et al. Tolvaptan in patients with autosomal dominant polycystic kidney disease. </w:t>
            </w:r>
          </w:p>
        </w:tc>
        <w:tc>
          <w:tcPr>
            <w:tcW w:w="1177" w:type="pct"/>
            <w:tcBorders>
              <w:top w:val="nil"/>
              <w:bottom w:val="nil"/>
            </w:tcBorders>
            <w:shd w:val="clear" w:color="auto" w:fill="auto"/>
          </w:tcPr>
          <w:p w:rsidR="00576BFC" w:rsidRPr="00E90491" w:rsidRDefault="00576BFC" w:rsidP="008B4B29">
            <w:pPr>
              <w:pStyle w:val="Tabletext"/>
              <w:keepNext/>
              <w:rPr>
                <w:szCs w:val="20"/>
                <w:lang w:eastAsia="en-AU"/>
              </w:rPr>
            </w:pPr>
            <w:r w:rsidRPr="00E90491">
              <w:rPr>
                <w:i/>
                <w:szCs w:val="20"/>
              </w:rPr>
              <w:t xml:space="preserve">New England Journal of Medicine </w:t>
            </w:r>
            <w:r w:rsidRPr="00E90491">
              <w:rPr>
                <w:szCs w:val="20"/>
              </w:rPr>
              <w:t>2012; 367(25):2407-2418.</w:t>
            </w:r>
          </w:p>
        </w:tc>
      </w:tr>
      <w:tr w:rsidR="00576BFC" w:rsidRPr="00E90491" w:rsidTr="00D548AF">
        <w:tc>
          <w:tcPr>
            <w:tcW w:w="796" w:type="pct"/>
            <w:tcBorders>
              <w:top w:val="nil"/>
              <w:bottom w:val="single" w:sz="4" w:space="0" w:color="auto"/>
            </w:tcBorders>
            <w:shd w:val="clear" w:color="auto" w:fill="auto"/>
          </w:tcPr>
          <w:p w:rsidR="00576BFC" w:rsidRPr="00E90491" w:rsidRDefault="00576BFC" w:rsidP="008B4B29">
            <w:pPr>
              <w:pStyle w:val="Tabletext"/>
              <w:keepNext/>
              <w:rPr>
                <w:szCs w:val="20"/>
              </w:rPr>
            </w:pPr>
          </w:p>
        </w:tc>
        <w:tc>
          <w:tcPr>
            <w:tcW w:w="3027" w:type="pct"/>
            <w:tcBorders>
              <w:top w:val="nil"/>
              <w:bottom w:val="single" w:sz="4" w:space="0" w:color="auto"/>
            </w:tcBorders>
            <w:shd w:val="clear" w:color="auto" w:fill="auto"/>
          </w:tcPr>
          <w:p w:rsidR="00576BFC" w:rsidRPr="00E90491" w:rsidRDefault="00576BFC" w:rsidP="008B4B29">
            <w:pPr>
              <w:pStyle w:val="Tabletext"/>
              <w:keepNext/>
              <w:rPr>
                <w:szCs w:val="20"/>
                <w:lang w:val="en-US" w:eastAsia="en-AU"/>
              </w:rPr>
            </w:pPr>
            <w:r w:rsidRPr="00E90491">
              <w:rPr>
                <w:szCs w:val="20"/>
              </w:rPr>
              <w:t xml:space="preserve">Perrone RD, Coons SJ, Cavanaugh K, Finkelstein F, Meyer KB. Patient-reported outcomes in clinical trials of CKD-related therapies: report of a symposium sponsored by the national kidney foundation and the U.S. Food and Drug Administration. </w:t>
            </w:r>
          </w:p>
        </w:tc>
        <w:tc>
          <w:tcPr>
            <w:tcW w:w="1177" w:type="pct"/>
            <w:tcBorders>
              <w:top w:val="nil"/>
              <w:bottom w:val="single" w:sz="4" w:space="0" w:color="auto"/>
            </w:tcBorders>
            <w:shd w:val="clear" w:color="auto" w:fill="auto"/>
          </w:tcPr>
          <w:p w:rsidR="00576BFC" w:rsidRPr="00E90491" w:rsidRDefault="00576BFC" w:rsidP="008B4B29">
            <w:pPr>
              <w:pStyle w:val="Tabletext"/>
              <w:keepNext/>
              <w:rPr>
                <w:i/>
                <w:szCs w:val="20"/>
                <w:lang w:val="en-US" w:eastAsia="en-AU"/>
              </w:rPr>
            </w:pPr>
            <w:r w:rsidRPr="00E90491">
              <w:rPr>
                <w:i/>
                <w:szCs w:val="20"/>
              </w:rPr>
              <w:t>American Journal of Kidney Diseases</w:t>
            </w:r>
            <w:r w:rsidRPr="00E90491">
              <w:rPr>
                <w:szCs w:val="20"/>
              </w:rPr>
              <w:t xml:space="preserve"> Dec 2013; 62(6):1046-1057.</w:t>
            </w:r>
          </w:p>
        </w:tc>
      </w:tr>
      <w:tr w:rsidR="00576BFC" w:rsidRPr="00E90491" w:rsidTr="006E3AC5">
        <w:tc>
          <w:tcPr>
            <w:tcW w:w="796" w:type="pct"/>
            <w:tcBorders>
              <w:top w:val="single" w:sz="4" w:space="0" w:color="auto"/>
              <w:bottom w:val="single" w:sz="4" w:space="0" w:color="auto"/>
            </w:tcBorders>
          </w:tcPr>
          <w:p w:rsidR="00576BFC" w:rsidRPr="00E90491" w:rsidRDefault="00576BFC" w:rsidP="008B4B29">
            <w:pPr>
              <w:pStyle w:val="Tabletext"/>
              <w:keepNext/>
              <w:rPr>
                <w:szCs w:val="20"/>
              </w:rPr>
            </w:pPr>
            <w:r w:rsidRPr="00E90491">
              <w:rPr>
                <w:szCs w:val="20"/>
              </w:rPr>
              <w:t>TEMPO 4:4</w:t>
            </w:r>
          </w:p>
          <w:p w:rsidR="00576BFC" w:rsidRPr="00E90491" w:rsidRDefault="00576BFC" w:rsidP="008B4B29">
            <w:pPr>
              <w:pStyle w:val="Tabletext"/>
              <w:keepNext/>
              <w:rPr>
                <w:szCs w:val="20"/>
              </w:rPr>
            </w:pPr>
          </w:p>
        </w:tc>
        <w:tc>
          <w:tcPr>
            <w:tcW w:w="3027" w:type="pct"/>
            <w:tcBorders>
              <w:top w:val="single" w:sz="4" w:space="0" w:color="auto"/>
              <w:bottom w:val="single" w:sz="4" w:space="0" w:color="auto"/>
            </w:tcBorders>
          </w:tcPr>
          <w:p w:rsidR="00576BFC" w:rsidRPr="00E90491" w:rsidRDefault="006E3AC5" w:rsidP="008B4B29">
            <w:pPr>
              <w:pStyle w:val="Tabletext"/>
              <w:keepNext/>
              <w:rPr>
                <w:szCs w:val="20"/>
              </w:rPr>
            </w:pPr>
            <w:r w:rsidRPr="00A852F0">
              <w:rPr>
                <w:szCs w:val="20"/>
              </w:rPr>
              <w:t xml:space="preserve">Torres </w:t>
            </w:r>
            <w:r>
              <w:rPr>
                <w:szCs w:val="20"/>
              </w:rPr>
              <w:t>VE, et al.</w:t>
            </w:r>
            <w:r w:rsidRPr="00A852F0">
              <w:rPr>
                <w:szCs w:val="20"/>
              </w:rPr>
              <w:t xml:space="preserve"> </w:t>
            </w:r>
            <w:r w:rsidRPr="009E6004">
              <w:rPr>
                <w:szCs w:val="20"/>
              </w:rPr>
              <w:t>Multicenter, open-label, extension trial to evaluate the long-term efficacy and safety of early versus delayed treatment with tolvaptan in autosomal dominant polycystic kidney disease: the TEMPO 4:4 Trial</w:t>
            </w:r>
            <w:r>
              <w:rPr>
                <w:szCs w:val="20"/>
              </w:rPr>
              <w:t>.</w:t>
            </w:r>
          </w:p>
        </w:tc>
        <w:tc>
          <w:tcPr>
            <w:tcW w:w="1177" w:type="pct"/>
            <w:tcBorders>
              <w:top w:val="single" w:sz="4" w:space="0" w:color="auto"/>
              <w:bottom w:val="single" w:sz="4" w:space="0" w:color="auto"/>
            </w:tcBorders>
          </w:tcPr>
          <w:p w:rsidR="00576BFC" w:rsidRPr="00E90491" w:rsidRDefault="006E3AC5" w:rsidP="008B4B29">
            <w:pPr>
              <w:pStyle w:val="Tabletext"/>
              <w:keepNext/>
              <w:rPr>
                <w:szCs w:val="20"/>
              </w:rPr>
            </w:pPr>
            <w:r>
              <w:rPr>
                <w:i/>
                <w:szCs w:val="20"/>
              </w:rPr>
              <w:t xml:space="preserve">Nephrology, Dialysis, Transplant </w:t>
            </w:r>
            <w:r w:rsidRPr="00A852F0">
              <w:rPr>
                <w:szCs w:val="20"/>
              </w:rPr>
              <w:t>2017;</w:t>
            </w:r>
            <w:r>
              <w:rPr>
                <w:szCs w:val="20"/>
              </w:rPr>
              <w:t xml:space="preserve"> March 31</w:t>
            </w:r>
            <w:r w:rsidRPr="00A852F0">
              <w:rPr>
                <w:szCs w:val="20"/>
              </w:rPr>
              <w:t xml:space="preserve">: </w:t>
            </w:r>
            <w:r>
              <w:rPr>
                <w:szCs w:val="20"/>
              </w:rPr>
              <w:t>1-13</w:t>
            </w:r>
            <w:r w:rsidRPr="00A852F0">
              <w:rPr>
                <w:szCs w:val="20"/>
              </w:rPr>
              <w:t>.</w:t>
            </w:r>
          </w:p>
        </w:tc>
      </w:tr>
    </w:tbl>
    <w:p w:rsidR="00576BFC" w:rsidRPr="00B1011F" w:rsidRDefault="00576BFC" w:rsidP="008B4B29">
      <w:pPr>
        <w:pStyle w:val="TableFooter"/>
        <w:widowControl/>
        <w:rPr>
          <w:sz w:val="20"/>
        </w:rPr>
      </w:pPr>
      <w:r>
        <w:t>Source: Table 2-9, pp48-49 of the resubmission.</w:t>
      </w:r>
    </w:p>
    <w:p w:rsidR="00576BFC" w:rsidRPr="008F120A" w:rsidRDefault="00576BFC" w:rsidP="008B4B29">
      <w:pPr>
        <w:widowControl/>
      </w:pPr>
    </w:p>
    <w:p w:rsidR="00576BFC" w:rsidRPr="00C93555" w:rsidRDefault="00576BFC" w:rsidP="008B4B29">
      <w:pPr>
        <w:pStyle w:val="ListParagraph"/>
        <w:widowControl/>
        <w:numPr>
          <w:ilvl w:val="1"/>
          <w:numId w:val="3"/>
        </w:numPr>
        <w:spacing w:after="0"/>
        <w:ind w:left="720"/>
        <w:rPr>
          <w:rFonts w:cs="Calibri"/>
          <w:snapToGrid/>
          <w:szCs w:val="24"/>
          <w:lang w:val="en-US" w:eastAsia="en-AU"/>
        </w:rPr>
      </w:pPr>
      <w:r w:rsidRPr="00001F88">
        <w:t>The</w:t>
      </w:r>
      <w:r w:rsidRPr="00C93555">
        <w:rPr>
          <w:rFonts w:cs="Calibri"/>
          <w:snapToGrid/>
          <w:szCs w:val="24"/>
          <w:lang w:val="en-US" w:eastAsia="en-AU"/>
        </w:rPr>
        <w:t xml:space="preserve"> key features of the direct randomised trials are summarised in the table below.</w:t>
      </w:r>
    </w:p>
    <w:p w:rsidR="00576BFC" w:rsidRPr="005466DF" w:rsidRDefault="00576BFC" w:rsidP="008B4B29">
      <w:pPr>
        <w:widowControl/>
        <w:rPr>
          <w:rFonts w:ascii="Arial Narrow" w:hAnsi="Arial Narrow"/>
          <w:b/>
          <w:sz w:val="20"/>
          <w:szCs w:val="16"/>
        </w:rPr>
      </w:pPr>
    </w:p>
    <w:p w:rsidR="00576BFC" w:rsidRDefault="00576BFC" w:rsidP="008B4B29">
      <w:pPr>
        <w:keepNext/>
        <w:keepLines/>
        <w:widowControl/>
        <w:rPr>
          <w:rStyle w:val="CommentReference"/>
        </w:rPr>
      </w:pPr>
      <w:r>
        <w:rPr>
          <w:rStyle w:val="CommentReference"/>
        </w:rPr>
        <w:t xml:space="preserve">Table </w:t>
      </w:r>
      <w:r w:rsidR="00D320B2">
        <w:rPr>
          <w:rStyle w:val="CommentReference"/>
        </w:rPr>
        <w:t>4</w:t>
      </w:r>
      <w:r w:rsidRPr="00E2771E">
        <w:rPr>
          <w:rStyle w:val="CommentReference"/>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93"/>
        <w:gridCol w:w="708"/>
        <w:gridCol w:w="1413"/>
        <w:gridCol w:w="736"/>
        <w:gridCol w:w="2182"/>
        <w:gridCol w:w="1392"/>
        <w:gridCol w:w="1659"/>
      </w:tblGrid>
      <w:tr w:rsidR="00576BFC" w:rsidRPr="00B41614" w:rsidTr="009E698C">
        <w:trPr>
          <w:cantSplit/>
          <w:tblHeader/>
        </w:trPr>
        <w:tc>
          <w:tcPr>
            <w:tcW w:w="547" w:type="pct"/>
            <w:shd w:val="clear" w:color="auto" w:fill="auto"/>
            <w:vAlign w:val="center"/>
          </w:tcPr>
          <w:p w:rsidR="00576BFC" w:rsidRPr="00B41614" w:rsidRDefault="00576BFC" w:rsidP="008B4B29">
            <w:pPr>
              <w:pStyle w:val="Tabletext"/>
              <w:keepNext/>
              <w:keepLines/>
              <w:rPr>
                <w:b/>
                <w:lang w:val="en-US"/>
              </w:rPr>
            </w:pPr>
            <w:r w:rsidRPr="00B41614">
              <w:rPr>
                <w:b/>
                <w:lang w:val="en-US"/>
              </w:rPr>
              <w:t>Trial</w:t>
            </w:r>
          </w:p>
        </w:tc>
        <w:tc>
          <w:tcPr>
            <w:tcW w:w="390" w:type="pct"/>
            <w:shd w:val="clear" w:color="auto" w:fill="auto"/>
            <w:vAlign w:val="center"/>
          </w:tcPr>
          <w:p w:rsidR="00576BFC" w:rsidRPr="00B41614" w:rsidRDefault="00576BFC" w:rsidP="008B4B29">
            <w:pPr>
              <w:pStyle w:val="Tabletext"/>
              <w:keepNext/>
              <w:keepLines/>
              <w:jc w:val="center"/>
              <w:rPr>
                <w:b/>
                <w:lang w:val="en-US"/>
              </w:rPr>
            </w:pPr>
            <w:r w:rsidRPr="00B41614">
              <w:rPr>
                <w:b/>
                <w:lang w:val="en-US"/>
              </w:rPr>
              <w:t>N</w:t>
            </w:r>
          </w:p>
        </w:tc>
        <w:tc>
          <w:tcPr>
            <w:tcW w:w="778" w:type="pct"/>
            <w:shd w:val="clear" w:color="auto" w:fill="auto"/>
            <w:vAlign w:val="center"/>
          </w:tcPr>
          <w:p w:rsidR="00576BFC" w:rsidRPr="00B41614" w:rsidRDefault="00576BFC" w:rsidP="008B4B29">
            <w:pPr>
              <w:pStyle w:val="Tabletext"/>
              <w:keepNext/>
              <w:keepLines/>
              <w:jc w:val="center"/>
              <w:rPr>
                <w:b/>
                <w:lang w:val="en-US"/>
              </w:rPr>
            </w:pPr>
            <w:r w:rsidRPr="00B41614">
              <w:rPr>
                <w:b/>
                <w:lang w:val="en-US"/>
              </w:rPr>
              <w:t>Design/ duration</w:t>
            </w:r>
          </w:p>
        </w:tc>
        <w:tc>
          <w:tcPr>
            <w:tcW w:w="405" w:type="pct"/>
            <w:shd w:val="clear" w:color="auto" w:fill="auto"/>
            <w:vAlign w:val="center"/>
          </w:tcPr>
          <w:p w:rsidR="00576BFC" w:rsidRPr="00B41614" w:rsidRDefault="00576BFC" w:rsidP="008B4B29">
            <w:pPr>
              <w:pStyle w:val="Tabletext"/>
              <w:keepNext/>
              <w:keepLines/>
              <w:jc w:val="center"/>
              <w:rPr>
                <w:b/>
                <w:lang w:val="en-US"/>
              </w:rPr>
            </w:pPr>
            <w:r w:rsidRPr="00B41614">
              <w:rPr>
                <w:b/>
                <w:lang w:val="en-US"/>
              </w:rPr>
              <w:t>Risk of bias</w:t>
            </w:r>
          </w:p>
        </w:tc>
        <w:tc>
          <w:tcPr>
            <w:tcW w:w="1201" w:type="pct"/>
            <w:shd w:val="clear" w:color="auto" w:fill="auto"/>
            <w:vAlign w:val="center"/>
          </w:tcPr>
          <w:p w:rsidR="00576BFC" w:rsidRPr="00B41614" w:rsidRDefault="00576BFC" w:rsidP="008B4B29">
            <w:pPr>
              <w:pStyle w:val="Tabletext"/>
              <w:keepNext/>
              <w:keepLines/>
              <w:jc w:val="center"/>
              <w:rPr>
                <w:b/>
                <w:lang w:val="en-US"/>
              </w:rPr>
            </w:pPr>
            <w:r w:rsidRPr="00B41614">
              <w:rPr>
                <w:b/>
                <w:lang w:val="en-US"/>
              </w:rPr>
              <w:t>Patient population</w:t>
            </w:r>
          </w:p>
        </w:tc>
        <w:tc>
          <w:tcPr>
            <w:tcW w:w="766" w:type="pct"/>
            <w:shd w:val="clear" w:color="auto" w:fill="auto"/>
            <w:vAlign w:val="center"/>
          </w:tcPr>
          <w:p w:rsidR="00576BFC" w:rsidRPr="00B41614" w:rsidRDefault="00576BFC" w:rsidP="008B4B29">
            <w:pPr>
              <w:pStyle w:val="Tabletext"/>
              <w:keepNext/>
              <w:keepLines/>
              <w:jc w:val="center"/>
              <w:rPr>
                <w:b/>
                <w:lang w:val="en-US"/>
              </w:rPr>
            </w:pPr>
            <w:r>
              <w:rPr>
                <w:b/>
                <w:lang w:val="en-US"/>
              </w:rPr>
              <w:t>Outcome</w:t>
            </w:r>
          </w:p>
        </w:tc>
        <w:tc>
          <w:tcPr>
            <w:tcW w:w="913" w:type="pct"/>
            <w:shd w:val="clear" w:color="auto" w:fill="auto"/>
            <w:vAlign w:val="center"/>
          </w:tcPr>
          <w:p w:rsidR="00576BFC" w:rsidRPr="00B41614" w:rsidRDefault="00576BFC" w:rsidP="008B4B29">
            <w:pPr>
              <w:pStyle w:val="Tabletext"/>
              <w:keepNext/>
              <w:keepLines/>
              <w:jc w:val="center"/>
              <w:rPr>
                <w:b/>
                <w:lang w:val="en-US"/>
              </w:rPr>
            </w:pPr>
            <w:r w:rsidRPr="00B41614">
              <w:rPr>
                <w:b/>
                <w:lang w:val="en-US"/>
              </w:rPr>
              <w:t>Use in modelled evaluation</w:t>
            </w:r>
          </w:p>
        </w:tc>
      </w:tr>
      <w:tr w:rsidR="00576BFC" w:rsidRPr="00E2771E" w:rsidTr="009E698C">
        <w:tc>
          <w:tcPr>
            <w:tcW w:w="5000" w:type="pct"/>
            <w:gridSpan w:val="7"/>
            <w:shd w:val="clear" w:color="auto" w:fill="auto"/>
            <w:vAlign w:val="center"/>
          </w:tcPr>
          <w:p w:rsidR="00576BFC" w:rsidRPr="00B41614" w:rsidRDefault="00576BFC" w:rsidP="008B4B29">
            <w:pPr>
              <w:pStyle w:val="Tabletext"/>
              <w:keepNext/>
              <w:keepLines/>
              <w:rPr>
                <w:b/>
                <w:lang w:val="en-US"/>
              </w:rPr>
            </w:pPr>
            <w:r>
              <w:rPr>
                <w:b/>
                <w:lang w:val="en-US"/>
              </w:rPr>
              <w:t>Tolvaptan versus placebo (addition to best supportive care)</w:t>
            </w:r>
          </w:p>
        </w:tc>
      </w:tr>
      <w:tr w:rsidR="00576BFC" w:rsidRPr="00E2771E" w:rsidTr="009E698C">
        <w:trPr>
          <w:cantSplit/>
        </w:trPr>
        <w:tc>
          <w:tcPr>
            <w:tcW w:w="547" w:type="pct"/>
            <w:shd w:val="clear" w:color="auto" w:fill="auto"/>
            <w:vAlign w:val="center"/>
          </w:tcPr>
          <w:p w:rsidR="00576BFC" w:rsidRPr="00E2771E" w:rsidRDefault="00576BFC" w:rsidP="008B4B29">
            <w:pPr>
              <w:pStyle w:val="Tabletext"/>
              <w:keepNext/>
              <w:keepLines/>
              <w:rPr>
                <w:lang w:val="en-US"/>
              </w:rPr>
            </w:pPr>
            <w:r>
              <w:rPr>
                <w:lang w:val="en-US"/>
              </w:rPr>
              <w:t>REPRISE</w:t>
            </w:r>
          </w:p>
        </w:tc>
        <w:tc>
          <w:tcPr>
            <w:tcW w:w="390" w:type="pct"/>
            <w:shd w:val="clear" w:color="auto" w:fill="auto"/>
            <w:vAlign w:val="center"/>
          </w:tcPr>
          <w:p w:rsidR="00576BFC" w:rsidRPr="00E2771E" w:rsidRDefault="00576BFC" w:rsidP="008B4B29">
            <w:pPr>
              <w:pStyle w:val="Tabletext"/>
              <w:keepNext/>
              <w:keepLines/>
              <w:jc w:val="center"/>
              <w:rPr>
                <w:lang w:val="en-US"/>
              </w:rPr>
            </w:pPr>
            <w:r>
              <w:rPr>
                <w:lang w:val="en-US"/>
              </w:rPr>
              <w:t>1,370</w:t>
            </w:r>
          </w:p>
        </w:tc>
        <w:tc>
          <w:tcPr>
            <w:tcW w:w="778" w:type="pct"/>
            <w:shd w:val="clear" w:color="auto" w:fill="auto"/>
            <w:vAlign w:val="center"/>
          </w:tcPr>
          <w:p w:rsidR="00576BFC" w:rsidRDefault="00576BFC" w:rsidP="008B4B29">
            <w:pPr>
              <w:pStyle w:val="Tabletext"/>
              <w:keepNext/>
              <w:keepLines/>
              <w:jc w:val="center"/>
            </w:pPr>
            <w:r>
              <w:t>Randomised, double blind, multi-cent</w:t>
            </w:r>
            <w:r w:rsidR="008B28A5">
              <w:t>re</w:t>
            </w:r>
            <w:r>
              <w:t>, withdrawal study</w:t>
            </w:r>
          </w:p>
          <w:p w:rsidR="00576BFC" w:rsidRPr="00E2771E" w:rsidRDefault="00576BFC" w:rsidP="008B4B29">
            <w:pPr>
              <w:pStyle w:val="Tabletext"/>
              <w:keepNext/>
              <w:keepLines/>
              <w:jc w:val="center"/>
              <w:rPr>
                <w:lang w:val="en-US"/>
              </w:rPr>
            </w:pPr>
            <w:r>
              <w:t>12 months</w:t>
            </w:r>
          </w:p>
        </w:tc>
        <w:tc>
          <w:tcPr>
            <w:tcW w:w="405" w:type="pct"/>
            <w:shd w:val="clear" w:color="auto" w:fill="auto"/>
            <w:vAlign w:val="center"/>
          </w:tcPr>
          <w:p w:rsidR="00576BFC" w:rsidRPr="00E2771E" w:rsidRDefault="00576BFC" w:rsidP="008B4B29">
            <w:pPr>
              <w:pStyle w:val="Tabletext"/>
              <w:keepNext/>
              <w:keepLines/>
              <w:jc w:val="center"/>
              <w:rPr>
                <w:lang w:val="en-US"/>
              </w:rPr>
            </w:pPr>
            <w:r>
              <w:rPr>
                <w:lang w:val="en-US"/>
              </w:rPr>
              <w:t>Low</w:t>
            </w:r>
          </w:p>
        </w:tc>
        <w:tc>
          <w:tcPr>
            <w:tcW w:w="1201" w:type="pct"/>
            <w:shd w:val="clear" w:color="auto" w:fill="auto"/>
            <w:vAlign w:val="center"/>
          </w:tcPr>
          <w:p w:rsidR="00576BFC" w:rsidRDefault="00576BFC" w:rsidP="008B4B29">
            <w:pPr>
              <w:pStyle w:val="Tabletext"/>
              <w:keepNext/>
              <w:keepLines/>
              <w:jc w:val="center"/>
              <w:rPr>
                <w:lang w:val="en-US"/>
              </w:rPr>
            </w:pPr>
            <w:r>
              <w:rPr>
                <w:lang w:val="en-US"/>
              </w:rPr>
              <w:t xml:space="preserve">18-55 years, eGFR </w:t>
            </w:r>
            <w:r>
              <w:rPr>
                <w:lang w:val="en-US"/>
              </w:rPr>
              <w:br/>
              <w:t>25-65 mL/min/1.73 m</w:t>
            </w:r>
            <w:r w:rsidRPr="008677E5">
              <w:rPr>
                <w:vertAlign w:val="superscript"/>
                <w:lang w:val="en-US"/>
              </w:rPr>
              <w:t>2</w:t>
            </w:r>
            <w:r>
              <w:rPr>
                <w:lang w:val="en-US"/>
              </w:rPr>
              <w:t>/year;</w:t>
            </w:r>
          </w:p>
          <w:p w:rsidR="00576BFC" w:rsidRDefault="00576BFC" w:rsidP="008B4B29">
            <w:pPr>
              <w:pStyle w:val="Tabletext"/>
              <w:keepNext/>
              <w:keepLines/>
              <w:jc w:val="center"/>
              <w:rPr>
                <w:lang w:val="en-US"/>
              </w:rPr>
            </w:pPr>
            <w:r>
              <w:rPr>
                <w:lang w:val="en-US"/>
              </w:rPr>
              <w:t xml:space="preserve">56-65 years, eGFR </w:t>
            </w:r>
            <w:r>
              <w:rPr>
                <w:lang w:val="en-US"/>
              </w:rPr>
              <w:br/>
              <w:t>25-44 mL/min/1.73 m</w:t>
            </w:r>
            <w:r w:rsidRPr="008677E5">
              <w:rPr>
                <w:vertAlign w:val="superscript"/>
                <w:lang w:val="en-US"/>
              </w:rPr>
              <w:t>2</w:t>
            </w:r>
            <w:r>
              <w:rPr>
                <w:lang w:val="en-US"/>
              </w:rPr>
              <w:t>/year with a decline in eGFR</w:t>
            </w:r>
          </w:p>
          <w:p w:rsidR="00576BFC" w:rsidRPr="00E2771E" w:rsidRDefault="00576BFC" w:rsidP="008B4B29">
            <w:pPr>
              <w:pStyle w:val="Tabletext"/>
              <w:keepNext/>
              <w:keepLines/>
              <w:jc w:val="center"/>
              <w:rPr>
                <w:lang w:val="en-US"/>
              </w:rPr>
            </w:pPr>
            <w:r>
              <w:rPr>
                <w:lang w:val="en-US"/>
              </w:rPr>
              <w:t>&gt;2.0 mL/min/1.73 m</w:t>
            </w:r>
            <w:r w:rsidRPr="008677E5">
              <w:rPr>
                <w:vertAlign w:val="superscript"/>
                <w:lang w:val="en-US"/>
              </w:rPr>
              <w:t>2</w:t>
            </w:r>
            <w:r>
              <w:rPr>
                <w:lang w:val="en-US"/>
              </w:rPr>
              <w:t>/year</w:t>
            </w:r>
          </w:p>
        </w:tc>
        <w:tc>
          <w:tcPr>
            <w:tcW w:w="766" w:type="pct"/>
            <w:shd w:val="clear" w:color="auto" w:fill="auto"/>
            <w:vAlign w:val="center"/>
          </w:tcPr>
          <w:p w:rsidR="00576BFC" w:rsidRDefault="00576BFC" w:rsidP="008B4B29">
            <w:pPr>
              <w:pStyle w:val="Tabletext"/>
              <w:keepNext/>
              <w:keepLines/>
              <w:jc w:val="center"/>
              <w:rPr>
                <w:lang w:val="en-US"/>
              </w:rPr>
            </w:pPr>
            <w:r>
              <w:rPr>
                <w:lang w:val="en-US"/>
              </w:rPr>
              <w:t xml:space="preserve">Annualised rate </w:t>
            </w:r>
          </w:p>
          <w:p w:rsidR="00576BFC" w:rsidRDefault="00576BFC" w:rsidP="008B4B29">
            <w:pPr>
              <w:pStyle w:val="Tabletext"/>
              <w:keepNext/>
              <w:keepLines/>
              <w:jc w:val="center"/>
              <w:rPr>
                <w:lang w:val="en-US"/>
              </w:rPr>
            </w:pPr>
            <w:r>
              <w:rPr>
                <w:lang w:val="en-US"/>
              </w:rPr>
              <w:t xml:space="preserve">of change in slope of eGFR decline </w:t>
            </w:r>
          </w:p>
          <w:p w:rsidR="00576BFC" w:rsidRPr="00E2771E" w:rsidRDefault="00576BFC" w:rsidP="008B4B29">
            <w:pPr>
              <w:pStyle w:val="Tabletext"/>
              <w:keepNext/>
              <w:keepLines/>
              <w:jc w:val="center"/>
              <w:rPr>
                <w:lang w:val="en-US"/>
              </w:rPr>
            </w:pPr>
            <w:r>
              <w:rPr>
                <w:lang w:val="en-US"/>
              </w:rPr>
              <w:t>(12 months)</w:t>
            </w:r>
          </w:p>
        </w:tc>
        <w:tc>
          <w:tcPr>
            <w:tcW w:w="913" w:type="pct"/>
            <w:shd w:val="clear" w:color="auto" w:fill="auto"/>
            <w:vAlign w:val="center"/>
          </w:tcPr>
          <w:p w:rsidR="00576BFC" w:rsidRDefault="00576BFC" w:rsidP="008B4B29">
            <w:pPr>
              <w:pStyle w:val="Tabletext"/>
              <w:keepNext/>
              <w:keepLines/>
              <w:jc w:val="center"/>
              <w:rPr>
                <w:lang w:val="en-US"/>
              </w:rPr>
            </w:pPr>
            <w:r>
              <w:rPr>
                <w:lang w:val="en-US"/>
              </w:rPr>
              <w:t>REPRISE subgroup excluding CKD 4</w:t>
            </w:r>
          </w:p>
          <w:p w:rsidR="00576BFC" w:rsidRPr="00E2771E" w:rsidRDefault="00576BFC" w:rsidP="008B4B29">
            <w:pPr>
              <w:pStyle w:val="Tabletext"/>
              <w:keepNext/>
              <w:keepLines/>
              <w:jc w:val="center"/>
              <w:rPr>
                <w:lang w:val="en-US"/>
              </w:rPr>
            </w:pPr>
            <w:r>
              <w:rPr>
                <w:lang w:val="en-US"/>
              </w:rPr>
              <w:t>(base case)</w:t>
            </w:r>
          </w:p>
        </w:tc>
      </w:tr>
      <w:tr w:rsidR="00576BFC" w:rsidRPr="00E2771E" w:rsidTr="009E698C">
        <w:trPr>
          <w:cantSplit/>
        </w:trPr>
        <w:tc>
          <w:tcPr>
            <w:tcW w:w="547" w:type="pct"/>
            <w:shd w:val="clear" w:color="auto" w:fill="auto"/>
            <w:vAlign w:val="center"/>
          </w:tcPr>
          <w:p w:rsidR="00576BFC" w:rsidRPr="00E2771E" w:rsidRDefault="00576BFC" w:rsidP="008B4B29">
            <w:pPr>
              <w:pStyle w:val="Tabletext"/>
              <w:keepNext/>
              <w:rPr>
                <w:lang w:val="en-US"/>
              </w:rPr>
            </w:pPr>
            <w:r>
              <w:t>TEMPO 3:4</w:t>
            </w:r>
          </w:p>
        </w:tc>
        <w:tc>
          <w:tcPr>
            <w:tcW w:w="390" w:type="pct"/>
            <w:shd w:val="clear" w:color="auto" w:fill="auto"/>
            <w:vAlign w:val="center"/>
          </w:tcPr>
          <w:p w:rsidR="00576BFC" w:rsidRPr="00E2771E" w:rsidRDefault="00576BFC" w:rsidP="008B4B29">
            <w:pPr>
              <w:pStyle w:val="Tabletext"/>
              <w:keepNext/>
              <w:jc w:val="center"/>
              <w:rPr>
                <w:lang w:val="en-US"/>
              </w:rPr>
            </w:pPr>
            <w:r>
              <w:rPr>
                <w:lang w:val="en-US"/>
              </w:rPr>
              <w:t>1,444</w:t>
            </w:r>
          </w:p>
        </w:tc>
        <w:tc>
          <w:tcPr>
            <w:tcW w:w="778" w:type="pct"/>
            <w:shd w:val="clear" w:color="auto" w:fill="auto"/>
            <w:vAlign w:val="center"/>
          </w:tcPr>
          <w:p w:rsidR="00576BFC" w:rsidRDefault="00576BFC" w:rsidP="008B4B29">
            <w:pPr>
              <w:keepNext/>
              <w:widowControl/>
              <w:jc w:val="center"/>
              <w:rPr>
                <w:rFonts w:ascii="Arial Narrow" w:hAnsi="Arial Narrow"/>
                <w:sz w:val="20"/>
              </w:rPr>
            </w:pPr>
            <w:r w:rsidRPr="005466DF">
              <w:rPr>
                <w:rFonts w:ascii="Arial Narrow" w:hAnsi="Arial Narrow"/>
                <w:sz w:val="20"/>
              </w:rPr>
              <w:t>Randomi</w:t>
            </w:r>
            <w:r>
              <w:rPr>
                <w:rFonts w:ascii="Arial Narrow" w:hAnsi="Arial Narrow"/>
                <w:sz w:val="20"/>
              </w:rPr>
              <w:t>sed, double blind, multi-centre, superiority study</w:t>
            </w:r>
          </w:p>
          <w:p w:rsidR="00576BFC" w:rsidRPr="00523DEF" w:rsidRDefault="00576BFC" w:rsidP="008B4B29">
            <w:pPr>
              <w:keepNext/>
              <w:widowControl/>
              <w:jc w:val="center"/>
              <w:rPr>
                <w:rFonts w:ascii="Arial Narrow" w:hAnsi="Arial Narrow"/>
                <w:sz w:val="20"/>
              </w:rPr>
            </w:pPr>
            <w:r>
              <w:rPr>
                <w:rFonts w:ascii="Arial Narrow" w:hAnsi="Arial Narrow"/>
                <w:sz w:val="20"/>
              </w:rPr>
              <w:t>36 months</w:t>
            </w:r>
          </w:p>
        </w:tc>
        <w:tc>
          <w:tcPr>
            <w:tcW w:w="405" w:type="pct"/>
            <w:shd w:val="clear" w:color="auto" w:fill="auto"/>
            <w:vAlign w:val="center"/>
          </w:tcPr>
          <w:p w:rsidR="00576BFC" w:rsidRPr="00E2771E" w:rsidRDefault="00576BFC" w:rsidP="008B4B29">
            <w:pPr>
              <w:pStyle w:val="Tabletext"/>
              <w:keepNext/>
              <w:jc w:val="center"/>
              <w:rPr>
                <w:lang w:val="en-US"/>
              </w:rPr>
            </w:pPr>
            <w:r>
              <w:rPr>
                <w:lang w:val="en-US"/>
              </w:rPr>
              <w:t>Low</w:t>
            </w:r>
          </w:p>
        </w:tc>
        <w:tc>
          <w:tcPr>
            <w:tcW w:w="1201" w:type="pct"/>
            <w:shd w:val="clear" w:color="auto" w:fill="auto"/>
            <w:vAlign w:val="center"/>
          </w:tcPr>
          <w:p w:rsidR="00576BFC" w:rsidRDefault="00576BFC" w:rsidP="008B4B29">
            <w:pPr>
              <w:keepNext/>
              <w:widowControl/>
              <w:jc w:val="center"/>
              <w:rPr>
                <w:rFonts w:ascii="Arial Narrow" w:hAnsi="Arial Narrow"/>
                <w:sz w:val="20"/>
                <w:lang w:val="en-US"/>
              </w:rPr>
            </w:pPr>
            <w:r>
              <w:rPr>
                <w:rFonts w:ascii="Arial Narrow" w:hAnsi="Arial Narrow"/>
                <w:sz w:val="20"/>
                <w:lang w:val="en-US"/>
              </w:rPr>
              <w:t>Adults 18-50 yrs</w:t>
            </w:r>
          </w:p>
          <w:p w:rsidR="00576BFC" w:rsidRDefault="00576BFC" w:rsidP="008B4B29">
            <w:pPr>
              <w:keepNext/>
              <w:widowControl/>
              <w:jc w:val="center"/>
              <w:rPr>
                <w:rFonts w:ascii="Arial Narrow" w:hAnsi="Arial Narrow"/>
                <w:sz w:val="20"/>
                <w:lang w:val="en-US"/>
              </w:rPr>
            </w:pPr>
            <w:r>
              <w:rPr>
                <w:rFonts w:ascii="Arial Narrow" w:hAnsi="Arial Narrow"/>
                <w:sz w:val="20"/>
                <w:lang w:val="en-US"/>
              </w:rPr>
              <w:t>ADPKD + baseline</w:t>
            </w:r>
          </w:p>
          <w:p w:rsidR="00576BFC" w:rsidRDefault="00576BFC" w:rsidP="008B4B29">
            <w:pPr>
              <w:keepNext/>
              <w:widowControl/>
              <w:jc w:val="center"/>
              <w:rPr>
                <w:rFonts w:ascii="Arial Narrow" w:hAnsi="Arial Narrow"/>
                <w:sz w:val="20"/>
                <w:lang w:val="en-US"/>
              </w:rPr>
            </w:pPr>
            <w:r>
              <w:rPr>
                <w:rFonts w:ascii="Arial Narrow" w:hAnsi="Arial Narrow"/>
                <w:sz w:val="20"/>
                <w:lang w:val="en-US"/>
              </w:rPr>
              <w:t>TKV ≥750mL (MRI)</w:t>
            </w:r>
          </w:p>
          <w:p w:rsidR="00576BFC" w:rsidRPr="00E2771E" w:rsidRDefault="00576BFC" w:rsidP="008B4B29">
            <w:pPr>
              <w:pStyle w:val="Tabletext"/>
              <w:keepNext/>
              <w:jc w:val="center"/>
              <w:rPr>
                <w:lang w:val="en-US"/>
              </w:rPr>
            </w:pPr>
            <w:r>
              <w:rPr>
                <w:lang w:val="en-US"/>
              </w:rPr>
              <w:t>CrCl ≥60mL/min</w:t>
            </w:r>
          </w:p>
        </w:tc>
        <w:tc>
          <w:tcPr>
            <w:tcW w:w="766" w:type="pct"/>
            <w:shd w:val="clear" w:color="auto" w:fill="auto"/>
            <w:vAlign w:val="center"/>
          </w:tcPr>
          <w:p w:rsidR="00576BFC" w:rsidRDefault="00576BFC" w:rsidP="008B4B29">
            <w:pPr>
              <w:keepNext/>
              <w:widowControl/>
              <w:jc w:val="center"/>
              <w:rPr>
                <w:rFonts w:ascii="Arial Narrow" w:hAnsi="Arial Narrow"/>
                <w:sz w:val="20"/>
                <w:lang w:val="en-US"/>
              </w:rPr>
            </w:pPr>
            <w:r w:rsidRPr="006E5A16">
              <w:rPr>
                <w:rFonts w:ascii="Arial Narrow" w:hAnsi="Arial Narrow"/>
                <w:sz w:val="20"/>
              </w:rPr>
              <w:t>Annualised</w:t>
            </w:r>
            <w:r>
              <w:rPr>
                <w:rFonts w:ascii="Arial Narrow" w:hAnsi="Arial Narrow"/>
                <w:sz w:val="20"/>
                <w:lang w:val="en-US"/>
              </w:rPr>
              <w:t xml:space="preserve"> rate change in TKV</w:t>
            </w:r>
          </w:p>
          <w:p w:rsidR="00576BFC" w:rsidRDefault="00576BFC" w:rsidP="008B4B29">
            <w:pPr>
              <w:pStyle w:val="Tabletext"/>
              <w:keepNext/>
              <w:keepLines/>
              <w:jc w:val="center"/>
              <w:rPr>
                <w:lang w:val="en-US"/>
              </w:rPr>
            </w:pPr>
            <w:r>
              <w:rPr>
                <w:lang w:val="en-US"/>
              </w:rPr>
              <w:t xml:space="preserve">Annualised rate </w:t>
            </w:r>
          </w:p>
          <w:p w:rsidR="00576BFC" w:rsidRDefault="00576BFC" w:rsidP="008B4B29">
            <w:pPr>
              <w:pStyle w:val="Tabletext"/>
              <w:keepNext/>
              <w:jc w:val="center"/>
              <w:rPr>
                <w:lang w:val="en-US"/>
              </w:rPr>
            </w:pPr>
            <w:r>
              <w:rPr>
                <w:lang w:val="en-US"/>
              </w:rPr>
              <w:t xml:space="preserve">of change in slope of eGFR decline </w:t>
            </w:r>
          </w:p>
          <w:p w:rsidR="00576BFC" w:rsidRPr="00E2771E" w:rsidRDefault="00576BFC" w:rsidP="008B4B29">
            <w:pPr>
              <w:pStyle w:val="Tabletext"/>
              <w:keepNext/>
              <w:jc w:val="center"/>
              <w:rPr>
                <w:lang w:val="en-US"/>
              </w:rPr>
            </w:pPr>
            <w:r>
              <w:rPr>
                <w:lang w:val="en-US"/>
              </w:rPr>
              <w:t>(36 months)</w:t>
            </w:r>
          </w:p>
        </w:tc>
        <w:tc>
          <w:tcPr>
            <w:tcW w:w="913" w:type="pct"/>
            <w:shd w:val="clear" w:color="auto" w:fill="auto"/>
            <w:vAlign w:val="center"/>
          </w:tcPr>
          <w:p w:rsidR="00576BFC" w:rsidRDefault="00576BFC" w:rsidP="008B4B29">
            <w:pPr>
              <w:pStyle w:val="Tabletext"/>
              <w:keepNext/>
              <w:jc w:val="center"/>
              <w:rPr>
                <w:lang w:val="en-US"/>
              </w:rPr>
            </w:pPr>
            <w:r>
              <w:rPr>
                <w:lang w:val="en-US"/>
              </w:rPr>
              <w:t>TEMPO 3:4 subgroup excluding CKD 1</w:t>
            </w:r>
          </w:p>
          <w:p w:rsidR="00576BFC" w:rsidRPr="00E2771E" w:rsidRDefault="00576BFC" w:rsidP="008B4B29">
            <w:pPr>
              <w:pStyle w:val="Tabletext"/>
              <w:keepNext/>
              <w:jc w:val="center"/>
              <w:rPr>
                <w:lang w:val="en-US"/>
              </w:rPr>
            </w:pPr>
            <w:r>
              <w:rPr>
                <w:lang w:val="en-US"/>
              </w:rPr>
              <w:t>(base case)</w:t>
            </w:r>
          </w:p>
        </w:tc>
      </w:tr>
      <w:tr w:rsidR="00576BFC" w:rsidRPr="00E2771E" w:rsidTr="009E698C">
        <w:trPr>
          <w:cantSplit/>
        </w:trPr>
        <w:tc>
          <w:tcPr>
            <w:tcW w:w="547" w:type="pct"/>
            <w:shd w:val="clear" w:color="auto" w:fill="auto"/>
            <w:vAlign w:val="center"/>
          </w:tcPr>
          <w:p w:rsidR="00576BFC" w:rsidRPr="00E2771E" w:rsidRDefault="00576BFC" w:rsidP="008B4B29">
            <w:pPr>
              <w:pStyle w:val="Tabletext"/>
              <w:keepNext/>
              <w:rPr>
                <w:lang w:val="en-US"/>
              </w:rPr>
            </w:pPr>
            <w:r>
              <w:rPr>
                <w:lang w:val="en-US"/>
              </w:rPr>
              <w:t>TEMPO 4:4</w:t>
            </w:r>
          </w:p>
        </w:tc>
        <w:tc>
          <w:tcPr>
            <w:tcW w:w="390" w:type="pct"/>
            <w:shd w:val="clear" w:color="auto" w:fill="auto"/>
            <w:vAlign w:val="center"/>
          </w:tcPr>
          <w:p w:rsidR="00576BFC" w:rsidRPr="00E2771E" w:rsidRDefault="00576BFC" w:rsidP="008B4B29">
            <w:pPr>
              <w:pStyle w:val="Tabletext"/>
              <w:keepNext/>
              <w:jc w:val="center"/>
              <w:rPr>
                <w:lang w:val="en-US"/>
              </w:rPr>
            </w:pPr>
            <w:r>
              <w:rPr>
                <w:lang w:val="en-US"/>
              </w:rPr>
              <w:t>1,037</w:t>
            </w:r>
          </w:p>
        </w:tc>
        <w:tc>
          <w:tcPr>
            <w:tcW w:w="778" w:type="pct"/>
            <w:shd w:val="clear" w:color="auto" w:fill="auto"/>
            <w:vAlign w:val="center"/>
          </w:tcPr>
          <w:p w:rsidR="00576BFC" w:rsidRDefault="00576BFC" w:rsidP="008B4B29">
            <w:pPr>
              <w:pStyle w:val="Tabletext"/>
              <w:keepNext/>
              <w:jc w:val="center"/>
              <w:rPr>
                <w:lang w:val="en-US"/>
              </w:rPr>
            </w:pPr>
            <w:r>
              <w:rPr>
                <w:lang w:val="en-US"/>
              </w:rPr>
              <w:t xml:space="preserve">Open label, multi-center, safety </w:t>
            </w:r>
          </w:p>
          <w:p w:rsidR="00576BFC" w:rsidRPr="00E2771E" w:rsidRDefault="00576BFC" w:rsidP="008B4B29">
            <w:pPr>
              <w:pStyle w:val="Tabletext"/>
              <w:keepNext/>
              <w:jc w:val="center"/>
              <w:rPr>
                <w:lang w:val="en-US"/>
              </w:rPr>
            </w:pPr>
            <w:r>
              <w:rPr>
                <w:lang w:val="en-US"/>
              </w:rPr>
              <w:t xml:space="preserve">extension study </w:t>
            </w:r>
          </w:p>
        </w:tc>
        <w:tc>
          <w:tcPr>
            <w:tcW w:w="405" w:type="pct"/>
            <w:shd w:val="clear" w:color="auto" w:fill="auto"/>
            <w:vAlign w:val="center"/>
          </w:tcPr>
          <w:p w:rsidR="00576BFC" w:rsidRPr="00E2771E" w:rsidRDefault="00576BFC" w:rsidP="008B4B29">
            <w:pPr>
              <w:pStyle w:val="Tabletext"/>
              <w:keepNext/>
              <w:jc w:val="center"/>
              <w:rPr>
                <w:lang w:val="en-US"/>
              </w:rPr>
            </w:pPr>
            <w:r>
              <w:rPr>
                <w:lang w:val="en-US"/>
              </w:rPr>
              <w:t>High</w:t>
            </w:r>
          </w:p>
        </w:tc>
        <w:tc>
          <w:tcPr>
            <w:tcW w:w="1201" w:type="pct"/>
            <w:shd w:val="clear" w:color="auto" w:fill="auto"/>
            <w:vAlign w:val="center"/>
          </w:tcPr>
          <w:p w:rsidR="00576BFC" w:rsidRPr="00E2771E" w:rsidRDefault="00576BFC" w:rsidP="008B4B29">
            <w:pPr>
              <w:pStyle w:val="Tabletext"/>
              <w:keepNext/>
              <w:jc w:val="center"/>
              <w:rPr>
                <w:lang w:val="en-US"/>
              </w:rPr>
            </w:pPr>
            <w:r>
              <w:rPr>
                <w:lang w:val="en-US"/>
              </w:rPr>
              <w:t>Patients completing TEMPO 3:4 of 5 other tolvaptan trials</w:t>
            </w:r>
          </w:p>
        </w:tc>
        <w:tc>
          <w:tcPr>
            <w:tcW w:w="766" w:type="pct"/>
            <w:shd w:val="clear" w:color="auto" w:fill="auto"/>
            <w:vAlign w:val="center"/>
          </w:tcPr>
          <w:p w:rsidR="00576BFC" w:rsidRDefault="00576BFC" w:rsidP="008B4B29">
            <w:pPr>
              <w:pStyle w:val="Tabletext"/>
              <w:keepNext/>
              <w:jc w:val="center"/>
              <w:rPr>
                <w:lang w:val="en-US"/>
              </w:rPr>
            </w:pPr>
            <w:r>
              <w:rPr>
                <w:lang w:val="en-US"/>
              </w:rPr>
              <w:t>Annualised rate change in eGFR;</w:t>
            </w:r>
          </w:p>
          <w:p w:rsidR="00576BFC" w:rsidRDefault="00576BFC" w:rsidP="008B4B29">
            <w:pPr>
              <w:pStyle w:val="Tabletext"/>
              <w:keepNext/>
              <w:jc w:val="center"/>
              <w:rPr>
                <w:lang w:val="en-US"/>
              </w:rPr>
            </w:pPr>
            <w:r>
              <w:rPr>
                <w:lang w:val="en-US"/>
              </w:rPr>
              <w:t>Safety outcomes</w:t>
            </w:r>
          </w:p>
          <w:p w:rsidR="00576BFC" w:rsidRPr="00E2771E" w:rsidRDefault="00576BFC" w:rsidP="008B4B29">
            <w:pPr>
              <w:pStyle w:val="Tabletext"/>
              <w:keepNext/>
              <w:jc w:val="center"/>
              <w:rPr>
                <w:lang w:val="en-US"/>
              </w:rPr>
            </w:pPr>
            <w:r>
              <w:rPr>
                <w:lang w:val="en-US"/>
              </w:rPr>
              <w:t>(24 months)</w:t>
            </w:r>
          </w:p>
        </w:tc>
        <w:tc>
          <w:tcPr>
            <w:tcW w:w="913" w:type="pct"/>
            <w:shd w:val="clear" w:color="auto" w:fill="auto"/>
            <w:vAlign w:val="center"/>
          </w:tcPr>
          <w:p w:rsidR="00576BFC" w:rsidRPr="00E2771E" w:rsidRDefault="00576BFC" w:rsidP="008B4B29">
            <w:pPr>
              <w:pStyle w:val="Tabletext"/>
              <w:keepNext/>
              <w:jc w:val="center"/>
              <w:rPr>
                <w:lang w:val="en-US"/>
              </w:rPr>
            </w:pPr>
            <w:r>
              <w:rPr>
                <w:lang w:val="en-US"/>
              </w:rPr>
              <w:t>Treatment discontinuation rates</w:t>
            </w:r>
          </w:p>
        </w:tc>
      </w:tr>
    </w:tbl>
    <w:p w:rsidR="00576BFC" w:rsidRPr="0072416F" w:rsidRDefault="00576BFC" w:rsidP="008B4B29">
      <w:pPr>
        <w:pStyle w:val="TableFooter"/>
        <w:keepNext/>
        <w:widowControl/>
      </w:pPr>
      <w:r>
        <w:t>Abbreviations: ADPKD,</w:t>
      </w:r>
      <w:r w:rsidRPr="00526D20">
        <w:rPr>
          <w:szCs w:val="18"/>
        </w:rPr>
        <w:t xml:space="preserve"> </w:t>
      </w:r>
      <w:r w:rsidRPr="00EA772C">
        <w:rPr>
          <w:szCs w:val="18"/>
        </w:rPr>
        <w:t>autosomal dominant polycystic kidney disease</w:t>
      </w:r>
      <w:r>
        <w:t xml:space="preserve">; CKD, chronic kidney disease; CrCl, creatinine clearance; eGFR, </w:t>
      </w:r>
      <w:r>
        <w:rPr>
          <w:szCs w:val="18"/>
        </w:rPr>
        <w:t>estimated glomerular filtration rate</w:t>
      </w:r>
      <w:r>
        <w:t>; MRI, magnetic resonance scanning; TKV, total kidney volume.</w:t>
      </w:r>
    </w:p>
    <w:p w:rsidR="00576BFC" w:rsidRPr="00540EF3" w:rsidRDefault="00576BFC" w:rsidP="008B4B29">
      <w:pPr>
        <w:widowControl/>
      </w:pPr>
    </w:p>
    <w:p w:rsidR="00B73491" w:rsidRPr="00F563B9" w:rsidRDefault="00576BFC" w:rsidP="008B4B29">
      <w:pPr>
        <w:pStyle w:val="ListParagraph"/>
        <w:widowControl/>
        <w:numPr>
          <w:ilvl w:val="1"/>
          <w:numId w:val="3"/>
        </w:numPr>
        <w:spacing w:after="0"/>
        <w:ind w:left="720"/>
      </w:pPr>
      <w:r w:rsidRPr="00F563B9">
        <w:t>The eligibility criteria of REPRISE and TEMPO 3:4 include overlapping populations in terms of ADPKD diagnosis and age, but differ substantially in terms of CKD stage of disease progression and definition of rapidly progressing disease. The REPRISE trial included patients in two age bands (18-55 and 56-65 years) with specific measures of preserved kidney function (eGFR 25-65 mL/min/1.73 m</w:t>
      </w:r>
      <w:r w:rsidRPr="00F563B9">
        <w:rPr>
          <w:vertAlign w:val="superscript"/>
        </w:rPr>
        <w:t>2</w:t>
      </w:r>
      <w:r w:rsidRPr="00F563B9">
        <w:t xml:space="preserve"> and 25-44 mL/min/1.73 m</w:t>
      </w:r>
      <w:r w:rsidRPr="00F563B9">
        <w:rPr>
          <w:vertAlign w:val="superscript"/>
        </w:rPr>
        <w:t>2</w:t>
      </w:r>
      <w:r w:rsidRPr="00F563B9">
        <w:t>)</w:t>
      </w:r>
      <w:r w:rsidR="00B73491" w:rsidRPr="00F563B9">
        <w:t xml:space="preserve">. </w:t>
      </w:r>
      <w:r w:rsidR="008954BE" w:rsidRPr="00F563B9">
        <w:t>The c</w:t>
      </w:r>
      <w:r w:rsidR="00B73491" w:rsidRPr="00F563B9">
        <w:t>riteri</w:t>
      </w:r>
      <w:r w:rsidR="008954BE" w:rsidRPr="00F563B9">
        <w:t>on</w:t>
      </w:r>
      <w:r w:rsidR="00B73491" w:rsidRPr="00F563B9">
        <w:t xml:space="preserve"> for rapidly progressing disease was only applied to the smaller 56-65 year old cohort (decline in eGFR </w:t>
      </w:r>
      <w:r w:rsidR="00B73491" w:rsidRPr="00F563B9">
        <w:rPr>
          <w:rFonts w:cs="Calibri"/>
        </w:rPr>
        <w:t>≥</w:t>
      </w:r>
      <w:r w:rsidR="00B73491" w:rsidRPr="00F563B9">
        <w:t>2.0 mL/min/1.73 m</w:t>
      </w:r>
      <w:r w:rsidR="00B73491" w:rsidRPr="00F563B9">
        <w:rPr>
          <w:vertAlign w:val="superscript"/>
        </w:rPr>
        <w:t>2</w:t>
      </w:r>
      <w:r w:rsidR="00B73491" w:rsidRPr="00F563B9">
        <w:t>/year)</w:t>
      </w:r>
      <w:r w:rsidRPr="00F563B9">
        <w:t>.</w:t>
      </w:r>
      <w:r w:rsidR="00B73491" w:rsidRPr="00F563B9">
        <w:t xml:space="preserve"> </w:t>
      </w:r>
      <w:r w:rsidRPr="00F563B9">
        <w:t>The TEMPO 3:4 trial included patients aged 18-50 years with rapidly progressing disease defined by changes in total kidney volume assessed by MRI scan. CKD stage and preserved kidney function (i.e. eGFR) were not required criteria.</w:t>
      </w:r>
      <w:r w:rsidR="0021708A" w:rsidRPr="0021708A">
        <w:t xml:space="preserve"> </w:t>
      </w:r>
    </w:p>
    <w:p w:rsidR="00576BFC" w:rsidRPr="00F563B9" w:rsidRDefault="00576BFC" w:rsidP="008B4B29">
      <w:pPr>
        <w:widowControl/>
      </w:pPr>
    </w:p>
    <w:p w:rsidR="00576BFC" w:rsidRPr="00F563B9" w:rsidRDefault="00576BFC" w:rsidP="008B4B29">
      <w:pPr>
        <w:pStyle w:val="ListParagraph"/>
        <w:widowControl/>
        <w:numPr>
          <w:ilvl w:val="1"/>
          <w:numId w:val="3"/>
        </w:numPr>
        <w:spacing w:after="0"/>
        <w:ind w:left="720"/>
      </w:pPr>
      <w:r w:rsidRPr="00F563B9">
        <w:t>The addition of the REPRISE cohorts of older patients with more progressed chronic kidney disease addresses some of the concerns raised by the PBAC at the March 2017 meeting about the applicability of TEMPO 3:4 to the broader ADPKD rapidly progressing population (</w:t>
      </w:r>
      <w:r w:rsidRPr="00F563B9">
        <w:rPr>
          <w:rFonts w:asciiTheme="minorHAnsi" w:hAnsiTheme="minorHAnsi" w:cstheme="minorHAnsi"/>
          <w:szCs w:val="24"/>
        </w:rPr>
        <w:t>Tolvaptan Public Summary Document, March 2017, para</w:t>
      </w:r>
      <w:r w:rsidR="00432ED5" w:rsidRPr="00F563B9">
        <w:rPr>
          <w:rFonts w:asciiTheme="minorHAnsi" w:hAnsiTheme="minorHAnsi" w:cstheme="minorHAnsi"/>
          <w:szCs w:val="24"/>
        </w:rPr>
        <w:t xml:space="preserve"> </w:t>
      </w:r>
      <w:r w:rsidRPr="00F563B9">
        <w:rPr>
          <w:rFonts w:asciiTheme="minorHAnsi" w:hAnsiTheme="minorHAnsi" w:cstheme="minorHAnsi"/>
          <w:szCs w:val="24"/>
        </w:rPr>
        <w:t>6.11)</w:t>
      </w:r>
      <w:r w:rsidRPr="00F563B9">
        <w:t xml:space="preserve">. However, </w:t>
      </w:r>
      <w:r w:rsidR="008954BE" w:rsidRPr="00F563B9">
        <w:t xml:space="preserve">given </w:t>
      </w:r>
      <w:r w:rsidRPr="00F563B9">
        <w:t xml:space="preserve">differences between the inclusion criteria of REPRISE and TEMPO 3:4 </w:t>
      </w:r>
      <w:r w:rsidR="008B601C" w:rsidRPr="00F563B9">
        <w:t xml:space="preserve">(baseline eGFR, definition of </w:t>
      </w:r>
      <w:r w:rsidRPr="00F563B9">
        <w:t>rapidly progressing disease</w:t>
      </w:r>
      <w:r w:rsidR="008B601C" w:rsidRPr="00F563B9">
        <w:t>)</w:t>
      </w:r>
      <w:r w:rsidRPr="00F563B9">
        <w:t xml:space="preserve"> and the clinical </w:t>
      </w:r>
      <w:r w:rsidRPr="007F03CB">
        <w:t xml:space="preserve">criteria of the requested restriction, </w:t>
      </w:r>
      <w:r w:rsidR="008954BE" w:rsidRPr="007F03CB">
        <w:t xml:space="preserve">the applicability of both cohorts to the </w:t>
      </w:r>
      <w:r w:rsidRPr="007F03CB">
        <w:t>eligible Australian population under the requested restriction</w:t>
      </w:r>
      <w:r w:rsidR="008954BE" w:rsidRPr="007F03CB">
        <w:t xml:space="preserve"> is unclear</w:t>
      </w:r>
      <w:r w:rsidRPr="007F03CB">
        <w:t>.</w:t>
      </w:r>
      <w:r w:rsidR="00D84637" w:rsidRPr="007F03CB">
        <w:t xml:space="preserve"> </w:t>
      </w:r>
      <w:r w:rsidR="002A5648" w:rsidRPr="007F03CB">
        <w:t xml:space="preserve">The PSCR maintained the proposed eligibility criteria were formulated according to the inclusion criteria the REPRISE and TEMPO 3:4 trials whilst capturing elements to restrict subsidised usage to those in CKD stages 2-3 with rapidly progressing disease. </w:t>
      </w:r>
      <w:r w:rsidR="002A5648" w:rsidRPr="007F03CB">
        <w:lastRenderedPageBreak/>
        <w:t xml:space="preserve">The PSCR acknowledged there were some disparities in baseline characteristics between trial patients and the </w:t>
      </w:r>
      <w:r w:rsidR="00263F96">
        <w:t xml:space="preserve">UK </w:t>
      </w:r>
      <w:r w:rsidR="002A5648" w:rsidRPr="007F03CB">
        <w:t>THIN database eligibility matches, however, they considered reasonable consistencies between data sets were maintained. The risk of use outside the restriction was proposed to be managed by the prescriber training and a patient registry.</w:t>
      </w:r>
    </w:p>
    <w:p w:rsidR="008954BE" w:rsidRPr="004E1C3F" w:rsidRDefault="008954BE" w:rsidP="008B4B29">
      <w:pPr>
        <w:pStyle w:val="ListParagraph"/>
        <w:widowControl/>
        <w:spacing w:after="0"/>
      </w:pPr>
    </w:p>
    <w:p w:rsidR="00576BFC" w:rsidRPr="00540EF3" w:rsidRDefault="00576BFC" w:rsidP="008B4B29">
      <w:pPr>
        <w:pStyle w:val="ListParagraph"/>
        <w:widowControl/>
        <w:numPr>
          <w:ilvl w:val="1"/>
          <w:numId w:val="3"/>
        </w:numPr>
        <w:spacing w:after="0"/>
        <w:ind w:left="720"/>
      </w:pPr>
      <w:r>
        <w:t>The primary outcome of the resubmission was the difference in annualised rate of change in slope of decline in eGFR.</w:t>
      </w:r>
      <w:r w:rsidRPr="00F9291E">
        <w:rPr>
          <w:i/>
        </w:rPr>
        <w:t xml:space="preserve"> </w:t>
      </w:r>
      <w:r w:rsidRPr="00F9291E">
        <w:t xml:space="preserve">In the March 2017 consideration of TEMPO 3:4, the PBAC noted that </w:t>
      </w:r>
      <w:r w:rsidRPr="00F9291E">
        <w:rPr>
          <w:rFonts w:asciiTheme="minorHAnsi" w:hAnsiTheme="minorHAnsi" w:cstheme="minorHAnsi"/>
          <w:szCs w:val="24"/>
        </w:rPr>
        <w:t xml:space="preserve">relative reductions in slope may not represent a patient-relevant outcome given similar differences in slope in each CKD stage reflected substantially different measures of preserved kidney function in terms of eGFR. In particular, it was noted that large relative reductions in slope reflected small </w:t>
      </w:r>
      <w:r w:rsidRPr="00F563B9">
        <w:rPr>
          <w:rFonts w:asciiTheme="minorHAnsi" w:hAnsiTheme="minorHAnsi" w:cstheme="minorHAnsi"/>
          <w:szCs w:val="24"/>
        </w:rPr>
        <w:t>differences in preserved kidney function in CKD stages 3 and 4 (Tolvaptan Public Summary Document, March 2017, para</w:t>
      </w:r>
      <w:r w:rsidR="00432ED5" w:rsidRPr="00F563B9">
        <w:rPr>
          <w:rFonts w:asciiTheme="minorHAnsi" w:hAnsiTheme="minorHAnsi" w:cstheme="minorHAnsi"/>
          <w:szCs w:val="24"/>
        </w:rPr>
        <w:t xml:space="preserve"> </w:t>
      </w:r>
      <w:r w:rsidRPr="00F563B9">
        <w:rPr>
          <w:rFonts w:asciiTheme="minorHAnsi" w:hAnsiTheme="minorHAnsi" w:cstheme="minorHAnsi"/>
          <w:szCs w:val="24"/>
        </w:rPr>
        <w:t xml:space="preserve">6.25). </w:t>
      </w:r>
      <w:r w:rsidRPr="00F563B9">
        <w:t>The clinical relevance of relative changes in slope of decline in eGFR remains uncertain</w:t>
      </w:r>
      <w:r>
        <w:rPr>
          <w:i/>
        </w:rPr>
        <w:t>.</w:t>
      </w:r>
      <w:r w:rsidR="002A5648">
        <w:rPr>
          <w:i/>
        </w:rPr>
        <w:t xml:space="preserve"> </w:t>
      </w:r>
    </w:p>
    <w:p w:rsidR="00576BFC" w:rsidRPr="00F9291E" w:rsidRDefault="00576BFC" w:rsidP="008B4B29">
      <w:pPr>
        <w:widowControl/>
      </w:pPr>
    </w:p>
    <w:p w:rsidR="00F90843" w:rsidRPr="007F03CB" w:rsidRDefault="009B4B7E" w:rsidP="008B4B29">
      <w:pPr>
        <w:pStyle w:val="ListParagraph"/>
        <w:widowControl/>
        <w:numPr>
          <w:ilvl w:val="1"/>
          <w:numId w:val="3"/>
        </w:numPr>
        <w:ind w:left="720"/>
      </w:pPr>
      <w:r w:rsidRPr="001329C8">
        <w:t>T</w:t>
      </w:r>
      <w:r w:rsidRPr="003B2680">
        <w:t>he resubmission acknowledged that tolvaptan is associated with an acute hemodynamic effect on initiation of tolvaptan</w:t>
      </w:r>
      <w:r>
        <w:t xml:space="preserve"> (</w:t>
      </w:r>
      <w:r w:rsidRPr="003B2680">
        <w:t>an acute 5-10% decline in eGFR</w:t>
      </w:r>
      <w:r>
        <w:t>; p36 of the resubmission)</w:t>
      </w:r>
      <w:r w:rsidRPr="003B2680">
        <w:t xml:space="preserve">, reversible on cessation of </w:t>
      </w:r>
      <w:r>
        <w:t>treatment and not associated with any demonstrable reduction in renal plasma flow or filtration fraction (p16 of the TGA Round 2 Clinical Evaluation Report</w:t>
      </w:r>
      <w:r w:rsidRPr="003B2680">
        <w:t>)</w:t>
      </w:r>
      <w:r>
        <w:t>. This was assumed to be</w:t>
      </w:r>
      <w:r w:rsidRPr="001329C8">
        <w:t xml:space="preserve"> most likely due to an ac</w:t>
      </w:r>
      <w:r>
        <w:t xml:space="preserve">ute effect on serum creatinine, </w:t>
      </w:r>
      <w:r w:rsidRPr="001329C8">
        <w:t xml:space="preserve">used to calculate </w:t>
      </w:r>
      <w:r>
        <w:t>e</w:t>
      </w:r>
      <w:r w:rsidRPr="001329C8">
        <w:t xml:space="preserve">GFR in both the </w:t>
      </w:r>
      <w:r w:rsidRPr="004B2CBE">
        <w:t>Chronic Kidney Dise</w:t>
      </w:r>
      <w:r>
        <w:t>ase Epidemiology Collaboration (</w:t>
      </w:r>
      <w:r w:rsidRPr="004B2CBE">
        <w:t xml:space="preserve">CKD-EPI) </w:t>
      </w:r>
      <w:r>
        <w:t xml:space="preserve">and the </w:t>
      </w:r>
      <w:r w:rsidRPr="004B2CBE">
        <w:t>Modification of Diet in Renal Disease (MDRD) Study equation</w:t>
      </w:r>
      <w:r>
        <w:t>s,</w:t>
      </w:r>
      <w:r w:rsidRPr="004B2CBE">
        <w:t xml:space="preserve"> </w:t>
      </w:r>
      <w:r w:rsidRPr="001329C8">
        <w:t>commonly used in clinical practice to assess kidney function and CKD progression</w:t>
      </w:r>
      <w:r w:rsidRPr="003B2680">
        <w:t xml:space="preserve">. </w:t>
      </w:r>
      <w:r>
        <w:t xml:space="preserve">The resubmission acknowledged that this would make monitoring of CKD progression in tolvaptan treated patients difficult in clinical practice. </w:t>
      </w:r>
      <w:r w:rsidR="00ED404A">
        <w:t>To avoid confounding due to this effect</w:t>
      </w:r>
      <w:r>
        <w:t>,</w:t>
      </w:r>
      <w:r w:rsidR="00ED404A">
        <w:t xml:space="preserve"> b</w:t>
      </w:r>
      <w:r w:rsidR="00576BFC">
        <w:t>aseline values in TEMPO 3:4 were recorded at three weeks post titration while in REPRISE primary outcome baseline and endpoint values were calculated from pre-treatment run-in and off-</w:t>
      </w:r>
      <w:r w:rsidR="00576BFC" w:rsidRPr="007F03CB">
        <w:t>drug follow-up values, excluding all randomised</w:t>
      </w:r>
      <w:r w:rsidR="00182708" w:rsidRPr="007F03CB">
        <w:t xml:space="preserve"> controlled measures of effect</w:t>
      </w:r>
      <w:r w:rsidR="00576BFC" w:rsidRPr="007F03CB">
        <w:t xml:space="preserve">. </w:t>
      </w:r>
      <w:r w:rsidR="002A5648" w:rsidRPr="007F03CB">
        <w:t xml:space="preserve"> </w:t>
      </w:r>
    </w:p>
    <w:p w:rsidR="00576BFC" w:rsidRPr="00B0247D" w:rsidRDefault="002A5648" w:rsidP="00325865">
      <w:pPr>
        <w:pStyle w:val="ListParagraph"/>
        <w:widowControl/>
        <w:numPr>
          <w:ilvl w:val="1"/>
          <w:numId w:val="3"/>
        </w:numPr>
        <w:ind w:left="720"/>
      </w:pPr>
      <w:r w:rsidRPr="007F03CB">
        <w:t>The PSCR maintained the increase in serum creatinine is not kidney damage and is reversible upon treatment cessation and treatment is stopped once ESKD is reached. The ESC considered the data in the TEMPO 4:4 open-label extension study may support the maintenance of higher renal function post rebound, however, patients were not treated until ESKD in the TEMPO 3:4 trial (baseline eGFR in TEMPO 4:4 was 72.3 mean mL/min/1.73 m</w:t>
      </w:r>
      <w:r w:rsidRPr="007F03CB">
        <w:rPr>
          <w:vertAlign w:val="superscript"/>
        </w:rPr>
        <w:t>2</w:t>
      </w:r>
      <w:r w:rsidRPr="007F03CB">
        <w:t xml:space="preserve"> for patients continuing tolvaptan from TEMPO 3:4). The benefit from slowing the decline in eGFR and slowing progression to ESKD will not be realised if patients are on treatment with a reduced renal function and potentially reaching ESKD prematurely.</w:t>
      </w:r>
      <w:r w:rsidR="007663FF">
        <w:t xml:space="preserve"> </w:t>
      </w:r>
      <w:r w:rsidR="00325865" w:rsidRPr="00325865">
        <w:t>The pre-PBAC response maintained the reduction in eGFR is reversible on treatment cessation and in the context of a long-term condition with lifelong treatment is not a substantial determinant of efficacy or cost-effectiveness.</w:t>
      </w:r>
      <w:r w:rsidR="00AB6694">
        <w:t xml:space="preserve"> However, PBAC further noted the variability across the TEMPO 3:4 and </w:t>
      </w:r>
      <w:r w:rsidR="00AB6694">
        <w:lastRenderedPageBreak/>
        <w:t>REPRISE trials made it difficult to establish who would respond to treatment</w:t>
      </w:r>
      <w:r w:rsidR="00836C5D">
        <w:t xml:space="preserve"> and for how long treatment would need to continue before a benefit would be gained</w:t>
      </w:r>
      <w:r w:rsidR="00AB6694">
        <w:t xml:space="preserve">. </w:t>
      </w:r>
    </w:p>
    <w:p w:rsidR="00576BFC" w:rsidRPr="00B82A6B" w:rsidRDefault="0060187F" w:rsidP="0086251F">
      <w:pPr>
        <w:pStyle w:val="Heading2"/>
        <w:spacing w:before="240"/>
      </w:pPr>
      <w:r w:rsidRPr="00B82A6B">
        <w:t>Comparative effectiveness</w:t>
      </w:r>
    </w:p>
    <w:p w:rsidR="00576BFC" w:rsidRPr="000C3CEF" w:rsidRDefault="00576BFC" w:rsidP="008B4B29">
      <w:pPr>
        <w:pStyle w:val="ListParagraph"/>
        <w:widowControl/>
        <w:numPr>
          <w:ilvl w:val="1"/>
          <w:numId w:val="3"/>
        </w:numPr>
        <w:spacing w:after="0"/>
        <w:ind w:left="720"/>
      </w:pPr>
      <w:r w:rsidRPr="00001F88">
        <w:t>The</w:t>
      </w:r>
      <w:r w:rsidRPr="000C3CEF">
        <w:rPr>
          <w:rFonts w:cs="Calibri"/>
          <w:snapToGrid/>
          <w:szCs w:val="24"/>
          <w:lang w:val="en-US" w:eastAsia="en-AU"/>
        </w:rPr>
        <w:t xml:space="preserve"> resubmission presented results for REPRISE and TEMPO 3:4 from the overall trial populations and subgroup analyses by age, gender and CKD stage.</w:t>
      </w:r>
      <w:r>
        <w:rPr>
          <w:rFonts w:cs="Calibri"/>
          <w:snapToGrid/>
          <w:szCs w:val="24"/>
          <w:lang w:val="en-US" w:eastAsia="en-AU"/>
        </w:rPr>
        <w:t xml:space="preserve"> </w:t>
      </w:r>
      <w:r>
        <w:t>Table 5 shows the results of the primary outcome of REPRISE, annualised change in eGFR from the pre-trial tolvaptan run-in phase to the off-treatment follow up phase (approximately 12 months).</w:t>
      </w:r>
    </w:p>
    <w:p w:rsidR="00576BFC" w:rsidRPr="000C3CEF" w:rsidRDefault="00576BFC" w:rsidP="008B4B29">
      <w:pPr>
        <w:widowControl/>
      </w:pPr>
    </w:p>
    <w:p w:rsidR="00576BFC" w:rsidRPr="0075474E" w:rsidRDefault="00576BFC" w:rsidP="008B4B29">
      <w:pPr>
        <w:widowControl/>
        <w:rPr>
          <w:rFonts w:ascii="Arial Narrow" w:hAnsi="Arial Narrow"/>
          <w:b/>
          <w:sz w:val="20"/>
          <w:szCs w:val="20"/>
        </w:rPr>
      </w:pPr>
      <w:r>
        <w:rPr>
          <w:rFonts w:ascii="Arial Narrow" w:hAnsi="Arial Narrow"/>
          <w:b/>
          <w:sz w:val="20"/>
          <w:szCs w:val="20"/>
        </w:rPr>
        <w:t xml:space="preserve">Table </w:t>
      </w:r>
      <w:r w:rsidR="00D320B2">
        <w:rPr>
          <w:rFonts w:ascii="Arial Narrow" w:hAnsi="Arial Narrow"/>
          <w:b/>
          <w:sz w:val="20"/>
          <w:szCs w:val="20"/>
        </w:rPr>
        <w:t>5</w:t>
      </w:r>
      <w:r>
        <w:rPr>
          <w:rFonts w:ascii="Arial Narrow" w:hAnsi="Arial Narrow"/>
          <w:b/>
          <w:sz w:val="20"/>
          <w:szCs w:val="20"/>
        </w:rPr>
        <w:t xml:space="preserve">: </w:t>
      </w:r>
      <w:r w:rsidR="00E71970">
        <w:rPr>
          <w:rFonts w:ascii="Arial Narrow" w:hAnsi="Arial Narrow"/>
          <w:b/>
          <w:sz w:val="20"/>
          <w:szCs w:val="20"/>
        </w:rPr>
        <w:t xml:space="preserve">Annualised change in </w:t>
      </w:r>
      <w:r w:rsidR="00E71970" w:rsidRPr="0075474E">
        <w:rPr>
          <w:rFonts w:ascii="Arial Narrow" w:hAnsi="Arial Narrow"/>
          <w:b/>
          <w:sz w:val="20"/>
          <w:szCs w:val="20"/>
        </w:rPr>
        <w:t>eGFR (CKD-EPI)</w:t>
      </w:r>
      <w:r w:rsidR="00E71970">
        <w:rPr>
          <w:rFonts w:ascii="Arial Narrow" w:hAnsi="Arial Narrow"/>
          <w:b/>
          <w:sz w:val="20"/>
          <w:szCs w:val="20"/>
        </w:rPr>
        <w:t xml:space="preserve"> slope in </w:t>
      </w:r>
      <w:r>
        <w:rPr>
          <w:rFonts w:ascii="Arial Narrow" w:hAnsi="Arial Narrow"/>
          <w:b/>
          <w:sz w:val="20"/>
          <w:szCs w:val="20"/>
        </w:rPr>
        <w:t>REPRISE (</w:t>
      </w:r>
      <w:r w:rsidRPr="0075474E">
        <w:rPr>
          <w:rFonts w:ascii="Arial Narrow" w:hAnsi="Arial Narrow"/>
          <w:b/>
          <w:sz w:val="20"/>
          <w:szCs w:val="20"/>
        </w:rPr>
        <w:t>mL/min/1.73 m</w:t>
      </w:r>
      <w:r w:rsidRPr="0075474E">
        <w:rPr>
          <w:rFonts w:ascii="Arial Narrow" w:hAnsi="Arial Narrow"/>
          <w:b/>
          <w:sz w:val="20"/>
          <w:szCs w:val="20"/>
          <w:vertAlign w:val="superscript"/>
        </w:rPr>
        <w:t>2</w:t>
      </w:r>
      <w:r>
        <w:rPr>
          <w:rFonts w:ascii="Arial Narrow" w:hAnsi="Arial Narrow"/>
          <w:b/>
          <w:sz w:val="20"/>
          <w:szCs w:val="20"/>
        </w:rPr>
        <w:t xml:space="preserve">/year; </w:t>
      </w:r>
      <w:r w:rsidRPr="0075474E">
        <w:rPr>
          <w:rFonts w:ascii="Arial Narrow" w:hAnsi="Arial Narrow"/>
          <w:b/>
          <w:sz w:val="20"/>
          <w:szCs w:val="20"/>
        </w:rPr>
        <w:t>primary endpoint efficacy population</w:t>
      </w:r>
      <w:r>
        <w:rPr>
          <w:rFonts w:ascii="Arial Narrow" w:hAnsi="Arial Narrow"/>
          <w:b/>
          <w:sz w:val="20"/>
          <w:szCs w:val="20"/>
        </w:rPr>
        <w:t>; weighted ANCOVA)</w:t>
      </w:r>
    </w:p>
    <w:tbl>
      <w:tblPr>
        <w:tblStyle w:val="TableGrid"/>
        <w:tblW w:w="5000" w:type="pct"/>
        <w:tblLook w:val="04A0" w:firstRow="1" w:lastRow="0" w:firstColumn="1" w:lastColumn="0" w:noHBand="0" w:noVBand="1"/>
        <w:tblCaption w:val="Table 5: Annualised change in eGFR (CKD-EPI) slope in REPRISE (mL/min/1.73 m2/year; primary endpoint efficacy population; weighted ANCOVA)"/>
      </w:tblPr>
      <w:tblGrid>
        <w:gridCol w:w="3632"/>
        <w:gridCol w:w="1328"/>
        <w:gridCol w:w="1340"/>
        <w:gridCol w:w="1775"/>
        <w:gridCol w:w="1168"/>
      </w:tblGrid>
      <w:tr w:rsidR="00576BFC" w:rsidRPr="00841D26" w:rsidTr="001D22CA">
        <w:trPr>
          <w:tblHeader/>
        </w:trPr>
        <w:tc>
          <w:tcPr>
            <w:tcW w:w="1964" w:type="pct"/>
            <w:vAlign w:val="center"/>
          </w:tcPr>
          <w:p w:rsidR="00576BFC" w:rsidRPr="00852888" w:rsidRDefault="00576BFC" w:rsidP="008B4B29">
            <w:pPr>
              <w:pStyle w:val="Tablenormal0"/>
              <w:widowControl/>
              <w:spacing w:before="0" w:after="0"/>
              <w:rPr>
                <w:rFonts w:ascii="Arial Narrow" w:hAnsi="Arial Narrow"/>
                <w:b/>
                <w:sz w:val="20"/>
                <w:szCs w:val="20"/>
                <w:vertAlign w:val="superscript"/>
              </w:rPr>
            </w:pPr>
            <w:r w:rsidRPr="00841D26">
              <w:rPr>
                <w:rFonts w:ascii="Arial Narrow" w:hAnsi="Arial Narrow"/>
                <w:b/>
                <w:sz w:val="20"/>
                <w:szCs w:val="20"/>
              </w:rPr>
              <w:t>REPRISE</w:t>
            </w:r>
            <w:r>
              <w:rPr>
                <w:rFonts w:ascii="Arial Narrow" w:hAnsi="Arial Narrow"/>
                <w:b/>
                <w:sz w:val="20"/>
                <w:szCs w:val="20"/>
              </w:rPr>
              <w:t xml:space="preserve"> </w:t>
            </w:r>
            <w:r>
              <w:rPr>
                <w:rFonts w:ascii="Arial Narrow" w:hAnsi="Arial Narrow"/>
                <w:b/>
                <w:sz w:val="20"/>
                <w:szCs w:val="20"/>
                <w:vertAlign w:val="superscript"/>
              </w:rPr>
              <w:t>a</w:t>
            </w:r>
          </w:p>
        </w:tc>
        <w:tc>
          <w:tcPr>
            <w:tcW w:w="718" w:type="pct"/>
            <w:vAlign w:val="center"/>
          </w:tcPr>
          <w:p w:rsidR="00576BFC" w:rsidRDefault="00576BFC" w:rsidP="008B4B29">
            <w:pPr>
              <w:pStyle w:val="Tablenormal0"/>
              <w:widowControl/>
              <w:spacing w:before="0" w:after="0"/>
              <w:jc w:val="center"/>
              <w:rPr>
                <w:rFonts w:ascii="Arial Narrow" w:hAnsi="Arial Narrow"/>
                <w:b/>
                <w:sz w:val="20"/>
                <w:szCs w:val="20"/>
              </w:rPr>
            </w:pPr>
            <w:r w:rsidRPr="00841D26">
              <w:rPr>
                <w:rFonts w:ascii="Arial Narrow" w:hAnsi="Arial Narrow"/>
                <w:b/>
                <w:sz w:val="20"/>
                <w:szCs w:val="20"/>
              </w:rPr>
              <w:t>Tolvaptan</w:t>
            </w:r>
          </w:p>
          <w:p w:rsidR="00576BFC" w:rsidRPr="00841D26" w:rsidRDefault="00576BFC" w:rsidP="008B4B29">
            <w:pPr>
              <w:pStyle w:val="Tablenormal0"/>
              <w:widowControl/>
              <w:spacing w:before="0" w:after="0"/>
              <w:jc w:val="center"/>
              <w:rPr>
                <w:rFonts w:ascii="Arial Narrow" w:hAnsi="Arial Narrow"/>
                <w:b/>
                <w:sz w:val="20"/>
                <w:szCs w:val="20"/>
              </w:rPr>
            </w:pPr>
            <w:r>
              <w:rPr>
                <w:rFonts w:ascii="Arial Narrow" w:hAnsi="Arial Narrow"/>
                <w:b/>
                <w:sz w:val="20"/>
                <w:szCs w:val="20"/>
              </w:rPr>
              <w:t>N=668</w:t>
            </w:r>
          </w:p>
        </w:tc>
        <w:tc>
          <w:tcPr>
            <w:tcW w:w="725" w:type="pct"/>
            <w:vAlign w:val="center"/>
          </w:tcPr>
          <w:p w:rsidR="00576BFC" w:rsidRDefault="00576BFC" w:rsidP="008B4B29">
            <w:pPr>
              <w:pStyle w:val="Tablenormal0"/>
              <w:widowControl/>
              <w:spacing w:before="0" w:after="0"/>
              <w:jc w:val="center"/>
              <w:rPr>
                <w:rFonts w:ascii="Arial Narrow" w:hAnsi="Arial Narrow"/>
                <w:b/>
                <w:sz w:val="20"/>
                <w:szCs w:val="20"/>
              </w:rPr>
            </w:pPr>
            <w:r w:rsidRPr="00841D26">
              <w:rPr>
                <w:rFonts w:ascii="Arial Narrow" w:hAnsi="Arial Narrow"/>
                <w:b/>
                <w:sz w:val="20"/>
                <w:szCs w:val="20"/>
              </w:rPr>
              <w:t>Placebo</w:t>
            </w:r>
          </w:p>
          <w:p w:rsidR="00576BFC" w:rsidRPr="00841D26" w:rsidRDefault="00576BFC" w:rsidP="008B4B29">
            <w:pPr>
              <w:pStyle w:val="Tablenormal0"/>
              <w:widowControl/>
              <w:spacing w:before="0" w:after="0"/>
              <w:jc w:val="center"/>
              <w:rPr>
                <w:rFonts w:ascii="Arial Narrow" w:hAnsi="Arial Narrow"/>
                <w:b/>
                <w:sz w:val="20"/>
                <w:szCs w:val="20"/>
              </w:rPr>
            </w:pPr>
            <w:r>
              <w:rPr>
                <w:rFonts w:ascii="Arial Narrow" w:hAnsi="Arial Narrow"/>
                <w:b/>
                <w:sz w:val="20"/>
                <w:szCs w:val="20"/>
              </w:rPr>
              <w:t>N=663</w:t>
            </w:r>
          </w:p>
        </w:tc>
        <w:tc>
          <w:tcPr>
            <w:tcW w:w="960" w:type="pct"/>
            <w:vAlign w:val="center"/>
          </w:tcPr>
          <w:p w:rsidR="00576BFC" w:rsidRDefault="00576BFC" w:rsidP="008B4B29">
            <w:pPr>
              <w:pStyle w:val="Tablenormal0"/>
              <w:widowControl/>
              <w:spacing w:before="0" w:after="0"/>
              <w:jc w:val="center"/>
              <w:rPr>
                <w:rFonts w:ascii="Arial Narrow" w:hAnsi="Arial Narrow"/>
                <w:b/>
                <w:sz w:val="20"/>
                <w:szCs w:val="20"/>
              </w:rPr>
            </w:pPr>
            <w:r w:rsidRPr="00841D26">
              <w:rPr>
                <w:rFonts w:ascii="Arial Narrow" w:hAnsi="Arial Narrow"/>
                <w:b/>
                <w:sz w:val="20"/>
                <w:szCs w:val="20"/>
              </w:rPr>
              <w:t xml:space="preserve">Mean difference </w:t>
            </w:r>
          </w:p>
          <w:p w:rsidR="00576BFC" w:rsidRPr="00841D26" w:rsidRDefault="00576BFC" w:rsidP="008B4B29">
            <w:pPr>
              <w:pStyle w:val="Tablenormal0"/>
              <w:widowControl/>
              <w:spacing w:before="0" w:after="0"/>
              <w:jc w:val="center"/>
              <w:rPr>
                <w:rFonts w:ascii="Arial Narrow" w:hAnsi="Arial Narrow"/>
                <w:b/>
                <w:sz w:val="20"/>
                <w:szCs w:val="20"/>
              </w:rPr>
            </w:pPr>
            <w:r w:rsidRPr="00841D26">
              <w:rPr>
                <w:rFonts w:ascii="Arial Narrow" w:hAnsi="Arial Narrow"/>
                <w:b/>
                <w:sz w:val="20"/>
                <w:szCs w:val="20"/>
              </w:rPr>
              <w:t>(95% CI)</w:t>
            </w:r>
          </w:p>
        </w:tc>
        <w:tc>
          <w:tcPr>
            <w:tcW w:w="632" w:type="pct"/>
            <w:vAlign w:val="center"/>
          </w:tcPr>
          <w:p w:rsidR="00576BFC" w:rsidRPr="00841D26" w:rsidRDefault="00576BFC" w:rsidP="008B4B29">
            <w:pPr>
              <w:pStyle w:val="Tablenormal0"/>
              <w:widowControl/>
              <w:spacing w:before="0" w:after="0"/>
              <w:jc w:val="center"/>
              <w:rPr>
                <w:rFonts w:ascii="Arial Narrow" w:hAnsi="Arial Narrow"/>
                <w:b/>
                <w:sz w:val="20"/>
                <w:szCs w:val="20"/>
              </w:rPr>
            </w:pPr>
            <w:r>
              <w:rPr>
                <w:rFonts w:ascii="Arial Narrow" w:hAnsi="Arial Narrow"/>
                <w:b/>
                <w:sz w:val="20"/>
                <w:szCs w:val="20"/>
              </w:rPr>
              <w:t>Relative difference</w:t>
            </w:r>
          </w:p>
        </w:tc>
      </w:tr>
      <w:tr w:rsidR="00576BFC" w:rsidRPr="00841D26" w:rsidTr="009E698C">
        <w:tc>
          <w:tcPr>
            <w:tcW w:w="1964" w:type="pct"/>
          </w:tcPr>
          <w:p w:rsidR="00576BFC" w:rsidRPr="00841D26" w:rsidRDefault="00E71970" w:rsidP="008B4B29">
            <w:pPr>
              <w:pStyle w:val="Tablenormal0"/>
              <w:widowControl/>
              <w:spacing w:before="0" w:after="0"/>
              <w:ind w:right="-84"/>
              <w:rPr>
                <w:rFonts w:ascii="Arial Narrow" w:hAnsi="Arial Narrow"/>
                <w:sz w:val="20"/>
                <w:szCs w:val="20"/>
              </w:rPr>
            </w:pPr>
            <w:r>
              <w:rPr>
                <w:rFonts w:ascii="Arial Narrow" w:hAnsi="Arial Narrow"/>
                <w:sz w:val="20"/>
                <w:szCs w:val="20"/>
              </w:rPr>
              <w:t xml:space="preserve">Mean annualised change in eGFR slope </w:t>
            </w:r>
            <w:r w:rsidR="00576BFC" w:rsidRPr="00A04D2D">
              <w:rPr>
                <w:rFonts w:ascii="Arial Narrow" w:hAnsi="Arial Narrow"/>
                <w:sz w:val="20"/>
                <w:szCs w:val="20"/>
              </w:rPr>
              <w:t>(mL/min/1.73 m</w:t>
            </w:r>
            <w:r w:rsidR="00576BFC" w:rsidRPr="00A04D2D">
              <w:rPr>
                <w:rFonts w:ascii="Arial Narrow" w:hAnsi="Arial Narrow"/>
                <w:sz w:val="20"/>
                <w:szCs w:val="20"/>
                <w:vertAlign w:val="superscript"/>
              </w:rPr>
              <w:t>2</w:t>
            </w:r>
            <w:r w:rsidR="00576BFC">
              <w:rPr>
                <w:rFonts w:ascii="Arial Narrow" w:hAnsi="Arial Narrow"/>
                <w:sz w:val="20"/>
                <w:szCs w:val="20"/>
              </w:rPr>
              <w:t>/yea</w:t>
            </w:r>
            <w:r w:rsidR="00576BFC" w:rsidRPr="00A04D2D">
              <w:rPr>
                <w:rFonts w:ascii="Arial Narrow" w:hAnsi="Arial Narrow"/>
                <w:sz w:val="20"/>
                <w:szCs w:val="20"/>
              </w:rPr>
              <w:t>r)</w:t>
            </w:r>
            <w:r w:rsidR="00576BFC">
              <w:rPr>
                <w:rFonts w:ascii="Arial Narrow" w:hAnsi="Arial Narrow"/>
                <w:sz w:val="20"/>
                <w:szCs w:val="20"/>
              </w:rPr>
              <w:t xml:space="preserve"> </w:t>
            </w:r>
          </w:p>
        </w:tc>
        <w:tc>
          <w:tcPr>
            <w:tcW w:w="718" w:type="pct"/>
            <w:vAlign w:val="center"/>
          </w:tcPr>
          <w:p w:rsidR="00576BFC" w:rsidRPr="00841D26" w:rsidRDefault="00576BFC" w:rsidP="008B4B29">
            <w:pPr>
              <w:pStyle w:val="Tablenormal0"/>
              <w:widowControl/>
              <w:spacing w:before="0" w:after="0"/>
              <w:jc w:val="center"/>
              <w:rPr>
                <w:rFonts w:ascii="Arial Narrow" w:hAnsi="Arial Narrow"/>
                <w:sz w:val="20"/>
                <w:szCs w:val="20"/>
              </w:rPr>
            </w:pPr>
            <w:r w:rsidRPr="00841D26">
              <w:rPr>
                <w:rFonts w:ascii="Arial Narrow" w:hAnsi="Arial Narrow"/>
                <w:sz w:val="20"/>
                <w:szCs w:val="20"/>
              </w:rPr>
              <w:t>-2.961</w:t>
            </w:r>
            <w:r>
              <w:rPr>
                <w:rFonts w:ascii="Arial Narrow" w:hAnsi="Arial Narrow"/>
                <w:sz w:val="20"/>
                <w:szCs w:val="20"/>
              </w:rPr>
              <w:t xml:space="preserve"> </w:t>
            </w:r>
          </w:p>
        </w:tc>
        <w:tc>
          <w:tcPr>
            <w:tcW w:w="725" w:type="pct"/>
            <w:vAlign w:val="center"/>
          </w:tcPr>
          <w:p w:rsidR="00576BFC" w:rsidRPr="00841D26" w:rsidRDefault="00576BFC" w:rsidP="008B4B29">
            <w:pPr>
              <w:pStyle w:val="Tablenormal0"/>
              <w:widowControl/>
              <w:spacing w:before="0" w:after="0"/>
              <w:jc w:val="center"/>
              <w:rPr>
                <w:rFonts w:ascii="Arial Narrow" w:hAnsi="Arial Narrow"/>
                <w:sz w:val="20"/>
                <w:szCs w:val="20"/>
              </w:rPr>
            </w:pPr>
            <w:r w:rsidRPr="00841D26">
              <w:rPr>
                <w:rFonts w:ascii="Arial Narrow" w:hAnsi="Arial Narrow"/>
                <w:sz w:val="20"/>
                <w:szCs w:val="20"/>
              </w:rPr>
              <w:t>-4.249</w:t>
            </w:r>
            <w:r>
              <w:rPr>
                <w:rFonts w:ascii="Arial Narrow" w:hAnsi="Arial Narrow"/>
                <w:sz w:val="20"/>
                <w:szCs w:val="20"/>
              </w:rPr>
              <w:t xml:space="preserve"> </w:t>
            </w:r>
          </w:p>
        </w:tc>
        <w:tc>
          <w:tcPr>
            <w:tcW w:w="960" w:type="pct"/>
            <w:vAlign w:val="center"/>
          </w:tcPr>
          <w:p w:rsidR="00576BFC" w:rsidRPr="00BB0D2E" w:rsidRDefault="00576BFC" w:rsidP="008B4B29">
            <w:pPr>
              <w:pStyle w:val="Tablenormal0"/>
              <w:widowControl/>
              <w:spacing w:before="0" w:after="0"/>
              <w:ind w:left="-69" w:right="-33"/>
              <w:jc w:val="center"/>
              <w:rPr>
                <w:rFonts w:ascii="Arial Narrow" w:hAnsi="Arial Narrow"/>
                <w:sz w:val="20"/>
                <w:szCs w:val="20"/>
                <w:vertAlign w:val="superscript"/>
              </w:rPr>
            </w:pPr>
            <w:r w:rsidRPr="00BB0D2E">
              <w:rPr>
                <w:rFonts w:ascii="Arial Narrow" w:hAnsi="Arial Narrow"/>
                <w:sz w:val="20"/>
                <w:szCs w:val="20"/>
              </w:rPr>
              <w:t xml:space="preserve">1.288 (0.770, </w:t>
            </w:r>
            <w:r w:rsidRPr="00B53102">
              <w:rPr>
                <w:rFonts w:ascii="Arial Narrow" w:hAnsi="Arial Narrow"/>
                <w:sz w:val="20"/>
                <w:szCs w:val="20"/>
              </w:rPr>
              <w:t>0.510</w:t>
            </w:r>
            <w:r w:rsidRPr="00BB0D2E">
              <w:rPr>
                <w:rFonts w:ascii="Arial Narrow" w:hAnsi="Arial Narrow"/>
                <w:sz w:val="20"/>
                <w:szCs w:val="20"/>
              </w:rPr>
              <w:t>)</w:t>
            </w:r>
            <w:r>
              <w:rPr>
                <w:rFonts w:ascii="Arial Narrow" w:hAnsi="Arial Narrow"/>
                <w:sz w:val="20"/>
                <w:szCs w:val="20"/>
                <w:vertAlign w:val="superscript"/>
              </w:rPr>
              <w:t>b</w:t>
            </w:r>
          </w:p>
        </w:tc>
        <w:tc>
          <w:tcPr>
            <w:tcW w:w="632" w:type="pct"/>
            <w:vAlign w:val="center"/>
          </w:tcPr>
          <w:p w:rsidR="00576BFC" w:rsidRPr="00841D26" w:rsidRDefault="00576BFC" w:rsidP="008B4B29">
            <w:pPr>
              <w:pStyle w:val="Tablenormal0"/>
              <w:widowControl/>
              <w:spacing w:before="0" w:after="0"/>
              <w:jc w:val="center"/>
              <w:rPr>
                <w:rFonts w:ascii="Arial Narrow" w:hAnsi="Arial Narrow"/>
                <w:sz w:val="20"/>
                <w:szCs w:val="20"/>
              </w:rPr>
            </w:pPr>
            <w:r>
              <w:rPr>
                <w:rFonts w:ascii="Arial Narrow" w:hAnsi="Arial Narrow"/>
                <w:sz w:val="20"/>
                <w:szCs w:val="20"/>
              </w:rPr>
              <w:t>30.3%</w:t>
            </w:r>
          </w:p>
        </w:tc>
      </w:tr>
      <w:tr w:rsidR="00576BFC" w:rsidRPr="00841D26" w:rsidTr="009E698C">
        <w:tc>
          <w:tcPr>
            <w:tcW w:w="1964" w:type="pct"/>
          </w:tcPr>
          <w:p w:rsidR="00576BFC" w:rsidRPr="00841D26" w:rsidRDefault="00576BFC" w:rsidP="008B4B29">
            <w:pPr>
              <w:pStyle w:val="Tablenormal0"/>
              <w:widowControl/>
              <w:spacing w:before="0" w:after="0"/>
              <w:rPr>
                <w:rFonts w:ascii="Arial Narrow" w:hAnsi="Arial Narrow"/>
                <w:sz w:val="20"/>
                <w:szCs w:val="20"/>
              </w:rPr>
            </w:pPr>
            <w:r w:rsidRPr="00841D26">
              <w:rPr>
                <w:rFonts w:ascii="Arial Narrow" w:hAnsi="Arial Narrow"/>
                <w:sz w:val="20"/>
                <w:szCs w:val="20"/>
              </w:rPr>
              <w:t xml:space="preserve">LS mean </w:t>
            </w:r>
            <w:r>
              <w:rPr>
                <w:rFonts w:ascii="Arial Narrow" w:hAnsi="Arial Narrow"/>
                <w:sz w:val="20"/>
                <w:szCs w:val="20"/>
              </w:rPr>
              <w:t xml:space="preserve">annualised change in </w:t>
            </w:r>
            <w:r w:rsidR="00E71970">
              <w:rPr>
                <w:rFonts w:ascii="Arial Narrow" w:hAnsi="Arial Narrow"/>
                <w:sz w:val="20"/>
                <w:szCs w:val="20"/>
              </w:rPr>
              <w:t xml:space="preserve">eGFR </w:t>
            </w:r>
            <w:r>
              <w:rPr>
                <w:rFonts w:ascii="Arial Narrow" w:hAnsi="Arial Narrow"/>
                <w:sz w:val="20"/>
                <w:szCs w:val="20"/>
              </w:rPr>
              <w:t xml:space="preserve">slope </w:t>
            </w:r>
            <w:r w:rsidRPr="00A04D2D">
              <w:rPr>
                <w:rFonts w:ascii="Arial Narrow" w:hAnsi="Arial Narrow"/>
                <w:sz w:val="20"/>
                <w:szCs w:val="20"/>
              </w:rPr>
              <w:t>(mL/min/1.73 m</w:t>
            </w:r>
            <w:r w:rsidRPr="00A04D2D">
              <w:rPr>
                <w:rFonts w:ascii="Arial Narrow" w:hAnsi="Arial Narrow"/>
                <w:sz w:val="20"/>
                <w:szCs w:val="20"/>
                <w:vertAlign w:val="superscript"/>
              </w:rPr>
              <w:t>2</w:t>
            </w:r>
            <w:r>
              <w:rPr>
                <w:rFonts w:ascii="Arial Narrow" w:hAnsi="Arial Narrow"/>
                <w:sz w:val="20"/>
                <w:szCs w:val="20"/>
              </w:rPr>
              <w:t>/yea</w:t>
            </w:r>
            <w:r w:rsidRPr="00A04D2D">
              <w:rPr>
                <w:rFonts w:ascii="Arial Narrow" w:hAnsi="Arial Narrow"/>
                <w:sz w:val="20"/>
                <w:szCs w:val="20"/>
              </w:rPr>
              <w:t>r)</w:t>
            </w:r>
          </w:p>
        </w:tc>
        <w:tc>
          <w:tcPr>
            <w:tcW w:w="718" w:type="pct"/>
            <w:vAlign w:val="center"/>
          </w:tcPr>
          <w:p w:rsidR="00576BFC" w:rsidRPr="00B3515F" w:rsidRDefault="00576BFC" w:rsidP="008B4B29">
            <w:pPr>
              <w:pStyle w:val="Tablenormal0"/>
              <w:widowControl/>
              <w:spacing w:before="0" w:after="0"/>
              <w:jc w:val="center"/>
              <w:rPr>
                <w:rFonts w:ascii="Arial Narrow" w:hAnsi="Arial Narrow"/>
                <w:sz w:val="20"/>
                <w:szCs w:val="20"/>
              </w:rPr>
            </w:pPr>
            <w:r w:rsidRPr="00B3515F">
              <w:rPr>
                <w:rFonts w:ascii="Arial Narrow" w:hAnsi="Arial Narrow"/>
                <w:sz w:val="20"/>
                <w:szCs w:val="20"/>
              </w:rPr>
              <w:t>-2.339</w:t>
            </w:r>
          </w:p>
        </w:tc>
        <w:tc>
          <w:tcPr>
            <w:tcW w:w="725" w:type="pct"/>
            <w:vAlign w:val="center"/>
          </w:tcPr>
          <w:p w:rsidR="00576BFC" w:rsidRPr="00B3515F" w:rsidRDefault="00576BFC" w:rsidP="008B4B29">
            <w:pPr>
              <w:pStyle w:val="Tablenormal0"/>
              <w:widowControl/>
              <w:spacing w:before="0" w:after="0"/>
              <w:jc w:val="center"/>
              <w:rPr>
                <w:rFonts w:ascii="Arial Narrow" w:hAnsi="Arial Narrow"/>
                <w:sz w:val="20"/>
                <w:szCs w:val="20"/>
              </w:rPr>
            </w:pPr>
            <w:r w:rsidRPr="00B3515F">
              <w:rPr>
                <w:rFonts w:ascii="Arial Narrow" w:hAnsi="Arial Narrow"/>
                <w:sz w:val="20"/>
                <w:szCs w:val="20"/>
              </w:rPr>
              <w:t>-3.610</w:t>
            </w:r>
          </w:p>
        </w:tc>
        <w:tc>
          <w:tcPr>
            <w:tcW w:w="960" w:type="pct"/>
            <w:vAlign w:val="center"/>
          </w:tcPr>
          <w:p w:rsidR="00576BFC" w:rsidRPr="0063638E" w:rsidRDefault="00576BFC" w:rsidP="008B4B29">
            <w:pPr>
              <w:pStyle w:val="Tablenormal0"/>
              <w:widowControl/>
              <w:spacing w:before="0" w:after="0"/>
              <w:jc w:val="center"/>
              <w:rPr>
                <w:rFonts w:ascii="Arial Narrow" w:hAnsi="Arial Narrow"/>
                <w:b/>
                <w:sz w:val="20"/>
                <w:szCs w:val="20"/>
              </w:rPr>
            </w:pPr>
            <w:r w:rsidRPr="0063638E">
              <w:rPr>
                <w:rFonts w:ascii="Arial Narrow" w:hAnsi="Arial Narrow"/>
                <w:b/>
                <w:sz w:val="20"/>
                <w:szCs w:val="20"/>
              </w:rPr>
              <w:t>1.271 (0.859,1.684)</w:t>
            </w:r>
          </w:p>
        </w:tc>
        <w:tc>
          <w:tcPr>
            <w:tcW w:w="632" w:type="pct"/>
            <w:vAlign w:val="center"/>
          </w:tcPr>
          <w:p w:rsidR="00576BFC" w:rsidRPr="00B3515F" w:rsidRDefault="00576BFC" w:rsidP="008B4B29">
            <w:pPr>
              <w:pStyle w:val="Tablenormal0"/>
              <w:widowControl/>
              <w:spacing w:before="0" w:after="0"/>
              <w:jc w:val="center"/>
              <w:rPr>
                <w:rFonts w:ascii="Arial Narrow" w:hAnsi="Arial Narrow"/>
                <w:sz w:val="20"/>
                <w:szCs w:val="20"/>
              </w:rPr>
            </w:pPr>
            <w:r w:rsidRPr="00B3515F">
              <w:rPr>
                <w:rFonts w:ascii="Arial Narrow" w:hAnsi="Arial Narrow"/>
                <w:sz w:val="20"/>
                <w:szCs w:val="20"/>
              </w:rPr>
              <w:t>35.2%</w:t>
            </w:r>
          </w:p>
        </w:tc>
      </w:tr>
    </w:tbl>
    <w:p w:rsidR="00576BFC" w:rsidRDefault="00576BFC" w:rsidP="008B4B29">
      <w:pPr>
        <w:widowControl/>
        <w:rPr>
          <w:rFonts w:ascii="Arial Narrow" w:hAnsi="Arial Narrow"/>
          <w:sz w:val="18"/>
          <w:szCs w:val="18"/>
        </w:rPr>
      </w:pPr>
      <w:proofErr w:type="spellStart"/>
      <w:proofErr w:type="gramStart"/>
      <w:r w:rsidRPr="00852888">
        <w:rPr>
          <w:rFonts w:ascii="Arial Narrow" w:hAnsi="Arial Narrow"/>
          <w:sz w:val="18"/>
          <w:szCs w:val="18"/>
          <w:vertAlign w:val="superscript"/>
        </w:rPr>
        <w:t>a</w:t>
      </w:r>
      <w:proofErr w:type="spellEnd"/>
      <w:proofErr w:type="gramEnd"/>
      <w:r>
        <w:rPr>
          <w:rFonts w:ascii="Arial Narrow" w:hAnsi="Arial Narrow"/>
          <w:sz w:val="18"/>
          <w:szCs w:val="18"/>
        </w:rPr>
        <w:t xml:space="preserve"> </w:t>
      </w:r>
      <w:r w:rsidRPr="00852888">
        <w:rPr>
          <w:rFonts w:ascii="Arial Narrow" w:hAnsi="Arial Narrow"/>
          <w:sz w:val="18"/>
          <w:szCs w:val="18"/>
        </w:rPr>
        <w:t>Annuali</w:t>
      </w:r>
      <w:r w:rsidR="002D1FB0">
        <w:rPr>
          <w:rFonts w:ascii="Arial Narrow" w:hAnsi="Arial Narrow"/>
          <w:sz w:val="18"/>
          <w:szCs w:val="18"/>
        </w:rPr>
        <w:t>s</w:t>
      </w:r>
      <w:r w:rsidRPr="00852888">
        <w:rPr>
          <w:rFonts w:ascii="Arial Narrow" w:hAnsi="Arial Narrow"/>
          <w:sz w:val="18"/>
          <w:szCs w:val="18"/>
        </w:rPr>
        <w:t>ed</w:t>
      </w:r>
      <w:r w:rsidRPr="00302FBF">
        <w:rPr>
          <w:rFonts w:ascii="Arial Narrow" w:hAnsi="Arial Narrow"/>
          <w:sz w:val="18"/>
          <w:szCs w:val="18"/>
        </w:rPr>
        <w:t xml:space="preserve"> change from </w:t>
      </w:r>
      <w:r>
        <w:rPr>
          <w:rFonts w:ascii="Arial Narrow" w:hAnsi="Arial Narrow"/>
          <w:sz w:val="18"/>
          <w:szCs w:val="18"/>
        </w:rPr>
        <w:t>baseline as</w:t>
      </w:r>
      <w:r w:rsidRPr="00302FBF">
        <w:rPr>
          <w:rFonts w:ascii="Arial Narrow" w:hAnsi="Arial Narrow"/>
          <w:sz w:val="18"/>
          <w:szCs w:val="18"/>
        </w:rPr>
        <w:t xml:space="preserve"> average of up to three pre-treatment baseline observations to the average of up to three post-treatment follow-up observations</w:t>
      </w:r>
      <w:r>
        <w:rPr>
          <w:rFonts w:ascii="Arial Narrow" w:hAnsi="Arial Narrow"/>
          <w:sz w:val="18"/>
          <w:szCs w:val="18"/>
        </w:rPr>
        <w:t>. Statistically significant results in bold. Positive comparative outcomes favour tolvaptan.</w:t>
      </w:r>
    </w:p>
    <w:p w:rsidR="00576BFC" w:rsidRPr="0063638E" w:rsidRDefault="00576BFC" w:rsidP="008B4B29">
      <w:pPr>
        <w:widowControl/>
        <w:rPr>
          <w:rFonts w:ascii="Arial Narrow" w:hAnsi="Arial Narrow"/>
          <w:sz w:val="18"/>
          <w:szCs w:val="18"/>
        </w:rPr>
      </w:pPr>
      <w:proofErr w:type="gramStart"/>
      <w:r>
        <w:rPr>
          <w:rFonts w:ascii="Arial Narrow" w:hAnsi="Arial Narrow"/>
          <w:sz w:val="18"/>
          <w:szCs w:val="18"/>
          <w:vertAlign w:val="superscript"/>
        </w:rPr>
        <w:t>b</w:t>
      </w:r>
      <w:proofErr w:type="gramEnd"/>
      <w:r>
        <w:rPr>
          <w:rFonts w:ascii="Arial Narrow" w:hAnsi="Arial Narrow"/>
          <w:sz w:val="18"/>
          <w:szCs w:val="18"/>
        </w:rPr>
        <w:t xml:space="preserve"> 95% confidence intervals calculated post-hoc for the resubmission. </w:t>
      </w:r>
      <w:r w:rsidRPr="00FF1D98">
        <w:rPr>
          <w:rFonts w:ascii="Arial Narrow" w:hAnsi="Arial Narrow"/>
          <w:i/>
          <w:sz w:val="18"/>
          <w:szCs w:val="18"/>
        </w:rPr>
        <w:t>The upper confidence interval is in error and could not be corrected.</w:t>
      </w:r>
    </w:p>
    <w:p w:rsidR="00576BFC" w:rsidRDefault="00576BFC" w:rsidP="008B4B29">
      <w:pPr>
        <w:widowControl/>
        <w:rPr>
          <w:rFonts w:ascii="Arial Narrow" w:hAnsi="Arial Narrow"/>
          <w:sz w:val="18"/>
          <w:szCs w:val="18"/>
        </w:rPr>
      </w:pPr>
      <w:r>
        <w:rPr>
          <w:rFonts w:ascii="Arial Narrow" w:hAnsi="Arial Narrow"/>
          <w:sz w:val="18"/>
          <w:szCs w:val="18"/>
        </w:rPr>
        <w:t xml:space="preserve">Abbreviations: CI, confidence interval; </w:t>
      </w:r>
      <w:r w:rsidRPr="0075474E">
        <w:rPr>
          <w:rFonts w:ascii="Arial Narrow" w:hAnsi="Arial Narrow"/>
          <w:sz w:val="18"/>
          <w:szCs w:val="18"/>
        </w:rPr>
        <w:t>CKD-EPI</w:t>
      </w:r>
      <w:r>
        <w:rPr>
          <w:rFonts w:ascii="Arial Narrow" w:hAnsi="Arial Narrow"/>
          <w:sz w:val="18"/>
          <w:szCs w:val="18"/>
        </w:rPr>
        <w:t xml:space="preserve">, </w:t>
      </w:r>
      <w:r w:rsidRPr="000963F8">
        <w:rPr>
          <w:rFonts w:ascii="Arial Narrow" w:hAnsi="Arial Narrow"/>
          <w:sz w:val="18"/>
          <w:szCs w:val="18"/>
        </w:rPr>
        <w:t>Chronic Kidney Disease Epidemiology Collaboration equation</w:t>
      </w:r>
      <w:r>
        <w:rPr>
          <w:rFonts w:ascii="Arial Narrow" w:hAnsi="Arial Narrow"/>
          <w:sz w:val="18"/>
          <w:szCs w:val="18"/>
        </w:rPr>
        <w:t>;</w:t>
      </w:r>
      <w:r w:rsidRPr="0075474E">
        <w:rPr>
          <w:rFonts w:ascii="Arial Narrow" w:hAnsi="Arial Narrow"/>
          <w:sz w:val="18"/>
          <w:szCs w:val="18"/>
        </w:rPr>
        <w:t xml:space="preserve"> </w:t>
      </w:r>
      <w:r>
        <w:rPr>
          <w:rFonts w:ascii="Arial Narrow" w:hAnsi="Arial Narrow"/>
          <w:sz w:val="18"/>
          <w:szCs w:val="18"/>
        </w:rPr>
        <w:t>eGFR, estimated glomerular filtration rate; LS, least square means.</w:t>
      </w:r>
    </w:p>
    <w:p w:rsidR="00576BFC" w:rsidRPr="00624F43" w:rsidRDefault="00576BFC" w:rsidP="008B4B29">
      <w:pPr>
        <w:widowControl/>
        <w:rPr>
          <w:rFonts w:ascii="Arial Narrow" w:hAnsi="Arial Narrow"/>
          <w:sz w:val="18"/>
          <w:szCs w:val="18"/>
        </w:rPr>
      </w:pPr>
      <w:r w:rsidRPr="0075474E">
        <w:rPr>
          <w:rFonts w:ascii="Arial Narrow" w:hAnsi="Arial Narrow"/>
          <w:sz w:val="18"/>
          <w:szCs w:val="18"/>
        </w:rPr>
        <w:t>Source: Table 2-21, p64 of the resubmission.</w:t>
      </w:r>
    </w:p>
    <w:p w:rsidR="00576BFC" w:rsidRDefault="00576BFC" w:rsidP="0086251F">
      <w:pPr>
        <w:pStyle w:val="ListParagraph"/>
        <w:widowControl/>
        <w:numPr>
          <w:ilvl w:val="1"/>
          <w:numId w:val="3"/>
        </w:numPr>
        <w:spacing w:before="120" w:after="120"/>
        <w:ind w:left="720"/>
      </w:pPr>
      <w:r w:rsidRPr="00F563B9">
        <w:t>In REPRISE, treatment with tolvaptan was associated with a statistically significantly smaller annualised decline in eGFR, compared to placebo (difference between least square means of 1.271 mL/min/1.73 m</w:t>
      </w:r>
      <w:r w:rsidRPr="00F563B9">
        <w:rPr>
          <w:vertAlign w:val="superscript"/>
        </w:rPr>
        <w:t>2</w:t>
      </w:r>
      <w:r w:rsidRPr="00F563B9">
        <w:t>/year)</w:t>
      </w:r>
      <w:r w:rsidRPr="00F563B9">
        <w:rPr>
          <w:rFonts w:cs="Calibri"/>
          <w:snapToGrid/>
          <w:szCs w:val="24"/>
          <w:lang w:val="en-US" w:eastAsia="en-AU"/>
        </w:rPr>
        <w:t xml:space="preserve">. </w:t>
      </w:r>
      <w:r w:rsidRPr="00F563B9">
        <w:t>The tolvaptan treatment effect was derived from data before and after the randomised controlled treatment phase, and does not reflect the on-drug trajectory experienced by patients in clinical practice. Differences between tolvaptan and placebo in decline of eGFR appear small, while relative differences in slope appear substantial but are difficult to interpret in terms of patient relevant outcomes.</w:t>
      </w:r>
    </w:p>
    <w:p w:rsidR="00B82A6B" w:rsidRDefault="00576BFC" w:rsidP="0086251F">
      <w:pPr>
        <w:pStyle w:val="ListParagraph"/>
        <w:widowControl/>
        <w:numPr>
          <w:ilvl w:val="1"/>
          <w:numId w:val="3"/>
        </w:numPr>
        <w:spacing w:before="120" w:after="120"/>
        <w:ind w:left="720"/>
      </w:pPr>
      <w:r w:rsidRPr="00F72622">
        <w:t xml:space="preserve">Table </w:t>
      </w:r>
      <w:r w:rsidR="00D320B2">
        <w:t>6</w:t>
      </w:r>
      <w:r w:rsidRPr="00F72622">
        <w:t xml:space="preserve"> shows the results of the REPRISE and TEMPO 3:4 secondary outcome of annualised change in </w:t>
      </w:r>
      <w:r>
        <w:t xml:space="preserve">slope of decline in </w:t>
      </w:r>
      <w:r w:rsidRPr="00F72622">
        <w:t xml:space="preserve">eGFR </w:t>
      </w:r>
      <w:r>
        <w:t>(linear mixed effect model)</w:t>
      </w:r>
      <w:r w:rsidRPr="00F72622">
        <w:t>.</w:t>
      </w:r>
    </w:p>
    <w:p w:rsidR="00B82A6B" w:rsidRDefault="00B82A6B">
      <w:pPr>
        <w:widowControl/>
        <w:jc w:val="left"/>
      </w:pPr>
      <w:r>
        <w:br w:type="page"/>
      </w:r>
    </w:p>
    <w:p w:rsidR="00576BFC" w:rsidRPr="0075474E" w:rsidRDefault="00576BFC" w:rsidP="008B4B29">
      <w:pPr>
        <w:keepNext/>
        <w:keepLines/>
        <w:widowControl/>
        <w:rPr>
          <w:rFonts w:ascii="Arial Narrow" w:hAnsi="Arial Narrow"/>
          <w:b/>
          <w:sz w:val="20"/>
          <w:szCs w:val="20"/>
        </w:rPr>
      </w:pPr>
      <w:r>
        <w:rPr>
          <w:rFonts w:ascii="Arial Narrow" w:hAnsi="Arial Narrow"/>
          <w:b/>
          <w:sz w:val="20"/>
          <w:szCs w:val="20"/>
        </w:rPr>
        <w:lastRenderedPageBreak/>
        <w:t xml:space="preserve">Table </w:t>
      </w:r>
      <w:r w:rsidR="00D320B2">
        <w:rPr>
          <w:rFonts w:ascii="Arial Narrow" w:hAnsi="Arial Narrow"/>
          <w:b/>
          <w:sz w:val="20"/>
          <w:szCs w:val="20"/>
        </w:rPr>
        <w:t>6</w:t>
      </w:r>
      <w:r>
        <w:rPr>
          <w:rFonts w:ascii="Arial Narrow" w:hAnsi="Arial Narrow"/>
          <w:b/>
          <w:sz w:val="20"/>
          <w:szCs w:val="20"/>
        </w:rPr>
        <w:t xml:space="preserve">: Annualised change in </w:t>
      </w:r>
      <w:r w:rsidRPr="0075474E">
        <w:rPr>
          <w:rFonts w:ascii="Arial Narrow" w:hAnsi="Arial Narrow"/>
          <w:b/>
          <w:sz w:val="20"/>
          <w:szCs w:val="20"/>
        </w:rPr>
        <w:t>eGFR (CKD-EPI)</w:t>
      </w:r>
      <w:r w:rsidR="00E813A3">
        <w:rPr>
          <w:rFonts w:ascii="Arial Narrow" w:hAnsi="Arial Narrow"/>
          <w:b/>
          <w:sz w:val="20"/>
          <w:szCs w:val="20"/>
        </w:rPr>
        <w:t xml:space="preserve"> </w:t>
      </w:r>
      <w:r w:rsidR="00E71970">
        <w:rPr>
          <w:rFonts w:ascii="Arial Narrow" w:hAnsi="Arial Narrow"/>
          <w:b/>
          <w:sz w:val="20"/>
          <w:szCs w:val="20"/>
        </w:rPr>
        <w:t xml:space="preserve">slope </w:t>
      </w:r>
      <w:r w:rsidR="00E813A3">
        <w:rPr>
          <w:rFonts w:ascii="Arial Narrow" w:hAnsi="Arial Narrow"/>
          <w:b/>
          <w:sz w:val="20"/>
          <w:szCs w:val="20"/>
        </w:rPr>
        <w:t>in REPRISE and TEMPO 3:4</w:t>
      </w:r>
      <w:r>
        <w:rPr>
          <w:rFonts w:ascii="Arial Narrow" w:hAnsi="Arial Narrow"/>
          <w:b/>
          <w:sz w:val="20"/>
          <w:szCs w:val="20"/>
        </w:rPr>
        <w:t>;</w:t>
      </w:r>
      <w:r w:rsidRPr="0075474E">
        <w:rPr>
          <w:rFonts w:ascii="Arial Narrow" w:hAnsi="Arial Narrow"/>
          <w:b/>
          <w:sz w:val="20"/>
          <w:szCs w:val="20"/>
        </w:rPr>
        <w:t xml:space="preserve"> </w:t>
      </w:r>
      <w:r>
        <w:rPr>
          <w:rFonts w:ascii="Arial Narrow" w:hAnsi="Arial Narrow"/>
          <w:b/>
          <w:sz w:val="20"/>
          <w:szCs w:val="20"/>
        </w:rPr>
        <w:t>(</w:t>
      </w:r>
      <w:r w:rsidRPr="0075474E">
        <w:rPr>
          <w:rFonts w:ascii="Arial Narrow" w:hAnsi="Arial Narrow"/>
          <w:b/>
          <w:sz w:val="20"/>
          <w:szCs w:val="20"/>
        </w:rPr>
        <w:t>mL/min/1.73 m</w:t>
      </w:r>
      <w:r w:rsidRPr="0075474E">
        <w:rPr>
          <w:rFonts w:ascii="Arial Narrow" w:hAnsi="Arial Narrow"/>
          <w:b/>
          <w:sz w:val="20"/>
          <w:szCs w:val="20"/>
          <w:vertAlign w:val="superscript"/>
        </w:rPr>
        <w:t>2</w:t>
      </w:r>
      <w:r>
        <w:rPr>
          <w:rFonts w:ascii="Arial Narrow" w:hAnsi="Arial Narrow"/>
          <w:b/>
          <w:sz w:val="20"/>
          <w:szCs w:val="20"/>
        </w:rPr>
        <w:t xml:space="preserve">/year; </w:t>
      </w:r>
      <w:r w:rsidRPr="0075474E">
        <w:rPr>
          <w:rFonts w:ascii="Arial Narrow" w:hAnsi="Arial Narrow"/>
          <w:b/>
          <w:sz w:val="20"/>
          <w:szCs w:val="20"/>
        </w:rPr>
        <w:t>key secondary endpoint efficacy population</w:t>
      </w:r>
      <w:r>
        <w:rPr>
          <w:rFonts w:ascii="Arial Narrow" w:hAnsi="Arial Narrow"/>
          <w:b/>
          <w:sz w:val="20"/>
          <w:szCs w:val="20"/>
        </w:rPr>
        <w:t>; l</w:t>
      </w:r>
      <w:r w:rsidRPr="0075474E">
        <w:rPr>
          <w:rFonts w:ascii="Arial Narrow" w:hAnsi="Arial Narrow"/>
          <w:b/>
          <w:sz w:val="20"/>
          <w:szCs w:val="20"/>
        </w:rPr>
        <w:t>inear mixed effect model</w:t>
      </w:r>
      <w:r>
        <w:rPr>
          <w:rFonts w:ascii="Arial Narrow" w:hAnsi="Arial Narrow"/>
          <w:b/>
          <w:sz w:val="20"/>
          <w:szCs w:val="20"/>
        </w:rPr>
        <w:t>)</w:t>
      </w:r>
    </w:p>
    <w:tbl>
      <w:tblPr>
        <w:tblStyle w:val="TableGrid"/>
        <w:tblW w:w="5000" w:type="pct"/>
        <w:tblLook w:val="04A0" w:firstRow="1" w:lastRow="0" w:firstColumn="1" w:lastColumn="0" w:noHBand="0" w:noVBand="1"/>
        <w:tblCaption w:val="Table 6: Annualised change in eGFR (CKD-EPI) slope in REPRISE and TEMPO 3:4; (mL/min/1.73 m2/year; key secondary endpoint efficacy population; linear mixed effect model)"/>
      </w:tblPr>
      <w:tblGrid>
        <w:gridCol w:w="3647"/>
        <w:gridCol w:w="1314"/>
        <w:gridCol w:w="1337"/>
        <w:gridCol w:w="1775"/>
        <w:gridCol w:w="1170"/>
      </w:tblGrid>
      <w:tr w:rsidR="00576BFC" w:rsidRPr="00841D26" w:rsidTr="001D22CA">
        <w:trPr>
          <w:tblHeader/>
        </w:trPr>
        <w:tc>
          <w:tcPr>
            <w:tcW w:w="1973" w:type="pct"/>
            <w:vAlign w:val="center"/>
          </w:tcPr>
          <w:p w:rsidR="00576BFC" w:rsidRPr="00841D26" w:rsidRDefault="00576BFC" w:rsidP="008B4B29">
            <w:pPr>
              <w:pStyle w:val="Tablenormal0"/>
              <w:keepNext/>
              <w:widowControl/>
              <w:spacing w:before="0" w:after="0"/>
              <w:rPr>
                <w:rFonts w:ascii="Arial Narrow" w:hAnsi="Arial Narrow"/>
                <w:b/>
                <w:sz w:val="20"/>
                <w:szCs w:val="20"/>
              </w:rPr>
            </w:pPr>
          </w:p>
        </w:tc>
        <w:tc>
          <w:tcPr>
            <w:tcW w:w="711" w:type="pct"/>
            <w:vAlign w:val="center"/>
          </w:tcPr>
          <w:p w:rsidR="00576BFC" w:rsidRPr="00841D26" w:rsidRDefault="00576BFC" w:rsidP="008B4B29">
            <w:pPr>
              <w:pStyle w:val="Tablenormal0"/>
              <w:keepNext/>
              <w:widowControl/>
              <w:spacing w:before="0" w:after="0"/>
              <w:ind w:left="-46" w:right="-48"/>
              <w:jc w:val="center"/>
              <w:rPr>
                <w:rFonts w:ascii="Arial Narrow" w:hAnsi="Arial Narrow"/>
                <w:b/>
                <w:sz w:val="20"/>
                <w:szCs w:val="20"/>
              </w:rPr>
            </w:pPr>
            <w:r w:rsidRPr="00841D26">
              <w:rPr>
                <w:rFonts w:ascii="Arial Narrow" w:hAnsi="Arial Narrow"/>
                <w:b/>
                <w:sz w:val="20"/>
                <w:szCs w:val="20"/>
              </w:rPr>
              <w:t>Tolvaptan</w:t>
            </w:r>
          </w:p>
        </w:tc>
        <w:tc>
          <w:tcPr>
            <w:tcW w:w="723" w:type="pct"/>
            <w:vAlign w:val="center"/>
          </w:tcPr>
          <w:p w:rsidR="00576BFC" w:rsidRPr="00841D26" w:rsidRDefault="00576BFC" w:rsidP="008B4B29">
            <w:pPr>
              <w:pStyle w:val="Tablenormal0"/>
              <w:keepNext/>
              <w:widowControl/>
              <w:spacing w:before="0" w:after="0"/>
              <w:ind w:left="-46" w:right="-48"/>
              <w:jc w:val="center"/>
              <w:rPr>
                <w:rFonts w:ascii="Arial Narrow" w:hAnsi="Arial Narrow"/>
                <w:b/>
                <w:sz w:val="20"/>
                <w:szCs w:val="20"/>
              </w:rPr>
            </w:pPr>
            <w:r w:rsidRPr="00841D26">
              <w:rPr>
                <w:rFonts w:ascii="Arial Narrow" w:hAnsi="Arial Narrow"/>
                <w:b/>
                <w:sz w:val="20"/>
                <w:szCs w:val="20"/>
              </w:rPr>
              <w:t>Placebo</w:t>
            </w:r>
          </w:p>
        </w:tc>
        <w:tc>
          <w:tcPr>
            <w:tcW w:w="960" w:type="pct"/>
            <w:vAlign w:val="center"/>
          </w:tcPr>
          <w:p w:rsidR="00576BFC" w:rsidRDefault="00576BFC" w:rsidP="008B4B29">
            <w:pPr>
              <w:pStyle w:val="Tablenormal0"/>
              <w:keepNext/>
              <w:widowControl/>
              <w:spacing w:before="0" w:after="0"/>
              <w:ind w:left="-46" w:right="-48"/>
              <w:jc w:val="center"/>
              <w:rPr>
                <w:rFonts w:ascii="Arial Narrow" w:hAnsi="Arial Narrow"/>
                <w:b/>
                <w:sz w:val="20"/>
                <w:szCs w:val="20"/>
              </w:rPr>
            </w:pPr>
            <w:r w:rsidRPr="00841D26">
              <w:rPr>
                <w:rFonts w:ascii="Arial Narrow" w:hAnsi="Arial Narrow"/>
                <w:b/>
                <w:sz w:val="20"/>
                <w:szCs w:val="20"/>
              </w:rPr>
              <w:t xml:space="preserve">Mean difference </w:t>
            </w:r>
          </w:p>
          <w:p w:rsidR="00576BFC" w:rsidRPr="00841D26" w:rsidRDefault="00576BFC" w:rsidP="008B4B29">
            <w:pPr>
              <w:pStyle w:val="Tablenormal0"/>
              <w:keepNext/>
              <w:widowControl/>
              <w:spacing w:before="0" w:after="0"/>
              <w:ind w:left="-46" w:right="-48"/>
              <w:jc w:val="center"/>
              <w:rPr>
                <w:rFonts w:ascii="Arial Narrow" w:hAnsi="Arial Narrow"/>
                <w:b/>
                <w:sz w:val="20"/>
                <w:szCs w:val="20"/>
              </w:rPr>
            </w:pPr>
            <w:r w:rsidRPr="00841D26">
              <w:rPr>
                <w:rFonts w:ascii="Arial Narrow" w:hAnsi="Arial Narrow"/>
                <w:b/>
                <w:sz w:val="20"/>
                <w:szCs w:val="20"/>
              </w:rPr>
              <w:t>(95% CI)</w:t>
            </w:r>
          </w:p>
        </w:tc>
        <w:tc>
          <w:tcPr>
            <w:tcW w:w="632" w:type="pct"/>
            <w:vAlign w:val="center"/>
          </w:tcPr>
          <w:p w:rsidR="00576BFC" w:rsidRPr="00841D26" w:rsidRDefault="00576BFC" w:rsidP="008B4B29">
            <w:pPr>
              <w:pStyle w:val="Tablenormal0"/>
              <w:keepNext/>
              <w:widowControl/>
              <w:spacing w:before="0" w:after="0"/>
              <w:ind w:left="-46" w:right="-48"/>
              <w:jc w:val="center"/>
              <w:rPr>
                <w:rFonts w:ascii="Arial Narrow" w:hAnsi="Arial Narrow"/>
                <w:b/>
                <w:sz w:val="20"/>
                <w:szCs w:val="20"/>
              </w:rPr>
            </w:pPr>
            <w:r>
              <w:rPr>
                <w:rFonts w:ascii="Arial Narrow" w:hAnsi="Arial Narrow"/>
                <w:b/>
                <w:sz w:val="20"/>
                <w:szCs w:val="20"/>
              </w:rPr>
              <w:t>Relative difference</w:t>
            </w:r>
          </w:p>
        </w:tc>
      </w:tr>
      <w:tr w:rsidR="00576BFC" w:rsidRPr="00841D26" w:rsidTr="001D22CA">
        <w:tc>
          <w:tcPr>
            <w:tcW w:w="5000" w:type="pct"/>
            <w:gridSpan w:val="5"/>
          </w:tcPr>
          <w:p w:rsidR="00576BFC" w:rsidRPr="00852888" w:rsidRDefault="00576BFC" w:rsidP="008B4B29">
            <w:pPr>
              <w:pStyle w:val="Tablenormal0"/>
              <w:keepNext/>
              <w:widowControl/>
              <w:spacing w:before="0" w:after="0"/>
              <w:rPr>
                <w:rFonts w:ascii="Arial Narrow" w:hAnsi="Arial Narrow"/>
                <w:b/>
                <w:sz w:val="20"/>
                <w:szCs w:val="20"/>
                <w:vertAlign w:val="superscript"/>
              </w:rPr>
            </w:pPr>
            <w:r w:rsidRPr="00841D26">
              <w:rPr>
                <w:rFonts w:ascii="Arial Narrow" w:hAnsi="Arial Narrow"/>
                <w:b/>
                <w:sz w:val="20"/>
                <w:szCs w:val="20"/>
              </w:rPr>
              <w:t>REPRISE</w:t>
            </w:r>
            <w:r>
              <w:rPr>
                <w:rFonts w:ascii="Arial Narrow" w:hAnsi="Arial Narrow"/>
                <w:b/>
                <w:sz w:val="20"/>
                <w:szCs w:val="20"/>
              </w:rPr>
              <w:t xml:space="preserve"> </w:t>
            </w:r>
          </w:p>
        </w:tc>
      </w:tr>
      <w:tr w:rsidR="00576BFC" w:rsidRPr="00841D26" w:rsidTr="001D22CA">
        <w:tc>
          <w:tcPr>
            <w:tcW w:w="1973" w:type="pct"/>
          </w:tcPr>
          <w:p w:rsidR="00576BFC" w:rsidRPr="00841D26" w:rsidRDefault="00576BFC" w:rsidP="008B4B29">
            <w:pPr>
              <w:pStyle w:val="Tablenormal0"/>
              <w:keepNext/>
              <w:widowControl/>
              <w:spacing w:before="0" w:after="0"/>
              <w:rPr>
                <w:rFonts w:ascii="Arial Narrow" w:hAnsi="Arial Narrow"/>
                <w:sz w:val="20"/>
                <w:szCs w:val="20"/>
              </w:rPr>
            </w:pPr>
            <w:r w:rsidRPr="00841D26">
              <w:rPr>
                <w:rFonts w:ascii="Arial Narrow" w:hAnsi="Arial Narrow"/>
                <w:sz w:val="20"/>
                <w:szCs w:val="20"/>
              </w:rPr>
              <w:t>N</w:t>
            </w:r>
          </w:p>
        </w:tc>
        <w:tc>
          <w:tcPr>
            <w:tcW w:w="711" w:type="pct"/>
            <w:vAlign w:val="center"/>
          </w:tcPr>
          <w:p w:rsidR="00576BFC" w:rsidRPr="00841D26" w:rsidRDefault="00576BFC" w:rsidP="008B4B29">
            <w:pPr>
              <w:pStyle w:val="Tablenormal0"/>
              <w:keepNext/>
              <w:widowControl/>
              <w:spacing w:before="0" w:after="0"/>
              <w:jc w:val="center"/>
              <w:rPr>
                <w:rFonts w:ascii="Arial Narrow" w:hAnsi="Arial Narrow"/>
                <w:sz w:val="20"/>
                <w:szCs w:val="20"/>
              </w:rPr>
            </w:pPr>
            <w:r>
              <w:rPr>
                <w:rFonts w:ascii="Arial Narrow" w:hAnsi="Arial Narrow"/>
                <w:sz w:val="20"/>
                <w:szCs w:val="20"/>
              </w:rPr>
              <w:t>680</w:t>
            </w:r>
          </w:p>
        </w:tc>
        <w:tc>
          <w:tcPr>
            <w:tcW w:w="723" w:type="pct"/>
            <w:vAlign w:val="center"/>
          </w:tcPr>
          <w:p w:rsidR="00576BFC" w:rsidRPr="00841D26" w:rsidRDefault="00576BFC" w:rsidP="008B4B29">
            <w:pPr>
              <w:pStyle w:val="Tablenormal0"/>
              <w:keepNext/>
              <w:widowControl/>
              <w:spacing w:before="0" w:after="0"/>
              <w:jc w:val="center"/>
              <w:rPr>
                <w:rFonts w:ascii="Arial Narrow" w:hAnsi="Arial Narrow"/>
                <w:sz w:val="20"/>
                <w:szCs w:val="20"/>
              </w:rPr>
            </w:pPr>
            <w:r>
              <w:rPr>
                <w:rFonts w:ascii="Arial Narrow" w:hAnsi="Arial Narrow"/>
                <w:sz w:val="20"/>
                <w:szCs w:val="20"/>
              </w:rPr>
              <w:t>682</w:t>
            </w:r>
          </w:p>
        </w:tc>
        <w:tc>
          <w:tcPr>
            <w:tcW w:w="1592" w:type="pct"/>
            <w:gridSpan w:val="2"/>
            <w:vAlign w:val="center"/>
          </w:tcPr>
          <w:p w:rsidR="00576BFC" w:rsidRPr="00841D26" w:rsidRDefault="00576BFC" w:rsidP="008B4B29">
            <w:pPr>
              <w:pStyle w:val="Tablenormal0"/>
              <w:keepNext/>
              <w:widowControl/>
              <w:spacing w:before="0" w:after="0"/>
              <w:jc w:val="center"/>
              <w:rPr>
                <w:rFonts w:ascii="Arial Narrow" w:hAnsi="Arial Narrow"/>
                <w:sz w:val="20"/>
                <w:szCs w:val="20"/>
              </w:rPr>
            </w:pPr>
          </w:p>
        </w:tc>
      </w:tr>
      <w:tr w:rsidR="00576BFC" w:rsidRPr="00841D26" w:rsidTr="001D22CA">
        <w:tc>
          <w:tcPr>
            <w:tcW w:w="1973" w:type="pct"/>
          </w:tcPr>
          <w:p w:rsidR="00576BFC" w:rsidRPr="00841D26" w:rsidRDefault="00576BFC" w:rsidP="008B4B29">
            <w:pPr>
              <w:pStyle w:val="Tablenormal0"/>
              <w:keepNext/>
              <w:widowControl/>
              <w:spacing w:before="0" w:after="0"/>
              <w:rPr>
                <w:rFonts w:ascii="Arial Narrow" w:hAnsi="Arial Narrow"/>
                <w:sz w:val="20"/>
                <w:szCs w:val="20"/>
              </w:rPr>
            </w:pPr>
            <w:r>
              <w:rPr>
                <w:rFonts w:ascii="Arial Narrow" w:hAnsi="Arial Narrow"/>
                <w:sz w:val="20"/>
                <w:szCs w:val="20"/>
              </w:rPr>
              <w:t xml:space="preserve">Mean annualised change in </w:t>
            </w:r>
            <w:r w:rsidR="00E71970">
              <w:rPr>
                <w:rFonts w:ascii="Arial Narrow" w:hAnsi="Arial Narrow"/>
                <w:sz w:val="20"/>
                <w:szCs w:val="20"/>
              </w:rPr>
              <w:t xml:space="preserve">eGFR </w:t>
            </w:r>
            <w:r>
              <w:rPr>
                <w:rFonts w:ascii="Arial Narrow" w:hAnsi="Arial Narrow"/>
                <w:sz w:val="20"/>
                <w:szCs w:val="20"/>
              </w:rPr>
              <w:t xml:space="preserve">slope </w:t>
            </w:r>
            <w:r w:rsidRPr="00A04D2D">
              <w:rPr>
                <w:rFonts w:ascii="Arial Narrow" w:hAnsi="Arial Narrow"/>
                <w:sz w:val="20"/>
                <w:szCs w:val="20"/>
              </w:rPr>
              <w:t>(mL/min/1.73 m</w:t>
            </w:r>
            <w:r w:rsidRPr="00A04D2D">
              <w:rPr>
                <w:rFonts w:ascii="Arial Narrow" w:hAnsi="Arial Narrow"/>
                <w:sz w:val="20"/>
                <w:szCs w:val="20"/>
                <w:vertAlign w:val="superscript"/>
              </w:rPr>
              <w:t>2</w:t>
            </w:r>
            <w:r>
              <w:rPr>
                <w:rFonts w:ascii="Arial Narrow" w:hAnsi="Arial Narrow"/>
                <w:sz w:val="20"/>
                <w:szCs w:val="20"/>
              </w:rPr>
              <w:t>/yea</w:t>
            </w:r>
            <w:r w:rsidRPr="00A04D2D">
              <w:rPr>
                <w:rFonts w:ascii="Arial Narrow" w:hAnsi="Arial Narrow"/>
                <w:sz w:val="20"/>
                <w:szCs w:val="20"/>
              </w:rPr>
              <w:t>r)</w:t>
            </w:r>
          </w:p>
        </w:tc>
        <w:tc>
          <w:tcPr>
            <w:tcW w:w="711" w:type="pct"/>
            <w:vAlign w:val="center"/>
          </w:tcPr>
          <w:p w:rsidR="00576BFC" w:rsidRPr="00841D26" w:rsidRDefault="00576BFC" w:rsidP="008B4B29">
            <w:pPr>
              <w:pStyle w:val="Tablenormal0"/>
              <w:keepNext/>
              <w:widowControl/>
              <w:spacing w:before="0" w:after="0"/>
              <w:jc w:val="center"/>
              <w:rPr>
                <w:rFonts w:ascii="Arial Narrow" w:hAnsi="Arial Narrow"/>
                <w:sz w:val="20"/>
                <w:szCs w:val="20"/>
              </w:rPr>
            </w:pPr>
            <w:r w:rsidRPr="00841D26">
              <w:rPr>
                <w:rFonts w:ascii="Arial Narrow" w:hAnsi="Arial Narrow"/>
                <w:sz w:val="20"/>
                <w:szCs w:val="20"/>
              </w:rPr>
              <w:t>-2.</w:t>
            </w:r>
            <w:r>
              <w:rPr>
                <w:rFonts w:ascii="Arial Narrow" w:hAnsi="Arial Narrow"/>
                <w:sz w:val="20"/>
                <w:szCs w:val="20"/>
              </w:rPr>
              <w:t>552</w:t>
            </w:r>
          </w:p>
        </w:tc>
        <w:tc>
          <w:tcPr>
            <w:tcW w:w="723" w:type="pct"/>
            <w:vAlign w:val="center"/>
          </w:tcPr>
          <w:p w:rsidR="00576BFC" w:rsidRPr="00841D26" w:rsidRDefault="00576BFC" w:rsidP="008B4B29">
            <w:pPr>
              <w:pStyle w:val="Tablenormal0"/>
              <w:keepNext/>
              <w:widowControl/>
              <w:spacing w:before="0" w:after="0"/>
              <w:jc w:val="center"/>
              <w:rPr>
                <w:rFonts w:ascii="Arial Narrow" w:hAnsi="Arial Narrow"/>
                <w:sz w:val="20"/>
                <w:szCs w:val="20"/>
              </w:rPr>
            </w:pPr>
            <w:r w:rsidRPr="00841D26">
              <w:rPr>
                <w:rFonts w:ascii="Arial Narrow" w:hAnsi="Arial Narrow"/>
                <w:sz w:val="20"/>
                <w:szCs w:val="20"/>
              </w:rPr>
              <w:t>-</w:t>
            </w:r>
            <w:r>
              <w:rPr>
                <w:rFonts w:ascii="Arial Narrow" w:hAnsi="Arial Narrow"/>
                <w:sz w:val="20"/>
                <w:szCs w:val="20"/>
              </w:rPr>
              <w:t>3.238</w:t>
            </w:r>
          </w:p>
        </w:tc>
        <w:tc>
          <w:tcPr>
            <w:tcW w:w="960" w:type="pct"/>
            <w:vAlign w:val="center"/>
          </w:tcPr>
          <w:p w:rsidR="00576BFC" w:rsidRPr="00841D26" w:rsidRDefault="00576BFC" w:rsidP="008B4B29">
            <w:pPr>
              <w:pStyle w:val="Tablenormal0"/>
              <w:keepNext/>
              <w:widowControl/>
              <w:spacing w:before="0" w:after="0"/>
              <w:jc w:val="center"/>
              <w:rPr>
                <w:rFonts w:ascii="Arial Narrow" w:hAnsi="Arial Narrow"/>
                <w:sz w:val="20"/>
                <w:szCs w:val="20"/>
              </w:rPr>
            </w:pPr>
            <w:r>
              <w:rPr>
                <w:rFonts w:ascii="Arial Narrow" w:hAnsi="Arial Narrow"/>
                <w:sz w:val="20"/>
                <w:szCs w:val="20"/>
              </w:rPr>
              <w:t>0.728</w:t>
            </w:r>
            <w:r w:rsidRPr="00841D26">
              <w:rPr>
                <w:rFonts w:ascii="Arial Narrow" w:hAnsi="Arial Narrow"/>
                <w:sz w:val="20"/>
                <w:szCs w:val="20"/>
              </w:rPr>
              <w:t xml:space="preserve"> (</w:t>
            </w:r>
            <w:r>
              <w:rPr>
                <w:rFonts w:ascii="Arial Narrow" w:hAnsi="Arial Narrow"/>
                <w:sz w:val="20"/>
                <w:szCs w:val="20"/>
              </w:rPr>
              <w:t>NR</w:t>
            </w:r>
            <w:r w:rsidRPr="00841D26">
              <w:rPr>
                <w:rFonts w:ascii="Arial Narrow" w:hAnsi="Arial Narrow"/>
                <w:sz w:val="20"/>
                <w:szCs w:val="20"/>
              </w:rPr>
              <w:t>)</w:t>
            </w:r>
          </w:p>
        </w:tc>
        <w:tc>
          <w:tcPr>
            <w:tcW w:w="632" w:type="pct"/>
            <w:vAlign w:val="center"/>
          </w:tcPr>
          <w:p w:rsidR="00576BFC" w:rsidRPr="00841D26" w:rsidRDefault="00576BFC" w:rsidP="008B4B29">
            <w:pPr>
              <w:pStyle w:val="Tablenormal0"/>
              <w:keepNext/>
              <w:widowControl/>
              <w:spacing w:before="0" w:after="0"/>
              <w:jc w:val="center"/>
              <w:rPr>
                <w:rFonts w:ascii="Arial Narrow" w:hAnsi="Arial Narrow"/>
                <w:sz w:val="20"/>
                <w:szCs w:val="20"/>
              </w:rPr>
            </w:pPr>
            <w:r>
              <w:rPr>
                <w:rFonts w:ascii="Arial Narrow" w:hAnsi="Arial Narrow"/>
                <w:sz w:val="20"/>
                <w:szCs w:val="20"/>
              </w:rPr>
              <w:t>22.2%</w:t>
            </w:r>
          </w:p>
        </w:tc>
      </w:tr>
      <w:tr w:rsidR="00576BFC" w:rsidRPr="00841D26" w:rsidTr="001D22CA">
        <w:tc>
          <w:tcPr>
            <w:tcW w:w="1973" w:type="pct"/>
          </w:tcPr>
          <w:p w:rsidR="00576BFC" w:rsidRPr="00841D26" w:rsidRDefault="00576BFC" w:rsidP="008B4B29">
            <w:pPr>
              <w:pStyle w:val="Tablenormal0"/>
              <w:widowControl/>
              <w:spacing w:before="0" w:after="0"/>
              <w:rPr>
                <w:rFonts w:ascii="Arial Narrow" w:hAnsi="Arial Narrow"/>
                <w:sz w:val="20"/>
                <w:szCs w:val="20"/>
              </w:rPr>
            </w:pPr>
            <w:r>
              <w:rPr>
                <w:rFonts w:ascii="Arial Narrow" w:hAnsi="Arial Narrow"/>
                <w:sz w:val="20"/>
                <w:szCs w:val="20"/>
              </w:rPr>
              <w:t>Estimated annualised eGFR change in slope</w:t>
            </w:r>
            <w:r w:rsidRPr="00852888">
              <w:rPr>
                <w:rFonts w:ascii="Arial Narrow" w:hAnsi="Arial Narrow"/>
                <w:sz w:val="20"/>
                <w:szCs w:val="20"/>
                <w:vertAlign w:val="superscript"/>
              </w:rPr>
              <w:t>a</w:t>
            </w:r>
          </w:p>
        </w:tc>
        <w:tc>
          <w:tcPr>
            <w:tcW w:w="711" w:type="pct"/>
            <w:vAlign w:val="center"/>
          </w:tcPr>
          <w:p w:rsidR="00576BFC" w:rsidRPr="00A04D2D" w:rsidRDefault="00576BFC" w:rsidP="008B4B29">
            <w:pPr>
              <w:pStyle w:val="Tablenormal0"/>
              <w:widowControl/>
              <w:spacing w:before="0" w:after="0"/>
              <w:jc w:val="center"/>
              <w:rPr>
                <w:rFonts w:ascii="Arial Narrow" w:hAnsi="Arial Narrow"/>
                <w:sz w:val="20"/>
                <w:szCs w:val="20"/>
              </w:rPr>
            </w:pPr>
            <w:r w:rsidRPr="00A04D2D">
              <w:rPr>
                <w:rFonts w:ascii="Arial Narrow" w:hAnsi="Arial Narrow"/>
                <w:sz w:val="20"/>
                <w:szCs w:val="20"/>
              </w:rPr>
              <w:t>-3.160</w:t>
            </w:r>
          </w:p>
        </w:tc>
        <w:tc>
          <w:tcPr>
            <w:tcW w:w="723" w:type="pct"/>
            <w:vAlign w:val="center"/>
          </w:tcPr>
          <w:p w:rsidR="00576BFC" w:rsidRPr="00A04D2D" w:rsidRDefault="00576BFC" w:rsidP="008B4B29">
            <w:pPr>
              <w:pStyle w:val="Tablenormal0"/>
              <w:widowControl/>
              <w:spacing w:before="0" w:after="0"/>
              <w:jc w:val="center"/>
              <w:rPr>
                <w:rFonts w:ascii="Arial Narrow" w:hAnsi="Arial Narrow"/>
                <w:sz w:val="20"/>
                <w:szCs w:val="20"/>
              </w:rPr>
            </w:pPr>
            <w:r w:rsidRPr="00A04D2D">
              <w:rPr>
                <w:rFonts w:ascii="Arial Narrow" w:hAnsi="Arial Narrow"/>
                <w:sz w:val="20"/>
                <w:szCs w:val="20"/>
              </w:rPr>
              <w:t>-4.170</w:t>
            </w:r>
          </w:p>
        </w:tc>
        <w:tc>
          <w:tcPr>
            <w:tcW w:w="960" w:type="pct"/>
            <w:vAlign w:val="center"/>
          </w:tcPr>
          <w:p w:rsidR="00576BFC" w:rsidRPr="0063638E" w:rsidRDefault="00576BFC" w:rsidP="008B4B29">
            <w:pPr>
              <w:pStyle w:val="Tablenormal0"/>
              <w:widowControl/>
              <w:spacing w:before="0" w:after="0"/>
              <w:jc w:val="center"/>
              <w:rPr>
                <w:rFonts w:ascii="Arial Narrow" w:hAnsi="Arial Narrow"/>
                <w:b/>
                <w:sz w:val="20"/>
                <w:szCs w:val="20"/>
              </w:rPr>
            </w:pPr>
            <w:r w:rsidRPr="0063638E">
              <w:rPr>
                <w:rFonts w:ascii="Arial Narrow" w:hAnsi="Arial Narrow"/>
                <w:b/>
                <w:sz w:val="20"/>
                <w:szCs w:val="20"/>
              </w:rPr>
              <w:t>1.011 (0.618,1.403)</w:t>
            </w:r>
          </w:p>
        </w:tc>
        <w:tc>
          <w:tcPr>
            <w:tcW w:w="632" w:type="pct"/>
            <w:vAlign w:val="center"/>
          </w:tcPr>
          <w:p w:rsidR="00576BFC" w:rsidRPr="00A04D2D" w:rsidRDefault="00576BFC" w:rsidP="008B4B29">
            <w:pPr>
              <w:pStyle w:val="Tablenormal0"/>
              <w:widowControl/>
              <w:spacing w:before="0" w:after="0"/>
              <w:jc w:val="center"/>
              <w:rPr>
                <w:rFonts w:ascii="Arial Narrow" w:hAnsi="Arial Narrow"/>
                <w:sz w:val="20"/>
                <w:szCs w:val="20"/>
              </w:rPr>
            </w:pPr>
            <w:r w:rsidRPr="00A04D2D">
              <w:rPr>
                <w:rFonts w:ascii="Arial Narrow" w:hAnsi="Arial Narrow"/>
                <w:sz w:val="20"/>
                <w:szCs w:val="20"/>
              </w:rPr>
              <w:t>24.3%</w:t>
            </w:r>
          </w:p>
        </w:tc>
      </w:tr>
      <w:tr w:rsidR="00576BFC" w:rsidRPr="00841D26" w:rsidTr="001D22CA">
        <w:tc>
          <w:tcPr>
            <w:tcW w:w="5000" w:type="pct"/>
            <w:gridSpan w:val="5"/>
          </w:tcPr>
          <w:p w:rsidR="00576BFC" w:rsidRPr="00852888" w:rsidRDefault="00576BFC" w:rsidP="008B4B29">
            <w:pPr>
              <w:pStyle w:val="Tablenormal0"/>
              <w:keepNext/>
              <w:widowControl/>
              <w:spacing w:before="0" w:after="0"/>
              <w:rPr>
                <w:rFonts w:ascii="Arial Narrow" w:hAnsi="Arial Narrow"/>
                <w:b/>
                <w:sz w:val="20"/>
                <w:szCs w:val="20"/>
                <w:vertAlign w:val="superscript"/>
              </w:rPr>
            </w:pPr>
            <w:r>
              <w:rPr>
                <w:rFonts w:ascii="Arial Narrow" w:hAnsi="Arial Narrow"/>
                <w:b/>
                <w:sz w:val="20"/>
                <w:szCs w:val="20"/>
              </w:rPr>
              <w:t xml:space="preserve">TEMPO 3:4 </w:t>
            </w:r>
          </w:p>
        </w:tc>
      </w:tr>
      <w:tr w:rsidR="00576BFC" w:rsidRPr="00841D26" w:rsidTr="001D22CA">
        <w:tc>
          <w:tcPr>
            <w:tcW w:w="1973" w:type="pct"/>
          </w:tcPr>
          <w:p w:rsidR="00576BFC" w:rsidRPr="00841D26" w:rsidRDefault="00576BFC" w:rsidP="008B4B29">
            <w:pPr>
              <w:pStyle w:val="Tablenormal0"/>
              <w:keepNext/>
              <w:widowControl/>
              <w:spacing w:before="0" w:after="0"/>
              <w:rPr>
                <w:rFonts w:ascii="Arial Narrow" w:hAnsi="Arial Narrow"/>
                <w:sz w:val="20"/>
                <w:szCs w:val="20"/>
              </w:rPr>
            </w:pPr>
            <w:r w:rsidRPr="00841D26">
              <w:rPr>
                <w:rFonts w:ascii="Arial Narrow" w:hAnsi="Arial Narrow"/>
                <w:sz w:val="20"/>
                <w:szCs w:val="20"/>
              </w:rPr>
              <w:t>N</w:t>
            </w:r>
          </w:p>
        </w:tc>
        <w:tc>
          <w:tcPr>
            <w:tcW w:w="711" w:type="pct"/>
            <w:vAlign w:val="center"/>
          </w:tcPr>
          <w:p w:rsidR="00576BFC" w:rsidRPr="00841D26" w:rsidRDefault="00576BFC" w:rsidP="008B4B29">
            <w:pPr>
              <w:pStyle w:val="Tablenormal0"/>
              <w:keepNext/>
              <w:widowControl/>
              <w:spacing w:before="0" w:after="0"/>
              <w:jc w:val="center"/>
              <w:rPr>
                <w:rFonts w:ascii="Arial Narrow" w:hAnsi="Arial Narrow"/>
                <w:sz w:val="20"/>
                <w:szCs w:val="20"/>
              </w:rPr>
            </w:pPr>
            <w:r>
              <w:rPr>
                <w:rFonts w:ascii="Arial Narrow" w:hAnsi="Arial Narrow"/>
                <w:sz w:val="20"/>
                <w:szCs w:val="20"/>
              </w:rPr>
              <w:t>842</w:t>
            </w:r>
          </w:p>
        </w:tc>
        <w:tc>
          <w:tcPr>
            <w:tcW w:w="723" w:type="pct"/>
            <w:vAlign w:val="center"/>
          </w:tcPr>
          <w:p w:rsidR="00576BFC" w:rsidRPr="00841D26" w:rsidRDefault="00576BFC" w:rsidP="008B4B29">
            <w:pPr>
              <w:pStyle w:val="Tablenormal0"/>
              <w:keepNext/>
              <w:widowControl/>
              <w:spacing w:before="0" w:after="0"/>
              <w:jc w:val="center"/>
              <w:rPr>
                <w:rFonts w:ascii="Arial Narrow" w:hAnsi="Arial Narrow"/>
                <w:sz w:val="20"/>
                <w:szCs w:val="20"/>
              </w:rPr>
            </w:pPr>
            <w:r>
              <w:rPr>
                <w:rFonts w:ascii="Arial Narrow" w:hAnsi="Arial Narrow"/>
                <w:sz w:val="20"/>
                <w:szCs w:val="20"/>
              </w:rPr>
              <w:t>464</w:t>
            </w:r>
          </w:p>
        </w:tc>
        <w:tc>
          <w:tcPr>
            <w:tcW w:w="1592" w:type="pct"/>
            <w:gridSpan w:val="2"/>
            <w:vAlign w:val="center"/>
          </w:tcPr>
          <w:p w:rsidR="00576BFC" w:rsidRPr="00841D26" w:rsidRDefault="00576BFC" w:rsidP="008B4B29">
            <w:pPr>
              <w:pStyle w:val="Tablenormal0"/>
              <w:keepNext/>
              <w:widowControl/>
              <w:spacing w:before="0" w:after="0"/>
              <w:jc w:val="center"/>
              <w:rPr>
                <w:rFonts w:ascii="Arial Narrow" w:hAnsi="Arial Narrow"/>
                <w:sz w:val="20"/>
                <w:szCs w:val="20"/>
              </w:rPr>
            </w:pPr>
          </w:p>
        </w:tc>
      </w:tr>
      <w:tr w:rsidR="00576BFC" w:rsidRPr="00841D26" w:rsidTr="001D22CA">
        <w:tc>
          <w:tcPr>
            <w:tcW w:w="1973" w:type="pct"/>
          </w:tcPr>
          <w:p w:rsidR="00576BFC" w:rsidRPr="00841D26" w:rsidRDefault="00576BFC" w:rsidP="008B4B29">
            <w:pPr>
              <w:pStyle w:val="Tablenormal0"/>
              <w:keepNext/>
              <w:widowControl/>
              <w:spacing w:before="0" w:after="0"/>
              <w:rPr>
                <w:rFonts w:ascii="Arial Narrow" w:hAnsi="Arial Narrow"/>
                <w:sz w:val="20"/>
                <w:szCs w:val="20"/>
              </w:rPr>
            </w:pPr>
            <w:r>
              <w:rPr>
                <w:rFonts w:ascii="Arial Narrow" w:hAnsi="Arial Narrow"/>
                <w:sz w:val="20"/>
                <w:szCs w:val="20"/>
              </w:rPr>
              <w:t xml:space="preserve">Mean annualised change in eGFR </w:t>
            </w:r>
            <w:r w:rsidRPr="00A04D2D">
              <w:rPr>
                <w:rFonts w:ascii="Arial Narrow" w:hAnsi="Arial Narrow"/>
                <w:sz w:val="20"/>
                <w:szCs w:val="20"/>
              </w:rPr>
              <w:t>(mL/min/1.73 m</w:t>
            </w:r>
            <w:r w:rsidRPr="00A04D2D">
              <w:rPr>
                <w:rFonts w:ascii="Arial Narrow" w:hAnsi="Arial Narrow"/>
                <w:sz w:val="20"/>
                <w:szCs w:val="20"/>
                <w:vertAlign w:val="superscript"/>
              </w:rPr>
              <w:t>2</w:t>
            </w:r>
            <w:r>
              <w:rPr>
                <w:rFonts w:ascii="Arial Narrow" w:hAnsi="Arial Narrow"/>
                <w:sz w:val="20"/>
                <w:szCs w:val="20"/>
              </w:rPr>
              <w:t>/yea</w:t>
            </w:r>
            <w:r w:rsidRPr="00A04D2D">
              <w:rPr>
                <w:rFonts w:ascii="Arial Narrow" w:hAnsi="Arial Narrow"/>
                <w:sz w:val="20"/>
                <w:szCs w:val="20"/>
              </w:rPr>
              <w:t>r)</w:t>
            </w:r>
          </w:p>
        </w:tc>
        <w:tc>
          <w:tcPr>
            <w:tcW w:w="711" w:type="pct"/>
            <w:vAlign w:val="center"/>
          </w:tcPr>
          <w:p w:rsidR="00576BFC" w:rsidRPr="00841D26" w:rsidRDefault="00576BFC" w:rsidP="008B4B29">
            <w:pPr>
              <w:pStyle w:val="Tablenormal0"/>
              <w:keepNext/>
              <w:widowControl/>
              <w:spacing w:before="0" w:after="0"/>
              <w:jc w:val="center"/>
              <w:rPr>
                <w:rFonts w:ascii="Arial Narrow" w:hAnsi="Arial Narrow"/>
                <w:sz w:val="20"/>
                <w:szCs w:val="20"/>
              </w:rPr>
            </w:pPr>
            <w:r w:rsidRPr="00841D26">
              <w:rPr>
                <w:rFonts w:ascii="Arial Narrow" w:hAnsi="Arial Narrow"/>
                <w:sz w:val="20"/>
                <w:szCs w:val="20"/>
              </w:rPr>
              <w:t>-2.</w:t>
            </w:r>
            <w:r>
              <w:rPr>
                <w:rFonts w:ascii="Arial Narrow" w:hAnsi="Arial Narrow"/>
                <w:sz w:val="20"/>
                <w:szCs w:val="20"/>
              </w:rPr>
              <w:t>680</w:t>
            </w:r>
          </w:p>
        </w:tc>
        <w:tc>
          <w:tcPr>
            <w:tcW w:w="723" w:type="pct"/>
            <w:vAlign w:val="center"/>
          </w:tcPr>
          <w:p w:rsidR="00576BFC" w:rsidRPr="00841D26" w:rsidRDefault="00576BFC" w:rsidP="008B4B29">
            <w:pPr>
              <w:pStyle w:val="Tablenormal0"/>
              <w:keepNext/>
              <w:widowControl/>
              <w:spacing w:before="0" w:after="0"/>
              <w:jc w:val="center"/>
              <w:rPr>
                <w:rFonts w:ascii="Arial Narrow" w:hAnsi="Arial Narrow"/>
                <w:sz w:val="20"/>
                <w:szCs w:val="20"/>
              </w:rPr>
            </w:pPr>
            <w:r w:rsidRPr="00841D26">
              <w:rPr>
                <w:rFonts w:ascii="Arial Narrow" w:hAnsi="Arial Narrow"/>
                <w:sz w:val="20"/>
                <w:szCs w:val="20"/>
              </w:rPr>
              <w:t>-</w:t>
            </w:r>
            <w:r>
              <w:rPr>
                <w:rFonts w:ascii="Arial Narrow" w:hAnsi="Arial Narrow"/>
                <w:sz w:val="20"/>
                <w:szCs w:val="20"/>
              </w:rPr>
              <w:t>3.568</w:t>
            </w:r>
          </w:p>
        </w:tc>
        <w:tc>
          <w:tcPr>
            <w:tcW w:w="960" w:type="pct"/>
            <w:vAlign w:val="center"/>
          </w:tcPr>
          <w:p w:rsidR="00576BFC" w:rsidRPr="00841D26" w:rsidRDefault="00576BFC" w:rsidP="008B4B29">
            <w:pPr>
              <w:pStyle w:val="Tablenormal0"/>
              <w:keepNext/>
              <w:widowControl/>
              <w:spacing w:before="0" w:after="0"/>
              <w:jc w:val="center"/>
              <w:rPr>
                <w:rFonts w:ascii="Arial Narrow" w:hAnsi="Arial Narrow"/>
                <w:sz w:val="20"/>
                <w:szCs w:val="20"/>
              </w:rPr>
            </w:pPr>
            <w:r>
              <w:rPr>
                <w:rFonts w:ascii="Arial Narrow" w:hAnsi="Arial Narrow"/>
                <w:sz w:val="20"/>
                <w:szCs w:val="20"/>
              </w:rPr>
              <w:t>0.888</w:t>
            </w:r>
            <w:r w:rsidRPr="00841D26">
              <w:rPr>
                <w:rFonts w:ascii="Arial Narrow" w:hAnsi="Arial Narrow"/>
                <w:sz w:val="20"/>
                <w:szCs w:val="20"/>
              </w:rPr>
              <w:t xml:space="preserve"> (</w:t>
            </w:r>
            <w:r>
              <w:rPr>
                <w:rFonts w:ascii="Arial Narrow" w:hAnsi="Arial Narrow"/>
                <w:sz w:val="20"/>
                <w:szCs w:val="20"/>
              </w:rPr>
              <w:t>NR</w:t>
            </w:r>
            <w:r w:rsidRPr="00841D26">
              <w:rPr>
                <w:rFonts w:ascii="Arial Narrow" w:hAnsi="Arial Narrow"/>
                <w:sz w:val="20"/>
                <w:szCs w:val="20"/>
              </w:rPr>
              <w:t>)</w:t>
            </w:r>
          </w:p>
        </w:tc>
        <w:tc>
          <w:tcPr>
            <w:tcW w:w="632" w:type="pct"/>
            <w:vAlign w:val="center"/>
          </w:tcPr>
          <w:p w:rsidR="00576BFC" w:rsidRPr="00841D26" w:rsidRDefault="00576BFC" w:rsidP="008B4B29">
            <w:pPr>
              <w:pStyle w:val="Tablenormal0"/>
              <w:keepNext/>
              <w:widowControl/>
              <w:spacing w:before="0" w:after="0"/>
              <w:jc w:val="center"/>
              <w:rPr>
                <w:rFonts w:ascii="Arial Narrow" w:hAnsi="Arial Narrow"/>
                <w:sz w:val="20"/>
                <w:szCs w:val="20"/>
              </w:rPr>
            </w:pPr>
            <w:r>
              <w:rPr>
                <w:rFonts w:ascii="Arial Narrow" w:hAnsi="Arial Narrow"/>
                <w:sz w:val="20"/>
                <w:szCs w:val="20"/>
              </w:rPr>
              <w:t>24.9%</w:t>
            </w:r>
          </w:p>
        </w:tc>
      </w:tr>
      <w:tr w:rsidR="00576BFC" w:rsidRPr="00841D26" w:rsidTr="001D22CA">
        <w:tc>
          <w:tcPr>
            <w:tcW w:w="1973" w:type="pct"/>
          </w:tcPr>
          <w:p w:rsidR="00576BFC" w:rsidRPr="00841D26" w:rsidRDefault="00576BFC" w:rsidP="008B4B29">
            <w:pPr>
              <w:pStyle w:val="Tablenormal0"/>
              <w:widowControl/>
              <w:spacing w:before="0" w:after="0"/>
              <w:rPr>
                <w:rFonts w:ascii="Arial Narrow" w:hAnsi="Arial Narrow"/>
                <w:sz w:val="20"/>
                <w:szCs w:val="20"/>
              </w:rPr>
            </w:pPr>
            <w:r>
              <w:rPr>
                <w:rFonts w:ascii="Arial Narrow" w:hAnsi="Arial Narrow"/>
                <w:sz w:val="20"/>
                <w:szCs w:val="20"/>
              </w:rPr>
              <w:t>Estimated annualised eGFR change in slope</w:t>
            </w:r>
            <w:r w:rsidRPr="00852888">
              <w:rPr>
                <w:rFonts w:ascii="Arial Narrow" w:hAnsi="Arial Narrow"/>
                <w:sz w:val="20"/>
                <w:szCs w:val="20"/>
                <w:vertAlign w:val="superscript"/>
              </w:rPr>
              <w:t>b</w:t>
            </w:r>
          </w:p>
        </w:tc>
        <w:tc>
          <w:tcPr>
            <w:tcW w:w="711" w:type="pct"/>
            <w:vAlign w:val="center"/>
          </w:tcPr>
          <w:p w:rsidR="00576BFC" w:rsidRPr="00A04D2D" w:rsidRDefault="00576BFC" w:rsidP="008B4B29">
            <w:pPr>
              <w:pStyle w:val="Tablenormal0"/>
              <w:widowControl/>
              <w:spacing w:before="0" w:after="0"/>
              <w:jc w:val="center"/>
              <w:rPr>
                <w:rFonts w:ascii="Arial Narrow" w:hAnsi="Arial Narrow"/>
                <w:sz w:val="20"/>
                <w:szCs w:val="20"/>
              </w:rPr>
            </w:pPr>
            <w:r w:rsidRPr="00A04D2D">
              <w:rPr>
                <w:rFonts w:ascii="Arial Narrow" w:hAnsi="Arial Narrow"/>
                <w:sz w:val="20"/>
                <w:szCs w:val="20"/>
              </w:rPr>
              <w:t>-2.723</w:t>
            </w:r>
          </w:p>
        </w:tc>
        <w:tc>
          <w:tcPr>
            <w:tcW w:w="723" w:type="pct"/>
            <w:vAlign w:val="center"/>
          </w:tcPr>
          <w:p w:rsidR="00576BFC" w:rsidRPr="00A04D2D" w:rsidRDefault="00576BFC" w:rsidP="008B4B29">
            <w:pPr>
              <w:pStyle w:val="Tablenormal0"/>
              <w:widowControl/>
              <w:spacing w:before="0" w:after="0"/>
              <w:jc w:val="center"/>
              <w:rPr>
                <w:rFonts w:ascii="Arial Narrow" w:hAnsi="Arial Narrow"/>
                <w:sz w:val="20"/>
                <w:szCs w:val="20"/>
              </w:rPr>
            </w:pPr>
            <w:r w:rsidRPr="00A04D2D">
              <w:rPr>
                <w:rFonts w:ascii="Arial Narrow" w:hAnsi="Arial Narrow"/>
                <w:sz w:val="20"/>
                <w:szCs w:val="20"/>
              </w:rPr>
              <w:t>-3.700</w:t>
            </w:r>
          </w:p>
        </w:tc>
        <w:tc>
          <w:tcPr>
            <w:tcW w:w="960" w:type="pct"/>
            <w:vAlign w:val="center"/>
          </w:tcPr>
          <w:p w:rsidR="00576BFC" w:rsidRPr="00E45C6B" w:rsidRDefault="00576BFC" w:rsidP="008B4B29">
            <w:pPr>
              <w:pStyle w:val="Tablenormal0"/>
              <w:widowControl/>
              <w:spacing w:before="0" w:after="0"/>
              <w:jc w:val="center"/>
              <w:rPr>
                <w:rFonts w:ascii="Arial Narrow" w:hAnsi="Arial Narrow"/>
                <w:b/>
                <w:sz w:val="20"/>
                <w:szCs w:val="20"/>
              </w:rPr>
            </w:pPr>
            <w:r w:rsidRPr="00E45C6B">
              <w:rPr>
                <w:rFonts w:ascii="Arial Narrow" w:hAnsi="Arial Narrow"/>
                <w:b/>
                <w:sz w:val="20"/>
                <w:szCs w:val="20"/>
              </w:rPr>
              <w:t>0.977 (0.597,1.357)</w:t>
            </w:r>
          </w:p>
        </w:tc>
        <w:tc>
          <w:tcPr>
            <w:tcW w:w="632" w:type="pct"/>
            <w:vAlign w:val="center"/>
          </w:tcPr>
          <w:p w:rsidR="00576BFC" w:rsidRPr="00A04D2D" w:rsidRDefault="00576BFC" w:rsidP="008B4B29">
            <w:pPr>
              <w:pStyle w:val="Tablenormal0"/>
              <w:widowControl/>
              <w:spacing w:before="0" w:after="0"/>
              <w:jc w:val="center"/>
              <w:rPr>
                <w:rFonts w:ascii="Arial Narrow" w:hAnsi="Arial Narrow"/>
                <w:sz w:val="20"/>
                <w:szCs w:val="20"/>
              </w:rPr>
            </w:pPr>
            <w:r w:rsidRPr="00A04D2D">
              <w:rPr>
                <w:rFonts w:ascii="Arial Narrow" w:hAnsi="Arial Narrow"/>
                <w:sz w:val="20"/>
                <w:szCs w:val="20"/>
              </w:rPr>
              <w:t>26.4%</w:t>
            </w:r>
          </w:p>
        </w:tc>
      </w:tr>
    </w:tbl>
    <w:p w:rsidR="00576BFC" w:rsidRPr="00852888" w:rsidRDefault="00576BFC" w:rsidP="008B4B29">
      <w:pPr>
        <w:widowControl/>
        <w:rPr>
          <w:rFonts w:ascii="Arial Narrow" w:hAnsi="Arial Narrow"/>
          <w:sz w:val="18"/>
          <w:szCs w:val="18"/>
        </w:rPr>
      </w:pPr>
      <w:proofErr w:type="gramStart"/>
      <w:r>
        <w:rPr>
          <w:rFonts w:ascii="Arial Narrow" w:hAnsi="Arial Narrow"/>
          <w:sz w:val="18"/>
          <w:szCs w:val="18"/>
          <w:vertAlign w:val="superscript"/>
        </w:rPr>
        <w:t>a</w:t>
      </w:r>
      <w:proofErr w:type="gramEnd"/>
      <w:r>
        <w:rPr>
          <w:rFonts w:ascii="Arial Narrow" w:hAnsi="Arial Narrow"/>
          <w:sz w:val="18"/>
          <w:szCs w:val="18"/>
        </w:rPr>
        <w:t xml:space="preserve"> D</w:t>
      </w:r>
      <w:r w:rsidRPr="00302FBF">
        <w:rPr>
          <w:rFonts w:ascii="Arial Narrow" w:hAnsi="Arial Narrow"/>
          <w:sz w:val="18"/>
          <w:szCs w:val="18"/>
        </w:rPr>
        <w:t xml:space="preserve">erived from all </w:t>
      </w:r>
      <w:r>
        <w:rPr>
          <w:rFonts w:ascii="Arial Narrow" w:hAnsi="Arial Narrow"/>
          <w:sz w:val="18"/>
          <w:szCs w:val="18"/>
        </w:rPr>
        <w:t>eGFR</w:t>
      </w:r>
      <w:r w:rsidRPr="00302FBF">
        <w:rPr>
          <w:rFonts w:ascii="Arial Narrow" w:hAnsi="Arial Narrow"/>
          <w:sz w:val="18"/>
          <w:szCs w:val="18"/>
        </w:rPr>
        <w:t xml:space="preserve"> observations from placebo run-in, tolvaptan run-in, double blind treatment, and p</w:t>
      </w:r>
      <w:r>
        <w:rPr>
          <w:rFonts w:ascii="Arial Narrow" w:hAnsi="Arial Narrow"/>
          <w:sz w:val="18"/>
          <w:szCs w:val="18"/>
        </w:rPr>
        <w:t>ost-treatment follow-up periods.</w:t>
      </w:r>
      <w:r w:rsidRPr="00F73109">
        <w:t xml:space="preserve"> </w:t>
      </w:r>
      <w:r>
        <w:rPr>
          <w:rFonts w:ascii="Arial Narrow" w:hAnsi="Arial Narrow"/>
          <w:sz w:val="18"/>
          <w:szCs w:val="18"/>
        </w:rPr>
        <w:t>T</w:t>
      </w:r>
      <w:r w:rsidRPr="00F73109">
        <w:rPr>
          <w:rFonts w:ascii="Arial Narrow" w:hAnsi="Arial Narrow"/>
          <w:sz w:val="18"/>
          <w:szCs w:val="18"/>
        </w:rPr>
        <w:t>reatment effect derived from the linear mixed model with effects of treatment, time, treatment time interaction, acute hemodynamic effect, pre-treatment baseline, and randomisation stratification factors</w:t>
      </w:r>
      <w:r>
        <w:rPr>
          <w:rFonts w:ascii="Arial Narrow" w:hAnsi="Arial Narrow"/>
          <w:sz w:val="18"/>
          <w:szCs w:val="18"/>
        </w:rPr>
        <w:t xml:space="preserve">. </w:t>
      </w:r>
    </w:p>
    <w:p w:rsidR="00576BFC" w:rsidRPr="00852888" w:rsidRDefault="00576BFC" w:rsidP="008B4B29">
      <w:pPr>
        <w:widowControl/>
        <w:rPr>
          <w:rFonts w:ascii="Arial Narrow" w:hAnsi="Arial Narrow"/>
          <w:sz w:val="18"/>
          <w:szCs w:val="18"/>
        </w:rPr>
      </w:pPr>
      <w:proofErr w:type="gramStart"/>
      <w:r>
        <w:rPr>
          <w:rFonts w:ascii="Arial Narrow" w:hAnsi="Arial Narrow"/>
          <w:sz w:val="18"/>
          <w:szCs w:val="18"/>
          <w:vertAlign w:val="superscript"/>
        </w:rPr>
        <w:t>b</w:t>
      </w:r>
      <w:proofErr w:type="gramEnd"/>
      <w:r>
        <w:rPr>
          <w:rFonts w:ascii="Arial Narrow" w:hAnsi="Arial Narrow"/>
          <w:sz w:val="18"/>
          <w:szCs w:val="18"/>
        </w:rPr>
        <w:t xml:space="preserve"> </w:t>
      </w:r>
      <w:r w:rsidRPr="00852888">
        <w:rPr>
          <w:rFonts w:ascii="Arial Narrow" w:hAnsi="Arial Narrow"/>
          <w:sz w:val="18"/>
          <w:szCs w:val="18"/>
        </w:rPr>
        <w:t xml:space="preserve">Derived from testing the time </w:t>
      </w:r>
      <w:r w:rsidR="00E813A3">
        <w:rPr>
          <w:rFonts w:ascii="Arial Narrow" w:hAnsi="Arial Narrow"/>
          <w:sz w:val="18"/>
          <w:szCs w:val="18"/>
        </w:rPr>
        <w:t xml:space="preserve">to </w:t>
      </w:r>
      <w:r w:rsidRPr="00852888">
        <w:rPr>
          <w:rFonts w:ascii="Arial Narrow" w:hAnsi="Arial Narrow"/>
          <w:sz w:val="18"/>
          <w:szCs w:val="18"/>
        </w:rPr>
        <w:t>treatment interaction using linear mixed model in which both</w:t>
      </w:r>
      <w:r>
        <w:rPr>
          <w:rFonts w:ascii="Arial Narrow" w:hAnsi="Arial Narrow"/>
          <w:sz w:val="18"/>
          <w:szCs w:val="18"/>
        </w:rPr>
        <w:t xml:space="preserve"> intercept </w:t>
      </w:r>
      <w:r w:rsidRPr="00852888">
        <w:rPr>
          <w:rFonts w:ascii="Arial Narrow" w:hAnsi="Arial Narrow"/>
          <w:sz w:val="18"/>
          <w:szCs w:val="18"/>
        </w:rPr>
        <w:t>and slop</w:t>
      </w:r>
      <w:r>
        <w:rPr>
          <w:rFonts w:ascii="Arial Narrow" w:hAnsi="Arial Narrow"/>
          <w:sz w:val="18"/>
          <w:szCs w:val="18"/>
        </w:rPr>
        <w:t xml:space="preserve">e are fixed and random effects. </w:t>
      </w:r>
    </w:p>
    <w:p w:rsidR="00576BFC" w:rsidRDefault="00576BFC" w:rsidP="008B4B29">
      <w:pPr>
        <w:widowControl/>
        <w:rPr>
          <w:rFonts w:ascii="Arial Narrow" w:hAnsi="Arial Narrow"/>
          <w:sz w:val="18"/>
          <w:szCs w:val="18"/>
        </w:rPr>
      </w:pPr>
      <w:r>
        <w:rPr>
          <w:rFonts w:ascii="Arial Narrow" w:hAnsi="Arial Narrow"/>
          <w:sz w:val="18"/>
          <w:szCs w:val="18"/>
        </w:rPr>
        <w:t xml:space="preserve">Abbreviations: CI, confidence interval; </w:t>
      </w:r>
      <w:r w:rsidRPr="0075474E">
        <w:rPr>
          <w:rFonts w:ascii="Arial Narrow" w:hAnsi="Arial Narrow"/>
          <w:sz w:val="18"/>
          <w:szCs w:val="18"/>
        </w:rPr>
        <w:t>CKD-EPI</w:t>
      </w:r>
      <w:r>
        <w:rPr>
          <w:rFonts w:ascii="Arial Narrow" w:hAnsi="Arial Narrow"/>
          <w:sz w:val="18"/>
          <w:szCs w:val="18"/>
        </w:rPr>
        <w:t xml:space="preserve">, </w:t>
      </w:r>
      <w:r w:rsidRPr="000963F8">
        <w:rPr>
          <w:rFonts w:ascii="Arial Narrow" w:hAnsi="Arial Narrow"/>
          <w:sz w:val="18"/>
          <w:szCs w:val="18"/>
        </w:rPr>
        <w:t>Chronic Kidney Disease Epidemiology Collaboration equation</w:t>
      </w:r>
      <w:r>
        <w:rPr>
          <w:rFonts w:ascii="Arial Narrow" w:hAnsi="Arial Narrow"/>
          <w:sz w:val="18"/>
          <w:szCs w:val="18"/>
        </w:rPr>
        <w:t>;</w:t>
      </w:r>
      <w:r w:rsidRPr="0075474E">
        <w:rPr>
          <w:rFonts w:ascii="Arial Narrow" w:hAnsi="Arial Narrow"/>
          <w:sz w:val="18"/>
          <w:szCs w:val="18"/>
        </w:rPr>
        <w:t xml:space="preserve"> </w:t>
      </w:r>
      <w:r>
        <w:rPr>
          <w:rFonts w:ascii="Arial Narrow" w:hAnsi="Arial Narrow"/>
          <w:sz w:val="18"/>
          <w:szCs w:val="18"/>
        </w:rPr>
        <w:t>eGFR, estimated glomerular filtration rate.</w:t>
      </w:r>
    </w:p>
    <w:p w:rsidR="00576BFC" w:rsidRPr="00302FBF" w:rsidRDefault="00576BFC" w:rsidP="008B4B29">
      <w:pPr>
        <w:widowControl/>
        <w:rPr>
          <w:rFonts w:ascii="Arial Narrow" w:hAnsi="Arial Narrow"/>
          <w:sz w:val="18"/>
          <w:szCs w:val="18"/>
        </w:rPr>
      </w:pPr>
      <w:r>
        <w:rPr>
          <w:rFonts w:ascii="Arial Narrow" w:hAnsi="Arial Narrow"/>
          <w:sz w:val="18"/>
          <w:szCs w:val="18"/>
        </w:rPr>
        <w:t>Source: Table 2-22</w:t>
      </w:r>
      <w:r w:rsidRPr="0075474E">
        <w:rPr>
          <w:rFonts w:ascii="Arial Narrow" w:hAnsi="Arial Narrow"/>
          <w:sz w:val="18"/>
          <w:szCs w:val="18"/>
        </w:rPr>
        <w:t>,</w:t>
      </w:r>
      <w:r>
        <w:rPr>
          <w:rFonts w:ascii="Arial Narrow" w:hAnsi="Arial Narrow"/>
          <w:sz w:val="18"/>
          <w:szCs w:val="18"/>
        </w:rPr>
        <w:t xml:space="preserve"> p66</w:t>
      </w:r>
      <w:r w:rsidRPr="0075474E">
        <w:rPr>
          <w:rFonts w:ascii="Arial Narrow" w:hAnsi="Arial Narrow"/>
          <w:sz w:val="18"/>
          <w:szCs w:val="18"/>
        </w:rPr>
        <w:t xml:space="preserve"> of the resubmission.</w:t>
      </w:r>
      <w:r>
        <w:rPr>
          <w:rFonts w:ascii="Arial Narrow" w:hAnsi="Arial Narrow"/>
          <w:sz w:val="18"/>
          <w:szCs w:val="18"/>
        </w:rPr>
        <w:t xml:space="preserve"> Statistically significant results in bold. Positive comparative outcomes favour tolvaptan.</w:t>
      </w:r>
    </w:p>
    <w:p w:rsidR="00576BFC" w:rsidRPr="00F563B9" w:rsidRDefault="00576BFC" w:rsidP="00B82A6B">
      <w:pPr>
        <w:pStyle w:val="ListParagraph"/>
        <w:widowControl/>
        <w:numPr>
          <w:ilvl w:val="1"/>
          <w:numId w:val="3"/>
        </w:numPr>
        <w:spacing w:before="120" w:after="120"/>
        <w:ind w:left="720"/>
      </w:pPr>
      <w:r w:rsidRPr="00F563B9">
        <w:t xml:space="preserve">In the REPRISE and TEMPO 3:4 trials treatment with tolvaptan was associated with smaller annualised reductions in eGFR compared to placebo, and statistically significant differences in slope of decline in eGFR favouring tolvaptan. </w:t>
      </w:r>
    </w:p>
    <w:p w:rsidR="00576BFC" w:rsidRDefault="00576BFC" w:rsidP="00B82A6B">
      <w:pPr>
        <w:pStyle w:val="ListParagraph"/>
        <w:widowControl/>
        <w:numPr>
          <w:ilvl w:val="1"/>
          <w:numId w:val="3"/>
        </w:numPr>
        <w:spacing w:before="120" w:after="120"/>
        <w:ind w:left="720"/>
      </w:pPr>
      <w:r w:rsidRPr="00F563B9">
        <w:t>Results of the primary and key secondary outcomes favoured tolvaptan, but the differences in decline in eGFR were small and may not be clinically important. In addition, results of the key secondary outcome in REPRISE, using a linear mixed-effect model including data points from the randomised controlled treatment phase, were less favourable to tolvaptan than the primary outcome.</w:t>
      </w:r>
      <w:r w:rsidR="00BA12BF">
        <w:t xml:space="preserve"> </w:t>
      </w:r>
    </w:p>
    <w:p w:rsidR="0034546A" w:rsidRPr="007F03CB" w:rsidRDefault="00A9735E" w:rsidP="00B82A6B">
      <w:pPr>
        <w:pStyle w:val="ListParagraph"/>
        <w:widowControl/>
        <w:numPr>
          <w:ilvl w:val="1"/>
          <w:numId w:val="3"/>
        </w:numPr>
        <w:spacing w:before="120" w:after="120"/>
        <w:ind w:left="720"/>
      </w:pPr>
      <w:r w:rsidRPr="007F03CB">
        <w:t>Tolvaptan is associated with reduction of renal function on commencement and rebound upon cessation</w:t>
      </w:r>
      <w:r w:rsidR="009F124C" w:rsidRPr="007F03CB">
        <w:t>,</w:t>
      </w:r>
      <w:r w:rsidRPr="007F03CB">
        <w:t xml:space="preserve"> as shown in </w:t>
      </w:r>
      <w:r w:rsidR="006108E7" w:rsidRPr="007F03CB">
        <w:t xml:space="preserve">the TEMPO 3:4 </w:t>
      </w:r>
      <w:proofErr w:type="gramStart"/>
      <w:r w:rsidR="006108E7" w:rsidRPr="007F03CB">
        <w:t>trial</w:t>
      </w:r>
      <w:proofErr w:type="gramEnd"/>
      <w:r w:rsidR="006108E7" w:rsidRPr="007F03CB">
        <w:t xml:space="preserve">, see </w:t>
      </w:r>
      <w:r w:rsidRPr="007F03CB">
        <w:t xml:space="preserve">Figure 1. </w:t>
      </w:r>
      <w:r w:rsidR="0034546A" w:rsidRPr="007F03CB">
        <w:t>As presented to the FDA</w:t>
      </w:r>
      <w:r w:rsidR="009F124C" w:rsidRPr="007F03CB">
        <w:t xml:space="preserve"> on 5 August 2013, t</w:t>
      </w:r>
      <w:r w:rsidRPr="007F03CB">
        <w:t>he slope of renal function decline was measured in two ways</w:t>
      </w:r>
      <w:r w:rsidR="0034546A" w:rsidRPr="007F03CB">
        <w:t xml:space="preserve">: </w:t>
      </w:r>
    </w:p>
    <w:p w:rsidR="0034546A" w:rsidRPr="007F03CB" w:rsidRDefault="0034546A" w:rsidP="00B82A6B">
      <w:pPr>
        <w:pStyle w:val="ListParagraph"/>
        <w:widowControl/>
        <w:numPr>
          <w:ilvl w:val="1"/>
          <w:numId w:val="10"/>
        </w:numPr>
        <w:spacing w:before="120" w:after="120"/>
        <w:ind w:left="850" w:hanging="153"/>
      </w:pPr>
      <w:r w:rsidRPr="007F03CB">
        <w:t>using post titration (rather than randomisation) as starting point, and last measurement on drug as end point, where the reduction in renal function at commencement drove the difference in slope (Figure 2)</w:t>
      </w:r>
    </w:p>
    <w:p w:rsidR="0034546A" w:rsidRDefault="0034546A" w:rsidP="00B82A6B">
      <w:pPr>
        <w:pStyle w:val="ListParagraph"/>
        <w:widowControl/>
        <w:numPr>
          <w:ilvl w:val="1"/>
          <w:numId w:val="10"/>
        </w:numPr>
        <w:spacing w:before="120" w:after="120"/>
        <w:ind w:left="850" w:hanging="153"/>
      </w:pPr>
      <w:proofErr w:type="gramStart"/>
      <w:r w:rsidRPr="007F03CB">
        <w:t>or</w:t>
      </w:r>
      <w:proofErr w:type="gramEnd"/>
      <w:r w:rsidRPr="007F03CB">
        <w:t>, using randomisation as starting point, but post trial (off</w:t>
      </w:r>
      <w:r w:rsidR="009F124C" w:rsidRPr="007F03CB">
        <w:t xml:space="preserve"> </w:t>
      </w:r>
      <w:r w:rsidRPr="007F03CB">
        <w:t>drug follow</w:t>
      </w:r>
      <w:r w:rsidR="009F124C" w:rsidRPr="007F03CB">
        <w:t xml:space="preserve"> </w:t>
      </w:r>
      <w:r w:rsidRPr="007F03CB">
        <w:t>up) as end point, where the rebound of renal function drives the difference in slope (Figure 3).</w:t>
      </w:r>
    </w:p>
    <w:p w:rsidR="002473DD" w:rsidRPr="007F03CB" w:rsidRDefault="002473DD" w:rsidP="00B82A6B">
      <w:pPr>
        <w:pStyle w:val="ListParagraph"/>
        <w:widowControl/>
        <w:numPr>
          <w:ilvl w:val="1"/>
          <w:numId w:val="3"/>
        </w:numPr>
        <w:spacing w:before="120" w:after="120"/>
        <w:ind w:hanging="862"/>
      </w:pPr>
      <w:r>
        <w:t xml:space="preserve">The sponsor’s pre-PBAC response </w:t>
      </w:r>
      <w:r w:rsidR="007E4074">
        <w:t xml:space="preserve">acknowledged the inclusion of the FDA materials noted above, however maintained the additional evidence provided from the REPRISE trial suggest that even with </w:t>
      </w:r>
      <w:r w:rsidR="007E4074" w:rsidRPr="007E4074">
        <w:t>the haemodynamic effects (and the resulting eGFR drop) the absolute eGFR values would become more favourable among patients on tolvaptan over time with a reversal upon the treatment cessation (providing further prolongation of kidney life)</w:t>
      </w:r>
      <w:r w:rsidR="007E4074">
        <w:t>.</w:t>
      </w:r>
      <w:r w:rsidR="00836C5D">
        <w:t xml:space="preserve"> The PBAC considered time on therapy required to prolong kidney life was unknown and speculative.</w:t>
      </w:r>
    </w:p>
    <w:p w:rsidR="009F124C" w:rsidRPr="009F124C" w:rsidRDefault="009F124C" w:rsidP="008B4B29">
      <w:pPr>
        <w:keepNext/>
        <w:keepLines/>
        <w:widowControl/>
        <w:spacing w:afterLines="160" w:after="384"/>
        <w:rPr>
          <w:rFonts w:ascii="Arial Narrow" w:hAnsi="Arial Narrow"/>
          <w:b/>
          <w:sz w:val="20"/>
          <w:szCs w:val="20"/>
        </w:rPr>
      </w:pPr>
      <w:r>
        <w:rPr>
          <w:rFonts w:ascii="Arial Narrow" w:hAnsi="Arial Narrow"/>
          <w:b/>
          <w:sz w:val="20"/>
          <w:szCs w:val="20"/>
        </w:rPr>
        <w:lastRenderedPageBreak/>
        <w:t>Figure 1</w:t>
      </w:r>
      <w:r w:rsidRPr="009F124C">
        <w:rPr>
          <w:rFonts w:ascii="Arial Narrow" w:hAnsi="Arial Narrow"/>
          <w:b/>
          <w:sz w:val="20"/>
          <w:szCs w:val="20"/>
        </w:rPr>
        <w:t>: Acute, Sustained, Reversible Effects of Tolvaptan on Renal Function</w:t>
      </w:r>
      <w:r>
        <w:rPr>
          <w:rFonts w:ascii="Arial Narrow" w:hAnsi="Arial Narrow"/>
          <w:b/>
          <w:sz w:val="20"/>
          <w:szCs w:val="20"/>
        </w:rPr>
        <w:t>: TEMPO 3:4</w:t>
      </w:r>
    </w:p>
    <w:p w:rsidR="009F124C" w:rsidRDefault="009F124C" w:rsidP="008B4B29">
      <w:pPr>
        <w:keepNext/>
        <w:widowControl/>
        <w:rPr>
          <w:b/>
          <w:noProof/>
          <w:sz w:val="36"/>
          <w:szCs w:val="36"/>
          <w:lang w:eastAsia="en-AU"/>
        </w:rPr>
      </w:pPr>
      <w:r w:rsidRPr="00C74F59">
        <w:rPr>
          <w:i/>
          <w:noProof/>
          <w:snapToGrid/>
          <w:lang w:eastAsia="en-AU"/>
        </w:rPr>
        <w:drawing>
          <wp:inline distT="0" distB="0" distL="0" distR="0" wp14:anchorId="5BDB3934" wp14:editId="042E5769">
            <wp:extent cx="4516583" cy="3276000"/>
            <wp:effectExtent l="0" t="0" r="0" b="635"/>
            <wp:docPr id="13" name="Picture 13" title="Figure 2: Acute, sustained, reversible effects of tolvaptan on renal fun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16583" cy="3276000"/>
                    </a:xfrm>
                    <a:prstGeom prst="rect">
                      <a:avLst/>
                    </a:prstGeom>
                    <a:noFill/>
                    <a:ln>
                      <a:noFill/>
                    </a:ln>
                  </pic:spPr>
                </pic:pic>
              </a:graphicData>
            </a:graphic>
          </wp:inline>
        </w:drawing>
      </w:r>
    </w:p>
    <w:p w:rsidR="009F124C" w:rsidRPr="008D66A4" w:rsidRDefault="009F124C" w:rsidP="008B4B29">
      <w:pPr>
        <w:keepNext/>
        <w:keepLines/>
        <w:widowControl/>
        <w:spacing w:after="160"/>
        <w:rPr>
          <w:rFonts w:ascii="Arial Narrow" w:hAnsi="Arial Narrow"/>
          <w:sz w:val="18"/>
          <w:szCs w:val="18"/>
        </w:rPr>
      </w:pPr>
      <w:r w:rsidRPr="008D66A4">
        <w:rPr>
          <w:rFonts w:ascii="Arial Narrow" w:hAnsi="Arial Narrow"/>
          <w:sz w:val="18"/>
          <w:szCs w:val="18"/>
        </w:rPr>
        <w:t xml:space="preserve">Source: Otsuka presentation to FDA Cardiovascular and Renal Drugs Advisory Committee, 5 August 2013; available via: http://www.fda.gov/AdvisoryCommittees/CommitteesMeetingMaterials/Drugs/CardiovascularandRenalDrugsAdvisoryCommittee/ucm364581.htm </w:t>
      </w:r>
    </w:p>
    <w:p w:rsidR="009F124C" w:rsidRPr="009F124C" w:rsidRDefault="009F124C" w:rsidP="008B4B29">
      <w:pPr>
        <w:keepNext/>
        <w:keepLines/>
        <w:widowControl/>
        <w:rPr>
          <w:rFonts w:ascii="Arial Narrow" w:hAnsi="Arial Narrow"/>
          <w:b/>
          <w:sz w:val="20"/>
          <w:szCs w:val="20"/>
        </w:rPr>
      </w:pPr>
      <w:r>
        <w:rPr>
          <w:rFonts w:ascii="Arial Narrow" w:hAnsi="Arial Narrow"/>
          <w:b/>
          <w:sz w:val="20"/>
          <w:szCs w:val="20"/>
        </w:rPr>
        <w:t>Figure 2</w:t>
      </w:r>
      <w:r w:rsidRPr="009F124C">
        <w:rPr>
          <w:rFonts w:ascii="Arial Narrow" w:hAnsi="Arial Narrow"/>
          <w:b/>
          <w:sz w:val="20"/>
          <w:szCs w:val="20"/>
        </w:rPr>
        <w:t>: On-Treatment Analysis of Slope (mg/mL) per year</w:t>
      </w:r>
      <w:r>
        <w:rPr>
          <w:rFonts w:ascii="Arial Narrow" w:hAnsi="Arial Narrow"/>
          <w:b/>
          <w:sz w:val="20"/>
          <w:szCs w:val="20"/>
        </w:rPr>
        <w:t>: TEMPO 3:4</w:t>
      </w:r>
    </w:p>
    <w:p w:rsidR="009F124C" w:rsidRDefault="009F124C" w:rsidP="008B4B29">
      <w:pPr>
        <w:keepNext/>
        <w:widowControl/>
      </w:pPr>
      <w:r w:rsidRPr="00E619ED">
        <w:rPr>
          <w:b/>
          <w:noProof/>
          <w:sz w:val="36"/>
          <w:szCs w:val="36"/>
          <w:lang w:eastAsia="en-AU"/>
        </w:rPr>
        <w:drawing>
          <wp:inline distT="0" distB="0" distL="0" distR="0" wp14:anchorId="00DC109E" wp14:editId="15763D17">
            <wp:extent cx="4629647" cy="3348000"/>
            <wp:effectExtent l="0" t="0" r="0" b="5080"/>
            <wp:docPr id="10" name="Picture 10" title="Figure 2: On-Treatment Analysis of Slope (mg/mL) per year: TEMPO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629647" cy="3348000"/>
                    </a:xfrm>
                    <a:prstGeom prst="rect">
                      <a:avLst/>
                    </a:prstGeom>
                  </pic:spPr>
                </pic:pic>
              </a:graphicData>
            </a:graphic>
          </wp:inline>
        </w:drawing>
      </w:r>
    </w:p>
    <w:p w:rsidR="009F124C" w:rsidRPr="008D66A4" w:rsidRDefault="009F124C" w:rsidP="008B4B29">
      <w:pPr>
        <w:keepNext/>
        <w:keepLines/>
        <w:widowControl/>
        <w:rPr>
          <w:rFonts w:ascii="Arial Narrow" w:hAnsi="Arial Narrow"/>
          <w:sz w:val="18"/>
          <w:szCs w:val="18"/>
        </w:rPr>
      </w:pPr>
      <w:r w:rsidRPr="008D66A4">
        <w:rPr>
          <w:rFonts w:ascii="Arial Narrow" w:hAnsi="Arial Narrow"/>
          <w:sz w:val="18"/>
          <w:szCs w:val="18"/>
        </w:rPr>
        <w:t xml:space="preserve">Source: Otsuka presentation to FDA Cardiovascular and Renal Drugs Advisory Committee, 5 August 2013; available via: http://www.fda.gov/AdvisoryCommittees/CommitteesMeetingMaterials/Drugs/CardiovascularandRenalDrugsAdvisoryCommittee/ucm364581.htm </w:t>
      </w:r>
    </w:p>
    <w:p w:rsidR="009F124C" w:rsidRPr="009F124C" w:rsidRDefault="009F124C" w:rsidP="008B4B29">
      <w:pPr>
        <w:keepNext/>
        <w:keepLines/>
        <w:widowControl/>
        <w:rPr>
          <w:rFonts w:ascii="Arial Narrow" w:hAnsi="Arial Narrow"/>
          <w:b/>
          <w:sz w:val="20"/>
          <w:szCs w:val="20"/>
        </w:rPr>
      </w:pPr>
      <w:r w:rsidRPr="009F124C">
        <w:rPr>
          <w:rFonts w:ascii="Arial Narrow" w:hAnsi="Arial Narrow"/>
          <w:b/>
          <w:sz w:val="20"/>
          <w:szCs w:val="20"/>
        </w:rPr>
        <w:lastRenderedPageBreak/>
        <w:t xml:space="preserve">Figure </w:t>
      </w:r>
      <w:r>
        <w:rPr>
          <w:rFonts w:ascii="Arial Narrow" w:hAnsi="Arial Narrow"/>
          <w:b/>
          <w:sz w:val="20"/>
          <w:szCs w:val="20"/>
        </w:rPr>
        <w:t>3</w:t>
      </w:r>
      <w:r w:rsidRPr="009F124C">
        <w:rPr>
          <w:rFonts w:ascii="Arial Narrow" w:hAnsi="Arial Narrow"/>
          <w:b/>
          <w:sz w:val="20"/>
          <w:szCs w:val="20"/>
        </w:rPr>
        <w:t>: Pre-trea</w:t>
      </w:r>
      <w:r>
        <w:rPr>
          <w:rFonts w:ascii="Arial Narrow" w:hAnsi="Arial Narrow"/>
          <w:b/>
          <w:sz w:val="20"/>
          <w:szCs w:val="20"/>
        </w:rPr>
        <w:t>t</w:t>
      </w:r>
      <w:r w:rsidRPr="009F124C">
        <w:rPr>
          <w:rFonts w:ascii="Arial Narrow" w:hAnsi="Arial Narrow"/>
          <w:b/>
          <w:sz w:val="20"/>
          <w:szCs w:val="20"/>
        </w:rPr>
        <w:t>ment to Post- treatment Analysis</w:t>
      </w:r>
      <w:r>
        <w:rPr>
          <w:rFonts w:ascii="Arial Narrow" w:hAnsi="Arial Narrow"/>
          <w:b/>
          <w:sz w:val="20"/>
          <w:szCs w:val="20"/>
        </w:rPr>
        <w:t>: TEMPO 3:4</w:t>
      </w:r>
    </w:p>
    <w:p w:rsidR="009F124C" w:rsidRDefault="009F124C" w:rsidP="008B4B29">
      <w:pPr>
        <w:widowControl/>
      </w:pPr>
      <w:r w:rsidRPr="00D5687E">
        <w:rPr>
          <w:noProof/>
          <w:lang w:eastAsia="en-AU"/>
        </w:rPr>
        <w:drawing>
          <wp:inline distT="0" distB="0" distL="0" distR="0" wp14:anchorId="74125DF7" wp14:editId="7FABC46D">
            <wp:extent cx="4308683" cy="3240000"/>
            <wp:effectExtent l="0" t="0" r="0" b="0"/>
            <wp:docPr id="11" name="Picture 11" title="Figure 3: Pre-treatment to Post- treatment Analysis: TEMPO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308683" cy="3240000"/>
                    </a:xfrm>
                    <a:prstGeom prst="rect">
                      <a:avLst/>
                    </a:prstGeom>
                  </pic:spPr>
                </pic:pic>
              </a:graphicData>
            </a:graphic>
          </wp:inline>
        </w:drawing>
      </w:r>
    </w:p>
    <w:p w:rsidR="009F124C" w:rsidRPr="008D66A4" w:rsidRDefault="009F124C" w:rsidP="008B4B29">
      <w:pPr>
        <w:keepNext/>
        <w:keepLines/>
        <w:widowControl/>
        <w:rPr>
          <w:rFonts w:ascii="Arial Narrow" w:hAnsi="Arial Narrow"/>
          <w:sz w:val="18"/>
          <w:szCs w:val="18"/>
        </w:rPr>
      </w:pPr>
      <w:r w:rsidRPr="008D66A4">
        <w:rPr>
          <w:rFonts w:ascii="Arial Narrow" w:hAnsi="Arial Narrow"/>
          <w:sz w:val="18"/>
          <w:szCs w:val="18"/>
        </w:rPr>
        <w:t xml:space="preserve">Source: Otsuka presentation to FDA Cardiovascular and Renal Drugs Advisory Committee, 5 August 2013; available via: http://www.fda.gov/AdvisoryCommittees/CommitteesMeetingMaterials/Drugs/CardiovascularandRenalDrugsAdvisoryCommittee/ucm364581.htm </w:t>
      </w:r>
    </w:p>
    <w:p w:rsidR="009F124C" w:rsidRPr="009F124C" w:rsidRDefault="009F124C" w:rsidP="008B4B29">
      <w:pPr>
        <w:widowControl/>
      </w:pPr>
    </w:p>
    <w:p w:rsidR="006108E7" w:rsidRPr="007F03CB" w:rsidRDefault="00B17A61" w:rsidP="008B4B29">
      <w:pPr>
        <w:pStyle w:val="ListParagraph"/>
        <w:widowControl/>
        <w:numPr>
          <w:ilvl w:val="1"/>
          <w:numId w:val="3"/>
        </w:numPr>
        <w:spacing w:after="0"/>
        <w:ind w:left="720"/>
      </w:pPr>
      <w:r w:rsidRPr="007F03CB">
        <w:t>In t</w:t>
      </w:r>
      <w:r w:rsidR="006108E7" w:rsidRPr="007F03CB">
        <w:t>he TEMPO 4:4 follow up and open-label extension stu</w:t>
      </w:r>
      <w:r w:rsidRPr="007F03CB">
        <w:t>d</w:t>
      </w:r>
      <w:r w:rsidR="006108E7" w:rsidRPr="007F03CB">
        <w:t>y</w:t>
      </w:r>
      <w:r w:rsidRPr="007F03CB">
        <w:t>, the</w:t>
      </w:r>
      <w:r w:rsidR="006108E7" w:rsidRPr="007F03CB">
        <w:t xml:space="preserve"> </w:t>
      </w:r>
      <w:r w:rsidRPr="007F03CB">
        <w:t>early tolvaptan group appeared to maintain higher renal function post rebound, but results are difficult to interpret due to large loss to follow up (25-28%) and differential time off treatment in between (see Figure 4).</w:t>
      </w:r>
    </w:p>
    <w:p w:rsidR="00B17A61" w:rsidRDefault="00B17A61" w:rsidP="008B4B29">
      <w:pPr>
        <w:pStyle w:val="ListParagraph"/>
        <w:widowControl/>
        <w:spacing w:after="0"/>
      </w:pPr>
    </w:p>
    <w:p w:rsidR="00B17A61" w:rsidRPr="00917D2C" w:rsidRDefault="00B17A61" w:rsidP="008B4B29">
      <w:pPr>
        <w:keepNext/>
        <w:keepLines/>
        <w:widowControl/>
        <w:jc w:val="left"/>
        <w:rPr>
          <w:rFonts w:ascii="Arial Narrow" w:hAnsi="Arial Narrow"/>
          <w:b/>
          <w:sz w:val="20"/>
          <w:szCs w:val="20"/>
        </w:rPr>
      </w:pPr>
      <w:r w:rsidRPr="00917D2C">
        <w:rPr>
          <w:rFonts w:ascii="Arial Narrow" w:hAnsi="Arial Narrow"/>
          <w:b/>
          <w:sz w:val="20"/>
          <w:szCs w:val="20"/>
        </w:rPr>
        <w:lastRenderedPageBreak/>
        <w:t xml:space="preserve">Figure </w:t>
      </w:r>
      <w:r>
        <w:rPr>
          <w:rFonts w:ascii="Arial Narrow" w:hAnsi="Arial Narrow"/>
          <w:b/>
          <w:sz w:val="20"/>
          <w:szCs w:val="20"/>
        </w:rPr>
        <w:t>4</w:t>
      </w:r>
      <w:r w:rsidRPr="00917D2C">
        <w:rPr>
          <w:rFonts w:ascii="Arial Narrow" w:hAnsi="Arial Narrow"/>
          <w:b/>
          <w:sz w:val="20"/>
          <w:szCs w:val="20"/>
        </w:rPr>
        <w:t xml:space="preserve">: </w:t>
      </w:r>
      <w:r>
        <w:rPr>
          <w:rFonts w:ascii="Arial Narrow" w:hAnsi="Arial Narrow"/>
          <w:b/>
          <w:sz w:val="20"/>
          <w:szCs w:val="20"/>
        </w:rPr>
        <w:t xml:space="preserve">Change in eGFR (LS mean) from TEMPO 3:4 baseline to TEMPO 4:4 month 24 </w:t>
      </w:r>
      <w:proofErr w:type="gramStart"/>
      <w:r>
        <w:rPr>
          <w:rFonts w:ascii="Arial Narrow" w:hAnsi="Arial Narrow"/>
          <w:b/>
          <w:sz w:val="20"/>
          <w:szCs w:val="20"/>
        </w:rPr>
        <w:t>visit</w:t>
      </w:r>
      <w:proofErr w:type="gramEnd"/>
      <w:r>
        <w:rPr>
          <w:rFonts w:ascii="Arial Narrow" w:hAnsi="Arial Narrow"/>
          <w:b/>
          <w:sz w:val="20"/>
          <w:szCs w:val="20"/>
        </w:rPr>
        <w:t xml:space="preserve"> </w:t>
      </w:r>
    </w:p>
    <w:p w:rsidR="00B17A61" w:rsidRDefault="00B17A61" w:rsidP="008B4B29">
      <w:pPr>
        <w:keepNext/>
        <w:widowControl/>
        <w:jc w:val="left"/>
        <w:rPr>
          <w:rFonts w:ascii="Arial Narrow" w:hAnsi="Arial Narrow"/>
          <w:b/>
          <w:sz w:val="20"/>
          <w:szCs w:val="20"/>
        </w:rPr>
      </w:pPr>
    </w:p>
    <w:p w:rsidR="00B17A61" w:rsidRDefault="00B17A61" w:rsidP="008B4B29">
      <w:pPr>
        <w:keepNext/>
        <w:widowControl/>
      </w:pPr>
      <w:r w:rsidRPr="00484D9C">
        <w:rPr>
          <w:noProof/>
          <w:lang w:eastAsia="en-AU"/>
        </w:rPr>
        <w:drawing>
          <wp:inline distT="0" distB="0" distL="0" distR="0" wp14:anchorId="7B9B7D35" wp14:editId="171F64F3">
            <wp:extent cx="5580380" cy="4148455"/>
            <wp:effectExtent l="0" t="0" r="1270" b="4445"/>
            <wp:docPr id="31" name="Picture 31" title="Figure 4: Change in eGFR (LS mean) from TEMPO 3:4 baseline to TEMPO 4:4 month 24 vis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80380" cy="4148455"/>
                    </a:xfrm>
                    <a:prstGeom prst="rect">
                      <a:avLst/>
                    </a:prstGeom>
                  </pic:spPr>
                </pic:pic>
              </a:graphicData>
            </a:graphic>
          </wp:inline>
        </w:drawing>
      </w:r>
    </w:p>
    <w:p w:rsidR="00B17A61" w:rsidRDefault="00B17A61" w:rsidP="008B4B29">
      <w:pPr>
        <w:keepNext/>
        <w:widowControl/>
        <w:ind w:left="-284"/>
        <w:jc w:val="left"/>
        <w:rPr>
          <w:rFonts w:ascii="Arial Narrow" w:hAnsi="Arial Narrow"/>
          <w:sz w:val="18"/>
          <w:szCs w:val="18"/>
        </w:rPr>
      </w:pPr>
      <w:r w:rsidRPr="00A73A19">
        <w:rPr>
          <w:rFonts w:ascii="Arial Narrow" w:hAnsi="Arial Narrow"/>
          <w:sz w:val="18"/>
          <w:szCs w:val="18"/>
        </w:rPr>
        <w:t xml:space="preserve"> </w:t>
      </w:r>
    </w:p>
    <w:p w:rsidR="00B17A61" w:rsidRDefault="00B17A61" w:rsidP="008B4B29">
      <w:pPr>
        <w:keepNext/>
        <w:widowControl/>
        <w:jc w:val="left"/>
        <w:rPr>
          <w:rFonts w:ascii="Arial Narrow" w:hAnsi="Arial Narrow"/>
          <w:sz w:val="18"/>
          <w:szCs w:val="18"/>
        </w:rPr>
      </w:pPr>
      <w:r>
        <w:rPr>
          <w:rFonts w:ascii="Arial Narrow" w:hAnsi="Arial Narrow"/>
          <w:sz w:val="18"/>
          <w:szCs w:val="18"/>
        </w:rPr>
        <w:t xml:space="preserve">Abbreviations: </w:t>
      </w:r>
      <w:proofErr w:type="gramStart"/>
      <w:r>
        <w:rPr>
          <w:rFonts w:ascii="Arial Narrow" w:hAnsi="Arial Narrow"/>
          <w:sz w:val="18"/>
          <w:szCs w:val="18"/>
        </w:rPr>
        <w:t>eGFR,</w:t>
      </w:r>
      <w:proofErr w:type="gramEnd"/>
      <w:r>
        <w:rPr>
          <w:rFonts w:ascii="Arial Narrow" w:hAnsi="Arial Narrow"/>
          <w:sz w:val="18"/>
          <w:szCs w:val="18"/>
        </w:rPr>
        <w:t xml:space="preserve"> estimated glomerular filtration rate; LS, least square means.</w:t>
      </w:r>
    </w:p>
    <w:p w:rsidR="00B17A61" w:rsidRDefault="00B17A61" w:rsidP="008B4B29">
      <w:pPr>
        <w:keepNext/>
        <w:widowControl/>
        <w:jc w:val="left"/>
        <w:rPr>
          <w:rFonts w:ascii="Arial Narrow" w:hAnsi="Arial Narrow"/>
          <w:sz w:val="18"/>
          <w:szCs w:val="18"/>
        </w:rPr>
      </w:pPr>
      <w:r w:rsidRPr="009E6133">
        <w:rPr>
          <w:rFonts w:ascii="Arial Narrow" w:hAnsi="Arial Narrow"/>
          <w:sz w:val="18"/>
          <w:szCs w:val="18"/>
        </w:rPr>
        <w:t xml:space="preserve">Source: Figure </w:t>
      </w:r>
      <w:r>
        <w:rPr>
          <w:rFonts w:ascii="Arial Narrow" w:hAnsi="Arial Narrow"/>
          <w:sz w:val="18"/>
          <w:szCs w:val="18"/>
        </w:rPr>
        <w:t>3-3, p154</w:t>
      </w:r>
      <w:r w:rsidRPr="009E6133">
        <w:rPr>
          <w:rFonts w:ascii="Arial Narrow" w:hAnsi="Arial Narrow"/>
          <w:sz w:val="18"/>
          <w:szCs w:val="18"/>
        </w:rPr>
        <w:t xml:space="preserve"> of </w:t>
      </w:r>
      <w:proofErr w:type="gramStart"/>
      <w:r w:rsidRPr="009E6133">
        <w:rPr>
          <w:rFonts w:ascii="Arial Narrow" w:hAnsi="Arial Narrow"/>
          <w:sz w:val="18"/>
          <w:szCs w:val="18"/>
        </w:rPr>
        <w:t xml:space="preserve">the </w:t>
      </w:r>
      <w:r>
        <w:rPr>
          <w:rFonts w:ascii="Arial Narrow" w:hAnsi="Arial Narrow"/>
          <w:sz w:val="18"/>
          <w:szCs w:val="18"/>
        </w:rPr>
        <w:t>of</w:t>
      </w:r>
      <w:proofErr w:type="gramEnd"/>
      <w:r>
        <w:rPr>
          <w:rFonts w:ascii="Arial Narrow" w:hAnsi="Arial Narrow"/>
          <w:sz w:val="18"/>
          <w:szCs w:val="18"/>
        </w:rPr>
        <w:t xml:space="preserve"> the resubmission</w:t>
      </w:r>
      <w:r w:rsidRPr="009E6133">
        <w:rPr>
          <w:rFonts w:ascii="Arial Narrow" w:hAnsi="Arial Narrow"/>
          <w:sz w:val="18"/>
          <w:szCs w:val="18"/>
        </w:rPr>
        <w:t>.</w:t>
      </w:r>
    </w:p>
    <w:p w:rsidR="00B17A61" w:rsidRDefault="00B17A61" w:rsidP="008B4B29">
      <w:pPr>
        <w:keepNext/>
        <w:widowControl/>
        <w:jc w:val="left"/>
        <w:rPr>
          <w:rFonts w:ascii="Arial Narrow" w:hAnsi="Arial Narrow"/>
          <w:sz w:val="18"/>
          <w:szCs w:val="18"/>
        </w:rPr>
      </w:pPr>
      <w:r>
        <w:rPr>
          <w:rFonts w:ascii="Arial Narrow" w:hAnsi="Arial Narrow"/>
          <w:sz w:val="18"/>
          <w:szCs w:val="18"/>
        </w:rPr>
        <w:t xml:space="preserve">NOTE: </w:t>
      </w:r>
      <w:r w:rsidRPr="005E5A7C">
        <w:rPr>
          <w:rFonts w:ascii="Arial Narrow" w:hAnsi="Arial Narrow"/>
          <w:sz w:val="18"/>
          <w:szCs w:val="18"/>
        </w:rPr>
        <w:t xml:space="preserve">The inter-trial period is plotted as a 5-month interval, which approximates the 80th percentile of the </w:t>
      </w:r>
      <w:r>
        <w:rPr>
          <w:rFonts w:ascii="Arial Narrow" w:hAnsi="Arial Narrow"/>
          <w:sz w:val="18"/>
          <w:szCs w:val="18"/>
        </w:rPr>
        <w:t>off-treatment period</w:t>
      </w:r>
      <w:r w:rsidRPr="005E5A7C">
        <w:rPr>
          <w:rFonts w:ascii="Arial Narrow" w:hAnsi="Arial Narrow"/>
          <w:sz w:val="18"/>
          <w:szCs w:val="18"/>
        </w:rPr>
        <w:t xml:space="preserve"> (range </w:t>
      </w:r>
      <w:r>
        <w:rPr>
          <w:rFonts w:ascii="Arial Narrow" w:hAnsi="Arial Narrow"/>
          <w:sz w:val="18"/>
          <w:szCs w:val="18"/>
        </w:rPr>
        <w:t>13 to 566 days for early treated and 13 to 829 days for late treated patients</w:t>
      </w:r>
      <w:r w:rsidRPr="005E5A7C">
        <w:rPr>
          <w:rFonts w:ascii="Arial Narrow" w:hAnsi="Arial Narrow"/>
          <w:sz w:val="18"/>
          <w:szCs w:val="18"/>
        </w:rPr>
        <w:t>). Open circles and triangles represent off treatment time points</w:t>
      </w:r>
      <w:r>
        <w:rPr>
          <w:rFonts w:ascii="Arial Narrow" w:hAnsi="Arial Narrow"/>
          <w:sz w:val="18"/>
          <w:szCs w:val="18"/>
        </w:rPr>
        <w:t>.</w:t>
      </w:r>
    </w:p>
    <w:p w:rsidR="00B17A61" w:rsidRPr="007F03CB" w:rsidRDefault="00B17A61" w:rsidP="008B4B29">
      <w:pPr>
        <w:pStyle w:val="ListParagraph"/>
        <w:widowControl/>
        <w:spacing w:after="0"/>
      </w:pPr>
    </w:p>
    <w:p w:rsidR="00B17A61" w:rsidRPr="007F03CB" w:rsidRDefault="00B17A61" w:rsidP="008B4B29">
      <w:pPr>
        <w:pStyle w:val="ListParagraph"/>
        <w:widowControl/>
        <w:numPr>
          <w:ilvl w:val="1"/>
          <w:numId w:val="3"/>
        </w:numPr>
        <w:spacing w:after="0"/>
        <w:ind w:left="720"/>
      </w:pPr>
      <w:r w:rsidRPr="007F03CB">
        <w:t xml:space="preserve">The REPRISE trial included an enrichment period with tolvaptan to remove patients who can’t tolerate </w:t>
      </w:r>
      <w:r w:rsidR="00735683" w:rsidRPr="007F03CB">
        <w:t xml:space="preserve">the </w:t>
      </w:r>
      <w:r w:rsidRPr="007F03CB">
        <w:t xml:space="preserve">drug. The primary endpoint was change in eGFR at 1 year starting from screening/placebo run-in period (pre-randomisation data) and ending 2 weeks post treatment (off drug). </w:t>
      </w:r>
      <w:r w:rsidR="00832514" w:rsidRPr="007F03CB">
        <w:t xml:space="preserve">The change in eGFR over the course of the trial is presented in </w:t>
      </w:r>
      <w:r w:rsidR="00735683" w:rsidRPr="007F03CB">
        <w:t>F</w:t>
      </w:r>
      <w:r w:rsidR="00832514" w:rsidRPr="007F03CB">
        <w:t>igure 5. The trial a</w:t>
      </w:r>
      <w:r w:rsidRPr="007F03CB">
        <w:t>lso examined slopes during treatment period but results were confounded by post tolvaptan withdrawal eGFR rebound at month 1 for the placebo group</w:t>
      </w:r>
      <w:r w:rsidR="00832514" w:rsidRPr="007F03CB">
        <w:t xml:space="preserve"> and are not meaningful</w:t>
      </w:r>
      <w:r w:rsidRPr="007F03CB">
        <w:t>.</w:t>
      </w:r>
    </w:p>
    <w:p w:rsidR="00735683" w:rsidRPr="009A4409" w:rsidRDefault="00735683" w:rsidP="008B4B29">
      <w:pPr>
        <w:keepNext/>
        <w:keepLines/>
        <w:widowControl/>
        <w:jc w:val="left"/>
        <w:rPr>
          <w:rFonts w:ascii="Arial Narrow" w:hAnsi="Arial Narrow"/>
          <w:b/>
          <w:sz w:val="20"/>
          <w:szCs w:val="20"/>
        </w:rPr>
      </w:pPr>
      <w:r w:rsidRPr="00917D2C">
        <w:rPr>
          <w:rFonts w:ascii="Arial Narrow" w:hAnsi="Arial Narrow"/>
          <w:b/>
          <w:sz w:val="20"/>
          <w:szCs w:val="20"/>
        </w:rPr>
        <w:lastRenderedPageBreak/>
        <w:t xml:space="preserve">Figure </w:t>
      </w:r>
      <w:r>
        <w:rPr>
          <w:rFonts w:ascii="Arial Narrow" w:hAnsi="Arial Narrow"/>
          <w:b/>
          <w:sz w:val="20"/>
          <w:szCs w:val="20"/>
        </w:rPr>
        <w:t>5</w:t>
      </w:r>
      <w:r w:rsidRPr="00917D2C">
        <w:rPr>
          <w:rFonts w:ascii="Arial Narrow" w:hAnsi="Arial Narrow"/>
          <w:b/>
          <w:sz w:val="20"/>
          <w:szCs w:val="20"/>
        </w:rPr>
        <w:t xml:space="preserve">: </w:t>
      </w:r>
      <w:r>
        <w:rPr>
          <w:rFonts w:ascii="Arial Narrow" w:hAnsi="Arial Narrow"/>
          <w:b/>
          <w:sz w:val="20"/>
          <w:szCs w:val="20"/>
        </w:rPr>
        <w:t>C</w:t>
      </w:r>
      <w:r w:rsidRPr="00735683">
        <w:rPr>
          <w:rFonts w:ascii="Arial Narrow" w:hAnsi="Arial Narrow"/>
          <w:b/>
          <w:sz w:val="20"/>
          <w:szCs w:val="20"/>
        </w:rPr>
        <w:t xml:space="preserve">hange in eGFR over the course of the </w:t>
      </w:r>
      <w:r>
        <w:rPr>
          <w:rFonts w:ascii="Arial Narrow" w:hAnsi="Arial Narrow"/>
          <w:b/>
          <w:sz w:val="20"/>
          <w:szCs w:val="20"/>
        </w:rPr>
        <w:t xml:space="preserve">REPRISE </w:t>
      </w:r>
      <w:r w:rsidRPr="00735683">
        <w:rPr>
          <w:rFonts w:ascii="Arial Narrow" w:hAnsi="Arial Narrow"/>
          <w:b/>
          <w:sz w:val="20"/>
          <w:szCs w:val="20"/>
        </w:rPr>
        <w:t>trial</w:t>
      </w:r>
    </w:p>
    <w:p w:rsidR="00832514" w:rsidRPr="00832514" w:rsidRDefault="0015070C" w:rsidP="008B4B29">
      <w:pPr>
        <w:pStyle w:val="ListParagraph"/>
        <w:keepNext/>
        <w:widowControl/>
        <w:spacing w:after="0"/>
        <w:ind w:left="0"/>
        <w:rPr>
          <w:i/>
        </w:rPr>
      </w:pPr>
      <w:r>
        <w:rPr>
          <w:noProof/>
          <w:snapToGrid/>
          <w:lang w:eastAsia="en-AU"/>
        </w:rPr>
        <w:drawing>
          <wp:inline distT="0" distB="0" distL="0" distR="0" wp14:anchorId="2A707A26" wp14:editId="380ABC4D">
            <wp:extent cx="5621572" cy="3013545"/>
            <wp:effectExtent l="0" t="0" r="0" b="0"/>
            <wp:docPr id="14" name="Picture 14" descr="http://www.nejm.org/na101/home/literatum/publisher/mms/journals/content/nejm/2017/nejm_2017.377.issue-20/nejmoa1710030/20180129/images/img_xlarge/nejmoa1710030_f2.jpeg" title="Figure 5: Change in eGFR over the course of the REPRISE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ejm.org/na101/home/literatum/publisher/mms/journals/content/nejm/2017/nejm_2017.377.issue-20/nejmoa1710030/20180129/images/img_xlarge/nejmoa1710030_f2.jpeg"/>
                    <pic:cNvPicPr>
                      <a:picLocks noChangeAspect="1" noChangeArrowheads="1"/>
                    </pic:cNvPicPr>
                  </pic:nvPicPr>
                  <pic:blipFill rotWithShape="1">
                    <a:blip r:embed="rId12">
                      <a:extLst>
                        <a:ext uri="{28A0092B-C50C-407E-A947-70E740481C1C}">
                          <a14:useLocalDpi xmlns:a14="http://schemas.microsoft.com/office/drawing/2010/main" val="0"/>
                        </a:ext>
                      </a:extLst>
                    </a:blip>
                    <a:srcRect/>
                    <a:stretch/>
                  </pic:blipFill>
                  <pic:spPr bwMode="auto">
                    <a:xfrm>
                      <a:off x="0" y="0"/>
                      <a:ext cx="5620841" cy="3013153"/>
                    </a:xfrm>
                    <a:prstGeom prst="rect">
                      <a:avLst/>
                    </a:prstGeom>
                    <a:noFill/>
                    <a:ln>
                      <a:noFill/>
                    </a:ln>
                    <a:extLst>
                      <a:ext uri="{53640926-AAD7-44D8-BBD7-CCE9431645EC}">
                        <a14:shadowObscured xmlns:a14="http://schemas.microsoft.com/office/drawing/2010/main"/>
                      </a:ext>
                    </a:extLst>
                  </pic:spPr>
                </pic:pic>
              </a:graphicData>
            </a:graphic>
          </wp:inline>
        </w:drawing>
      </w:r>
    </w:p>
    <w:p w:rsidR="00735683" w:rsidRDefault="00735683" w:rsidP="008B4B29">
      <w:pPr>
        <w:pStyle w:val="ListParagraph"/>
        <w:keepNext/>
        <w:widowControl/>
        <w:ind w:left="0"/>
      </w:pPr>
      <w:r w:rsidRPr="009E6133">
        <w:rPr>
          <w:rFonts w:ascii="Arial Narrow" w:hAnsi="Arial Narrow"/>
          <w:sz w:val="18"/>
          <w:szCs w:val="18"/>
        </w:rPr>
        <w:t>Source:</w:t>
      </w:r>
      <w:r>
        <w:rPr>
          <w:rFonts w:ascii="Arial Narrow" w:hAnsi="Arial Narrow"/>
          <w:sz w:val="18"/>
          <w:szCs w:val="18"/>
        </w:rPr>
        <w:t xml:space="preserve"> </w:t>
      </w:r>
      <w:r w:rsidRPr="00735683">
        <w:rPr>
          <w:rFonts w:ascii="Arial Narrow" w:hAnsi="Arial Narrow"/>
          <w:sz w:val="18"/>
          <w:szCs w:val="18"/>
        </w:rPr>
        <w:t xml:space="preserve">Torres, </w:t>
      </w:r>
      <w:r>
        <w:rPr>
          <w:rFonts w:ascii="Arial Narrow" w:hAnsi="Arial Narrow"/>
          <w:sz w:val="18"/>
          <w:szCs w:val="18"/>
        </w:rPr>
        <w:t>V. E.</w:t>
      </w:r>
      <w:r w:rsidRPr="00735683">
        <w:rPr>
          <w:rFonts w:ascii="Arial Narrow" w:hAnsi="Arial Narrow"/>
          <w:sz w:val="18"/>
          <w:szCs w:val="18"/>
        </w:rPr>
        <w:t xml:space="preserve"> Chapman, </w:t>
      </w:r>
      <w:r>
        <w:rPr>
          <w:rFonts w:ascii="Arial Narrow" w:hAnsi="Arial Narrow"/>
          <w:sz w:val="18"/>
          <w:szCs w:val="18"/>
        </w:rPr>
        <w:t>A. B.</w:t>
      </w:r>
      <w:r w:rsidRPr="00735683">
        <w:rPr>
          <w:rFonts w:ascii="Arial Narrow" w:hAnsi="Arial Narrow"/>
          <w:sz w:val="18"/>
          <w:szCs w:val="18"/>
        </w:rPr>
        <w:t xml:space="preserve"> Devuyst, </w:t>
      </w:r>
      <w:r>
        <w:rPr>
          <w:rFonts w:ascii="Arial Narrow" w:hAnsi="Arial Narrow"/>
          <w:sz w:val="18"/>
          <w:szCs w:val="18"/>
        </w:rPr>
        <w:t>O.</w:t>
      </w:r>
      <w:r w:rsidRPr="00735683">
        <w:rPr>
          <w:rFonts w:ascii="Arial Narrow" w:hAnsi="Arial Narrow"/>
          <w:sz w:val="18"/>
          <w:szCs w:val="18"/>
        </w:rPr>
        <w:t xml:space="preserve"> Gansevoort, </w:t>
      </w:r>
      <w:r>
        <w:rPr>
          <w:rFonts w:ascii="Arial Narrow" w:hAnsi="Arial Narrow"/>
          <w:sz w:val="18"/>
          <w:szCs w:val="18"/>
        </w:rPr>
        <w:t xml:space="preserve">R. T. </w:t>
      </w:r>
      <w:r w:rsidRPr="00735683">
        <w:rPr>
          <w:rFonts w:ascii="Arial Narrow" w:hAnsi="Arial Narrow"/>
          <w:sz w:val="18"/>
          <w:szCs w:val="18"/>
        </w:rPr>
        <w:t xml:space="preserve">Perrone, </w:t>
      </w:r>
      <w:r>
        <w:rPr>
          <w:rFonts w:ascii="Arial Narrow" w:hAnsi="Arial Narrow"/>
          <w:sz w:val="18"/>
          <w:szCs w:val="18"/>
        </w:rPr>
        <w:t>R. D.</w:t>
      </w:r>
      <w:r w:rsidRPr="00735683">
        <w:rPr>
          <w:rFonts w:ascii="Arial Narrow" w:hAnsi="Arial Narrow"/>
          <w:sz w:val="18"/>
          <w:szCs w:val="18"/>
        </w:rPr>
        <w:t xml:space="preserve"> Koch, </w:t>
      </w:r>
      <w:r>
        <w:rPr>
          <w:rFonts w:ascii="Arial Narrow" w:hAnsi="Arial Narrow"/>
          <w:sz w:val="18"/>
          <w:szCs w:val="18"/>
        </w:rPr>
        <w:t>G</w:t>
      </w:r>
      <w:r w:rsidRPr="00735683">
        <w:rPr>
          <w:rFonts w:ascii="Arial Narrow" w:hAnsi="Arial Narrow"/>
          <w:sz w:val="18"/>
          <w:szCs w:val="18"/>
        </w:rPr>
        <w:t xml:space="preserve">. Ouyang, </w:t>
      </w:r>
      <w:r>
        <w:rPr>
          <w:rFonts w:ascii="Arial Narrow" w:hAnsi="Arial Narrow"/>
          <w:sz w:val="18"/>
          <w:szCs w:val="18"/>
        </w:rPr>
        <w:t>J.</w:t>
      </w:r>
      <w:r w:rsidRPr="00735683">
        <w:rPr>
          <w:rFonts w:ascii="Arial Narrow" w:hAnsi="Arial Narrow"/>
          <w:sz w:val="18"/>
          <w:szCs w:val="18"/>
        </w:rPr>
        <w:t xml:space="preserve"> McQuade, </w:t>
      </w:r>
      <w:r>
        <w:rPr>
          <w:rFonts w:ascii="Arial Narrow" w:hAnsi="Arial Narrow"/>
          <w:sz w:val="18"/>
          <w:szCs w:val="18"/>
        </w:rPr>
        <w:t xml:space="preserve">R. </w:t>
      </w:r>
      <w:r w:rsidRPr="00735683">
        <w:rPr>
          <w:rFonts w:ascii="Arial Narrow" w:hAnsi="Arial Narrow"/>
          <w:sz w:val="18"/>
          <w:szCs w:val="18"/>
        </w:rPr>
        <w:t xml:space="preserve">D. Blais, </w:t>
      </w:r>
      <w:r>
        <w:rPr>
          <w:rFonts w:ascii="Arial Narrow" w:hAnsi="Arial Narrow"/>
          <w:sz w:val="18"/>
          <w:szCs w:val="18"/>
        </w:rPr>
        <w:t xml:space="preserve">R. </w:t>
      </w:r>
      <w:r w:rsidRPr="00735683">
        <w:rPr>
          <w:rFonts w:ascii="Arial Narrow" w:hAnsi="Arial Narrow"/>
          <w:sz w:val="18"/>
          <w:szCs w:val="18"/>
        </w:rPr>
        <w:t xml:space="preserve">D. Czerwiec, </w:t>
      </w:r>
      <w:r>
        <w:rPr>
          <w:rFonts w:ascii="Arial Narrow" w:hAnsi="Arial Narrow"/>
          <w:sz w:val="18"/>
          <w:szCs w:val="18"/>
        </w:rPr>
        <w:t>F. S</w:t>
      </w:r>
      <w:r w:rsidRPr="00735683">
        <w:rPr>
          <w:rFonts w:ascii="Arial Narrow" w:hAnsi="Arial Narrow"/>
          <w:sz w:val="18"/>
          <w:szCs w:val="18"/>
        </w:rPr>
        <w:t>. and Sergeyeva,</w:t>
      </w:r>
      <w:r>
        <w:rPr>
          <w:rFonts w:ascii="Arial Narrow" w:hAnsi="Arial Narrow"/>
          <w:sz w:val="18"/>
          <w:szCs w:val="18"/>
        </w:rPr>
        <w:t xml:space="preserve"> O., ‘T</w:t>
      </w:r>
      <w:r w:rsidRPr="00735683">
        <w:rPr>
          <w:rFonts w:ascii="Arial Narrow" w:hAnsi="Arial Narrow"/>
          <w:sz w:val="18"/>
          <w:szCs w:val="18"/>
        </w:rPr>
        <w:t>olvaptan in Later-Stage Autosomal Dominant Polycystic Kidney Disease</w:t>
      </w:r>
      <w:r>
        <w:rPr>
          <w:rFonts w:ascii="Arial Narrow" w:hAnsi="Arial Narrow"/>
          <w:sz w:val="18"/>
          <w:szCs w:val="18"/>
        </w:rPr>
        <w:t xml:space="preserve">’, NEJM, November 2017, </w:t>
      </w:r>
      <w:r w:rsidRPr="00735683">
        <w:rPr>
          <w:rFonts w:ascii="Arial Narrow" w:hAnsi="Arial Narrow"/>
          <w:sz w:val="18"/>
          <w:szCs w:val="18"/>
        </w:rPr>
        <w:t>377:1930-1942</w:t>
      </w:r>
      <w:r>
        <w:rPr>
          <w:rFonts w:ascii="Arial Narrow" w:hAnsi="Arial Narrow"/>
          <w:sz w:val="18"/>
          <w:szCs w:val="18"/>
        </w:rPr>
        <w:t>.</w:t>
      </w:r>
    </w:p>
    <w:p w:rsidR="00576BFC" w:rsidRPr="00B47004" w:rsidRDefault="00576BFC" w:rsidP="008B4B29">
      <w:pPr>
        <w:pStyle w:val="ListParagraph"/>
        <w:widowControl/>
        <w:numPr>
          <w:ilvl w:val="1"/>
          <w:numId w:val="3"/>
        </w:numPr>
        <w:spacing w:after="0"/>
        <w:ind w:left="720"/>
      </w:pPr>
      <w:r>
        <w:t xml:space="preserve">Table </w:t>
      </w:r>
      <w:r w:rsidR="00D320B2">
        <w:t>7</w:t>
      </w:r>
      <w:r>
        <w:t xml:space="preserve"> shows </w:t>
      </w:r>
      <w:r>
        <w:rPr>
          <w:rFonts w:asciiTheme="minorHAnsi" w:hAnsiTheme="minorHAnsi" w:cstheme="minorHAnsi"/>
          <w:szCs w:val="24"/>
        </w:rPr>
        <w:t>the difference between tolvaptan and placebo in rate of decline in eGFR from baseline for the REPRISE pre-specified subgroup analysis and TEMPO 3:4 post-hoc subgroup analysis by baseline CKD stage, used to calculate the weighted mean treatment effect of tolvaptan in the economic analysis.</w:t>
      </w:r>
    </w:p>
    <w:p w:rsidR="00576BFC" w:rsidRDefault="00576BFC" w:rsidP="008B4B29">
      <w:pPr>
        <w:widowControl/>
      </w:pPr>
    </w:p>
    <w:p w:rsidR="00576BFC" w:rsidRPr="00EA772C" w:rsidRDefault="00576BFC" w:rsidP="008B4B29">
      <w:pPr>
        <w:keepNext/>
        <w:keepLines/>
        <w:widowControl/>
        <w:rPr>
          <w:rFonts w:ascii="Arial Narrow" w:hAnsi="Arial Narrow"/>
          <w:b/>
          <w:sz w:val="20"/>
          <w:szCs w:val="20"/>
        </w:rPr>
      </w:pPr>
      <w:r w:rsidRPr="00EA772C">
        <w:rPr>
          <w:rFonts w:ascii="Arial Narrow" w:hAnsi="Arial Narrow"/>
          <w:b/>
          <w:sz w:val="20"/>
          <w:szCs w:val="20"/>
        </w:rPr>
        <w:t xml:space="preserve">Table </w:t>
      </w:r>
      <w:r w:rsidR="00D320B2">
        <w:rPr>
          <w:rFonts w:ascii="Arial Narrow" w:hAnsi="Arial Narrow"/>
          <w:b/>
          <w:sz w:val="20"/>
          <w:szCs w:val="20"/>
        </w:rPr>
        <w:t>7</w:t>
      </w:r>
      <w:r>
        <w:rPr>
          <w:rFonts w:ascii="Arial Narrow" w:hAnsi="Arial Narrow"/>
          <w:b/>
          <w:sz w:val="20"/>
          <w:szCs w:val="20"/>
        </w:rPr>
        <w:t>: S</w:t>
      </w:r>
      <w:r w:rsidRPr="00584488">
        <w:rPr>
          <w:rFonts w:ascii="Arial Narrow" w:hAnsi="Arial Narrow"/>
          <w:b/>
          <w:sz w:val="20"/>
          <w:szCs w:val="20"/>
        </w:rPr>
        <w:t>ubgro</w:t>
      </w:r>
      <w:r>
        <w:rPr>
          <w:rFonts w:ascii="Arial Narrow" w:hAnsi="Arial Narrow"/>
          <w:b/>
          <w:sz w:val="20"/>
          <w:szCs w:val="20"/>
        </w:rPr>
        <w:t xml:space="preserve">up analysis of mean </w:t>
      </w:r>
      <w:r w:rsidRPr="00584488">
        <w:rPr>
          <w:rFonts w:ascii="Arial Narrow" w:hAnsi="Arial Narrow"/>
          <w:b/>
          <w:sz w:val="20"/>
          <w:szCs w:val="20"/>
        </w:rPr>
        <w:t>annu</w:t>
      </w:r>
      <w:r>
        <w:rPr>
          <w:rFonts w:ascii="Arial Narrow" w:hAnsi="Arial Narrow"/>
          <w:b/>
          <w:sz w:val="20"/>
          <w:szCs w:val="20"/>
        </w:rPr>
        <w:t>alised rate of change in slope eGFR as slope by CKD stage (mL/min/1.73 m</w:t>
      </w:r>
      <w:r w:rsidRPr="002F41ED">
        <w:rPr>
          <w:rFonts w:ascii="Arial Narrow" w:hAnsi="Arial Narrow"/>
          <w:b/>
          <w:sz w:val="20"/>
          <w:szCs w:val="20"/>
          <w:vertAlign w:val="superscript"/>
        </w:rPr>
        <w:t>2</w:t>
      </w:r>
      <w:r>
        <w:rPr>
          <w:rFonts w:ascii="Arial Narrow" w:hAnsi="Arial Narrow"/>
          <w:b/>
          <w:sz w:val="20"/>
          <w:szCs w:val="20"/>
        </w:rPr>
        <w:t>/year; key secondary</w:t>
      </w:r>
      <w:r w:rsidRPr="00584488">
        <w:rPr>
          <w:rFonts w:ascii="Arial Narrow" w:hAnsi="Arial Narrow"/>
          <w:b/>
          <w:sz w:val="20"/>
          <w:szCs w:val="20"/>
        </w:rPr>
        <w:t xml:space="preserve"> endpoint efficacy population</w:t>
      </w:r>
      <w:r>
        <w:rPr>
          <w:rFonts w:ascii="Arial Narrow" w:hAnsi="Arial Narrow"/>
          <w:b/>
          <w:sz w:val="20"/>
          <w:szCs w:val="20"/>
        </w:rPr>
        <w:t>; l</w:t>
      </w:r>
      <w:r w:rsidRPr="0075474E">
        <w:rPr>
          <w:rFonts w:ascii="Arial Narrow" w:hAnsi="Arial Narrow"/>
          <w:b/>
          <w:sz w:val="20"/>
          <w:szCs w:val="20"/>
        </w:rPr>
        <w:t>inear mixed effect model</w:t>
      </w:r>
      <w:r>
        <w:rPr>
          <w:rFonts w:ascii="Arial Narrow" w:hAnsi="Arial Narrow"/>
          <w:b/>
          <w:sz w:val="20"/>
          <w:szCs w:val="20"/>
        </w:rPr>
        <w:t>; 12 months)</w:t>
      </w:r>
    </w:p>
    <w:tbl>
      <w:tblPr>
        <w:tblStyle w:val="TableGrid"/>
        <w:tblW w:w="5000" w:type="pct"/>
        <w:tblLook w:val="04A0" w:firstRow="1" w:lastRow="0" w:firstColumn="1" w:lastColumn="0" w:noHBand="0" w:noVBand="1"/>
        <w:tblCaption w:val="Table 7: Subgroup analysis of mean annualised rate of change in slope eGFR as slope by CKD stage (mL/min/1.73 m2/year; key secondary endpoint efficacy population; linear mixed effect model; 12 months)"/>
      </w:tblPr>
      <w:tblGrid>
        <w:gridCol w:w="1587"/>
        <w:gridCol w:w="588"/>
        <w:gridCol w:w="2039"/>
        <w:gridCol w:w="575"/>
        <w:gridCol w:w="2037"/>
        <w:gridCol w:w="760"/>
        <w:gridCol w:w="747"/>
        <w:gridCol w:w="910"/>
      </w:tblGrid>
      <w:tr w:rsidR="00576BFC" w:rsidRPr="00D43928" w:rsidTr="001D22CA">
        <w:trPr>
          <w:tblHeader/>
        </w:trPr>
        <w:tc>
          <w:tcPr>
            <w:tcW w:w="859" w:type="pct"/>
            <w:vMerge w:val="restart"/>
            <w:vAlign w:val="center"/>
          </w:tcPr>
          <w:p w:rsidR="00576BFC" w:rsidRPr="00D43928" w:rsidRDefault="00576BFC" w:rsidP="008B4B29">
            <w:pPr>
              <w:pStyle w:val="Tablenormal0"/>
              <w:keepNext/>
              <w:widowControl/>
              <w:spacing w:before="0" w:after="0"/>
              <w:rPr>
                <w:rFonts w:ascii="Arial Narrow" w:hAnsi="Arial Narrow"/>
                <w:b/>
                <w:color w:val="000000"/>
                <w:sz w:val="20"/>
                <w:szCs w:val="20"/>
                <w:lang w:eastAsia="en-AU"/>
              </w:rPr>
            </w:pPr>
            <w:r w:rsidRPr="00D43928">
              <w:rPr>
                <w:rFonts w:ascii="Arial Narrow" w:hAnsi="Arial Narrow"/>
                <w:b/>
                <w:color w:val="000000"/>
                <w:sz w:val="20"/>
                <w:szCs w:val="20"/>
                <w:lang w:eastAsia="en-AU"/>
              </w:rPr>
              <w:t>Subgroup</w:t>
            </w:r>
          </w:p>
        </w:tc>
        <w:tc>
          <w:tcPr>
            <w:tcW w:w="1421" w:type="pct"/>
            <w:gridSpan w:val="2"/>
            <w:vAlign w:val="center"/>
          </w:tcPr>
          <w:p w:rsidR="00576BFC" w:rsidRPr="00D43928" w:rsidRDefault="00576BFC" w:rsidP="008B4B29">
            <w:pPr>
              <w:pStyle w:val="Tablenormal0"/>
              <w:keepNext/>
              <w:widowControl/>
              <w:spacing w:before="0" w:after="0"/>
              <w:jc w:val="center"/>
              <w:rPr>
                <w:rFonts w:ascii="Arial Narrow" w:hAnsi="Arial Narrow"/>
                <w:b/>
                <w:color w:val="000000"/>
                <w:sz w:val="20"/>
                <w:szCs w:val="20"/>
                <w:lang w:eastAsia="en-AU"/>
              </w:rPr>
            </w:pPr>
            <w:r w:rsidRPr="00D43928">
              <w:rPr>
                <w:rFonts w:ascii="Arial Narrow" w:hAnsi="Arial Narrow"/>
                <w:b/>
                <w:color w:val="000000"/>
                <w:sz w:val="20"/>
                <w:szCs w:val="20"/>
                <w:lang w:eastAsia="en-AU"/>
              </w:rPr>
              <w:t>Tolvaptan</w:t>
            </w:r>
          </w:p>
        </w:tc>
        <w:tc>
          <w:tcPr>
            <w:tcW w:w="1412" w:type="pct"/>
            <w:gridSpan w:val="2"/>
            <w:vAlign w:val="center"/>
          </w:tcPr>
          <w:p w:rsidR="00576BFC" w:rsidRPr="00D43928" w:rsidRDefault="00576BFC" w:rsidP="008B4B29">
            <w:pPr>
              <w:pStyle w:val="Tablenormal0"/>
              <w:keepNext/>
              <w:widowControl/>
              <w:spacing w:before="0" w:after="0"/>
              <w:jc w:val="center"/>
              <w:rPr>
                <w:rFonts w:ascii="Arial Narrow" w:hAnsi="Arial Narrow"/>
                <w:b/>
                <w:color w:val="000000"/>
                <w:sz w:val="20"/>
                <w:szCs w:val="20"/>
                <w:lang w:eastAsia="en-AU"/>
              </w:rPr>
            </w:pPr>
            <w:r w:rsidRPr="00D43928">
              <w:rPr>
                <w:rFonts w:ascii="Arial Narrow" w:hAnsi="Arial Narrow"/>
                <w:b/>
                <w:color w:val="000000"/>
                <w:sz w:val="20"/>
                <w:szCs w:val="20"/>
                <w:lang w:eastAsia="en-AU"/>
              </w:rPr>
              <w:t>Placebo</w:t>
            </w:r>
          </w:p>
        </w:tc>
        <w:tc>
          <w:tcPr>
            <w:tcW w:w="815" w:type="pct"/>
            <w:gridSpan w:val="2"/>
            <w:vMerge w:val="restart"/>
            <w:vAlign w:val="center"/>
          </w:tcPr>
          <w:p w:rsidR="00576BFC" w:rsidRPr="00D43928" w:rsidRDefault="00576BFC" w:rsidP="008B4B29">
            <w:pPr>
              <w:pStyle w:val="Tablenormal0"/>
              <w:keepNext/>
              <w:widowControl/>
              <w:spacing w:before="0" w:after="0"/>
              <w:jc w:val="center"/>
              <w:rPr>
                <w:rFonts w:ascii="Arial Narrow" w:hAnsi="Arial Narrow"/>
                <w:b/>
                <w:color w:val="000000"/>
                <w:sz w:val="20"/>
                <w:szCs w:val="20"/>
                <w:lang w:eastAsia="en-AU"/>
              </w:rPr>
            </w:pPr>
            <w:r w:rsidRPr="00D43928">
              <w:rPr>
                <w:rFonts w:ascii="Arial Narrow" w:hAnsi="Arial Narrow"/>
                <w:b/>
                <w:color w:val="000000"/>
                <w:sz w:val="20"/>
                <w:szCs w:val="20"/>
                <w:lang w:eastAsia="en-AU"/>
              </w:rPr>
              <w:t xml:space="preserve">Slope reduction </w:t>
            </w:r>
          </w:p>
        </w:tc>
        <w:tc>
          <w:tcPr>
            <w:tcW w:w="493" w:type="pct"/>
            <w:vMerge w:val="restart"/>
            <w:vAlign w:val="center"/>
          </w:tcPr>
          <w:p w:rsidR="00576BFC" w:rsidRPr="00D43928" w:rsidRDefault="00576BFC" w:rsidP="008B4B29">
            <w:pPr>
              <w:pStyle w:val="Tablenormal0"/>
              <w:keepNext/>
              <w:widowControl/>
              <w:spacing w:before="0" w:after="0"/>
              <w:jc w:val="center"/>
              <w:rPr>
                <w:rFonts w:ascii="Arial Narrow" w:hAnsi="Arial Narrow"/>
                <w:b/>
                <w:color w:val="000000"/>
                <w:sz w:val="20"/>
                <w:szCs w:val="20"/>
                <w:lang w:eastAsia="en-AU"/>
              </w:rPr>
            </w:pPr>
            <w:r w:rsidRPr="00D43928">
              <w:rPr>
                <w:rFonts w:ascii="Arial Narrow" w:hAnsi="Arial Narrow"/>
                <w:b/>
                <w:color w:val="000000"/>
                <w:sz w:val="20"/>
                <w:szCs w:val="20"/>
                <w:lang w:eastAsia="en-AU"/>
              </w:rPr>
              <w:t>p-value</w:t>
            </w:r>
          </w:p>
        </w:tc>
      </w:tr>
      <w:tr w:rsidR="00576BFC" w:rsidRPr="00D43928" w:rsidTr="001D22CA">
        <w:trPr>
          <w:tblHeader/>
        </w:trPr>
        <w:tc>
          <w:tcPr>
            <w:tcW w:w="859" w:type="pct"/>
            <w:vMerge/>
            <w:tcBorders>
              <w:bottom w:val="single" w:sz="4" w:space="0" w:color="auto"/>
            </w:tcBorders>
          </w:tcPr>
          <w:p w:rsidR="00576BFC" w:rsidRPr="00D43928" w:rsidRDefault="00576BFC" w:rsidP="008B4B29">
            <w:pPr>
              <w:pStyle w:val="Tablenormal0"/>
              <w:keepNext/>
              <w:widowControl/>
              <w:spacing w:before="0" w:after="0"/>
              <w:rPr>
                <w:rFonts w:ascii="Arial Narrow" w:hAnsi="Arial Narrow"/>
                <w:color w:val="000000"/>
                <w:sz w:val="20"/>
                <w:szCs w:val="20"/>
                <w:lang w:eastAsia="en-AU"/>
              </w:rPr>
            </w:pPr>
          </w:p>
        </w:tc>
        <w:tc>
          <w:tcPr>
            <w:tcW w:w="318" w:type="pct"/>
            <w:tcBorders>
              <w:bottom w:val="single" w:sz="4" w:space="0" w:color="auto"/>
            </w:tcBorders>
            <w:vAlign w:val="center"/>
          </w:tcPr>
          <w:p w:rsidR="00576BFC" w:rsidRPr="00D43928" w:rsidRDefault="00576BFC" w:rsidP="008B4B29">
            <w:pPr>
              <w:pStyle w:val="Tablenormal0"/>
              <w:keepNext/>
              <w:widowControl/>
              <w:spacing w:before="0" w:after="0"/>
              <w:jc w:val="center"/>
              <w:rPr>
                <w:rFonts w:ascii="Arial Narrow" w:hAnsi="Arial Narrow"/>
                <w:b/>
                <w:color w:val="000000"/>
                <w:sz w:val="20"/>
                <w:szCs w:val="20"/>
                <w:lang w:eastAsia="en-AU"/>
              </w:rPr>
            </w:pPr>
            <w:r w:rsidRPr="00D43928">
              <w:rPr>
                <w:rFonts w:ascii="Arial Narrow" w:hAnsi="Arial Narrow"/>
                <w:b/>
                <w:color w:val="000000"/>
                <w:sz w:val="20"/>
                <w:szCs w:val="20"/>
                <w:lang w:eastAsia="en-AU"/>
              </w:rPr>
              <w:t>N</w:t>
            </w:r>
          </w:p>
        </w:tc>
        <w:tc>
          <w:tcPr>
            <w:tcW w:w="1102" w:type="pct"/>
            <w:tcBorders>
              <w:bottom w:val="single" w:sz="4" w:space="0" w:color="auto"/>
            </w:tcBorders>
            <w:vAlign w:val="center"/>
          </w:tcPr>
          <w:p w:rsidR="00576BFC" w:rsidRPr="00D43928" w:rsidRDefault="00576BFC" w:rsidP="008B4B29">
            <w:pPr>
              <w:pStyle w:val="Tablenormal0"/>
              <w:keepNext/>
              <w:widowControl/>
              <w:spacing w:before="0" w:after="0"/>
              <w:jc w:val="center"/>
              <w:rPr>
                <w:rFonts w:ascii="Arial Narrow" w:hAnsi="Arial Narrow"/>
                <w:b/>
                <w:color w:val="000000"/>
                <w:sz w:val="20"/>
                <w:szCs w:val="20"/>
                <w:lang w:eastAsia="en-AU"/>
              </w:rPr>
            </w:pPr>
            <w:r w:rsidRPr="00D43928">
              <w:rPr>
                <w:rFonts w:ascii="Arial Narrow" w:hAnsi="Arial Narrow"/>
                <w:b/>
                <w:color w:val="000000"/>
                <w:sz w:val="20"/>
                <w:szCs w:val="20"/>
                <w:lang w:eastAsia="en-AU"/>
              </w:rPr>
              <w:t>Mean annualised rate of change in slope</w:t>
            </w:r>
          </w:p>
        </w:tc>
        <w:tc>
          <w:tcPr>
            <w:tcW w:w="311" w:type="pct"/>
            <w:tcBorders>
              <w:bottom w:val="single" w:sz="4" w:space="0" w:color="auto"/>
            </w:tcBorders>
            <w:vAlign w:val="center"/>
          </w:tcPr>
          <w:p w:rsidR="00576BFC" w:rsidRPr="00D43928" w:rsidRDefault="00576BFC" w:rsidP="008B4B29">
            <w:pPr>
              <w:pStyle w:val="Tablenormal0"/>
              <w:keepNext/>
              <w:widowControl/>
              <w:spacing w:before="0" w:after="0"/>
              <w:jc w:val="center"/>
              <w:rPr>
                <w:rFonts w:ascii="Arial Narrow" w:hAnsi="Arial Narrow"/>
                <w:b/>
                <w:color w:val="000000"/>
                <w:sz w:val="20"/>
                <w:szCs w:val="20"/>
                <w:lang w:eastAsia="en-AU"/>
              </w:rPr>
            </w:pPr>
            <w:r w:rsidRPr="00D43928">
              <w:rPr>
                <w:rFonts w:ascii="Arial Narrow" w:hAnsi="Arial Narrow"/>
                <w:b/>
                <w:color w:val="000000"/>
                <w:sz w:val="20"/>
                <w:szCs w:val="20"/>
                <w:lang w:eastAsia="en-AU"/>
              </w:rPr>
              <w:t>N</w:t>
            </w:r>
          </w:p>
        </w:tc>
        <w:tc>
          <w:tcPr>
            <w:tcW w:w="1102" w:type="pct"/>
            <w:tcBorders>
              <w:bottom w:val="single" w:sz="4" w:space="0" w:color="auto"/>
            </w:tcBorders>
            <w:vAlign w:val="center"/>
          </w:tcPr>
          <w:p w:rsidR="00576BFC" w:rsidRPr="00D43928" w:rsidRDefault="00576BFC" w:rsidP="008B4B29">
            <w:pPr>
              <w:pStyle w:val="Tablenormal0"/>
              <w:keepNext/>
              <w:widowControl/>
              <w:spacing w:before="0" w:after="0"/>
              <w:jc w:val="center"/>
              <w:rPr>
                <w:rFonts w:ascii="Arial Narrow" w:hAnsi="Arial Narrow"/>
                <w:b/>
                <w:color w:val="000000"/>
                <w:sz w:val="20"/>
                <w:szCs w:val="20"/>
                <w:lang w:eastAsia="en-AU"/>
              </w:rPr>
            </w:pPr>
            <w:r w:rsidRPr="00D43928">
              <w:rPr>
                <w:rFonts w:ascii="Arial Narrow" w:hAnsi="Arial Narrow"/>
                <w:b/>
                <w:color w:val="000000"/>
                <w:sz w:val="20"/>
                <w:szCs w:val="20"/>
                <w:lang w:eastAsia="en-AU"/>
              </w:rPr>
              <w:t>Mean annualised rate of change in slope</w:t>
            </w:r>
          </w:p>
        </w:tc>
        <w:tc>
          <w:tcPr>
            <w:tcW w:w="815" w:type="pct"/>
            <w:gridSpan w:val="2"/>
            <w:vMerge/>
            <w:tcBorders>
              <w:bottom w:val="single" w:sz="4" w:space="0" w:color="auto"/>
            </w:tcBorders>
            <w:vAlign w:val="center"/>
          </w:tcPr>
          <w:p w:rsidR="00576BFC" w:rsidRPr="00D43928" w:rsidRDefault="00576BFC" w:rsidP="008B4B29">
            <w:pPr>
              <w:pStyle w:val="Tablenormal0"/>
              <w:keepNext/>
              <w:widowControl/>
              <w:spacing w:before="0" w:after="0"/>
              <w:jc w:val="center"/>
              <w:rPr>
                <w:rFonts w:ascii="Arial Narrow" w:hAnsi="Arial Narrow"/>
                <w:b/>
                <w:color w:val="000000"/>
                <w:sz w:val="20"/>
                <w:szCs w:val="20"/>
                <w:lang w:eastAsia="en-AU"/>
              </w:rPr>
            </w:pPr>
          </w:p>
        </w:tc>
        <w:tc>
          <w:tcPr>
            <w:tcW w:w="493" w:type="pct"/>
            <w:vMerge/>
            <w:tcBorders>
              <w:bottom w:val="single" w:sz="4" w:space="0" w:color="auto"/>
            </w:tcBorders>
            <w:vAlign w:val="center"/>
          </w:tcPr>
          <w:p w:rsidR="00576BFC" w:rsidRPr="00D43928" w:rsidRDefault="00576BFC" w:rsidP="008B4B29">
            <w:pPr>
              <w:pStyle w:val="Tablenormal0"/>
              <w:keepNext/>
              <w:widowControl/>
              <w:spacing w:before="0" w:after="0"/>
              <w:jc w:val="center"/>
              <w:rPr>
                <w:rFonts w:ascii="Arial Narrow" w:hAnsi="Arial Narrow"/>
                <w:b/>
                <w:color w:val="000000"/>
                <w:sz w:val="20"/>
                <w:szCs w:val="20"/>
                <w:lang w:eastAsia="en-AU"/>
              </w:rPr>
            </w:pPr>
          </w:p>
        </w:tc>
      </w:tr>
      <w:tr w:rsidR="00576BFC" w:rsidRPr="00D43928" w:rsidTr="001D22CA">
        <w:trPr>
          <w:trHeight w:val="87"/>
        </w:trPr>
        <w:tc>
          <w:tcPr>
            <w:tcW w:w="5000" w:type="pct"/>
            <w:gridSpan w:val="8"/>
            <w:tcBorders>
              <w:top w:val="single" w:sz="4" w:space="0" w:color="auto"/>
              <w:bottom w:val="single" w:sz="4" w:space="0" w:color="auto"/>
            </w:tcBorders>
          </w:tcPr>
          <w:p w:rsidR="00576BFC" w:rsidRPr="00D43928" w:rsidRDefault="00576BFC" w:rsidP="008B4B29">
            <w:pPr>
              <w:pStyle w:val="Tablenormal0"/>
              <w:keepNext/>
              <w:widowControl/>
              <w:spacing w:before="0" w:after="0"/>
              <w:rPr>
                <w:rFonts w:ascii="Arial Narrow" w:hAnsi="Arial Narrow"/>
                <w:sz w:val="20"/>
                <w:szCs w:val="20"/>
                <w:vertAlign w:val="superscript"/>
              </w:rPr>
            </w:pPr>
            <w:r w:rsidRPr="00D43928">
              <w:rPr>
                <w:rFonts w:ascii="Arial Narrow" w:hAnsi="Arial Narrow"/>
                <w:b/>
                <w:color w:val="000000"/>
                <w:sz w:val="20"/>
                <w:szCs w:val="20"/>
                <w:lang w:eastAsia="en-AU"/>
              </w:rPr>
              <w:t xml:space="preserve">REPRISE pre-specified subgroup analysis by baseline CKD stages 2-4 (ITT; </w:t>
            </w:r>
            <w:r w:rsidRPr="00D43928">
              <w:rPr>
                <w:rFonts w:ascii="Arial Narrow" w:hAnsi="Arial Narrow"/>
                <w:b/>
                <w:sz w:val="20"/>
                <w:szCs w:val="20"/>
              </w:rPr>
              <w:t>12 months)</w:t>
            </w:r>
            <w:r w:rsidRPr="00D43928">
              <w:rPr>
                <w:rFonts w:ascii="Arial Narrow" w:hAnsi="Arial Narrow"/>
                <w:b/>
                <w:sz w:val="20"/>
                <w:szCs w:val="20"/>
                <w:vertAlign w:val="superscript"/>
              </w:rPr>
              <w:t>a</w:t>
            </w:r>
          </w:p>
        </w:tc>
      </w:tr>
      <w:tr w:rsidR="00576BFC" w:rsidRPr="00D43928" w:rsidTr="001D22CA">
        <w:trPr>
          <w:trHeight w:val="87"/>
        </w:trPr>
        <w:tc>
          <w:tcPr>
            <w:tcW w:w="859" w:type="pct"/>
            <w:tcBorders>
              <w:top w:val="single" w:sz="4" w:space="0" w:color="auto"/>
              <w:bottom w:val="single" w:sz="4" w:space="0" w:color="auto"/>
            </w:tcBorders>
          </w:tcPr>
          <w:p w:rsidR="00576BFC" w:rsidRPr="00D43928" w:rsidRDefault="00576BFC" w:rsidP="008B4B29">
            <w:pPr>
              <w:pStyle w:val="Tablenormal0"/>
              <w:keepNext/>
              <w:widowControl/>
              <w:spacing w:before="0" w:after="0"/>
              <w:rPr>
                <w:rFonts w:ascii="Arial Narrow" w:hAnsi="Arial Narrow"/>
                <w:sz w:val="20"/>
                <w:szCs w:val="20"/>
              </w:rPr>
            </w:pPr>
            <w:r w:rsidRPr="00D43928">
              <w:rPr>
                <w:rFonts w:ascii="Arial Narrow" w:hAnsi="Arial Narrow"/>
                <w:sz w:val="20"/>
                <w:szCs w:val="20"/>
              </w:rPr>
              <w:t>Overall population</w:t>
            </w:r>
          </w:p>
        </w:tc>
        <w:tc>
          <w:tcPr>
            <w:tcW w:w="318" w:type="pct"/>
            <w:tcBorders>
              <w:top w:val="single" w:sz="4" w:space="0" w:color="auto"/>
              <w:bottom w:val="single" w:sz="4" w:space="0" w:color="auto"/>
            </w:tcBorders>
            <w:vAlign w:val="center"/>
          </w:tcPr>
          <w:p w:rsidR="00576BFC" w:rsidRPr="00D43928" w:rsidRDefault="00576BFC" w:rsidP="008B4B29">
            <w:pPr>
              <w:pStyle w:val="Tablenormal0"/>
              <w:keepNext/>
              <w:widowControl/>
              <w:spacing w:before="0" w:after="0"/>
              <w:jc w:val="center"/>
              <w:rPr>
                <w:rFonts w:ascii="Arial Narrow" w:hAnsi="Arial Narrow"/>
                <w:color w:val="000000"/>
                <w:sz w:val="20"/>
                <w:szCs w:val="20"/>
                <w:lang w:eastAsia="en-AU"/>
              </w:rPr>
            </w:pPr>
            <w:r w:rsidRPr="00D43928">
              <w:rPr>
                <w:rFonts w:ascii="Arial Narrow" w:hAnsi="Arial Narrow"/>
                <w:color w:val="000000"/>
                <w:sz w:val="20"/>
                <w:szCs w:val="20"/>
                <w:lang w:eastAsia="en-AU"/>
              </w:rPr>
              <w:t>680</w:t>
            </w:r>
          </w:p>
        </w:tc>
        <w:tc>
          <w:tcPr>
            <w:tcW w:w="1102" w:type="pct"/>
            <w:tcBorders>
              <w:top w:val="single" w:sz="4" w:space="0" w:color="auto"/>
              <w:bottom w:val="single" w:sz="4" w:space="0" w:color="auto"/>
            </w:tcBorders>
            <w:vAlign w:val="bottom"/>
          </w:tcPr>
          <w:p w:rsidR="00576BFC" w:rsidRPr="00D43928" w:rsidRDefault="00576BFC" w:rsidP="008B4B29">
            <w:pPr>
              <w:pStyle w:val="Tablenormal0"/>
              <w:keepNext/>
              <w:widowControl/>
              <w:spacing w:before="0" w:after="0"/>
              <w:jc w:val="center"/>
              <w:rPr>
                <w:rFonts w:ascii="Arial Narrow" w:hAnsi="Arial Narrow"/>
                <w:sz w:val="20"/>
                <w:szCs w:val="20"/>
              </w:rPr>
            </w:pPr>
            <w:r w:rsidRPr="00D43928">
              <w:rPr>
                <w:rFonts w:ascii="Arial Narrow" w:hAnsi="Arial Narrow"/>
                <w:sz w:val="20"/>
                <w:szCs w:val="20"/>
              </w:rPr>
              <w:t>-3.160</w:t>
            </w:r>
          </w:p>
        </w:tc>
        <w:tc>
          <w:tcPr>
            <w:tcW w:w="311" w:type="pct"/>
            <w:tcBorders>
              <w:top w:val="single" w:sz="4" w:space="0" w:color="auto"/>
              <w:bottom w:val="single" w:sz="4" w:space="0" w:color="auto"/>
            </w:tcBorders>
            <w:vAlign w:val="center"/>
          </w:tcPr>
          <w:p w:rsidR="00576BFC" w:rsidRPr="00D43928" w:rsidRDefault="00576BFC" w:rsidP="008B4B29">
            <w:pPr>
              <w:pStyle w:val="Tablenormal0"/>
              <w:keepNext/>
              <w:widowControl/>
              <w:spacing w:before="0" w:after="0"/>
              <w:jc w:val="center"/>
              <w:rPr>
                <w:rFonts w:ascii="Arial Narrow" w:hAnsi="Arial Narrow"/>
                <w:color w:val="000000"/>
                <w:sz w:val="20"/>
                <w:szCs w:val="20"/>
                <w:lang w:eastAsia="en-AU"/>
              </w:rPr>
            </w:pPr>
            <w:r w:rsidRPr="00D43928">
              <w:rPr>
                <w:rFonts w:ascii="Arial Narrow" w:hAnsi="Arial Narrow"/>
                <w:color w:val="000000"/>
                <w:sz w:val="20"/>
                <w:szCs w:val="20"/>
                <w:lang w:eastAsia="en-AU"/>
              </w:rPr>
              <w:t>682</w:t>
            </w:r>
          </w:p>
        </w:tc>
        <w:tc>
          <w:tcPr>
            <w:tcW w:w="1102" w:type="pct"/>
            <w:tcBorders>
              <w:top w:val="single" w:sz="4" w:space="0" w:color="auto"/>
              <w:bottom w:val="single" w:sz="4" w:space="0" w:color="auto"/>
            </w:tcBorders>
            <w:vAlign w:val="bottom"/>
          </w:tcPr>
          <w:p w:rsidR="00576BFC" w:rsidRPr="00D43928" w:rsidRDefault="00576BFC" w:rsidP="008B4B29">
            <w:pPr>
              <w:pStyle w:val="Tablenormal0"/>
              <w:keepNext/>
              <w:widowControl/>
              <w:spacing w:before="0" w:after="0"/>
              <w:jc w:val="center"/>
              <w:rPr>
                <w:rFonts w:ascii="Arial Narrow" w:hAnsi="Arial Narrow"/>
                <w:sz w:val="20"/>
                <w:szCs w:val="20"/>
              </w:rPr>
            </w:pPr>
            <w:r w:rsidRPr="00D43928">
              <w:rPr>
                <w:rFonts w:ascii="Arial Narrow" w:hAnsi="Arial Narrow"/>
                <w:sz w:val="20"/>
                <w:szCs w:val="20"/>
              </w:rPr>
              <w:t>-4.170</w:t>
            </w:r>
          </w:p>
        </w:tc>
        <w:tc>
          <w:tcPr>
            <w:tcW w:w="815" w:type="pct"/>
            <w:gridSpan w:val="2"/>
            <w:tcBorders>
              <w:top w:val="single" w:sz="4" w:space="0" w:color="auto"/>
              <w:bottom w:val="single" w:sz="4" w:space="0" w:color="auto"/>
            </w:tcBorders>
            <w:vAlign w:val="bottom"/>
          </w:tcPr>
          <w:p w:rsidR="00576BFC" w:rsidRPr="00D43928" w:rsidRDefault="00576BFC" w:rsidP="008B4B29">
            <w:pPr>
              <w:pStyle w:val="Tablenormal0"/>
              <w:keepNext/>
              <w:widowControl/>
              <w:spacing w:before="0" w:after="0"/>
              <w:jc w:val="center"/>
              <w:rPr>
                <w:rFonts w:ascii="Arial Narrow" w:hAnsi="Arial Narrow"/>
                <w:sz w:val="20"/>
                <w:szCs w:val="20"/>
              </w:rPr>
            </w:pPr>
            <w:r w:rsidRPr="00D43928">
              <w:rPr>
                <w:rFonts w:ascii="Arial Narrow" w:hAnsi="Arial Narrow"/>
                <w:sz w:val="20"/>
                <w:szCs w:val="20"/>
              </w:rPr>
              <w:t>24.3%</w:t>
            </w:r>
          </w:p>
        </w:tc>
        <w:tc>
          <w:tcPr>
            <w:tcW w:w="493" w:type="pct"/>
            <w:tcBorders>
              <w:top w:val="single" w:sz="4" w:space="0" w:color="auto"/>
              <w:bottom w:val="single" w:sz="4" w:space="0" w:color="auto"/>
            </w:tcBorders>
            <w:vAlign w:val="bottom"/>
          </w:tcPr>
          <w:p w:rsidR="00576BFC" w:rsidRPr="00D43928" w:rsidRDefault="00576BFC" w:rsidP="008B4B29">
            <w:pPr>
              <w:pStyle w:val="Tablenormal0"/>
              <w:keepNext/>
              <w:widowControl/>
              <w:spacing w:before="0" w:after="0"/>
              <w:jc w:val="center"/>
              <w:rPr>
                <w:rFonts w:ascii="Arial Narrow" w:hAnsi="Arial Narrow"/>
                <w:sz w:val="20"/>
                <w:szCs w:val="20"/>
              </w:rPr>
            </w:pPr>
            <w:r w:rsidRPr="00D43928">
              <w:rPr>
                <w:rFonts w:ascii="Arial Narrow" w:hAnsi="Arial Narrow"/>
                <w:sz w:val="20"/>
                <w:szCs w:val="20"/>
              </w:rPr>
              <w:t>NR</w:t>
            </w:r>
          </w:p>
        </w:tc>
      </w:tr>
      <w:tr w:rsidR="00576BFC" w:rsidRPr="00D43928" w:rsidTr="001D22CA">
        <w:trPr>
          <w:trHeight w:val="87"/>
        </w:trPr>
        <w:tc>
          <w:tcPr>
            <w:tcW w:w="859" w:type="pct"/>
            <w:tcBorders>
              <w:top w:val="single" w:sz="4" w:space="0" w:color="auto"/>
            </w:tcBorders>
          </w:tcPr>
          <w:p w:rsidR="00576BFC" w:rsidRPr="00D43928" w:rsidRDefault="00576BFC" w:rsidP="008B4B29">
            <w:pPr>
              <w:pStyle w:val="Tablenormal0"/>
              <w:widowControl/>
              <w:spacing w:before="0" w:after="0"/>
              <w:rPr>
                <w:rFonts w:ascii="Arial Narrow" w:hAnsi="Arial Narrow"/>
                <w:sz w:val="20"/>
                <w:szCs w:val="20"/>
              </w:rPr>
            </w:pPr>
            <w:r w:rsidRPr="00D43928">
              <w:rPr>
                <w:rFonts w:ascii="Arial Narrow" w:hAnsi="Arial Narrow"/>
                <w:sz w:val="20"/>
                <w:szCs w:val="20"/>
              </w:rPr>
              <w:t>Baseline CKD 2</w:t>
            </w:r>
          </w:p>
        </w:tc>
        <w:tc>
          <w:tcPr>
            <w:tcW w:w="318" w:type="pct"/>
            <w:tcBorders>
              <w:top w:val="single" w:sz="4" w:space="0" w:color="auto"/>
            </w:tcBorders>
            <w:vAlign w:val="center"/>
          </w:tcPr>
          <w:p w:rsidR="00576BFC" w:rsidRPr="00D43928" w:rsidRDefault="00576BFC" w:rsidP="008B4B29">
            <w:pPr>
              <w:pStyle w:val="Tablenormal0"/>
              <w:widowControl/>
              <w:spacing w:before="0" w:after="0"/>
              <w:jc w:val="center"/>
              <w:rPr>
                <w:rFonts w:ascii="Arial Narrow" w:hAnsi="Arial Narrow"/>
                <w:color w:val="000000"/>
                <w:sz w:val="20"/>
                <w:szCs w:val="20"/>
                <w:lang w:eastAsia="en-AU"/>
              </w:rPr>
            </w:pPr>
            <w:r w:rsidRPr="00D43928">
              <w:rPr>
                <w:rFonts w:ascii="Arial Narrow" w:hAnsi="Arial Narrow"/>
                <w:color w:val="000000"/>
                <w:sz w:val="20"/>
                <w:szCs w:val="20"/>
                <w:lang w:eastAsia="en-AU"/>
              </w:rPr>
              <w:t>31</w:t>
            </w:r>
          </w:p>
        </w:tc>
        <w:tc>
          <w:tcPr>
            <w:tcW w:w="1102" w:type="pct"/>
            <w:tcBorders>
              <w:top w:val="single" w:sz="4" w:space="0" w:color="auto"/>
            </w:tcBorders>
            <w:vAlign w:val="bottom"/>
          </w:tcPr>
          <w:p w:rsidR="00576BFC" w:rsidRPr="00D43928" w:rsidRDefault="00576BFC" w:rsidP="008B4B29">
            <w:pPr>
              <w:pStyle w:val="Tablenormal0"/>
              <w:widowControl/>
              <w:spacing w:before="0" w:after="0"/>
              <w:jc w:val="center"/>
              <w:rPr>
                <w:rFonts w:ascii="Arial Narrow" w:hAnsi="Arial Narrow"/>
                <w:sz w:val="20"/>
                <w:szCs w:val="20"/>
              </w:rPr>
            </w:pPr>
            <w:r w:rsidRPr="00D43928">
              <w:rPr>
                <w:rFonts w:ascii="Arial Narrow" w:hAnsi="Arial Narrow"/>
                <w:sz w:val="20"/>
                <w:szCs w:val="20"/>
              </w:rPr>
              <w:t>-0.541</w:t>
            </w:r>
          </w:p>
        </w:tc>
        <w:tc>
          <w:tcPr>
            <w:tcW w:w="311" w:type="pct"/>
            <w:tcBorders>
              <w:top w:val="single" w:sz="4" w:space="0" w:color="auto"/>
            </w:tcBorders>
            <w:vAlign w:val="center"/>
          </w:tcPr>
          <w:p w:rsidR="00576BFC" w:rsidRPr="00D43928" w:rsidRDefault="00576BFC" w:rsidP="008B4B29">
            <w:pPr>
              <w:pStyle w:val="Tablenormal0"/>
              <w:widowControl/>
              <w:spacing w:before="0" w:after="0"/>
              <w:jc w:val="center"/>
              <w:rPr>
                <w:rFonts w:ascii="Arial Narrow" w:hAnsi="Arial Narrow"/>
                <w:color w:val="000000"/>
                <w:sz w:val="20"/>
                <w:szCs w:val="20"/>
                <w:lang w:eastAsia="en-AU"/>
              </w:rPr>
            </w:pPr>
            <w:r w:rsidRPr="00D43928">
              <w:rPr>
                <w:rFonts w:ascii="Arial Narrow" w:hAnsi="Arial Narrow"/>
                <w:color w:val="000000"/>
                <w:sz w:val="20"/>
                <w:szCs w:val="20"/>
                <w:lang w:eastAsia="en-AU"/>
              </w:rPr>
              <w:t>38</w:t>
            </w:r>
          </w:p>
        </w:tc>
        <w:tc>
          <w:tcPr>
            <w:tcW w:w="1102" w:type="pct"/>
            <w:tcBorders>
              <w:top w:val="single" w:sz="4" w:space="0" w:color="auto"/>
            </w:tcBorders>
            <w:vAlign w:val="bottom"/>
          </w:tcPr>
          <w:p w:rsidR="00576BFC" w:rsidRPr="00D43928" w:rsidRDefault="00576BFC" w:rsidP="008B4B29">
            <w:pPr>
              <w:pStyle w:val="Tablenormal0"/>
              <w:widowControl/>
              <w:spacing w:before="0" w:after="0"/>
              <w:jc w:val="center"/>
              <w:rPr>
                <w:rFonts w:ascii="Arial Narrow" w:hAnsi="Arial Narrow"/>
                <w:sz w:val="20"/>
                <w:szCs w:val="20"/>
              </w:rPr>
            </w:pPr>
            <w:r w:rsidRPr="00D43928">
              <w:rPr>
                <w:rFonts w:ascii="Arial Narrow" w:hAnsi="Arial Narrow"/>
                <w:sz w:val="20"/>
                <w:szCs w:val="20"/>
              </w:rPr>
              <w:t>-4.589</w:t>
            </w:r>
          </w:p>
        </w:tc>
        <w:tc>
          <w:tcPr>
            <w:tcW w:w="815" w:type="pct"/>
            <w:gridSpan w:val="2"/>
            <w:tcBorders>
              <w:top w:val="single" w:sz="4" w:space="0" w:color="auto"/>
            </w:tcBorders>
            <w:vAlign w:val="bottom"/>
          </w:tcPr>
          <w:p w:rsidR="00576BFC" w:rsidRPr="00D43928" w:rsidRDefault="00576BFC" w:rsidP="008B4B29">
            <w:pPr>
              <w:pStyle w:val="Tablenormal0"/>
              <w:widowControl/>
              <w:spacing w:before="0" w:after="0"/>
              <w:jc w:val="center"/>
              <w:rPr>
                <w:rFonts w:ascii="Arial Narrow" w:hAnsi="Arial Narrow"/>
                <w:sz w:val="20"/>
                <w:szCs w:val="20"/>
              </w:rPr>
            </w:pPr>
            <w:r w:rsidRPr="00D43928">
              <w:rPr>
                <w:rFonts w:ascii="Arial Narrow" w:hAnsi="Arial Narrow"/>
                <w:sz w:val="20"/>
                <w:szCs w:val="20"/>
              </w:rPr>
              <w:t>88.2%</w:t>
            </w:r>
          </w:p>
        </w:tc>
        <w:tc>
          <w:tcPr>
            <w:tcW w:w="493" w:type="pct"/>
            <w:tcBorders>
              <w:top w:val="single" w:sz="4" w:space="0" w:color="auto"/>
            </w:tcBorders>
            <w:vAlign w:val="bottom"/>
          </w:tcPr>
          <w:p w:rsidR="00576BFC" w:rsidRPr="00D43928" w:rsidRDefault="00576BFC" w:rsidP="008B4B29">
            <w:pPr>
              <w:pStyle w:val="Tablenormal0"/>
              <w:widowControl/>
              <w:spacing w:before="0" w:after="0"/>
              <w:jc w:val="center"/>
              <w:rPr>
                <w:rFonts w:ascii="Arial Narrow" w:hAnsi="Arial Narrow"/>
                <w:sz w:val="20"/>
                <w:szCs w:val="20"/>
              </w:rPr>
            </w:pPr>
            <w:r w:rsidRPr="00D43928">
              <w:rPr>
                <w:rFonts w:ascii="Arial Narrow" w:hAnsi="Arial Narrow"/>
                <w:sz w:val="20"/>
                <w:szCs w:val="20"/>
              </w:rPr>
              <w:t>NR</w:t>
            </w:r>
          </w:p>
        </w:tc>
      </w:tr>
      <w:tr w:rsidR="00576BFC" w:rsidRPr="00D43928" w:rsidTr="001D22CA">
        <w:trPr>
          <w:trHeight w:val="87"/>
        </w:trPr>
        <w:tc>
          <w:tcPr>
            <w:tcW w:w="859" w:type="pct"/>
          </w:tcPr>
          <w:p w:rsidR="00576BFC" w:rsidRPr="00D43928" w:rsidRDefault="00576BFC" w:rsidP="008B4B29">
            <w:pPr>
              <w:pStyle w:val="Tablenormal0"/>
              <w:keepNext/>
              <w:widowControl/>
              <w:spacing w:before="0" w:after="0"/>
              <w:rPr>
                <w:rFonts w:ascii="Arial Narrow" w:hAnsi="Arial Narrow"/>
                <w:sz w:val="20"/>
                <w:szCs w:val="20"/>
              </w:rPr>
            </w:pPr>
            <w:r w:rsidRPr="00D43928">
              <w:rPr>
                <w:rFonts w:ascii="Arial Narrow" w:hAnsi="Arial Narrow"/>
                <w:sz w:val="20"/>
                <w:szCs w:val="20"/>
              </w:rPr>
              <w:t>Baseline CKD 3A</w:t>
            </w:r>
          </w:p>
        </w:tc>
        <w:tc>
          <w:tcPr>
            <w:tcW w:w="318" w:type="pct"/>
            <w:vAlign w:val="center"/>
          </w:tcPr>
          <w:p w:rsidR="00576BFC" w:rsidRPr="00D43928" w:rsidRDefault="00576BFC" w:rsidP="008B4B29">
            <w:pPr>
              <w:pStyle w:val="Tablenormal0"/>
              <w:keepNext/>
              <w:widowControl/>
              <w:spacing w:before="0" w:after="0"/>
              <w:jc w:val="center"/>
              <w:rPr>
                <w:rFonts w:ascii="Arial Narrow" w:hAnsi="Arial Narrow"/>
                <w:color w:val="000000"/>
                <w:sz w:val="20"/>
                <w:szCs w:val="20"/>
                <w:lang w:eastAsia="en-AU"/>
              </w:rPr>
            </w:pPr>
            <w:r w:rsidRPr="00D43928">
              <w:rPr>
                <w:rFonts w:ascii="Arial Narrow" w:hAnsi="Arial Narrow"/>
                <w:color w:val="000000"/>
                <w:sz w:val="20"/>
                <w:szCs w:val="20"/>
                <w:lang w:eastAsia="en-AU"/>
              </w:rPr>
              <w:t>206</w:t>
            </w:r>
          </w:p>
        </w:tc>
        <w:tc>
          <w:tcPr>
            <w:tcW w:w="1102" w:type="pct"/>
            <w:vAlign w:val="center"/>
          </w:tcPr>
          <w:p w:rsidR="00576BFC" w:rsidRPr="00D43928" w:rsidRDefault="00576BFC" w:rsidP="008B4B29">
            <w:pPr>
              <w:pStyle w:val="Tablenormal0"/>
              <w:keepNext/>
              <w:widowControl/>
              <w:spacing w:before="0" w:after="0"/>
              <w:jc w:val="center"/>
              <w:rPr>
                <w:rFonts w:ascii="Arial Narrow" w:hAnsi="Arial Narrow"/>
                <w:sz w:val="20"/>
                <w:szCs w:val="20"/>
              </w:rPr>
            </w:pPr>
            <w:r w:rsidRPr="00D43928">
              <w:rPr>
                <w:rFonts w:ascii="Arial Narrow" w:hAnsi="Arial Narrow"/>
                <w:sz w:val="20"/>
                <w:szCs w:val="20"/>
              </w:rPr>
              <w:t>-2.061</w:t>
            </w:r>
          </w:p>
        </w:tc>
        <w:tc>
          <w:tcPr>
            <w:tcW w:w="311" w:type="pct"/>
            <w:vAlign w:val="center"/>
          </w:tcPr>
          <w:p w:rsidR="00576BFC" w:rsidRPr="00D43928" w:rsidRDefault="00576BFC" w:rsidP="008B4B29">
            <w:pPr>
              <w:pStyle w:val="Tablenormal0"/>
              <w:keepNext/>
              <w:widowControl/>
              <w:spacing w:before="0" w:after="0"/>
              <w:jc w:val="center"/>
              <w:rPr>
                <w:rFonts w:ascii="Arial Narrow" w:hAnsi="Arial Narrow"/>
                <w:color w:val="000000"/>
                <w:sz w:val="20"/>
                <w:szCs w:val="20"/>
                <w:lang w:eastAsia="en-AU"/>
              </w:rPr>
            </w:pPr>
            <w:r w:rsidRPr="00D43928">
              <w:rPr>
                <w:rFonts w:ascii="Arial Narrow" w:hAnsi="Arial Narrow"/>
                <w:color w:val="000000"/>
                <w:sz w:val="20"/>
                <w:szCs w:val="20"/>
                <w:lang w:eastAsia="en-AU"/>
              </w:rPr>
              <w:t>196</w:t>
            </w:r>
          </w:p>
        </w:tc>
        <w:tc>
          <w:tcPr>
            <w:tcW w:w="1102" w:type="pct"/>
            <w:vAlign w:val="center"/>
          </w:tcPr>
          <w:p w:rsidR="00576BFC" w:rsidRPr="00D43928" w:rsidRDefault="00576BFC" w:rsidP="008B4B29">
            <w:pPr>
              <w:pStyle w:val="Tablenormal0"/>
              <w:keepNext/>
              <w:widowControl/>
              <w:spacing w:before="0" w:after="0"/>
              <w:jc w:val="center"/>
              <w:rPr>
                <w:rFonts w:ascii="Arial Narrow" w:hAnsi="Arial Narrow"/>
                <w:sz w:val="20"/>
                <w:szCs w:val="20"/>
              </w:rPr>
            </w:pPr>
            <w:r w:rsidRPr="00D43928">
              <w:rPr>
                <w:rFonts w:ascii="Arial Narrow" w:hAnsi="Arial Narrow"/>
                <w:sz w:val="20"/>
                <w:szCs w:val="20"/>
              </w:rPr>
              <w:t>-4.379</w:t>
            </w:r>
          </w:p>
        </w:tc>
        <w:tc>
          <w:tcPr>
            <w:tcW w:w="411" w:type="pct"/>
            <w:vAlign w:val="center"/>
          </w:tcPr>
          <w:p w:rsidR="00576BFC" w:rsidRPr="00D43928" w:rsidRDefault="00576BFC" w:rsidP="008B4B29">
            <w:pPr>
              <w:pStyle w:val="Tablenormal0"/>
              <w:keepNext/>
              <w:widowControl/>
              <w:spacing w:before="0" w:after="0"/>
              <w:ind w:left="-72" w:right="-49"/>
              <w:jc w:val="center"/>
              <w:rPr>
                <w:rFonts w:ascii="Arial Narrow" w:hAnsi="Arial Narrow"/>
                <w:sz w:val="20"/>
                <w:szCs w:val="20"/>
                <w:vertAlign w:val="superscript"/>
              </w:rPr>
            </w:pPr>
            <w:r w:rsidRPr="00D43928">
              <w:rPr>
                <w:rFonts w:ascii="Arial Narrow" w:hAnsi="Arial Narrow"/>
                <w:sz w:val="20"/>
                <w:szCs w:val="20"/>
              </w:rPr>
              <w:t>52.9%</w:t>
            </w:r>
          </w:p>
        </w:tc>
        <w:tc>
          <w:tcPr>
            <w:tcW w:w="404" w:type="pct"/>
            <w:vMerge w:val="restart"/>
            <w:vAlign w:val="center"/>
          </w:tcPr>
          <w:p w:rsidR="00576BFC" w:rsidRPr="00D43928" w:rsidRDefault="00576BFC" w:rsidP="008B4B29">
            <w:pPr>
              <w:pStyle w:val="Tablenormal0"/>
              <w:keepNext/>
              <w:widowControl/>
              <w:spacing w:before="0" w:after="0"/>
              <w:ind w:left="-72" w:right="-49"/>
              <w:jc w:val="center"/>
              <w:rPr>
                <w:rFonts w:ascii="Arial Narrow" w:hAnsi="Arial Narrow"/>
                <w:sz w:val="20"/>
                <w:szCs w:val="20"/>
                <w:vertAlign w:val="superscript"/>
              </w:rPr>
            </w:pPr>
            <w:r w:rsidRPr="00D43928">
              <w:rPr>
                <w:rFonts w:ascii="Arial Narrow" w:hAnsi="Arial Narrow"/>
                <w:sz w:val="20"/>
                <w:szCs w:val="20"/>
              </w:rPr>
              <w:t xml:space="preserve">30.9% </w:t>
            </w:r>
            <w:r w:rsidRPr="00D43928">
              <w:rPr>
                <w:rFonts w:ascii="Arial Narrow" w:hAnsi="Arial Narrow"/>
                <w:sz w:val="20"/>
                <w:szCs w:val="20"/>
                <w:vertAlign w:val="superscript"/>
              </w:rPr>
              <w:t>b</w:t>
            </w:r>
          </w:p>
        </w:tc>
        <w:tc>
          <w:tcPr>
            <w:tcW w:w="493" w:type="pct"/>
            <w:vAlign w:val="center"/>
          </w:tcPr>
          <w:p w:rsidR="00576BFC" w:rsidRPr="00D43928" w:rsidRDefault="00576BFC" w:rsidP="008B4B29">
            <w:pPr>
              <w:pStyle w:val="Tablenormal0"/>
              <w:keepNext/>
              <w:widowControl/>
              <w:spacing w:before="0" w:after="0"/>
              <w:jc w:val="center"/>
              <w:rPr>
                <w:rFonts w:ascii="Arial Narrow" w:hAnsi="Arial Narrow"/>
                <w:sz w:val="20"/>
                <w:szCs w:val="20"/>
              </w:rPr>
            </w:pPr>
            <w:r w:rsidRPr="00D43928">
              <w:rPr>
                <w:rFonts w:ascii="Arial Narrow" w:hAnsi="Arial Narrow"/>
                <w:sz w:val="20"/>
                <w:szCs w:val="20"/>
              </w:rPr>
              <w:t>NR</w:t>
            </w:r>
          </w:p>
        </w:tc>
      </w:tr>
      <w:tr w:rsidR="00576BFC" w:rsidRPr="00D43928" w:rsidTr="001D22CA">
        <w:trPr>
          <w:trHeight w:val="87"/>
        </w:trPr>
        <w:tc>
          <w:tcPr>
            <w:tcW w:w="859" w:type="pct"/>
            <w:tcBorders>
              <w:bottom w:val="single" w:sz="4" w:space="0" w:color="auto"/>
            </w:tcBorders>
          </w:tcPr>
          <w:p w:rsidR="00576BFC" w:rsidRPr="00D43928" w:rsidRDefault="00576BFC" w:rsidP="008B4B29">
            <w:pPr>
              <w:pStyle w:val="Tablenormal0"/>
              <w:keepNext/>
              <w:widowControl/>
              <w:spacing w:before="0" w:after="0"/>
              <w:rPr>
                <w:rFonts w:ascii="Arial Narrow" w:hAnsi="Arial Narrow"/>
                <w:b/>
                <w:color w:val="000000"/>
                <w:sz w:val="20"/>
                <w:szCs w:val="20"/>
                <w:lang w:eastAsia="en-AU"/>
              </w:rPr>
            </w:pPr>
            <w:r w:rsidRPr="00D43928">
              <w:rPr>
                <w:rFonts w:ascii="Arial Narrow" w:hAnsi="Arial Narrow"/>
                <w:sz w:val="20"/>
                <w:szCs w:val="20"/>
              </w:rPr>
              <w:t>Baseline CKD 3B</w:t>
            </w:r>
          </w:p>
        </w:tc>
        <w:tc>
          <w:tcPr>
            <w:tcW w:w="318" w:type="pct"/>
            <w:tcBorders>
              <w:bottom w:val="single" w:sz="4" w:space="0" w:color="auto"/>
            </w:tcBorders>
            <w:vAlign w:val="center"/>
          </w:tcPr>
          <w:p w:rsidR="00576BFC" w:rsidRPr="00D43928" w:rsidRDefault="00576BFC" w:rsidP="008B4B29">
            <w:pPr>
              <w:pStyle w:val="Tablenormal0"/>
              <w:keepNext/>
              <w:widowControl/>
              <w:spacing w:before="0" w:after="0"/>
              <w:jc w:val="center"/>
              <w:rPr>
                <w:rFonts w:ascii="Arial Narrow" w:hAnsi="Arial Narrow"/>
                <w:color w:val="000000"/>
                <w:sz w:val="20"/>
                <w:szCs w:val="20"/>
                <w:lang w:eastAsia="en-AU"/>
              </w:rPr>
            </w:pPr>
            <w:r w:rsidRPr="00D43928">
              <w:rPr>
                <w:rFonts w:ascii="Arial Narrow" w:hAnsi="Arial Narrow"/>
                <w:color w:val="000000"/>
                <w:sz w:val="20"/>
                <w:szCs w:val="20"/>
                <w:lang w:eastAsia="en-AU"/>
              </w:rPr>
              <w:t>294</w:t>
            </w:r>
          </w:p>
        </w:tc>
        <w:tc>
          <w:tcPr>
            <w:tcW w:w="1102" w:type="pct"/>
            <w:tcBorders>
              <w:bottom w:val="single" w:sz="4" w:space="0" w:color="auto"/>
            </w:tcBorders>
            <w:vAlign w:val="center"/>
          </w:tcPr>
          <w:p w:rsidR="00576BFC" w:rsidRPr="00D43928" w:rsidRDefault="00576BFC" w:rsidP="008B4B29">
            <w:pPr>
              <w:pStyle w:val="Tablenormal0"/>
              <w:keepNext/>
              <w:widowControl/>
              <w:spacing w:before="0" w:after="0"/>
              <w:jc w:val="center"/>
              <w:rPr>
                <w:rFonts w:ascii="Arial Narrow" w:hAnsi="Arial Narrow"/>
                <w:sz w:val="20"/>
                <w:szCs w:val="20"/>
              </w:rPr>
            </w:pPr>
            <w:r w:rsidRPr="00D43928">
              <w:rPr>
                <w:rFonts w:ascii="Arial Narrow" w:hAnsi="Arial Narrow"/>
                <w:sz w:val="20"/>
                <w:szCs w:val="20"/>
              </w:rPr>
              <w:t>-3.344</w:t>
            </w:r>
          </w:p>
        </w:tc>
        <w:tc>
          <w:tcPr>
            <w:tcW w:w="311" w:type="pct"/>
            <w:tcBorders>
              <w:bottom w:val="single" w:sz="4" w:space="0" w:color="auto"/>
            </w:tcBorders>
            <w:vAlign w:val="center"/>
          </w:tcPr>
          <w:p w:rsidR="00576BFC" w:rsidRPr="00D43928" w:rsidRDefault="00576BFC" w:rsidP="008B4B29">
            <w:pPr>
              <w:pStyle w:val="Tablenormal0"/>
              <w:keepNext/>
              <w:widowControl/>
              <w:spacing w:before="0" w:after="0"/>
              <w:jc w:val="center"/>
              <w:rPr>
                <w:rFonts w:ascii="Arial Narrow" w:hAnsi="Arial Narrow"/>
                <w:color w:val="000000"/>
                <w:sz w:val="20"/>
                <w:szCs w:val="20"/>
                <w:lang w:eastAsia="en-AU"/>
              </w:rPr>
            </w:pPr>
            <w:r w:rsidRPr="00D43928">
              <w:rPr>
                <w:rFonts w:ascii="Arial Narrow" w:hAnsi="Arial Narrow"/>
                <w:color w:val="000000"/>
                <w:sz w:val="20"/>
                <w:szCs w:val="20"/>
                <w:lang w:eastAsia="en-AU"/>
              </w:rPr>
              <w:t>304</w:t>
            </w:r>
          </w:p>
        </w:tc>
        <w:tc>
          <w:tcPr>
            <w:tcW w:w="1102" w:type="pct"/>
            <w:tcBorders>
              <w:bottom w:val="single" w:sz="4" w:space="0" w:color="auto"/>
            </w:tcBorders>
            <w:vAlign w:val="center"/>
          </w:tcPr>
          <w:p w:rsidR="00576BFC" w:rsidRPr="00D43928" w:rsidRDefault="00576BFC" w:rsidP="008B4B29">
            <w:pPr>
              <w:pStyle w:val="Tablenormal0"/>
              <w:keepNext/>
              <w:widowControl/>
              <w:spacing w:before="0" w:after="0"/>
              <w:jc w:val="center"/>
              <w:rPr>
                <w:rFonts w:ascii="Arial Narrow" w:hAnsi="Arial Narrow"/>
                <w:sz w:val="20"/>
                <w:szCs w:val="20"/>
              </w:rPr>
            </w:pPr>
            <w:r w:rsidRPr="00D43928">
              <w:rPr>
                <w:rFonts w:ascii="Arial Narrow" w:hAnsi="Arial Narrow"/>
                <w:sz w:val="20"/>
                <w:szCs w:val="20"/>
              </w:rPr>
              <w:t>-3.982</w:t>
            </w:r>
          </w:p>
        </w:tc>
        <w:tc>
          <w:tcPr>
            <w:tcW w:w="411" w:type="pct"/>
            <w:tcBorders>
              <w:bottom w:val="single" w:sz="4" w:space="0" w:color="auto"/>
            </w:tcBorders>
            <w:vAlign w:val="center"/>
          </w:tcPr>
          <w:p w:rsidR="00576BFC" w:rsidRPr="00D43928" w:rsidRDefault="00576BFC" w:rsidP="008B4B29">
            <w:pPr>
              <w:pStyle w:val="Tablenormal0"/>
              <w:keepNext/>
              <w:widowControl/>
              <w:spacing w:before="0" w:after="0"/>
              <w:jc w:val="center"/>
              <w:rPr>
                <w:rFonts w:ascii="Arial Narrow" w:hAnsi="Arial Narrow"/>
                <w:sz w:val="20"/>
                <w:szCs w:val="20"/>
                <w:vertAlign w:val="superscript"/>
              </w:rPr>
            </w:pPr>
            <w:r w:rsidRPr="00D43928">
              <w:rPr>
                <w:rFonts w:ascii="Arial Narrow" w:hAnsi="Arial Narrow"/>
                <w:sz w:val="20"/>
                <w:szCs w:val="20"/>
              </w:rPr>
              <w:t>16.0%</w:t>
            </w:r>
          </w:p>
        </w:tc>
        <w:tc>
          <w:tcPr>
            <w:tcW w:w="404" w:type="pct"/>
            <w:vMerge/>
            <w:tcBorders>
              <w:bottom w:val="single" w:sz="4" w:space="0" w:color="auto"/>
            </w:tcBorders>
            <w:vAlign w:val="center"/>
          </w:tcPr>
          <w:p w:rsidR="00576BFC" w:rsidRPr="00D43928" w:rsidRDefault="00576BFC" w:rsidP="008B4B29">
            <w:pPr>
              <w:pStyle w:val="Tablenormal0"/>
              <w:keepNext/>
              <w:widowControl/>
              <w:spacing w:before="0" w:after="0"/>
              <w:jc w:val="center"/>
              <w:rPr>
                <w:rFonts w:ascii="Arial Narrow" w:hAnsi="Arial Narrow"/>
                <w:sz w:val="20"/>
                <w:szCs w:val="20"/>
                <w:vertAlign w:val="superscript"/>
              </w:rPr>
            </w:pPr>
          </w:p>
        </w:tc>
        <w:tc>
          <w:tcPr>
            <w:tcW w:w="493" w:type="pct"/>
            <w:tcBorders>
              <w:bottom w:val="single" w:sz="4" w:space="0" w:color="auto"/>
            </w:tcBorders>
            <w:vAlign w:val="center"/>
          </w:tcPr>
          <w:p w:rsidR="00576BFC" w:rsidRPr="00D43928" w:rsidRDefault="00576BFC" w:rsidP="008B4B29">
            <w:pPr>
              <w:pStyle w:val="Tablenormal0"/>
              <w:keepNext/>
              <w:widowControl/>
              <w:spacing w:before="0" w:after="0"/>
              <w:jc w:val="center"/>
              <w:rPr>
                <w:rFonts w:ascii="Arial Narrow" w:hAnsi="Arial Narrow"/>
                <w:sz w:val="20"/>
                <w:szCs w:val="20"/>
              </w:rPr>
            </w:pPr>
            <w:r w:rsidRPr="00D43928">
              <w:rPr>
                <w:rFonts w:ascii="Arial Narrow" w:hAnsi="Arial Narrow"/>
                <w:sz w:val="20"/>
                <w:szCs w:val="20"/>
              </w:rPr>
              <w:t>NR</w:t>
            </w:r>
          </w:p>
        </w:tc>
      </w:tr>
      <w:tr w:rsidR="00576BFC" w:rsidRPr="00D43928" w:rsidTr="001D22CA">
        <w:trPr>
          <w:trHeight w:val="87"/>
        </w:trPr>
        <w:tc>
          <w:tcPr>
            <w:tcW w:w="859" w:type="pct"/>
            <w:tcBorders>
              <w:bottom w:val="double" w:sz="4" w:space="0" w:color="auto"/>
            </w:tcBorders>
          </w:tcPr>
          <w:p w:rsidR="00576BFC" w:rsidRPr="00D43928" w:rsidRDefault="00576BFC" w:rsidP="008B4B29">
            <w:pPr>
              <w:pStyle w:val="Tablenormal0"/>
              <w:widowControl/>
              <w:spacing w:before="0" w:after="0"/>
              <w:rPr>
                <w:rFonts w:ascii="Arial Narrow" w:hAnsi="Arial Narrow"/>
                <w:b/>
                <w:color w:val="000000"/>
                <w:sz w:val="20"/>
                <w:szCs w:val="20"/>
                <w:lang w:eastAsia="en-AU"/>
              </w:rPr>
            </w:pPr>
            <w:r w:rsidRPr="00D43928">
              <w:rPr>
                <w:rFonts w:ascii="Arial Narrow" w:hAnsi="Arial Narrow"/>
                <w:sz w:val="20"/>
                <w:szCs w:val="20"/>
              </w:rPr>
              <w:t>Baseline CKD 4</w:t>
            </w:r>
          </w:p>
        </w:tc>
        <w:tc>
          <w:tcPr>
            <w:tcW w:w="318" w:type="pct"/>
            <w:tcBorders>
              <w:bottom w:val="double" w:sz="4" w:space="0" w:color="auto"/>
            </w:tcBorders>
            <w:vAlign w:val="center"/>
          </w:tcPr>
          <w:p w:rsidR="00576BFC" w:rsidRPr="00D43928" w:rsidRDefault="00576BFC" w:rsidP="008B4B29">
            <w:pPr>
              <w:pStyle w:val="Tablenormal0"/>
              <w:widowControl/>
              <w:spacing w:before="0" w:after="0"/>
              <w:jc w:val="center"/>
              <w:rPr>
                <w:rFonts w:ascii="Arial Narrow" w:hAnsi="Arial Narrow"/>
                <w:color w:val="000000"/>
                <w:sz w:val="20"/>
                <w:szCs w:val="20"/>
                <w:lang w:eastAsia="en-AU"/>
              </w:rPr>
            </w:pPr>
            <w:r w:rsidRPr="00D43928">
              <w:rPr>
                <w:rFonts w:ascii="Arial Narrow" w:hAnsi="Arial Narrow"/>
                <w:color w:val="000000"/>
                <w:sz w:val="20"/>
                <w:szCs w:val="20"/>
                <w:lang w:eastAsia="en-AU"/>
              </w:rPr>
              <w:t>137</w:t>
            </w:r>
          </w:p>
        </w:tc>
        <w:tc>
          <w:tcPr>
            <w:tcW w:w="1102" w:type="pct"/>
            <w:tcBorders>
              <w:bottom w:val="double" w:sz="4" w:space="0" w:color="auto"/>
            </w:tcBorders>
            <w:vAlign w:val="center"/>
          </w:tcPr>
          <w:p w:rsidR="00576BFC" w:rsidRPr="00D43928" w:rsidRDefault="00576BFC" w:rsidP="008B4B29">
            <w:pPr>
              <w:pStyle w:val="Tablenormal0"/>
              <w:widowControl/>
              <w:spacing w:before="0" w:after="0"/>
              <w:jc w:val="center"/>
              <w:rPr>
                <w:rFonts w:ascii="Arial Narrow" w:hAnsi="Arial Narrow"/>
                <w:sz w:val="20"/>
                <w:szCs w:val="20"/>
              </w:rPr>
            </w:pPr>
            <w:r w:rsidRPr="00D43928">
              <w:rPr>
                <w:rFonts w:ascii="Arial Narrow" w:hAnsi="Arial Narrow"/>
                <w:sz w:val="20"/>
                <w:szCs w:val="20"/>
              </w:rPr>
              <w:t>-4.041</w:t>
            </w:r>
          </w:p>
        </w:tc>
        <w:tc>
          <w:tcPr>
            <w:tcW w:w="311" w:type="pct"/>
            <w:tcBorders>
              <w:bottom w:val="double" w:sz="4" w:space="0" w:color="auto"/>
            </w:tcBorders>
            <w:vAlign w:val="center"/>
          </w:tcPr>
          <w:p w:rsidR="00576BFC" w:rsidRPr="00D43928" w:rsidRDefault="00576BFC" w:rsidP="008B4B29">
            <w:pPr>
              <w:pStyle w:val="Tablenormal0"/>
              <w:widowControl/>
              <w:spacing w:before="0" w:after="0"/>
              <w:jc w:val="center"/>
              <w:rPr>
                <w:rFonts w:ascii="Arial Narrow" w:hAnsi="Arial Narrow"/>
                <w:color w:val="000000"/>
                <w:sz w:val="20"/>
                <w:szCs w:val="20"/>
                <w:lang w:eastAsia="en-AU"/>
              </w:rPr>
            </w:pPr>
            <w:r w:rsidRPr="00D43928">
              <w:rPr>
                <w:rFonts w:ascii="Arial Narrow" w:hAnsi="Arial Narrow"/>
                <w:color w:val="000000"/>
                <w:sz w:val="20"/>
                <w:szCs w:val="20"/>
                <w:lang w:eastAsia="en-AU"/>
              </w:rPr>
              <w:t>125</w:t>
            </w:r>
          </w:p>
        </w:tc>
        <w:tc>
          <w:tcPr>
            <w:tcW w:w="1102" w:type="pct"/>
            <w:tcBorders>
              <w:bottom w:val="double" w:sz="4" w:space="0" w:color="auto"/>
            </w:tcBorders>
            <w:vAlign w:val="center"/>
          </w:tcPr>
          <w:p w:rsidR="00576BFC" w:rsidRPr="00D43928" w:rsidRDefault="00576BFC" w:rsidP="008B4B29">
            <w:pPr>
              <w:pStyle w:val="Tablenormal0"/>
              <w:widowControl/>
              <w:spacing w:before="0" w:after="0"/>
              <w:jc w:val="center"/>
              <w:rPr>
                <w:rFonts w:ascii="Arial Narrow" w:hAnsi="Arial Narrow"/>
                <w:sz w:val="20"/>
                <w:szCs w:val="20"/>
              </w:rPr>
            </w:pPr>
            <w:r w:rsidRPr="00D43928">
              <w:rPr>
                <w:rFonts w:ascii="Arial Narrow" w:hAnsi="Arial Narrow"/>
                <w:sz w:val="20"/>
                <w:szCs w:val="20"/>
              </w:rPr>
              <w:t>-4.590</w:t>
            </w:r>
          </w:p>
        </w:tc>
        <w:tc>
          <w:tcPr>
            <w:tcW w:w="815" w:type="pct"/>
            <w:gridSpan w:val="2"/>
            <w:tcBorders>
              <w:bottom w:val="double" w:sz="4" w:space="0" w:color="auto"/>
            </w:tcBorders>
            <w:vAlign w:val="center"/>
          </w:tcPr>
          <w:p w:rsidR="00576BFC" w:rsidRPr="00D43928" w:rsidRDefault="00576BFC" w:rsidP="008B4B29">
            <w:pPr>
              <w:pStyle w:val="Tablenormal0"/>
              <w:widowControl/>
              <w:spacing w:before="0" w:after="0"/>
              <w:jc w:val="center"/>
              <w:rPr>
                <w:rFonts w:ascii="Arial Narrow" w:hAnsi="Arial Narrow"/>
                <w:sz w:val="20"/>
                <w:szCs w:val="20"/>
              </w:rPr>
            </w:pPr>
            <w:r w:rsidRPr="00D43928">
              <w:rPr>
                <w:rFonts w:ascii="Arial Narrow" w:hAnsi="Arial Narrow"/>
                <w:sz w:val="20"/>
                <w:szCs w:val="20"/>
              </w:rPr>
              <w:t>12.0%</w:t>
            </w:r>
          </w:p>
        </w:tc>
        <w:tc>
          <w:tcPr>
            <w:tcW w:w="493" w:type="pct"/>
            <w:tcBorders>
              <w:bottom w:val="double" w:sz="4" w:space="0" w:color="auto"/>
            </w:tcBorders>
            <w:vAlign w:val="center"/>
          </w:tcPr>
          <w:p w:rsidR="00576BFC" w:rsidRPr="00D43928" w:rsidRDefault="00576BFC" w:rsidP="008B4B29">
            <w:pPr>
              <w:pStyle w:val="Tablenormal0"/>
              <w:widowControl/>
              <w:spacing w:before="0" w:after="0"/>
              <w:jc w:val="center"/>
              <w:rPr>
                <w:rFonts w:ascii="Arial Narrow" w:hAnsi="Arial Narrow"/>
                <w:sz w:val="20"/>
                <w:szCs w:val="20"/>
              </w:rPr>
            </w:pPr>
            <w:r w:rsidRPr="00D43928">
              <w:rPr>
                <w:rFonts w:ascii="Arial Narrow" w:hAnsi="Arial Narrow"/>
                <w:sz w:val="20"/>
                <w:szCs w:val="20"/>
              </w:rPr>
              <w:t>NR</w:t>
            </w:r>
          </w:p>
        </w:tc>
      </w:tr>
      <w:tr w:rsidR="00576BFC" w:rsidRPr="00D43928" w:rsidTr="001D22CA">
        <w:trPr>
          <w:trHeight w:val="87"/>
        </w:trPr>
        <w:tc>
          <w:tcPr>
            <w:tcW w:w="5000" w:type="pct"/>
            <w:gridSpan w:val="8"/>
            <w:tcBorders>
              <w:top w:val="double" w:sz="4" w:space="0" w:color="auto"/>
              <w:bottom w:val="single" w:sz="4" w:space="0" w:color="auto"/>
            </w:tcBorders>
          </w:tcPr>
          <w:p w:rsidR="00576BFC" w:rsidRPr="00D43928" w:rsidRDefault="00576BFC" w:rsidP="008B4B29">
            <w:pPr>
              <w:keepNext/>
              <w:keepLines/>
              <w:widowControl/>
              <w:rPr>
                <w:rFonts w:ascii="Arial Narrow" w:hAnsi="Arial Narrow"/>
                <w:b/>
                <w:sz w:val="20"/>
                <w:szCs w:val="20"/>
                <w:vertAlign w:val="superscript"/>
              </w:rPr>
            </w:pPr>
            <w:r w:rsidRPr="00D43928">
              <w:rPr>
                <w:rFonts w:ascii="Arial Narrow" w:hAnsi="Arial Narrow"/>
                <w:b/>
                <w:sz w:val="20"/>
                <w:szCs w:val="20"/>
              </w:rPr>
              <w:t>TEMPO 3:4 post-hoc subgroup analysis by baseline CKD stages 1-3 (ITT; end of 3 week titration to 36 months)</w:t>
            </w:r>
            <w:r w:rsidRPr="00D43928">
              <w:rPr>
                <w:rFonts w:ascii="Arial Narrow" w:hAnsi="Arial Narrow"/>
                <w:b/>
                <w:sz w:val="20"/>
                <w:szCs w:val="20"/>
                <w:vertAlign w:val="superscript"/>
              </w:rPr>
              <w:t>c</w:t>
            </w:r>
          </w:p>
        </w:tc>
      </w:tr>
      <w:tr w:rsidR="00576BFC" w:rsidRPr="00D43928" w:rsidTr="001D22CA">
        <w:trPr>
          <w:trHeight w:val="87"/>
        </w:trPr>
        <w:tc>
          <w:tcPr>
            <w:tcW w:w="859" w:type="pct"/>
            <w:tcBorders>
              <w:bottom w:val="single" w:sz="4" w:space="0" w:color="auto"/>
            </w:tcBorders>
          </w:tcPr>
          <w:p w:rsidR="00576BFC" w:rsidRPr="00D43928" w:rsidRDefault="00576BFC" w:rsidP="008B4B29">
            <w:pPr>
              <w:pStyle w:val="Tablenormal0"/>
              <w:widowControl/>
              <w:spacing w:before="0" w:after="0"/>
              <w:rPr>
                <w:rFonts w:ascii="Arial Narrow" w:hAnsi="Arial Narrow"/>
                <w:sz w:val="20"/>
                <w:szCs w:val="20"/>
              </w:rPr>
            </w:pPr>
            <w:r w:rsidRPr="00D43928">
              <w:rPr>
                <w:rFonts w:ascii="Arial Narrow" w:hAnsi="Arial Narrow"/>
                <w:sz w:val="20"/>
                <w:szCs w:val="20"/>
              </w:rPr>
              <w:t>Overall population</w:t>
            </w:r>
          </w:p>
        </w:tc>
        <w:tc>
          <w:tcPr>
            <w:tcW w:w="318" w:type="pct"/>
            <w:tcBorders>
              <w:bottom w:val="single" w:sz="4" w:space="0" w:color="auto"/>
            </w:tcBorders>
          </w:tcPr>
          <w:p w:rsidR="00576BFC" w:rsidRPr="00D43928" w:rsidRDefault="00576BFC" w:rsidP="008B4B29">
            <w:pPr>
              <w:pStyle w:val="Tablenormal0"/>
              <w:widowControl/>
              <w:spacing w:before="0" w:after="0"/>
              <w:jc w:val="center"/>
              <w:rPr>
                <w:rFonts w:ascii="Arial Narrow" w:hAnsi="Arial Narrow"/>
                <w:color w:val="000000"/>
                <w:sz w:val="20"/>
                <w:szCs w:val="20"/>
                <w:lang w:eastAsia="en-AU"/>
              </w:rPr>
            </w:pPr>
            <w:r w:rsidRPr="00D43928">
              <w:rPr>
                <w:rFonts w:ascii="Arial Narrow" w:hAnsi="Arial Narrow"/>
                <w:color w:val="000000"/>
                <w:sz w:val="20"/>
                <w:szCs w:val="20"/>
                <w:lang w:eastAsia="en-AU"/>
              </w:rPr>
              <w:t>842</w:t>
            </w:r>
          </w:p>
        </w:tc>
        <w:tc>
          <w:tcPr>
            <w:tcW w:w="1102" w:type="pct"/>
            <w:tcBorders>
              <w:bottom w:val="single" w:sz="4" w:space="0" w:color="auto"/>
            </w:tcBorders>
            <w:vAlign w:val="center"/>
          </w:tcPr>
          <w:p w:rsidR="00576BFC" w:rsidRPr="00D43928" w:rsidRDefault="00576BFC" w:rsidP="008B4B29">
            <w:pPr>
              <w:pStyle w:val="Tablenormal0"/>
              <w:widowControl/>
              <w:spacing w:before="0" w:after="0"/>
              <w:jc w:val="center"/>
              <w:rPr>
                <w:rFonts w:ascii="Arial Narrow" w:hAnsi="Arial Narrow"/>
                <w:sz w:val="20"/>
                <w:szCs w:val="20"/>
              </w:rPr>
            </w:pPr>
            <w:r w:rsidRPr="00D43928">
              <w:rPr>
                <w:rFonts w:ascii="Arial Narrow" w:hAnsi="Arial Narrow"/>
                <w:sz w:val="20"/>
                <w:szCs w:val="20"/>
              </w:rPr>
              <w:t>-2.72</w:t>
            </w:r>
          </w:p>
        </w:tc>
        <w:tc>
          <w:tcPr>
            <w:tcW w:w="311" w:type="pct"/>
            <w:tcBorders>
              <w:bottom w:val="single" w:sz="4" w:space="0" w:color="auto"/>
            </w:tcBorders>
          </w:tcPr>
          <w:p w:rsidR="00576BFC" w:rsidRPr="00D43928" w:rsidRDefault="00576BFC" w:rsidP="008B4B29">
            <w:pPr>
              <w:pStyle w:val="Tablenormal0"/>
              <w:widowControl/>
              <w:spacing w:before="0" w:after="0"/>
              <w:jc w:val="center"/>
              <w:rPr>
                <w:rFonts w:ascii="Arial Narrow" w:hAnsi="Arial Narrow"/>
                <w:color w:val="000000"/>
                <w:sz w:val="20"/>
                <w:szCs w:val="20"/>
                <w:lang w:eastAsia="en-AU"/>
              </w:rPr>
            </w:pPr>
            <w:r w:rsidRPr="00D43928">
              <w:rPr>
                <w:rFonts w:ascii="Arial Narrow" w:hAnsi="Arial Narrow"/>
                <w:color w:val="000000"/>
                <w:sz w:val="20"/>
                <w:szCs w:val="20"/>
                <w:lang w:eastAsia="en-AU"/>
              </w:rPr>
              <w:t>464</w:t>
            </w:r>
          </w:p>
        </w:tc>
        <w:tc>
          <w:tcPr>
            <w:tcW w:w="1102" w:type="pct"/>
            <w:tcBorders>
              <w:bottom w:val="single" w:sz="4" w:space="0" w:color="auto"/>
            </w:tcBorders>
          </w:tcPr>
          <w:p w:rsidR="00576BFC" w:rsidRPr="00D43928" w:rsidRDefault="00576BFC" w:rsidP="008B4B29">
            <w:pPr>
              <w:pStyle w:val="Tablenormal0"/>
              <w:widowControl/>
              <w:spacing w:before="0" w:after="0"/>
              <w:jc w:val="center"/>
              <w:rPr>
                <w:rFonts w:ascii="Arial Narrow" w:hAnsi="Arial Narrow"/>
                <w:sz w:val="20"/>
                <w:szCs w:val="20"/>
              </w:rPr>
            </w:pPr>
            <w:r w:rsidRPr="00D43928">
              <w:rPr>
                <w:rFonts w:ascii="Arial Narrow" w:hAnsi="Arial Narrow"/>
                <w:sz w:val="20"/>
                <w:szCs w:val="20"/>
              </w:rPr>
              <w:t>-3.70</w:t>
            </w:r>
          </w:p>
        </w:tc>
        <w:tc>
          <w:tcPr>
            <w:tcW w:w="815" w:type="pct"/>
            <w:gridSpan w:val="2"/>
            <w:tcBorders>
              <w:bottom w:val="single" w:sz="4" w:space="0" w:color="auto"/>
            </w:tcBorders>
            <w:vAlign w:val="center"/>
          </w:tcPr>
          <w:p w:rsidR="00576BFC" w:rsidRPr="00D43928" w:rsidRDefault="00576BFC" w:rsidP="008B4B29">
            <w:pPr>
              <w:pStyle w:val="Tablenormal0"/>
              <w:widowControl/>
              <w:spacing w:before="0" w:after="0"/>
              <w:jc w:val="center"/>
              <w:rPr>
                <w:rFonts w:ascii="Arial Narrow" w:hAnsi="Arial Narrow"/>
                <w:sz w:val="20"/>
                <w:szCs w:val="20"/>
              </w:rPr>
            </w:pPr>
            <w:r w:rsidRPr="00D43928">
              <w:rPr>
                <w:rFonts w:ascii="Arial Narrow" w:hAnsi="Arial Narrow"/>
                <w:sz w:val="20"/>
                <w:szCs w:val="20"/>
              </w:rPr>
              <w:t>26.4%</w:t>
            </w:r>
          </w:p>
        </w:tc>
        <w:tc>
          <w:tcPr>
            <w:tcW w:w="493" w:type="pct"/>
            <w:tcBorders>
              <w:bottom w:val="single" w:sz="4" w:space="0" w:color="auto"/>
            </w:tcBorders>
            <w:vAlign w:val="center"/>
          </w:tcPr>
          <w:p w:rsidR="00576BFC" w:rsidRPr="00D43928" w:rsidRDefault="00576BFC" w:rsidP="008B4B29">
            <w:pPr>
              <w:pStyle w:val="Tablenormal0"/>
              <w:widowControl/>
              <w:spacing w:before="0" w:after="0"/>
              <w:jc w:val="center"/>
              <w:rPr>
                <w:rFonts w:ascii="Arial Narrow" w:hAnsi="Arial Narrow"/>
                <w:sz w:val="20"/>
                <w:szCs w:val="20"/>
              </w:rPr>
            </w:pPr>
            <w:r w:rsidRPr="00D43928">
              <w:rPr>
                <w:rFonts w:ascii="Arial Narrow" w:hAnsi="Arial Narrow"/>
                <w:sz w:val="20"/>
                <w:szCs w:val="20"/>
              </w:rPr>
              <w:t>&lt;0.0001</w:t>
            </w:r>
          </w:p>
        </w:tc>
      </w:tr>
      <w:tr w:rsidR="00576BFC" w:rsidRPr="00D43928" w:rsidTr="001D22CA">
        <w:trPr>
          <w:trHeight w:val="87"/>
        </w:trPr>
        <w:tc>
          <w:tcPr>
            <w:tcW w:w="859" w:type="pct"/>
            <w:tcBorders>
              <w:top w:val="single" w:sz="4" w:space="0" w:color="auto"/>
            </w:tcBorders>
          </w:tcPr>
          <w:p w:rsidR="00576BFC" w:rsidRPr="00D43928" w:rsidRDefault="00576BFC" w:rsidP="008B4B29">
            <w:pPr>
              <w:pStyle w:val="Tablenormal0"/>
              <w:widowControl/>
              <w:spacing w:before="0" w:after="0"/>
              <w:rPr>
                <w:rFonts w:ascii="Arial Narrow" w:hAnsi="Arial Narrow"/>
                <w:b/>
                <w:color w:val="000000"/>
                <w:sz w:val="20"/>
                <w:szCs w:val="20"/>
                <w:lang w:eastAsia="en-AU"/>
              </w:rPr>
            </w:pPr>
            <w:r w:rsidRPr="00D43928">
              <w:rPr>
                <w:rFonts w:ascii="Arial Narrow" w:hAnsi="Arial Narrow"/>
                <w:sz w:val="20"/>
                <w:szCs w:val="20"/>
              </w:rPr>
              <w:t>Baseline CKD 1</w:t>
            </w:r>
          </w:p>
        </w:tc>
        <w:tc>
          <w:tcPr>
            <w:tcW w:w="318" w:type="pct"/>
            <w:tcBorders>
              <w:top w:val="single" w:sz="4" w:space="0" w:color="auto"/>
            </w:tcBorders>
          </w:tcPr>
          <w:p w:rsidR="00576BFC" w:rsidRPr="00D43928" w:rsidRDefault="00576BFC" w:rsidP="008B4B29">
            <w:pPr>
              <w:pStyle w:val="Tablenormal0"/>
              <w:widowControl/>
              <w:spacing w:before="0" w:after="0"/>
              <w:jc w:val="center"/>
              <w:rPr>
                <w:rFonts w:ascii="Arial Narrow" w:hAnsi="Arial Narrow"/>
                <w:color w:val="000000"/>
                <w:sz w:val="20"/>
                <w:szCs w:val="20"/>
                <w:lang w:eastAsia="en-AU"/>
              </w:rPr>
            </w:pPr>
            <w:r w:rsidRPr="00D43928">
              <w:rPr>
                <w:rFonts w:ascii="Arial Narrow" w:hAnsi="Arial Narrow"/>
                <w:color w:val="000000"/>
                <w:sz w:val="20"/>
                <w:szCs w:val="20"/>
                <w:lang w:eastAsia="en-AU"/>
              </w:rPr>
              <w:t>267</w:t>
            </w:r>
          </w:p>
        </w:tc>
        <w:tc>
          <w:tcPr>
            <w:tcW w:w="1102" w:type="pct"/>
            <w:tcBorders>
              <w:top w:val="single" w:sz="4" w:space="0" w:color="auto"/>
            </w:tcBorders>
            <w:vAlign w:val="center"/>
          </w:tcPr>
          <w:p w:rsidR="00576BFC" w:rsidRPr="00D43928" w:rsidRDefault="00576BFC" w:rsidP="008B4B29">
            <w:pPr>
              <w:pStyle w:val="Tablenormal0"/>
              <w:widowControl/>
              <w:spacing w:before="0" w:after="0"/>
              <w:jc w:val="center"/>
              <w:rPr>
                <w:rFonts w:ascii="Arial Narrow" w:hAnsi="Arial Narrow"/>
                <w:sz w:val="20"/>
                <w:szCs w:val="20"/>
              </w:rPr>
            </w:pPr>
            <w:r w:rsidRPr="00D43928">
              <w:rPr>
                <w:rFonts w:ascii="Arial Narrow" w:hAnsi="Arial Narrow"/>
                <w:sz w:val="20"/>
                <w:szCs w:val="20"/>
              </w:rPr>
              <w:t>-2.2</w:t>
            </w:r>
          </w:p>
        </w:tc>
        <w:tc>
          <w:tcPr>
            <w:tcW w:w="311" w:type="pct"/>
            <w:tcBorders>
              <w:top w:val="single" w:sz="4" w:space="0" w:color="auto"/>
            </w:tcBorders>
          </w:tcPr>
          <w:p w:rsidR="00576BFC" w:rsidRPr="00D43928" w:rsidRDefault="00576BFC" w:rsidP="008B4B29">
            <w:pPr>
              <w:pStyle w:val="Tablenormal0"/>
              <w:widowControl/>
              <w:spacing w:before="0" w:after="0"/>
              <w:jc w:val="center"/>
              <w:rPr>
                <w:rFonts w:ascii="Arial Narrow" w:hAnsi="Arial Narrow"/>
                <w:color w:val="000000"/>
                <w:sz w:val="20"/>
                <w:szCs w:val="20"/>
                <w:lang w:eastAsia="en-AU"/>
              </w:rPr>
            </w:pPr>
            <w:r w:rsidRPr="00D43928">
              <w:rPr>
                <w:rFonts w:ascii="Arial Narrow" w:hAnsi="Arial Narrow"/>
                <w:color w:val="000000"/>
                <w:sz w:val="20"/>
                <w:szCs w:val="20"/>
                <w:lang w:eastAsia="en-AU"/>
              </w:rPr>
              <w:t>158</w:t>
            </w:r>
          </w:p>
        </w:tc>
        <w:tc>
          <w:tcPr>
            <w:tcW w:w="1102" w:type="pct"/>
            <w:tcBorders>
              <w:top w:val="single" w:sz="4" w:space="0" w:color="auto"/>
            </w:tcBorders>
          </w:tcPr>
          <w:p w:rsidR="00576BFC" w:rsidRPr="00D43928" w:rsidRDefault="00576BFC" w:rsidP="008B4B29">
            <w:pPr>
              <w:pStyle w:val="Tablenormal0"/>
              <w:widowControl/>
              <w:spacing w:before="0" w:after="0"/>
              <w:jc w:val="center"/>
              <w:rPr>
                <w:rFonts w:ascii="Arial Narrow" w:hAnsi="Arial Narrow"/>
                <w:sz w:val="20"/>
                <w:szCs w:val="20"/>
              </w:rPr>
            </w:pPr>
            <w:r w:rsidRPr="00D43928">
              <w:rPr>
                <w:rFonts w:ascii="Arial Narrow" w:hAnsi="Arial Narrow"/>
                <w:sz w:val="20"/>
                <w:szCs w:val="20"/>
              </w:rPr>
              <w:t>-2.6</w:t>
            </w:r>
          </w:p>
        </w:tc>
        <w:tc>
          <w:tcPr>
            <w:tcW w:w="815" w:type="pct"/>
            <w:gridSpan w:val="2"/>
            <w:tcBorders>
              <w:top w:val="single" w:sz="4" w:space="0" w:color="auto"/>
            </w:tcBorders>
            <w:vAlign w:val="center"/>
          </w:tcPr>
          <w:p w:rsidR="00576BFC" w:rsidRPr="00D43928" w:rsidRDefault="00576BFC" w:rsidP="008B4B29">
            <w:pPr>
              <w:pStyle w:val="Tablenormal0"/>
              <w:widowControl/>
              <w:spacing w:before="0" w:after="0"/>
              <w:jc w:val="center"/>
              <w:rPr>
                <w:rFonts w:ascii="Arial Narrow" w:hAnsi="Arial Narrow"/>
                <w:sz w:val="20"/>
                <w:szCs w:val="20"/>
              </w:rPr>
            </w:pPr>
            <w:r w:rsidRPr="00D43928">
              <w:rPr>
                <w:rFonts w:ascii="Arial Narrow" w:hAnsi="Arial Narrow"/>
                <w:sz w:val="20"/>
                <w:szCs w:val="20"/>
              </w:rPr>
              <w:t>15.5%</w:t>
            </w:r>
          </w:p>
        </w:tc>
        <w:tc>
          <w:tcPr>
            <w:tcW w:w="493" w:type="pct"/>
            <w:tcBorders>
              <w:top w:val="single" w:sz="4" w:space="0" w:color="auto"/>
            </w:tcBorders>
            <w:vAlign w:val="center"/>
          </w:tcPr>
          <w:p w:rsidR="00576BFC" w:rsidRPr="00D43928" w:rsidRDefault="00576BFC" w:rsidP="008B4B29">
            <w:pPr>
              <w:pStyle w:val="Tablenormal0"/>
              <w:widowControl/>
              <w:spacing w:before="0" w:after="0"/>
              <w:jc w:val="center"/>
              <w:rPr>
                <w:rFonts w:ascii="Arial Narrow" w:hAnsi="Arial Narrow"/>
                <w:sz w:val="20"/>
                <w:szCs w:val="20"/>
              </w:rPr>
            </w:pPr>
            <w:r w:rsidRPr="00D43928">
              <w:rPr>
                <w:rFonts w:ascii="Arial Narrow" w:hAnsi="Arial Narrow"/>
                <w:sz w:val="20"/>
                <w:szCs w:val="20"/>
              </w:rPr>
              <w:t>0.2324</w:t>
            </w:r>
          </w:p>
        </w:tc>
      </w:tr>
      <w:tr w:rsidR="00576BFC" w:rsidRPr="00D43928" w:rsidTr="001D22CA">
        <w:trPr>
          <w:trHeight w:val="87"/>
        </w:trPr>
        <w:tc>
          <w:tcPr>
            <w:tcW w:w="859" w:type="pct"/>
          </w:tcPr>
          <w:p w:rsidR="00576BFC" w:rsidRPr="00D43928" w:rsidRDefault="00576BFC" w:rsidP="008B4B29">
            <w:pPr>
              <w:pStyle w:val="Tablenormal0"/>
              <w:widowControl/>
              <w:spacing w:before="0" w:after="0"/>
              <w:rPr>
                <w:rFonts w:ascii="Arial Narrow" w:hAnsi="Arial Narrow"/>
                <w:sz w:val="20"/>
                <w:szCs w:val="20"/>
              </w:rPr>
            </w:pPr>
            <w:r w:rsidRPr="00D43928">
              <w:rPr>
                <w:rFonts w:ascii="Arial Narrow" w:hAnsi="Arial Narrow"/>
                <w:sz w:val="20"/>
                <w:szCs w:val="20"/>
              </w:rPr>
              <w:t>Baseline CKD 2</w:t>
            </w:r>
          </w:p>
        </w:tc>
        <w:tc>
          <w:tcPr>
            <w:tcW w:w="318" w:type="pct"/>
          </w:tcPr>
          <w:p w:rsidR="00576BFC" w:rsidRPr="00D43928" w:rsidRDefault="00576BFC" w:rsidP="008B4B29">
            <w:pPr>
              <w:pStyle w:val="Tablenormal0"/>
              <w:widowControl/>
              <w:spacing w:before="0" w:after="0"/>
              <w:jc w:val="center"/>
              <w:rPr>
                <w:rFonts w:ascii="Arial Narrow" w:hAnsi="Arial Narrow"/>
                <w:color w:val="000000"/>
                <w:sz w:val="20"/>
                <w:szCs w:val="20"/>
                <w:lang w:eastAsia="en-AU"/>
              </w:rPr>
            </w:pPr>
            <w:r w:rsidRPr="00D43928">
              <w:rPr>
                <w:rFonts w:ascii="Arial Narrow" w:hAnsi="Arial Narrow"/>
                <w:color w:val="000000"/>
                <w:sz w:val="20"/>
                <w:szCs w:val="20"/>
                <w:lang w:eastAsia="en-AU"/>
              </w:rPr>
              <w:t>465</w:t>
            </w:r>
          </w:p>
        </w:tc>
        <w:tc>
          <w:tcPr>
            <w:tcW w:w="1102" w:type="pct"/>
          </w:tcPr>
          <w:p w:rsidR="00576BFC" w:rsidRPr="00D43928" w:rsidRDefault="00576BFC" w:rsidP="008B4B29">
            <w:pPr>
              <w:pStyle w:val="Tablenormal0"/>
              <w:widowControl/>
              <w:spacing w:before="0" w:after="0"/>
              <w:jc w:val="center"/>
              <w:rPr>
                <w:rFonts w:ascii="Arial Narrow" w:hAnsi="Arial Narrow"/>
                <w:sz w:val="20"/>
                <w:szCs w:val="20"/>
              </w:rPr>
            </w:pPr>
            <w:r w:rsidRPr="00D43928">
              <w:rPr>
                <w:rFonts w:ascii="Arial Narrow" w:hAnsi="Arial Narrow"/>
                <w:sz w:val="20"/>
                <w:szCs w:val="20"/>
              </w:rPr>
              <w:t>-2.7</w:t>
            </w:r>
          </w:p>
        </w:tc>
        <w:tc>
          <w:tcPr>
            <w:tcW w:w="311" w:type="pct"/>
          </w:tcPr>
          <w:p w:rsidR="00576BFC" w:rsidRPr="00D43928" w:rsidRDefault="00576BFC" w:rsidP="008B4B29">
            <w:pPr>
              <w:pStyle w:val="Tablenormal0"/>
              <w:widowControl/>
              <w:spacing w:before="0" w:after="0"/>
              <w:jc w:val="center"/>
              <w:rPr>
                <w:rFonts w:ascii="Arial Narrow" w:hAnsi="Arial Narrow"/>
                <w:color w:val="000000"/>
                <w:sz w:val="20"/>
                <w:szCs w:val="20"/>
                <w:lang w:eastAsia="en-AU"/>
              </w:rPr>
            </w:pPr>
            <w:r w:rsidRPr="00D43928">
              <w:rPr>
                <w:rFonts w:ascii="Arial Narrow" w:hAnsi="Arial Narrow"/>
                <w:color w:val="000000"/>
                <w:sz w:val="20"/>
                <w:szCs w:val="20"/>
                <w:lang w:eastAsia="en-AU"/>
              </w:rPr>
              <w:t>224</w:t>
            </w:r>
          </w:p>
        </w:tc>
        <w:tc>
          <w:tcPr>
            <w:tcW w:w="1102" w:type="pct"/>
          </w:tcPr>
          <w:p w:rsidR="00576BFC" w:rsidRPr="00D43928" w:rsidRDefault="00576BFC" w:rsidP="008B4B29">
            <w:pPr>
              <w:pStyle w:val="Tablenormal0"/>
              <w:widowControl/>
              <w:spacing w:before="0" w:after="0"/>
              <w:jc w:val="center"/>
              <w:rPr>
                <w:rFonts w:ascii="Arial Narrow" w:hAnsi="Arial Narrow"/>
                <w:sz w:val="20"/>
                <w:szCs w:val="20"/>
              </w:rPr>
            </w:pPr>
            <w:r w:rsidRPr="00D43928">
              <w:rPr>
                <w:rFonts w:ascii="Arial Narrow" w:hAnsi="Arial Narrow"/>
                <w:sz w:val="20"/>
                <w:szCs w:val="20"/>
              </w:rPr>
              <w:t>-3.9</w:t>
            </w:r>
          </w:p>
        </w:tc>
        <w:tc>
          <w:tcPr>
            <w:tcW w:w="815" w:type="pct"/>
            <w:gridSpan w:val="2"/>
            <w:vAlign w:val="center"/>
          </w:tcPr>
          <w:p w:rsidR="00576BFC" w:rsidRPr="00D43928" w:rsidRDefault="00576BFC" w:rsidP="008B4B29">
            <w:pPr>
              <w:pStyle w:val="Tablenormal0"/>
              <w:widowControl/>
              <w:spacing w:before="0" w:after="0"/>
              <w:jc w:val="center"/>
              <w:rPr>
                <w:rFonts w:ascii="Arial Narrow" w:hAnsi="Arial Narrow"/>
                <w:sz w:val="20"/>
                <w:szCs w:val="20"/>
              </w:rPr>
            </w:pPr>
            <w:r w:rsidRPr="00D43928">
              <w:rPr>
                <w:rFonts w:ascii="Arial Narrow" w:hAnsi="Arial Narrow"/>
                <w:sz w:val="20"/>
                <w:szCs w:val="20"/>
              </w:rPr>
              <w:t>29.1%</w:t>
            </w:r>
          </w:p>
        </w:tc>
        <w:tc>
          <w:tcPr>
            <w:tcW w:w="493" w:type="pct"/>
            <w:vAlign w:val="center"/>
          </w:tcPr>
          <w:p w:rsidR="00576BFC" w:rsidRPr="00D43928" w:rsidRDefault="00576BFC" w:rsidP="008B4B29">
            <w:pPr>
              <w:pStyle w:val="Tablenormal0"/>
              <w:widowControl/>
              <w:spacing w:before="0" w:after="0"/>
              <w:jc w:val="center"/>
              <w:rPr>
                <w:rFonts w:ascii="Arial Narrow" w:hAnsi="Arial Narrow"/>
                <w:sz w:val="20"/>
                <w:szCs w:val="20"/>
              </w:rPr>
            </w:pPr>
            <w:r w:rsidRPr="00D43928">
              <w:rPr>
                <w:rFonts w:ascii="Arial Narrow" w:hAnsi="Arial Narrow"/>
                <w:sz w:val="20"/>
                <w:szCs w:val="20"/>
              </w:rPr>
              <w:t>&lt;0.0001</w:t>
            </w:r>
          </w:p>
        </w:tc>
      </w:tr>
      <w:tr w:rsidR="00576BFC" w:rsidRPr="00D43928" w:rsidTr="001D22CA">
        <w:trPr>
          <w:trHeight w:val="87"/>
        </w:trPr>
        <w:tc>
          <w:tcPr>
            <w:tcW w:w="859" w:type="pct"/>
          </w:tcPr>
          <w:p w:rsidR="00576BFC" w:rsidRPr="00D43928" w:rsidRDefault="00576BFC" w:rsidP="008B4B29">
            <w:pPr>
              <w:pStyle w:val="Tablenormal0"/>
              <w:widowControl/>
              <w:spacing w:before="0" w:after="0"/>
              <w:rPr>
                <w:rFonts w:ascii="Arial Narrow" w:hAnsi="Arial Narrow"/>
                <w:b/>
                <w:color w:val="000000"/>
                <w:sz w:val="20"/>
                <w:szCs w:val="20"/>
                <w:lang w:eastAsia="en-AU"/>
              </w:rPr>
            </w:pPr>
            <w:r w:rsidRPr="00D43928">
              <w:rPr>
                <w:rFonts w:ascii="Arial Narrow" w:hAnsi="Arial Narrow"/>
                <w:sz w:val="20"/>
                <w:szCs w:val="20"/>
              </w:rPr>
              <w:t>Baseline CKD 3</w:t>
            </w:r>
          </w:p>
        </w:tc>
        <w:tc>
          <w:tcPr>
            <w:tcW w:w="318" w:type="pct"/>
          </w:tcPr>
          <w:p w:rsidR="00576BFC" w:rsidRPr="00D43928" w:rsidRDefault="00576BFC" w:rsidP="008B4B29">
            <w:pPr>
              <w:pStyle w:val="Tablenormal0"/>
              <w:widowControl/>
              <w:spacing w:before="0" w:after="0"/>
              <w:jc w:val="center"/>
              <w:rPr>
                <w:rFonts w:ascii="Arial Narrow" w:hAnsi="Arial Narrow"/>
                <w:color w:val="000000"/>
                <w:sz w:val="20"/>
                <w:szCs w:val="20"/>
                <w:lang w:eastAsia="en-AU"/>
              </w:rPr>
            </w:pPr>
            <w:r w:rsidRPr="00D43928">
              <w:rPr>
                <w:rFonts w:ascii="Arial Narrow" w:hAnsi="Arial Narrow"/>
                <w:color w:val="000000"/>
                <w:sz w:val="20"/>
                <w:szCs w:val="20"/>
                <w:lang w:eastAsia="en-AU"/>
              </w:rPr>
              <w:t>163</w:t>
            </w:r>
          </w:p>
        </w:tc>
        <w:tc>
          <w:tcPr>
            <w:tcW w:w="1102" w:type="pct"/>
          </w:tcPr>
          <w:p w:rsidR="00576BFC" w:rsidRPr="00D43928" w:rsidRDefault="00576BFC" w:rsidP="008B4B29">
            <w:pPr>
              <w:pStyle w:val="Tablenormal0"/>
              <w:widowControl/>
              <w:spacing w:before="0" w:after="0"/>
              <w:jc w:val="center"/>
              <w:rPr>
                <w:rFonts w:ascii="Arial Narrow" w:hAnsi="Arial Narrow"/>
                <w:sz w:val="20"/>
                <w:szCs w:val="20"/>
              </w:rPr>
            </w:pPr>
            <w:r w:rsidRPr="00D43928">
              <w:rPr>
                <w:rFonts w:ascii="Arial Narrow" w:hAnsi="Arial Narrow"/>
                <w:sz w:val="20"/>
                <w:szCs w:val="20"/>
              </w:rPr>
              <w:t>-3.7</w:t>
            </w:r>
          </w:p>
        </w:tc>
        <w:tc>
          <w:tcPr>
            <w:tcW w:w="311" w:type="pct"/>
          </w:tcPr>
          <w:p w:rsidR="00576BFC" w:rsidRPr="00D43928" w:rsidRDefault="00576BFC" w:rsidP="008B4B29">
            <w:pPr>
              <w:pStyle w:val="Tablenormal0"/>
              <w:widowControl/>
              <w:spacing w:before="0" w:after="0"/>
              <w:jc w:val="center"/>
              <w:rPr>
                <w:rFonts w:ascii="Arial Narrow" w:hAnsi="Arial Narrow"/>
                <w:color w:val="000000"/>
                <w:sz w:val="20"/>
                <w:szCs w:val="20"/>
                <w:lang w:eastAsia="en-AU"/>
              </w:rPr>
            </w:pPr>
            <w:r w:rsidRPr="00D43928">
              <w:rPr>
                <w:rFonts w:ascii="Arial Narrow" w:hAnsi="Arial Narrow"/>
                <w:color w:val="000000"/>
                <w:sz w:val="20"/>
                <w:szCs w:val="20"/>
                <w:lang w:eastAsia="en-AU"/>
              </w:rPr>
              <w:t>84</w:t>
            </w:r>
          </w:p>
        </w:tc>
        <w:tc>
          <w:tcPr>
            <w:tcW w:w="1102" w:type="pct"/>
          </w:tcPr>
          <w:p w:rsidR="00576BFC" w:rsidRPr="00D43928" w:rsidRDefault="00576BFC" w:rsidP="008B4B29">
            <w:pPr>
              <w:pStyle w:val="Tablenormal0"/>
              <w:widowControl/>
              <w:spacing w:before="0" w:after="0"/>
              <w:jc w:val="center"/>
              <w:rPr>
                <w:rFonts w:ascii="Arial Narrow" w:hAnsi="Arial Narrow"/>
                <w:sz w:val="20"/>
                <w:szCs w:val="20"/>
              </w:rPr>
            </w:pPr>
            <w:r w:rsidRPr="00D43928">
              <w:rPr>
                <w:rFonts w:ascii="Arial Narrow" w:hAnsi="Arial Narrow"/>
                <w:sz w:val="20"/>
                <w:szCs w:val="20"/>
              </w:rPr>
              <w:t>-5.3</w:t>
            </w:r>
          </w:p>
        </w:tc>
        <w:tc>
          <w:tcPr>
            <w:tcW w:w="815" w:type="pct"/>
            <w:gridSpan w:val="2"/>
            <w:vAlign w:val="center"/>
          </w:tcPr>
          <w:p w:rsidR="00576BFC" w:rsidRPr="00D43928" w:rsidRDefault="00576BFC" w:rsidP="008B4B29">
            <w:pPr>
              <w:pStyle w:val="Tablenormal0"/>
              <w:widowControl/>
              <w:spacing w:before="0" w:after="0"/>
              <w:jc w:val="center"/>
              <w:rPr>
                <w:rFonts w:ascii="Arial Narrow" w:hAnsi="Arial Narrow"/>
                <w:sz w:val="20"/>
                <w:szCs w:val="20"/>
              </w:rPr>
            </w:pPr>
            <w:r w:rsidRPr="00D43928">
              <w:rPr>
                <w:rFonts w:ascii="Arial Narrow" w:hAnsi="Arial Narrow"/>
                <w:sz w:val="20"/>
                <w:szCs w:val="20"/>
              </w:rPr>
              <w:t>31.0%</w:t>
            </w:r>
          </w:p>
        </w:tc>
        <w:tc>
          <w:tcPr>
            <w:tcW w:w="493" w:type="pct"/>
            <w:vAlign w:val="center"/>
          </w:tcPr>
          <w:p w:rsidR="00576BFC" w:rsidRPr="00D43928" w:rsidRDefault="00576BFC" w:rsidP="008B4B29">
            <w:pPr>
              <w:pStyle w:val="Tablenormal0"/>
              <w:widowControl/>
              <w:spacing w:before="0" w:after="0"/>
              <w:jc w:val="center"/>
              <w:rPr>
                <w:rFonts w:ascii="Arial Narrow" w:hAnsi="Arial Narrow"/>
                <w:sz w:val="20"/>
                <w:szCs w:val="20"/>
              </w:rPr>
            </w:pPr>
            <w:r w:rsidRPr="00D43928">
              <w:rPr>
                <w:rFonts w:ascii="Arial Narrow" w:hAnsi="Arial Narrow"/>
                <w:sz w:val="20"/>
                <w:szCs w:val="20"/>
              </w:rPr>
              <w:t>&lt;0.0001</w:t>
            </w:r>
          </w:p>
        </w:tc>
      </w:tr>
    </w:tbl>
    <w:p w:rsidR="00576BFC" w:rsidRDefault="00576BFC" w:rsidP="008B4B29">
      <w:pPr>
        <w:pStyle w:val="TableFooter0"/>
        <w:spacing w:after="0"/>
        <w:jc w:val="both"/>
        <w:rPr>
          <w:rFonts w:ascii="Arial Narrow" w:hAnsi="Arial Narrow"/>
          <w:sz w:val="18"/>
          <w:szCs w:val="18"/>
        </w:rPr>
      </w:pPr>
      <w:proofErr w:type="gramStart"/>
      <w:r>
        <w:rPr>
          <w:rFonts w:ascii="Arial Narrow" w:hAnsi="Arial Narrow"/>
          <w:sz w:val="18"/>
          <w:szCs w:val="18"/>
          <w:vertAlign w:val="superscript"/>
        </w:rPr>
        <w:t>a</w:t>
      </w:r>
      <w:proofErr w:type="gramEnd"/>
      <w:r>
        <w:rPr>
          <w:rFonts w:ascii="Arial Narrow" w:hAnsi="Arial Narrow"/>
          <w:sz w:val="18"/>
          <w:szCs w:val="18"/>
        </w:rPr>
        <w:t xml:space="preserve"> W</w:t>
      </w:r>
      <w:r w:rsidRPr="00007594">
        <w:rPr>
          <w:rFonts w:ascii="Arial Narrow" w:hAnsi="Arial Narrow"/>
          <w:sz w:val="18"/>
          <w:szCs w:val="18"/>
        </w:rPr>
        <w:t>eighted ANCOVA with effects of treatment a</w:t>
      </w:r>
      <w:r>
        <w:rPr>
          <w:rFonts w:ascii="Arial Narrow" w:hAnsi="Arial Narrow"/>
          <w:sz w:val="18"/>
          <w:szCs w:val="18"/>
        </w:rPr>
        <w:t>nd randomi</w:t>
      </w:r>
      <w:r w:rsidR="002D1FB0">
        <w:rPr>
          <w:rFonts w:ascii="Arial Narrow" w:hAnsi="Arial Narrow"/>
          <w:sz w:val="18"/>
          <w:szCs w:val="18"/>
        </w:rPr>
        <w:t>s</w:t>
      </w:r>
      <w:r>
        <w:rPr>
          <w:rFonts w:ascii="Arial Narrow" w:hAnsi="Arial Narrow"/>
          <w:sz w:val="18"/>
          <w:szCs w:val="18"/>
        </w:rPr>
        <w:t xml:space="preserve">ation stratification </w:t>
      </w:r>
      <w:r w:rsidRPr="00007594">
        <w:rPr>
          <w:rFonts w:ascii="Arial Narrow" w:hAnsi="Arial Narrow"/>
          <w:sz w:val="18"/>
          <w:szCs w:val="18"/>
        </w:rPr>
        <w:t>factors and covariate baseline</w:t>
      </w:r>
      <w:r>
        <w:rPr>
          <w:rFonts w:ascii="Arial Narrow" w:hAnsi="Arial Narrow"/>
          <w:sz w:val="18"/>
          <w:szCs w:val="18"/>
        </w:rPr>
        <w:t>.</w:t>
      </w:r>
    </w:p>
    <w:p w:rsidR="00576BFC" w:rsidRDefault="00576BFC" w:rsidP="008B4B29">
      <w:pPr>
        <w:pStyle w:val="TableFooter0"/>
        <w:spacing w:after="0"/>
        <w:jc w:val="both"/>
        <w:rPr>
          <w:rFonts w:ascii="Arial Narrow" w:hAnsi="Arial Narrow"/>
          <w:sz w:val="18"/>
          <w:szCs w:val="18"/>
        </w:rPr>
      </w:pPr>
      <w:proofErr w:type="gramStart"/>
      <w:r>
        <w:rPr>
          <w:rFonts w:ascii="Arial Narrow" w:hAnsi="Arial Narrow"/>
          <w:sz w:val="18"/>
          <w:szCs w:val="18"/>
          <w:vertAlign w:val="superscript"/>
        </w:rPr>
        <w:t>b</w:t>
      </w:r>
      <w:proofErr w:type="gramEnd"/>
      <w:r>
        <w:rPr>
          <w:rFonts w:ascii="Arial Narrow" w:hAnsi="Arial Narrow"/>
          <w:sz w:val="18"/>
          <w:szCs w:val="18"/>
        </w:rPr>
        <w:t xml:space="preserve"> Weighted average of CKD 3A and 3B, to provide a single CKD 3 relative slope reduction of 30.9%.</w:t>
      </w:r>
      <w:r w:rsidR="00C93555">
        <w:rPr>
          <w:rFonts w:ascii="Arial Narrow" w:hAnsi="Arial Narrow"/>
          <w:sz w:val="18"/>
          <w:szCs w:val="18"/>
        </w:rPr>
        <w:t xml:space="preserve"> CK</w:t>
      </w:r>
      <w:r w:rsidR="00BF7D41">
        <w:rPr>
          <w:rFonts w:ascii="Arial Narrow" w:hAnsi="Arial Narrow"/>
          <w:sz w:val="18"/>
          <w:szCs w:val="18"/>
        </w:rPr>
        <w:t>D</w:t>
      </w:r>
      <w:r w:rsidR="00C93555">
        <w:rPr>
          <w:rFonts w:ascii="Arial Narrow" w:hAnsi="Arial Narrow"/>
          <w:sz w:val="18"/>
          <w:szCs w:val="18"/>
        </w:rPr>
        <w:t xml:space="preserve"> 3A 45-59</w:t>
      </w:r>
      <w:r w:rsidR="00C93555" w:rsidRPr="00C93555">
        <w:rPr>
          <w:rFonts w:ascii="Arial Narrow" w:hAnsi="Arial Narrow"/>
          <w:sz w:val="18"/>
          <w:szCs w:val="18"/>
        </w:rPr>
        <w:t xml:space="preserve"> </w:t>
      </w:r>
      <w:r w:rsidR="00C93555">
        <w:rPr>
          <w:rFonts w:ascii="Arial Narrow" w:hAnsi="Arial Narrow"/>
          <w:sz w:val="18"/>
          <w:szCs w:val="18"/>
        </w:rPr>
        <w:t>mL/min/1.73 m</w:t>
      </w:r>
      <w:r w:rsidR="00C93555" w:rsidRPr="00C93555">
        <w:rPr>
          <w:rFonts w:ascii="Arial Narrow" w:hAnsi="Arial Narrow"/>
          <w:sz w:val="18"/>
          <w:szCs w:val="18"/>
          <w:vertAlign w:val="superscript"/>
        </w:rPr>
        <w:t>2</w:t>
      </w:r>
      <w:r w:rsidR="00C93555">
        <w:rPr>
          <w:rFonts w:ascii="Arial Narrow" w:hAnsi="Arial Narrow"/>
          <w:sz w:val="18"/>
          <w:szCs w:val="18"/>
        </w:rPr>
        <w:t>; CK</w:t>
      </w:r>
      <w:r w:rsidR="00BF7D41">
        <w:rPr>
          <w:rFonts w:ascii="Arial Narrow" w:hAnsi="Arial Narrow"/>
          <w:sz w:val="18"/>
          <w:szCs w:val="18"/>
        </w:rPr>
        <w:t>D</w:t>
      </w:r>
      <w:r w:rsidR="00C93555">
        <w:rPr>
          <w:rFonts w:ascii="Arial Narrow" w:hAnsi="Arial Narrow"/>
          <w:sz w:val="18"/>
          <w:szCs w:val="18"/>
        </w:rPr>
        <w:t xml:space="preserve"> 3B 30-44 mL/min/1.73 m</w:t>
      </w:r>
      <w:r w:rsidR="00C93555" w:rsidRPr="00C93555">
        <w:rPr>
          <w:rFonts w:ascii="Arial Narrow" w:hAnsi="Arial Narrow"/>
          <w:sz w:val="18"/>
          <w:szCs w:val="18"/>
          <w:vertAlign w:val="superscript"/>
        </w:rPr>
        <w:t>2</w:t>
      </w:r>
    </w:p>
    <w:p w:rsidR="00576BFC" w:rsidRPr="00D43928" w:rsidRDefault="00576BFC" w:rsidP="008B4B29">
      <w:pPr>
        <w:pStyle w:val="TableFooter0"/>
        <w:spacing w:after="0"/>
        <w:jc w:val="both"/>
        <w:rPr>
          <w:rFonts w:ascii="Arial Narrow" w:hAnsi="Arial Narrow"/>
          <w:sz w:val="18"/>
          <w:szCs w:val="18"/>
          <w:vertAlign w:val="superscript"/>
        </w:rPr>
      </w:pPr>
      <w:proofErr w:type="gramStart"/>
      <w:r>
        <w:rPr>
          <w:rFonts w:ascii="Arial Narrow" w:hAnsi="Arial Narrow"/>
          <w:sz w:val="18"/>
          <w:szCs w:val="18"/>
          <w:vertAlign w:val="superscript"/>
        </w:rPr>
        <w:t>c</w:t>
      </w:r>
      <w:proofErr w:type="gramEnd"/>
      <w:r w:rsidRPr="00D43928">
        <w:rPr>
          <w:rFonts w:ascii="Arial Narrow" w:hAnsi="Arial Narrow"/>
          <w:sz w:val="18"/>
          <w:szCs w:val="18"/>
          <w:vertAlign w:val="superscript"/>
        </w:rPr>
        <w:t xml:space="preserve"> </w:t>
      </w:r>
      <w:r w:rsidRPr="00D43928">
        <w:rPr>
          <w:rFonts w:ascii="Arial Narrow" w:hAnsi="Arial Narrow"/>
          <w:sz w:val="18"/>
          <w:szCs w:val="18"/>
        </w:rPr>
        <w:t xml:space="preserve">Derived testing time treatment interaction using </w:t>
      </w:r>
      <w:r>
        <w:rPr>
          <w:rFonts w:ascii="Arial Narrow" w:hAnsi="Arial Narrow"/>
          <w:sz w:val="18"/>
          <w:szCs w:val="18"/>
        </w:rPr>
        <w:t xml:space="preserve">a </w:t>
      </w:r>
      <w:r w:rsidRPr="00D43928">
        <w:rPr>
          <w:rFonts w:ascii="Arial Narrow" w:hAnsi="Arial Narrow"/>
          <w:sz w:val="18"/>
          <w:szCs w:val="18"/>
        </w:rPr>
        <w:t xml:space="preserve">linear mixed </w:t>
      </w:r>
      <w:r>
        <w:rPr>
          <w:rFonts w:ascii="Arial Narrow" w:hAnsi="Arial Narrow"/>
          <w:sz w:val="18"/>
          <w:szCs w:val="18"/>
        </w:rPr>
        <w:t xml:space="preserve">effect </w:t>
      </w:r>
      <w:r w:rsidRPr="00D43928">
        <w:rPr>
          <w:rFonts w:ascii="Arial Narrow" w:hAnsi="Arial Narrow"/>
          <w:sz w:val="18"/>
          <w:szCs w:val="18"/>
        </w:rPr>
        <w:t xml:space="preserve">model </w:t>
      </w:r>
      <w:r>
        <w:rPr>
          <w:rFonts w:ascii="Arial Narrow" w:hAnsi="Arial Narrow"/>
          <w:sz w:val="18"/>
          <w:szCs w:val="18"/>
        </w:rPr>
        <w:t>with</w:t>
      </w:r>
      <w:r w:rsidRPr="00D43928">
        <w:rPr>
          <w:rFonts w:ascii="Arial Narrow" w:hAnsi="Arial Narrow"/>
          <w:sz w:val="18"/>
          <w:szCs w:val="18"/>
        </w:rPr>
        <w:t xml:space="preserve"> intercept and slope </w:t>
      </w:r>
      <w:r>
        <w:rPr>
          <w:rFonts w:ascii="Arial Narrow" w:hAnsi="Arial Narrow"/>
          <w:sz w:val="18"/>
          <w:szCs w:val="18"/>
        </w:rPr>
        <w:t>as</w:t>
      </w:r>
      <w:r w:rsidRPr="00D43928">
        <w:rPr>
          <w:rFonts w:ascii="Arial Narrow" w:hAnsi="Arial Narrow"/>
          <w:sz w:val="18"/>
          <w:szCs w:val="18"/>
        </w:rPr>
        <w:t xml:space="preserve"> fixed and random effects</w:t>
      </w:r>
      <w:r>
        <w:rPr>
          <w:rFonts w:ascii="Arial Narrow" w:hAnsi="Arial Narrow"/>
          <w:sz w:val="18"/>
          <w:szCs w:val="18"/>
        </w:rPr>
        <w:t>.</w:t>
      </w:r>
    </w:p>
    <w:p w:rsidR="00576BFC" w:rsidRPr="00D43928" w:rsidRDefault="00576BFC" w:rsidP="008B4B29">
      <w:pPr>
        <w:pStyle w:val="TableFooter0"/>
        <w:spacing w:after="0"/>
        <w:jc w:val="both"/>
        <w:rPr>
          <w:rFonts w:ascii="Arial Narrow" w:hAnsi="Arial Narrow"/>
          <w:sz w:val="18"/>
          <w:szCs w:val="18"/>
        </w:rPr>
      </w:pPr>
      <w:r w:rsidRPr="00D43928">
        <w:rPr>
          <w:rFonts w:ascii="Arial Narrow" w:hAnsi="Arial Narrow"/>
          <w:sz w:val="18"/>
          <w:szCs w:val="18"/>
        </w:rPr>
        <w:t>Abbreviations: ADPKD, autosomal dominant polycystic kidney disease; eGFR, estimated glomerular filtration rate; ITT, intention-to-treat</w:t>
      </w:r>
    </w:p>
    <w:p w:rsidR="00576BFC" w:rsidRPr="00455A24" w:rsidRDefault="00576BFC" w:rsidP="008B4B29">
      <w:pPr>
        <w:pStyle w:val="TableFooter0"/>
        <w:spacing w:after="0"/>
        <w:jc w:val="both"/>
        <w:rPr>
          <w:rFonts w:ascii="Arial Narrow" w:hAnsi="Arial Narrow"/>
          <w:sz w:val="18"/>
          <w:szCs w:val="18"/>
        </w:rPr>
      </w:pPr>
      <w:r w:rsidRPr="00EA772C">
        <w:rPr>
          <w:rFonts w:ascii="Arial Narrow" w:hAnsi="Arial Narrow"/>
          <w:sz w:val="18"/>
          <w:szCs w:val="18"/>
        </w:rPr>
        <w:t xml:space="preserve">Source: </w:t>
      </w:r>
      <w:r>
        <w:rPr>
          <w:rFonts w:ascii="Arial Narrow" w:hAnsi="Arial Narrow"/>
          <w:sz w:val="18"/>
          <w:szCs w:val="18"/>
        </w:rPr>
        <w:t>Table 11.4.1.1-4, pp112-113 of the REPRISE Clinical Study Report; Table 63, p</w:t>
      </w:r>
      <w:r w:rsidRPr="0007243C">
        <w:rPr>
          <w:rFonts w:ascii="Arial Narrow" w:hAnsi="Arial Narrow"/>
          <w:sz w:val="18"/>
          <w:szCs w:val="18"/>
        </w:rPr>
        <w:t>111 of the</w:t>
      </w:r>
      <w:r>
        <w:rPr>
          <w:rFonts w:ascii="Arial Narrow" w:hAnsi="Arial Narrow"/>
          <w:sz w:val="18"/>
          <w:szCs w:val="18"/>
        </w:rPr>
        <w:t xml:space="preserve"> March 2017</w:t>
      </w:r>
      <w:r w:rsidRPr="0007243C">
        <w:rPr>
          <w:rFonts w:ascii="Arial Narrow" w:hAnsi="Arial Narrow"/>
          <w:sz w:val="18"/>
          <w:szCs w:val="18"/>
        </w:rPr>
        <w:t xml:space="preserve"> submission</w:t>
      </w:r>
      <w:r>
        <w:rPr>
          <w:rFonts w:ascii="Arial Narrow" w:hAnsi="Arial Narrow"/>
          <w:sz w:val="18"/>
          <w:szCs w:val="18"/>
        </w:rPr>
        <w:t xml:space="preserve">, Appendix A to </w:t>
      </w:r>
      <w:r w:rsidRPr="00455A24">
        <w:rPr>
          <w:rFonts w:ascii="Arial Narrow" w:hAnsi="Arial Narrow"/>
          <w:sz w:val="18"/>
          <w:szCs w:val="18"/>
        </w:rPr>
        <w:t>the resubmission. Figure 3, Torres et al. (2016).</w:t>
      </w:r>
    </w:p>
    <w:p w:rsidR="00576BFC" w:rsidRPr="00455A24" w:rsidRDefault="00576BFC" w:rsidP="008B4B29">
      <w:pPr>
        <w:widowControl/>
      </w:pPr>
    </w:p>
    <w:p w:rsidR="00576BFC" w:rsidRPr="00F563B9" w:rsidRDefault="00576BFC" w:rsidP="0086251F">
      <w:pPr>
        <w:pStyle w:val="ListParagraph"/>
        <w:widowControl/>
        <w:numPr>
          <w:ilvl w:val="1"/>
          <w:numId w:val="3"/>
        </w:numPr>
        <w:spacing w:before="120" w:after="120"/>
        <w:ind w:left="720"/>
      </w:pPr>
      <w:r w:rsidRPr="00001F88">
        <w:lastRenderedPageBreak/>
        <w:t>In</w:t>
      </w:r>
      <w:r w:rsidRPr="00F563B9">
        <w:rPr>
          <w:rFonts w:asciiTheme="minorHAnsi" w:hAnsiTheme="minorHAnsi" w:cstheme="minorHAnsi"/>
          <w:szCs w:val="24"/>
        </w:rPr>
        <w:t xml:space="preserve"> REPRISE tolvaptan showed numerically smaller mean annualised rates of change in </w:t>
      </w:r>
      <w:r w:rsidR="006C4363" w:rsidRPr="00F563B9">
        <w:rPr>
          <w:rFonts w:asciiTheme="minorHAnsi" w:hAnsiTheme="minorHAnsi" w:cstheme="minorHAnsi"/>
          <w:szCs w:val="24"/>
        </w:rPr>
        <w:t xml:space="preserve">slope </w:t>
      </w:r>
      <w:r w:rsidRPr="00F563B9">
        <w:rPr>
          <w:rFonts w:asciiTheme="minorHAnsi" w:hAnsiTheme="minorHAnsi" w:cstheme="minorHAnsi"/>
          <w:szCs w:val="24"/>
        </w:rPr>
        <w:t>eGFR in the baseline CKD 3 and CKD 4 subgroups, but the difference in relative slope between tolvaptan and placebo was smalle</w:t>
      </w:r>
      <w:r w:rsidR="00DE7666" w:rsidRPr="00F563B9">
        <w:rPr>
          <w:rFonts w:asciiTheme="minorHAnsi" w:hAnsiTheme="minorHAnsi" w:cstheme="minorHAnsi"/>
          <w:szCs w:val="24"/>
        </w:rPr>
        <w:t>st (</w:t>
      </w:r>
      <w:r w:rsidR="00ED404A" w:rsidRPr="00F563B9">
        <w:rPr>
          <w:rFonts w:asciiTheme="minorHAnsi" w:hAnsiTheme="minorHAnsi" w:cstheme="minorHAnsi"/>
          <w:szCs w:val="24"/>
        </w:rPr>
        <w:t>&lt;</w:t>
      </w:r>
      <w:r w:rsidR="00DE7666" w:rsidRPr="00F563B9">
        <w:rPr>
          <w:rFonts w:asciiTheme="minorHAnsi" w:hAnsiTheme="minorHAnsi" w:cstheme="minorHAnsi"/>
          <w:szCs w:val="24"/>
        </w:rPr>
        <w:t>20%)</w:t>
      </w:r>
      <w:r w:rsidRPr="00F563B9">
        <w:rPr>
          <w:rFonts w:asciiTheme="minorHAnsi" w:hAnsiTheme="minorHAnsi" w:cstheme="minorHAnsi"/>
          <w:szCs w:val="24"/>
        </w:rPr>
        <w:t xml:space="preserve"> in the CKD 3B and CKD 4 subgroups. No statistical analysis was presented, but analys</w:t>
      </w:r>
      <w:r w:rsidR="002D1FB0" w:rsidRPr="00F563B9">
        <w:rPr>
          <w:rFonts w:asciiTheme="minorHAnsi" w:hAnsiTheme="minorHAnsi" w:cstheme="minorHAnsi"/>
          <w:szCs w:val="24"/>
        </w:rPr>
        <w:t>e</w:t>
      </w:r>
      <w:r w:rsidRPr="00F563B9">
        <w:rPr>
          <w:rFonts w:asciiTheme="minorHAnsi" w:hAnsiTheme="minorHAnsi" w:cstheme="minorHAnsi"/>
          <w:szCs w:val="24"/>
        </w:rPr>
        <w:t>s conducted on the least square means of the slopes reported for the subgroups showed statistically significantly smaller declines in rate of change in eGFR for patients treated with tolvaptan compared to placebo in all subgroups except CKD 2 and baseline age &gt; 55 years.</w:t>
      </w:r>
    </w:p>
    <w:p w:rsidR="00576BFC" w:rsidRPr="00455A24" w:rsidRDefault="00576BFC" w:rsidP="0086251F">
      <w:pPr>
        <w:pStyle w:val="ListParagraph"/>
        <w:widowControl/>
        <w:numPr>
          <w:ilvl w:val="1"/>
          <w:numId w:val="3"/>
        </w:numPr>
        <w:spacing w:before="120" w:after="120"/>
        <w:ind w:left="720"/>
      </w:pPr>
      <w:r w:rsidRPr="00F563B9">
        <w:t xml:space="preserve">In TEMPO 3:4 the mean annualised rates of change in </w:t>
      </w:r>
      <w:r w:rsidR="006C4363" w:rsidRPr="00F563B9">
        <w:t xml:space="preserve">slope </w:t>
      </w:r>
      <w:r w:rsidRPr="00F563B9">
        <w:t>eGFR for tolvaptan were statistically significantly smaller in baseline CKD stages 2-3 compared to placebo, but in patients with baseline CKD 1 disease progression there was no statistically significant difference.</w:t>
      </w:r>
    </w:p>
    <w:p w:rsidR="00124E17" w:rsidRPr="00B82A6B" w:rsidRDefault="00576BFC" w:rsidP="0086251F">
      <w:pPr>
        <w:pStyle w:val="Heading2"/>
        <w:spacing w:before="240" w:after="120"/>
      </w:pPr>
      <w:bookmarkStart w:id="11" w:name="_Toc503203045"/>
      <w:bookmarkStart w:id="12" w:name="_Toc503953368"/>
      <w:r w:rsidRPr="00B82A6B">
        <w:t>Comparative harms</w:t>
      </w:r>
      <w:bookmarkEnd w:id="11"/>
      <w:bookmarkEnd w:id="12"/>
    </w:p>
    <w:p w:rsidR="00124E17" w:rsidRPr="001A62DC" w:rsidRDefault="00124E17" w:rsidP="0086251F">
      <w:pPr>
        <w:pStyle w:val="ListParagraph"/>
        <w:widowControl/>
        <w:numPr>
          <w:ilvl w:val="1"/>
          <w:numId w:val="3"/>
        </w:numPr>
        <w:spacing w:before="120" w:after="120"/>
        <w:ind w:left="720"/>
      </w:pPr>
      <w:r w:rsidRPr="001A62DC">
        <w:t xml:space="preserve">Table </w:t>
      </w:r>
      <w:r w:rsidR="00D320B2">
        <w:t>8</w:t>
      </w:r>
      <w:r w:rsidRPr="001A62DC">
        <w:t xml:space="preserve"> summarises the most frequently reported adverse events in the REPRISE, TEMPO 3:4 and TEMPO 4:4 studies</w:t>
      </w:r>
      <w:r>
        <w:t>.</w:t>
      </w:r>
    </w:p>
    <w:p w:rsidR="00124E17" w:rsidRPr="001A62DC" w:rsidRDefault="00124E17" w:rsidP="008B4B29">
      <w:pPr>
        <w:keepNext/>
        <w:keepLines/>
        <w:widowControl/>
        <w:tabs>
          <w:tab w:val="left" w:pos="3286"/>
          <w:tab w:val="left" w:pos="4699"/>
          <w:tab w:val="left" w:pos="5974"/>
          <w:tab w:val="left" w:pos="7672"/>
        </w:tabs>
        <w:rPr>
          <w:rFonts w:ascii="Arial Narrow" w:hAnsi="Arial Narrow"/>
          <w:sz w:val="20"/>
        </w:rPr>
      </w:pPr>
      <w:r w:rsidRPr="001A62DC">
        <w:rPr>
          <w:rStyle w:val="CommentReference"/>
        </w:rPr>
        <w:t xml:space="preserve">Table </w:t>
      </w:r>
      <w:r w:rsidR="00D320B2">
        <w:rPr>
          <w:rStyle w:val="CommentReference"/>
        </w:rPr>
        <w:t>8</w:t>
      </w:r>
      <w:r w:rsidRPr="001A62DC">
        <w:rPr>
          <w:rStyle w:val="CommentReference"/>
        </w:rPr>
        <w:t>: Summary of the most frequently reported adverse events by ≥5% of patients in REPRISE and TEMPO 3:4, ≥10% of patients in</w:t>
      </w:r>
      <w:r w:rsidRPr="001A62DC">
        <w:rPr>
          <w:rFonts w:ascii="Arial Narrow" w:hAnsi="Arial Narrow"/>
          <w:b/>
          <w:sz w:val="20"/>
        </w:rPr>
        <w:t xml:space="preserve"> TEMPO 4:4 (safety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25"/>
        <w:gridCol w:w="1175"/>
        <w:gridCol w:w="1181"/>
        <w:gridCol w:w="1175"/>
        <w:gridCol w:w="1177"/>
        <w:gridCol w:w="1175"/>
        <w:gridCol w:w="1175"/>
      </w:tblGrid>
      <w:tr w:rsidR="00124E17" w:rsidRPr="001A62DC" w:rsidTr="009E698C">
        <w:trPr>
          <w:tblHeader/>
        </w:trPr>
        <w:tc>
          <w:tcPr>
            <w:tcW w:w="1114" w:type="pct"/>
            <w:vMerge w:val="restart"/>
            <w:vAlign w:val="center"/>
          </w:tcPr>
          <w:p w:rsidR="00124E17" w:rsidRPr="001A62DC" w:rsidRDefault="00124E17" w:rsidP="008B4B29">
            <w:pPr>
              <w:keepNext/>
              <w:keepLines/>
              <w:widowControl/>
              <w:tabs>
                <w:tab w:val="left" w:pos="150"/>
              </w:tabs>
              <w:jc w:val="left"/>
              <w:rPr>
                <w:rFonts w:ascii="Arial Narrow" w:hAnsi="Arial Narrow"/>
                <w:b/>
                <w:sz w:val="20"/>
              </w:rPr>
            </w:pPr>
            <w:r w:rsidRPr="001A62DC">
              <w:rPr>
                <w:rFonts w:ascii="Arial Narrow" w:hAnsi="Arial Narrow"/>
                <w:b/>
                <w:sz w:val="20"/>
              </w:rPr>
              <w:t>Patients with events n (%)</w:t>
            </w:r>
          </w:p>
        </w:tc>
        <w:tc>
          <w:tcPr>
            <w:tcW w:w="1297" w:type="pct"/>
            <w:gridSpan w:val="2"/>
            <w:vAlign w:val="center"/>
          </w:tcPr>
          <w:p w:rsidR="00124E17" w:rsidRPr="001A62DC" w:rsidRDefault="00124E17" w:rsidP="008B4B29">
            <w:pPr>
              <w:keepNext/>
              <w:keepLines/>
              <w:widowControl/>
              <w:jc w:val="center"/>
              <w:rPr>
                <w:rFonts w:ascii="Arial Narrow" w:hAnsi="Arial Narrow"/>
                <w:b/>
                <w:sz w:val="20"/>
              </w:rPr>
            </w:pPr>
            <w:r w:rsidRPr="001A62DC">
              <w:rPr>
                <w:rFonts w:ascii="Arial Narrow" w:hAnsi="Arial Narrow"/>
                <w:b/>
                <w:sz w:val="20"/>
              </w:rPr>
              <w:t>REPRISE</w:t>
            </w:r>
          </w:p>
        </w:tc>
        <w:tc>
          <w:tcPr>
            <w:tcW w:w="1295" w:type="pct"/>
            <w:gridSpan w:val="2"/>
            <w:vAlign w:val="center"/>
          </w:tcPr>
          <w:p w:rsidR="00124E17" w:rsidRPr="001A62DC" w:rsidRDefault="00124E17" w:rsidP="008B4B29">
            <w:pPr>
              <w:keepNext/>
              <w:keepLines/>
              <w:widowControl/>
              <w:jc w:val="center"/>
              <w:rPr>
                <w:rFonts w:ascii="Arial Narrow" w:hAnsi="Arial Narrow"/>
                <w:b/>
                <w:sz w:val="20"/>
              </w:rPr>
            </w:pPr>
            <w:r w:rsidRPr="001A62DC">
              <w:rPr>
                <w:rFonts w:ascii="Arial Narrow" w:hAnsi="Arial Narrow"/>
                <w:b/>
                <w:sz w:val="20"/>
              </w:rPr>
              <w:t>TEMPO 3:4</w:t>
            </w:r>
          </w:p>
        </w:tc>
        <w:tc>
          <w:tcPr>
            <w:tcW w:w="1295" w:type="pct"/>
            <w:gridSpan w:val="2"/>
            <w:vAlign w:val="center"/>
          </w:tcPr>
          <w:p w:rsidR="00124E17" w:rsidRPr="001A62DC" w:rsidRDefault="00124E17" w:rsidP="008B4B29">
            <w:pPr>
              <w:keepNext/>
              <w:keepLines/>
              <w:widowControl/>
              <w:jc w:val="center"/>
              <w:rPr>
                <w:rFonts w:ascii="Arial Narrow" w:hAnsi="Arial Narrow"/>
                <w:b/>
                <w:sz w:val="20"/>
              </w:rPr>
            </w:pPr>
            <w:r w:rsidRPr="001A62DC">
              <w:rPr>
                <w:rFonts w:ascii="Arial Narrow" w:hAnsi="Arial Narrow"/>
                <w:b/>
                <w:sz w:val="20"/>
              </w:rPr>
              <w:t>TEMPO 4:4</w:t>
            </w:r>
          </w:p>
        </w:tc>
      </w:tr>
      <w:tr w:rsidR="00124E17" w:rsidRPr="001A62DC" w:rsidTr="009E698C">
        <w:trPr>
          <w:tblHeader/>
        </w:trPr>
        <w:tc>
          <w:tcPr>
            <w:tcW w:w="1114" w:type="pct"/>
            <w:vMerge/>
            <w:vAlign w:val="center"/>
          </w:tcPr>
          <w:p w:rsidR="00124E17" w:rsidRPr="001A62DC" w:rsidRDefault="00124E17" w:rsidP="008B4B29">
            <w:pPr>
              <w:keepNext/>
              <w:keepLines/>
              <w:widowControl/>
              <w:tabs>
                <w:tab w:val="left" w:pos="150"/>
              </w:tabs>
              <w:jc w:val="left"/>
              <w:rPr>
                <w:rFonts w:ascii="Arial Narrow" w:hAnsi="Arial Narrow"/>
                <w:sz w:val="20"/>
              </w:rPr>
            </w:pPr>
          </w:p>
        </w:tc>
        <w:tc>
          <w:tcPr>
            <w:tcW w:w="647" w:type="pct"/>
            <w:vAlign w:val="center"/>
          </w:tcPr>
          <w:p w:rsidR="00124E17" w:rsidRPr="001A62DC" w:rsidRDefault="00124E17" w:rsidP="008B4B29">
            <w:pPr>
              <w:keepNext/>
              <w:keepLines/>
              <w:widowControl/>
              <w:jc w:val="center"/>
              <w:rPr>
                <w:rFonts w:ascii="Arial Narrow" w:hAnsi="Arial Narrow"/>
                <w:b/>
                <w:sz w:val="20"/>
              </w:rPr>
            </w:pPr>
            <w:r w:rsidRPr="001A62DC">
              <w:rPr>
                <w:rFonts w:ascii="Arial Narrow" w:hAnsi="Arial Narrow"/>
                <w:b/>
                <w:sz w:val="20"/>
              </w:rPr>
              <w:t>Tolvaptan</w:t>
            </w:r>
          </w:p>
          <w:p w:rsidR="00124E17" w:rsidRPr="001A62DC" w:rsidRDefault="00124E17" w:rsidP="008B4B29">
            <w:pPr>
              <w:keepNext/>
              <w:keepLines/>
              <w:widowControl/>
              <w:jc w:val="center"/>
              <w:rPr>
                <w:rFonts w:ascii="Arial Narrow" w:hAnsi="Arial Narrow"/>
                <w:sz w:val="20"/>
              </w:rPr>
            </w:pPr>
            <w:r w:rsidRPr="001A62DC">
              <w:rPr>
                <w:rFonts w:ascii="Arial Narrow" w:hAnsi="Arial Narrow"/>
                <w:b/>
                <w:sz w:val="20"/>
              </w:rPr>
              <w:t>N=681</w:t>
            </w:r>
          </w:p>
        </w:tc>
        <w:tc>
          <w:tcPr>
            <w:tcW w:w="650" w:type="pct"/>
            <w:vAlign w:val="center"/>
          </w:tcPr>
          <w:p w:rsidR="00124E17" w:rsidRPr="001A62DC" w:rsidRDefault="00124E17" w:rsidP="008B4B29">
            <w:pPr>
              <w:keepNext/>
              <w:keepLines/>
              <w:widowControl/>
              <w:jc w:val="center"/>
              <w:rPr>
                <w:rFonts w:ascii="Arial Narrow" w:hAnsi="Arial Narrow"/>
                <w:b/>
                <w:sz w:val="20"/>
              </w:rPr>
            </w:pPr>
            <w:r w:rsidRPr="001A62DC">
              <w:rPr>
                <w:rFonts w:ascii="Arial Narrow" w:hAnsi="Arial Narrow"/>
                <w:b/>
                <w:sz w:val="20"/>
              </w:rPr>
              <w:t>Placebo</w:t>
            </w:r>
          </w:p>
          <w:p w:rsidR="00124E17" w:rsidRPr="001A62DC" w:rsidRDefault="00124E17" w:rsidP="008B4B29">
            <w:pPr>
              <w:keepNext/>
              <w:keepLines/>
              <w:widowControl/>
              <w:jc w:val="center"/>
              <w:rPr>
                <w:rFonts w:ascii="Arial Narrow" w:hAnsi="Arial Narrow"/>
                <w:sz w:val="20"/>
              </w:rPr>
            </w:pPr>
            <w:r w:rsidRPr="001A62DC">
              <w:rPr>
                <w:rFonts w:ascii="Arial Narrow" w:hAnsi="Arial Narrow"/>
                <w:b/>
                <w:sz w:val="20"/>
              </w:rPr>
              <w:t>N=685</w:t>
            </w:r>
          </w:p>
        </w:tc>
        <w:tc>
          <w:tcPr>
            <w:tcW w:w="647" w:type="pct"/>
            <w:vAlign w:val="center"/>
          </w:tcPr>
          <w:p w:rsidR="00124E17" w:rsidRPr="001A62DC" w:rsidRDefault="00124E17" w:rsidP="008B4B29">
            <w:pPr>
              <w:keepNext/>
              <w:keepLines/>
              <w:widowControl/>
              <w:jc w:val="center"/>
              <w:rPr>
                <w:rFonts w:ascii="Arial Narrow" w:hAnsi="Arial Narrow"/>
                <w:b/>
                <w:sz w:val="20"/>
              </w:rPr>
            </w:pPr>
            <w:r w:rsidRPr="001A62DC">
              <w:rPr>
                <w:rFonts w:ascii="Arial Narrow" w:hAnsi="Arial Narrow"/>
                <w:b/>
                <w:sz w:val="20"/>
              </w:rPr>
              <w:t>Tolvaptan</w:t>
            </w:r>
          </w:p>
          <w:p w:rsidR="00124E17" w:rsidRPr="001A62DC" w:rsidRDefault="00124E17" w:rsidP="008B4B29">
            <w:pPr>
              <w:keepNext/>
              <w:keepLines/>
              <w:widowControl/>
              <w:jc w:val="center"/>
              <w:rPr>
                <w:rFonts w:ascii="Arial Narrow" w:hAnsi="Arial Narrow"/>
                <w:b/>
                <w:sz w:val="20"/>
              </w:rPr>
            </w:pPr>
            <w:r w:rsidRPr="001A62DC">
              <w:rPr>
                <w:rFonts w:ascii="Arial Narrow" w:hAnsi="Arial Narrow"/>
                <w:b/>
                <w:sz w:val="20"/>
              </w:rPr>
              <w:t>N=961</w:t>
            </w:r>
          </w:p>
        </w:tc>
        <w:tc>
          <w:tcPr>
            <w:tcW w:w="648" w:type="pct"/>
            <w:vAlign w:val="center"/>
          </w:tcPr>
          <w:p w:rsidR="00124E17" w:rsidRPr="001A62DC" w:rsidRDefault="00124E17" w:rsidP="008B4B29">
            <w:pPr>
              <w:keepNext/>
              <w:keepLines/>
              <w:widowControl/>
              <w:jc w:val="center"/>
              <w:rPr>
                <w:rFonts w:ascii="Arial Narrow" w:hAnsi="Arial Narrow"/>
                <w:b/>
                <w:sz w:val="20"/>
              </w:rPr>
            </w:pPr>
            <w:r w:rsidRPr="001A62DC">
              <w:rPr>
                <w:rFonts w:ascii="Arial Narrow" w:hAnsi="Arial Narrow"/>
                <w:b/>
                <w:sz w:val="20"/>
              </w:rPr>
              <w:t>Placebo</w:t>
            </w:r>
          </w:p>
          <w:p w:rsidR="00124E17" w:rsidRPr="001A62DC" w:rsidRDefault="00124E17" w:rsidP="008B4B29">
            <w:pPr>
              <w:keepNext/>
              <w:keepLines/>
              <w:widowControl/>
              <w:jc w:val="center"/>
              <w:rPr>
                <w:rFonts w:ascii="Arial Narrow" w:hAnsi="Arial Narrow"/>
                <w:b/>
                <w:sz w:val="20"/>
              </w:rPr>
            </w:pPr>
            <w:r w:rsidRPr="001A62DC">
              <w:rPr>
                <w:rFonts w:ascii="Arial Narrow" w:hAnsi="Arial Narrow"/>
                <w:b/>
                <w:sz w:val="20"/>
              </w:rPr>
              <w:t>N=483</w:t>
            </w:r>
          </w:p>
        </w:tc>
        <w:tc>
          <w:tcPr>
            <w:tcW w:w="647" w:type="pct"/>
            <w:vAlign w:val="center"/>
          </w:tcPr>
          <w:p w:rsidR="00124E17" w:rsidRPr="001A62DC" w:rsidRDefault="00124E17" w:rsidP="008B4B29">
            <w:pPr>
              <w:keepNext/>
              <w:keepLines/>
              <w:widowControl/>
              <w:jc w:val="center"/>
              <w:rPr>
                <w:rFonts w:ascii="Arial Narrow" w:hAnsi="Arial Narrow"/>
                <w:b/>
                <w:sz w:val="20"/>
              </w:rPr>
            </w:pPr>
            <w:r w:rsidRPr="001A62DC">
              <w:rPr>
                <w:rFonts w:ascii="Arial Narrow" w:hAnsi="Arial Narrow"/>
                <w:b/>
                <w:sz w:val="20"/>
              </w:rPr>
              <w:t>Tolvaptan</w:t>
            </w:r>
          </w:p>
          <w:p w:rsidR="00124E17" w:rsidRPr="001A62DC" w:rsidRDefault="00124E17" w:rsidP="008B4B29">
            <w:pPr>
              <w:keepNext/>
              <w:keepLines/>
              <w:widowControl/>
              <w:jc w:val="center"/>
              <w:rPr>
                <w:rFonts w:ascii="Arial Narrow" w:hAnsi="Arial Narrow"/>
                <w:b/>
                <w:sz w:val="20"/>
              </w:rPr>
            </w:pPr>
            <w:r w:rsidRPr="001A62DC">
              <w:rPr>
                <w:rFonts w:ascii="Arial Narrow" w:hAnsi="Arial Narrow"/>
                <w:b/>
                <w:sz w:val="20"/>
              </w:rPr>
              <w:t>(early)</w:t>
            </w:r>
          </w:p>
          <w:p w:rsidR="00124E17" w:rsidRPr="001A62DC" w:rsidRDefault="00124E17" w:rsidP="008B4B29">
            <w:pPr>
              <w:keepNext/>
              <w:keepLines/>
              <w:widowControl/>
              <w:jc w:val="center"/>
              <w:rPr>
                <w:rFonts w:ascii="Arial Narrow" w:hAnsi="Arial Narrow"/>
                <w:sz w:val="20"/>
              </w:rPr>
            </w:pPr>
            <w:r w:rsidRPr="001A62DC">
              <w:rPr>
                <w:rFonts w:ascii="Arial Narrow" w:hAnsi="Arial Narrow"/>
                <w:b/>
                <w:sz w:val="20"/>
              </w:rPr>
              <w:t>N=557</w:t>
            </w:r>
          </w:p>
        </w:tc>
        <w:tc>
          <w:tcPr>
            <w:tcW w:w="648" w:type="pct"/>
            <w:vAlign w:val="center"/>
          </w:tcPr>
          <w:p w:rsidR="00124E17" w:rsidRPr="001A62DC" w:rsidRDefault="00124E17" w:rsidP="008B4B29">
            <w:pPr>
              <w:keepNext/>
              <w:keepLines/>
              <w:widowControl/>
              <w:jc w:val="center"/>
              <w:rPr>
                <w:rFonts w:ascii="Arial Narrow" w:hAnsi="Arial Narrow"/>
                <w:b/>
                <w:sz w:val="20"/>
              </w:rPr>
            </w:pPr>
            <w:r>
              <w:rPr>
                <w:rFonts w:ascii="Arial Narrow" w:hAnsi="Arial Narrow"/>
                <w:b/>
                <w:sz w:val="20"/>
              </w:rPr>
              <w:t>Tolvaptan</w:t>
            </w:r>
          </w:p>
          <w:p w:rsidR="00124E17" w:rsidRPr="001A62DC" w:rsidRDefault="00124E17" w:rsidP="008B4B29">
            <w:pPr>
              <w:keepNext/>
              <w:keepLines/>
              <w:widowControl/>
              <w:jc w:val="center"/>
              <w:rPr>
                <w:rFonts w:ascii="Arial Narrow" w:hAnsi="Arial Narrow"/>
                <w:b/>
                <w:sz w:val="20"/>
              </w:rPr>
            </w:pPr>
            <w:r w:rsidRPr="001A62DC">
              <w:rPr>
                <w:rFonts w:ascii="Arial Narrow" w:hAnsi="Arial Narrow"/>
                <w:b/>
                <w:sz w:val="20"/>
              </w:rPr>
              <w:t>(delayed)</w:t>
            </w:r>
          </w:p>
          <w:p w:rsidR="00124E17" w:rsidRPr="001A62DC" w:rsidRDefault="00124E17" w:rsidP="008B4B29">
            <w:pPr>
              <w:keepNext/>
              <w:keepLines/>
              <w:widowControl/>
              <w:jc w:val="center"/>
              <w:rPr>
                <w:rFonts w:ascii="Arial Narrow" w:hAnsi="Arial Narrow"/>
                <w:sz w:val="20"/>
              </w:rPr>
            </w:pPr>
            <w:r w:rsidRPr="001A62DC">
              <w:rPr>
                <w:rFonts w:ascii="Arial Narrow" w:hAnsi="Arial Narrow"/>
                <w:b/>
                <w:sz w:val="20"/>
              </w:rPr>
              <w:t>N=314</w:t>
            </w:r>
          </w:p>
        </w:tc>
      </w:tr>
      <w:tr w:rsidR="00124E17" w:rsidRPr="001A62DC" w:rsidTr="009E698C">
        <w:tc>
          <w:tcPr>
            <w:tcW w:w="1114" w:type="pct"/>
          </w:tcPr>
          <w:p w:rsidR="00124E17" w:rsidRPr="001A62DC" w:rsidRDefault="00124E17" w:rsidP="008B4B29">
            <w:pPr>
              <w:keepNext/>
              <w:widowControl/>
              <w:tabs>
                <w:tab w:val="left" w:pos="150"/>
              </w:tabs>
              <w:jc w:val="left"/>
              <w:rPr>
                <w:rFonts w:ascii="Arial Narrow" w:hAnsi="Arial Narrow"/>
                <w:sz w:val="20"/>
                <w:vertAlign w:val="superscript"/>
              </w:rPr>
            </w:pPr>
            <w:r w:rsidRPr="001A62DC">
              <w:rPr>
                <w:rFonts w:ascii="Arial Narrow" w:hAnsi="Arial Narrow"/>
                <w:sz w:val="20"/>
              </w:rPr>
              <w:t>Thirst</w:t>
            </w:r>
          </w:p>
        </w:tc>
        <w:tc>
          <w:tcPr>
            <w:tcW w:w="647" w:type="pct"/>
          </w:tcPr>
          <w:p w:rsidR="00124E17" w:rsidRPr="001A62DC" w:rsidRDefault="00124E17" w:rsidP="008B4B29">
            <w:pPr>
              <w:keepNext/>
              <w:widowControl/>
              <w:jc w:val="center"/>
              <w:rPr>
                <w:rFonts w:ascii="Arial Narrow" w:hAnsi="Arial Narrow"/>
                <w:sz w:val="20"/>
              </w:rPr>
            </w:pPr>
            <w:r w:rsidRPr="001A62DC">
              <w:rPr>
                <w:rFonts w:ascii="Arial Narrow" w:hAnsi="Arial Narrow"/>
                <w:sz w:val="20"/>
                <w:szCs w:val="20"/>
              </w:rPr>
              <w:t>27 (4.0%)</w:t>
            </w:r>
          </w:p>
        </w:tc>
        <w:tc>
          <w:tcPr>
            <w:tcW w:w="650" w:type="pct"/>
          </w:tcPr>
          <w:p w:rsidR="00124E17" w:rsidRPr="001A62DC" w:rsidRDefault="00124E17" w:rsidP="008B4B29">
            <w:pPr>
              <w:keepNext/>
              <w:widowControl/>
              <w:jc w:val="center"/>
              <w:rPr>
                <w:rFonts w:ascii="Arial Narrow" w:hAnsi="Arial Narrow"/>
                <w:sz w:val="20"/>
                <w:vertAlign w:val="superscript"/>
              </w:rPr>
            </w:pPr>
            <w:r w:rsidRPr="001A62DC">
              <w:rPr>
                <w:rFonts w:ascii="Arial Narrow" w:hAnsi="Arial Narrow"/>
                <w:sz w:val="20"/>
                <w:szCs w:val="20"/>
              </w:rPr>
              <w:t>13 (1.9%)</w:t>
            </w:r>
          </w:p>
        </w:tc>
        <w:tc>
          <w:tcPr>
            <w:tcW w:w="647" w:type="pct"/>
          </w:tcPr>
          <w:p w:rsidR="00124E17" w:rsidRPr="001A62DC" w:rsidRDefault="00124E17" w:rsidP="008B4B29">
            <w:pPr>
              <w:keepNext/>
              <w:widowControl/>
              <w:jc w:val="center"/>
              <w:rPr>
                <w:rFonts w:ascii="Arial Narrow" w:hAnsi="Arial Narrow"/>
                <w:sz w:val="20"/>
              </w:rPr>
            </w:pPr>
            <w:r w:rsidRPr="001A62DC">
              <w:rPr>
                <w:rFonts w:ascii="Arial Narrow" w:hAnsi="Arial Narrow"/>
                <w:sz w:val="20"/>
              </w:rPr>
              <w:t>531 (55.3%)</w:t>
            </w:r>
          </w:p>
        </w:tc>
        <w:tc>
          <w:tcPr>
            <w:tcW w:w="648" w:type="pct"/>
          </w:tcPr>
          <w:p w:rsidR="00124E17" w:rsidRPr="001A62DC" w:rsidRDefault="00124E17" w:rsidP="008B4B29">
            <w:pPr>
              <w:keepNext/>
              <w:widowControl/>
              <w:jc w:val="center"/>
              <w:rPr>
                <w:rFonts w:ascii="Arial Narrow" w:hAnsi="Arial Narrow"/>
                <w:sz w:val="20"/>
              </w:rPr>
            </w:pPr>
            <w:r w:rsidRPr="001A62DC">
              <w:rPr>
                <w:rFonts w:ascii="Arial Narrow" w:hAnsi="Arial Narrow"/>
                <w:sz w:val="20"/>
              </w:rPr>
              <w:t>99 (20.5%)</w:t>
            </w:r>
          </w:p>
        </w:tc>
        <w:tc>
          <w:tcPr>
            <w:tcW w:w="647" w:type="pct"/>
          </w:tcPr>
          <w:p w:rsidR="00124E17" w:rsidRPr="001A62DC" w:rsidRDefault="00124E17" w:rsidP="008B4B29">
            <w:pPr>
              <w:keepNext/>
              <w:widowControl/>
              <w:jc w:val="center"/>
              <w:rPr>
                <w:rFonts w:ascii="Arial Narrow" w:hAnsi="Arial Narrow"/>
                <w:b/>
                <w:i/>
                <w:sz w:val="20"/>
              </w:rPr>
            </w:pPr>
            <w:r w:rsidRPr="001A62DC">
              <w:rPr>
                <w:rFonts w:ascii="Arial Narrow" w:hAnsi="Arial Narrow"/>
                <w:sz w:val="20"/>
                <w:szCs w:val="20"/>
              </w:rPr>
              <w:t>261 (46.9%)</w:t>
            </w:r>
          </w:p>
        </w:tc>
        <w:tc>
          <w:tcPr>
            <w:tcW w:w="648" w:type="pct"/>
          </w:tcPr>
          <w:p w:rsidR="00124E17" w:rsidRPr="001A62DC" w:rsidRDefault="00124E17" w:rsidP="008B4B29">
            <w:pPr>
              <w:keepNext/>
              <w:widowControl/>
              <w:jc w:val="center"/>
              <w:rPr>
                <w:rFonts w:ascii="Arial Narrow" w:hAnsi="Arial Narrow"/>
                <w:b/>
                <w:i/>
                <w:sz w:val="20"/>
              </w:rPr>
            </w:pPr>
            <w:r w:rsidRPr="001A62DC">
              <w:rPr>
                <w:rFonts w:ascii="Arial Narrow" w:hAnsi="Arial Narrow"/>
                <w:sz w:val="20"/>
                <w:szCs w:val="20"/>
              </w:rPr>
              <w:t>161 (51.3%)</w:t>
            </w:r>
          </w:p>
        </w:tc>
      </w:tr>
      <w:tr w:rsidR="00124E17" w:rsidRPr="001A62DC" w:rsidTr="009E698C">
        <w:tc>
          <w:tcPr>
            <w:tcW w:w="1114" w:type="pct"/>
          </w:tcPr>
          <w:p w:rsidR="00124E17" w:rsidRPr="001A62DC" w:rsidRDefault="00124E17" w:rsidP="008B4B29">
            <w:pPr>
              <w:keepNext/>
              <w:widowControl/>
              <w:tabs>
                <w:tab w:val="left" w:pos="150"/>
              </w:tabs>
              <w:jc w:val="left"/>
              <w:rPr>
                <w:rFonts w:ascii="Arial Narrow" w:hAnsi="Arial Narrow"/>
                <w:sz w:val="20"/>
              </w:rPr>
            </w:pPr>
            <w:r w:rsidRPr="001A62DC">
              <w:rPr>
                <w:rFonts w:ascii="Arial Narrow" w:hAnsi="Arial Narrow"/>
                <w:sz w:val="20"/>
              </w:rPr>
              <w:t>Polyuria</w:t>
            </w:r>
          </w:p>
        </w:tc>
        <w:tc>
          <w:tcPr>
            <w:tcW w:w="647" w:type="pct"/>
            <w:vAlign w:val="center"/>
          </w:tcPr>
          <w:p w:rsidR="00124E17" w:rsidRPr="001A62DC" w:rsidRDefault="00124E17" w:rsidP="008B4B29">
            <w:pPr>
              <w:keepNext/>
              <w:widowControl/>
              <w:jc w:val="center"/>
              <w:rPr>
                <w:rFonts w:ascii="Arial Narrow" w:hAnsi="Arial Narrow"/>
                <w:sz w:val="20"/>
              </w:rPr>
            </w:pPr>
            <w:r w:rsidRPr="001A62DC">
              <w:rPr>
                <w:rFonts w:ascii="Arial Narrow" w:hAnsi="Arial Narrow"/>
                <w:sz w:val="20"/>
                <w:szCs w:val="20"/>
              </w:rPr>
              <w:t>36 (5.3%)</w:t>
            </w:r>
          </w:p>
        </w:tc>
        <w:tc>
          <w:tcPr>
            <w:tcW w:w="650" w:type="pct"/>
            <w:vAlign w:val="center"/>
          </w:tcPr>
          <w:p w:rsidR="00124E17" w:rsidRPr="001A62DC" w:rsidRDefault="00124E17" w:rsidP="008B4B29">
            <w:pPr>
              <w:keepNext/>
              <w:widowControl/>
              <w:jc w:val="center"/>
              <w:rPr>
                <w:rFonts w:ascii="Arial Narrow" w:hAnsi="Arial Narrow"/>
                <w:sz w:val="20"/>
              </w:rPr>
            </w:pPr>
            <w:r w:rsidRPr="001A62DC">
              <w:rPr>
                <w:rFonts w:ascii="Arial Narrow" w:hAnsi="Arial Narrow"/>
                <w:sz w:val="20"/>
                <w:szCs w:val="20"/>
              </w:rPr>
              <w:t>11 (1.6%)</w:t>
            </w:r>
          </w:p>
        </w:tc>
        <w:tc>
          <w:tcPr>
            <w:tcW w:w="647" w:type="pct"/>
          </w:tcPr>
          <w:p w:rsidR="00124E17" w:rsidRPr="001A62DC" w:rsidRDefault="00124E17" w:rsidP="008B4B29">
            <w:pPr>
              <w:keepNext/>
              <w:widowControl/>
              <w:jc w:val="center"/>
              <w:rPr>
                <w:rFonts w:ascii="Arial Narrow" w:hAnsi="Arial Narrow"/>
                <w:sz w:val="20"/>
              </w:rPr>
            </w:pPr>
            <w:r w:rsidRPr="001A62DC">
              <w:rPr>
                <w:rFonts w:ascii="Arial Narrow" w:hAnsi="Arial Narrow"/>
                <w:sz w:val="20"/>
              </w:rPr>
              <w:t>368 (38.3%)</w:t>
            </w:r>
          </w:p>
        </w:tc>
        <w:tc>
          <w:tcPr>
            <w:tcW w:w="648" w:type="pct"/>
          </w:tcPr>
          <w:p w:rsidR="00124E17" w:rsidRPr="001A62DC" w:rsidRDefault="00124E17" w:rsidP="008B4B29">
            <w:pPr>
              <w:keepNext/>
              <w:widowControl/>
              <w:jc w:val="center"/>
              <w:rPr>
                <w:rFonts w:ascii="Arial Narrow" w:hAnsi="Arial Narrow"/>
                <w:sz w:val="20"/>
              </w:rPr>
            </w:pPr>
            <w:r w:rsidRPr="001A62DC">
              <w:rPr>
                <w:rFonts w:ascii="Arial Narrow" w:hAnsi="Arial Narrow"/>
                <w:sz w:val="20"/>
              </w:rPr>
              <w:t>83 (17.2%)</w:t>
            </w:r>
          </w:p>
        </w:tc>
        <w:tc>
          <w:tcPr>
            <w:tcW w:w="647" w:type="pct"/>
          </w:tcPr>
          <w:p w:rsidR="00124E17" w:rsidRPr="001A62DC" w:rsidRDefault="00124E17" w:rsidP="008B4B29">
            <w:pPr>
              <w:keepNext/>
              <w:widowControl/>
              <w:jc w:val="center"/>
              <w:rPr>
                <w:rFonts w:ascii="Arial Narrow" w:hAnsi="Arial Narrow"/>
                <w:b/>
                <w:i/>
                <w:sz w:val="20"/>
              </w:rPr>
            </w:pPr>
            <w:r w:rsidRPr="001A62DC">
              <w:rPr>
                <w:rFonts w:ascii="Arial Narrow" w:hAnsi="Arial Narrow"/>
                <w:sz w:val="20"/>
                <w:szCs w:val="20"/>
              </w:rPr>
              <w:t>231 (41.5%)</w:t>
            </w:r>
          </w:p>
        </w:tc>
        <w:tc>
          <w:tcPr>
            <w:tcW w:w="648" w:type="pct"/>
          </w:tcPr>
          <w:p w:rsidR="00124E17" w:rsidRPr="001A62DC" w:rsidRDefault="00124E17" w:rsidP="008B4B29">
            <w:pPr>
              <w:keepNext/>
              <w:widowControl/>
              <w:jc w:val="center"/>
              <w:rPr>
                <w:rFonts w:ascii="Arial Narrow" w:hAnsi="Arial Narrow"/>
                <w:b/>
                <w:i/>
                <w:sz w:val="20"/>
              </w:rPr>
            </w:pPr>
            <w:r w:rsidRPr="001A62DC">
              <w:rPr>
                <w:rFonts w:ascii="Arial Narrow" w:hAnsi="Arial Narrow"/>
                <w:sz w:val="20"/>
                <w:szCs w:val="20"/>
              </w:rPr>
              <w:t>175 (55.7%)</w:t>
            </w:r>
          </w:p>
        </w:tc>
      </w:tr>
      <w:tr w:rsidR="00124E17" w:rsidRPr="001A62DC" w:rsidTr="009E698C">
        <w:tc>
          <w:tcPr>
            <w:tcW w:w="1114" w:type="pct"/>
          </w:tcPr>
          <w:p w:rsidR="00124E17" w:rsidRPr="001A62DC" w:rsidRDefault="00124E17" w:rsidP="008B4B29">
            <w:pPr>
              <w:keepNext/>
              <w:widowControl/>
              <w:tabs>
                <w:tab w:val="left" w:pos="150"/>
              </w:tabs>
              <w:jc w:val="left"/>
              <w:rPr>
                <w:rFonts w:ascii="Arial Narrow" w:hAnsi="Arial Narrow"/>
                <w:sz w:val="20"/>
              </w:rPr>
            </w:pPr>
            <w:r w:rsidRPr="001A62DC">
              <w:rPr>
                <w:rFonts w:ascii="Arial Narrow" w:hAnsi="Arial Narrow"/>
                <w:sz w:val="20"/>
              </w:rPr>
              <w:t>Nocturia</w:t>
            </w:r>
          </w:p>
        </w:tc>
        <w:tc>
          <w:tcPr>
            <w:tcW w:w="647" w:type="pct"/>
            <w:vAlign w:val="center"/>
          </w:tcPr>
          <w:p w:rsidR="00124E17" w:rsidRPr="001A62DC" w:rsidRDefault="00124E17" w:rsidP="008B4B29">
            <w:pPr>
              <w:keepNext/>
              <w:widowControl/>
              <w:jc w:val="center"/>
              <w:rPr>
                <w:rFonts w:ascii="Arial Narrow" w:hAnsi="Arial Narrow"/>
                <w:sz w:val="20"/>
              </w:rPr>
            </w:pPr>
            <w:r w:rsidRPr="001A62DC">
              <w:rPr>
                <w:rFonts w:ascii="Arial Narrow" w:hAnsi="Arial Narrow"/>
                <w:sz w:val="20"/>
                <w:szCs w:val="20"/>
              </w:rPr>
              <w:t>32 (4.7%)</w:t>
            </w:r>
          </w:p>
        </w:tc>
        <w:tc>
          <w:tcPr>
            <w:tcW w:w="650" w:type="pct"/>
            <w:vAlign w:val="center"/>
          </w:tcPr>
          <w:p w:rsidR="00124E17" w:rsidRPr="001A62DC" w:rsidRDefault="00124E17" w:rsidP="008B4B29">
            <w:pPr>
              <w:keepNext/>
              <w:widowControl/>
              <w:jc w:val="center"/>
              <w:rPr>
                <w:rFonts w:ascii="Arial Narrow" w:hAnsi="Arial Narrow"/>
                <w:sz w:val="20"/>
              </w:rPr>
            </w:pPr>
            <w:r w:rsidRPr="001A62DC">
              <w:rPr>
                <w:rFonts w:ascii="Arial Narrow" w:hAnsi="Arial Narrow"/>
                <w:sz w:val="20"/>
                <w:szCs w:val="20"/>
              </w:rPr>
              <w:t>12 (1.8%)</w:t>
            </w:r>
          </w:p>
        </w:tc>
        <w:tc>
          <w:tcPr>
            <w:tcW w:w="647" w:type="pct"/>
          </w:tcPr>
          <w:p w:rsidR="00124E17" w:rsidRPr="001A62DC" w:rsidRDefault="00124E17" w:rsidP="008B4B29">
            <w:pPr>
              <w:keepNext/>
              <w:widowControl/>
              <w:jc w:val="center"/>
              <w:rPr>
                <w:rFonts w:ascii="Arial Narrow" w:hAnsi="Arial Narrow"/>
                <w:sz w:val="20"/>
              </w:rPr>
            </w:pPr>
            <w:r w:rsidRPr="001A62DC">
              <w:rPr>
                <w:rFonts w:ascii="Arial Narrow" w:hAnsi="Arial Narrow"/>
                <w:sz w:val="20"/>
              </w:rPr>
              <w:t>280 (29.1%)</w:t>
            </w:r>
          </w:p>
        </w:tc>
        <w:tc>
          <w:tcPr>
            <w:tcW w:w="648" w:type="pct"/>
          </w:tcPr>
          <w:p w:rsidR="00124E17" w:rsidRPr="001A62DC" w:rsidRDefault="00124E17" w:rsidP="008B4B29">
            <w:pPr>
              <w:keepNext/>
              <w:widowControl/>
              <w:jc w:val="center"/>
              <w:rPr>
                <w:rFonts w:ascii="Arial Narrow" w:hAnsi="Arial Narrow"/>
                <w:sz w:val="20"/>
              </w:rPr>
            </w:pPr>
            <w:r w:rsidRPr="001A62DC">
              <w:rPr>
                <w:rFonts w:ascii="Arial Narrow" w:hAnsi="Arial Narrow"/>
                <w:sz w:val="20"/>
              </w:rPr>
              <w:t>63 (13.0%)</w:t>
            </w:r>
          </w:p>
        </w:tc>
        <w:tc>
          <w:tcPr>
            <w:tcW w:w="647" w:type="pct"/>
          </w:tcPr>
          <w:p w:rsidR="00124E17" w:rsidRPr="001A62DC" w:rsidRDefault="00124E17" w:rsidP="008B4B29">
            <w:pPr>
              <w:keepNext/>
              <w:widowControl/>
              <w:jc w:val="center"/>
              <w:rPr>
                <w:rFonts w:ascii="Arial Narrow" w:hAnsi="Arial Narrow"/>
                <w:b/>
                <w:i/>
                <w:sz w:val="20"/>
              </w:rPr>
            </w:pPr>
            <w:r w:rsidRPr="001A62DC">
              <w:rPr>
                <w:rFonts w:ascii="Arial Narrow" w:hAnsi="Arial Narrow"/>
                <w:sz w:val="20"/>
                <w:szCs w:val="20"/>
              </w:rPr>
              <w:t>145 (26.0%)</w:t>
            </w:r>
          </w:p>
        </w:tc>
        <w:tc>
          <w:tcPr>
            <w:tcW w:w="648" w:type="pct"/>
          </w:tcPr>
          <w:p w:rsidR="00124E17" w:rsidRPr="001A62DC" w:rsidRDefault="00124E17" w:rsidP="008B4B29">
            <w:pPr>
              <w:keepNext/>
              <w:widowControl/>
              <w:jc w:val="center"/>
              <w:rPr>
                <w:rFonts w:ascii="Arial Narrow" w:hAnsi="Arial Narrow"/>
                <w:b/>
                <w:i/>
                <w:sz w:val="20"/>
              </w:rPr>
            </w:pPr>
            <w:r w:rsidRPr="001A62DC">
              <w:rPr>
                <w:rFonts w:ascii="Arial Narrow" w:hAnsi="Arial Narrow"/>
                <w:sz w:val="20"/>
                <w:szCs w:val="20"/>
              </w:rPr>
              <w:t>111 (35.4%)</w:t>
            </w:r>
          </w:p>
        </w:tc>
      </w:tr>
      <w:tr w:rsidR="00124E17" w:rsidRPr="001A62DC" w:rsidTr="009E698C">
        <w:tc>
          <w:tcPr>
            <w:tcW w:w="1114" w:type="pct"/>
          </w:tcPr>
          <w:p w:rsidR="00124E17" w:rsidRPr="001A62DC" w:rsidRDefault="00124E17" w:rsidP="008B4B29">
            <w:pPr>
              <w:keepNext/>
              <w:widowControl/>
              <w:tabs>
                <w:tab w:val="left" w:pos="150"/>
              </w:tabs>
              <w:jc w:val="left"/>
              <w:rPr>
                <w:rFonts w:ascii="Arial Narrow" w:hAnsi="Arial Narrow"/>
                <w:sz w:val="20"/>
                <w:vertAlign w:val="superscript"/>
              </w:rPr>
            </w:pPr>
            <w:r>
              <w:rPr>
                <w:rFonts w:ascii="Arial Narrow" w:hAnsi="Arial Narrow"/>
                <w:sz w:val="20"/>
              </w:rPr>
              <w:t>Kidney Pain</w:t>
            </w:r>
          </w:p>
        </w:tc>
        <w:tc>
          <w:tcPr>
            <w:tcW w:w="647" w:type="pct"/>
            <w:vAlign w:val="center"/>
          </w:tcPr>
          <w:p w:rsidR="00124E17" w:rsidRPr="001A62DC" w:rsidRDefault="008E3A9E" w:rsidP="008B4B29">
            <w:pPr>
              <w:keepNext/>
              <w:widowControl/>
              <w:jc w:val="center"/>
              <w:rPr>
                <w:rFonts w:ascii="Arial Narrow" w:hAnsi="Arial Narrow"/>
                <w:sz w:val="20"/>
              </w:rPr>
            </w:pPr>
            <w:r>
              <w:rPr>
                <w:rFonts w:ascii="Arial Narrow" w:hAnsi="Arial Narrow"/>
                <w:sz w:val="20"/>
              </w:rPr>
              <w:t>113 (16.6%)</w:t>
            </w:r>
          </w:p>
        </w:tc>
        <w:tc>
          <w:tcPr>
            <w:tcW w:w="650" w:type="pct"/>
            <w:vAlign w:val="center"/>
          </w:tcPr>
          <w:p w:rsidR="00124E17" w:rsidRPr="001A62DC" w:rsidRDefault="008E3A9E" w:rsidP="008B4B29">
            <w:pPr>
              <w:keepNext/>
              <w:widowControl/>
              <w:jc w:val="center"/>
              <w:rPr>
                <w:rFonts w:ascii="Arial Narrow" w:hAnsi="Arial Narrow"/>
                <w:sz w:val="20"/>
              </w:rPr>
            </w:pPr>
            <w:r>
              <w:rPr>
                <w:rFonts w:ascii="Arial Narrow" w:hAnsi="Arial Narrow"/>
                <w:sz w:val="20"/>
              </w:rPr>
              <w:t>130 (19.0%)</w:t>
            </w:r>
          </w:p>
        </w:tc>
        <w:tc>
          <w:tcPr>
            <w:tcW w:w="647" w:type="pct"/>
          </w:tcPr>
          <w:p w:rsidR="00124E17" w:rsidRPr="001A62DC" w:rsidRDefault="00124E17" w:rsidP="008B4B29">
            <w:pPr>
              <w:keepNext/>
              <w:widowControl/>
              <w:jc w:val="center"/>
              <w:rPr>
                <w:rFonts w:ascii="Arial Narrow" w:hAnsi="Arial Narrow"/>
                <w:sz w:val="20"/>
              </w:rPr>
            </w:pPr>
            <w:r w:rsidRPr="001A62DC">
              <w:rPr>
                <w:rFonts w:ascii="Arial Narrow" w:hAnsi="Arial Narrow"/>
                <w:sz w:val="20"/>
              </w:rPr>
              <w:t>260 (27.1%)</w:t>
            </w:r>
          </w:p>
        </w:tc>
        <w:tc>
          <w:tcPr>
            <w:tcW w:w="648" w:type="pct"/>
          </w:tcPr>
          <w:p w:rsidR="00124E17" w:rsidRPr="001A62DC" w:rsidRDefault="00124E17" w:rsidP="008B4B29">
            <w:pPr>
              <w:keepNext/>
              <w:widowControl/>
              <w:jc w:val="center"/>
              <w:rPr>
                <w:rFonts w:ascii="Arial Narrow" w:hAnsi="Arial Narrow"/>
                <w:sz w:val="20"/>
              </w:rPr>
            </w:pPr>
            <w:r w:rsidRPr="001A62DC">
              <w:rPr>
                <w:rFonts w:ascii="Arial Narrow" w:hAnsi="Arial Narrow"/>
                <w:sz w:val="20"/>
              </w:rPr>
              <w:t>171 (35.4%)</w:t>
            </w:r>
          </w:p>
        </w:tc>
        <w:tc>
          <w:tcPr>
            <w:tcW w:w="647" w:type="pct"/>
          </w:tcPr>
          <w:p w:rsidR="00124E17" w:rsidRPr="001A62DC" w:rsidRDefault="00124E17" w:rsidP="008B4B29">
            <w:pPr>
              <w:keepNext/>
              <w:widowControl/>
              <w:jc w:val="center"/>
              <w:rPr>
                <w:rFonts w:ascii="Arial Narrow" w:hAnsi="Arial Narrow"/>
                <w:i/>
                <w:sz w:val="20"/>
              </w:rPr>
            </w:pPr>
            <w:r w:rsidRPr="001A62DC">
              <w:rPr>
                <w:rFonts w:ascii="Arial Narrow" w:hAnsi="Arial Narrow"/>
                <w:sz w:val="20"/>
                <w:szCs w:val="20"/>
              </w:rPr>
              <w:t>147 (26.4%)</w:t>
            </w:r>
          </w:p>
        </w:tc>
        <w:tc>
          <w:tcPr>
            <w:tcW w:w="648" w:type="pct"/>
          </w:tcPr>
          <w:p w:rsidR="00124E17" w:rsidRPr="001A62DC" w:rsidRDefault="00124E17" w:rsidP="008B4B29">
            <w:pPr>
              <w:keepNext/>
              <w:widowControl/>
              <w:jc w:val="center"/>
              <w:rPr>
                <w:rFonts w:ascii="Arial Narrow" w:hAnsi="Arial Narrow"/>
                <w:i/>
                <w:sz w:val="20"/>
              </w:rPr>
            </w:pPr>
            <w:r w:rsidRPr="001A62DC">
              <w:rPr>
                <w:rFonts w:ascii="Arial Narrow" w:hAnsi="Arial Narrow"/>
                <w:sz w:val="20"/>
                <w:szCs w:val="20"/>
              </w:rPr>
              <w:t>90 (28.7%)</w:t>
            </w:r>
          </w:p>
        </w:tc>
      </w:tr>
      <w:tr w:rsidR="00124E17" w:rsidRPr="001A62DC" w:rsidTr="009E698C">
        <w:tc>
          <w:tcPr>
            <w:tcW w:w="1114" w:type="pct"/>
          </w:tcPr>
          <w:p w:rsidR="00124E17" w:rsidRPr="001A62DC" w:rsidRDefault="00124E17" w:rsidP="008B4B29">
            <w:pPr>
              <w:keepNext/>
              <w:widowControl/>
              <w:tabs>
                <w:tab w:val="left" w:pos="150"/>
              </w:tabs>
              <w:jc w:val="left"/>
              <w:rPr>
                <w:rFonts w:ascii="Arial Narrow" w:hAnsi="Arial Narrow"/>
                <w:sz w:val="20"/>
              </w:rPr>
            </w:pPr>
            <w:r w:rsidRPr="001A62DC">
              <w:rPr>
                <w:rFonts w:ascii="Arial Narrow" w:hAnsi="Arial Narrow"/>
                <w:sz w:val="20"/>
              </w:rPr>
              <w:t>Fatigue</w:t>
            </w:r>
          </w:p>
        </w:tc>
        <w:tc>
          <w:tcPr>
            <w:tcW w:w="647" w:type="pct"/>
          </w:tcPr>
          <w:p w:rsidR="00124E17" w:rsidRPr="001A62DC" w:rsidRDefault="00124E17" w:rsidP="008B4B29">
            <w:pPr>
              <w:keepNext/>
              <w:widowControl/>
              <w:jc w:val="center"/>
              <w:rPr>
                <w:rFonts w:ascii="Arial Narrow" w:hAnsi="Arial Narrow"/>
                <w:sz w:val="20"/>
              </w:rPr>
            </w:pPr>
            <w:r w:rsidRPr="001A62DC">
              <w:rPr>
                <w:rFonts w:ascii="Arial Narrow" w:hAnsi="Arial Narrow"/>
                <w:sz w:val="20"/>
                <w:szCs w:val="20"/>
              </w:rPr>
              <w:t>46 (6.8%)</w:t>
            </w:r>
          </w:p>
        </w:tc>
        <w:tc>
          <w:tcPr>
            <w:tcW w:w="650" w:type="pct"/>
          </w:tcPr>
          <w:p w:rsidR="00124E17" w:rsidRPr="001A62DC" w:rsidRDefault="00124E17" w:rsidP="008B4B29">
            <w:pPr>
              <w:keepNext/>
              <w:widowControl/>
              <w:jc w:val="center"/>
              <w:rPr>
                <w:rFonts w:ascii="Arial Narrow" w:hAnsi="Arial Narrow"/>
                <w:sz w:val="20"/>
              </w:rPr>
            </w:pPr>
            <w:r w:rsidRPr="001A62DC">
              <w:rPr>
                <w:rFonts w:ascii="Arial Narrow" w:hAnsi="Arial Narrow"/>
                <w:sz w:val="20"/>
                <w:szCs w:val="20"/>
              </w:rPr>
              <w:t>24 (3.5%)</w:t>
            </w:r>
          </w:p>
        </w:tc>
        <w:tc>
          <w:tcPr>
            <w:tcW w:w="647" w:type="pct"/>
          </w:tcPr>
          <w:p w:rsidR="00124E17" w:rsidRPr="001A62DC" w:rsidRDefault="00124E17" w:rsidP="008B4B29">
            <w:pPr>
              <w:keepNext/>
              <w:widowControl/>
              <w:jc w:val="center"/>
              <w:rPr>
                <w:rFonts w:ascii="Arial Narrow" w:hAnsi="Arial Narrow"/>
                <w:sz w:val="20"/>
              </w:rPr>
            </w:pPr>
            <w:r w:rsidRPr="001A62DC">
              <w:rPr>
                <w:rFonts w:ascii="Arial Narrow" w:hAnsi="Arial Narrow"/>
                <w:sz w:val="20"/>
              </w:rPr>
              <w:t>131 (13.6%)</w:t>
            </w:r>
          </w:p>
        </w:tc>
        <w:tc>
          <w:tcPr>
            <w:tcW w:w="648" w:type="pct"/>
          </w:tcPr>
          <w:p w:rsidR="00124E17" w:rsidRPr="001A62DC" w:rsidRDefault="00124E17" w:rsidP="008B4B29">
            <w:pPr>
              <w:keepNext/>
              <w:widowControl/>
              <w:jc w:val="center"/>
              <w:rPr>
                <w:rFonts w:ascii="Arial Narrow" w:hAnsi="Arial Narrow"/>
                <w:sz w:val="20"/>
              </w:rPr>
            </w:pPr>
            <w:r w:rsidRPr="001A62DC">
              <w:rPr>
                <w:rFonts w:ascii="Arial Narrow" w:hAnsi="Arial Narrow"/>
                <w:sz w:val="20"/>
              </w:rPr>
              <w:t>47 (9.7%)</w:t>
            </w:r>
          </w:p>
        </w:tc>
        <w:tc>
          <w:tcPr>
            <w:tcW w:w="647" w:type="pct"/>
          </w:tcPr>
          <w:p w:rsidR="00124E17" w:rsidRPr="001A62DC" w:rsidRDefault="00124E17" w:rsidP="008B4B29">
            <w:pPr>
              <w:keepNext/>
              <w:widowControl/>
              <w:jc w:val="center"/>
              <w:rPr>
                <w:rFonts w:ascii="Arial Narrow" w:hAnsi="Arial Narrow"/>
                <w:b/>
                <w:i/>
                <w:sz w:val="20"/>
              </w:rPr>
            </w:pPr>
            <w:r w:rsidRPr="001A62DC">
              <w:rPr>
                <w:rFonts w:ascii="Arial Narrow" w:hAnsi="Arial Narrow"/>
                <w:sz w:val="20"/>
                <w:szCs w:val="20"/>
              </w:rPr>
              <w:t>53 (9.5%)</w:t>
            </w:r>
          </w:p>
        </w:tc>
        <w:tc>
          <w:tcPr>
            <w:tcW w:w="648" w:type="pct"/>
          </w:tcPr>
          <w:p w:rsidR="00124E17" w:rsidRPr="001A62DC" w:rsidRDefault="00124E17" w:rsidP="008B4B29">
            <w:pPr>
              <w:keepNext/>
              <w:widowControl/>
              <w:jc w:val="center"/>
              <w:rPr>
                <w:rFonts w:ascii="Arial Narrow" w:hAnsi="Arial Narrow"/>
                <w:b/>
                <w:i/>
                <w:sz w:val="20"/>
              </w:rPr>
            </w:pPr>
            <w:r w:rsidRPr="001A62DC">
              <w:rPr>
                <w:rFonts w:ascii="Arial Narrow" w:hAnsi="Arial Narrow"/>
                <w:sz w:val="20"/>
                <w:szCs w:val="20"/>
              </w:rPr>
              <w:t>54 (17.2%)</w:t>
            </w:r>
          </w:p>
        </w:tc>
      </w:tr>
      <w:tr w:rsidR="00124E17" w:rsidRPr="001A62DC" w:rsidTr="009E698C">
        <w:tc>
          <w:tcPr>
            <w:tcW w:w="1114" w:type="pct"/>
          </w:tcPr>
          <w:p w:rsidR="00124E17" w:rsidRPr="001A62DC" w:rsidRDefault="00124E17" w:rsidP="008B4B29">
            <w:pPr>
              <w:keepNext/>
              <w:widowControl/>
              <w:tabs>
                <w:tab w:val="left" w:pos="150"/>
              </w:tabs>
              <w:jc w:val="left"/>
              <w:rPr>
                <w:rFonts w:ascii="Arial Narrow" w:hAnsi="Arial Narrow"/>
                <w:sz w:val="20"/>
                <w:vertAlign w:val="superscript"/>
              </w:rPr>
            </w:pPr>
            <w:r>
              <w:rPr>
                <w:rFonts w:ascii="Arial Narrow" w:hAnsi="Arial Narrow"/>
                <w:sz w:val="20"/>
              </w:rPr>
              <w:t>Polydipsia</w:t>
            </w:r>
          </w:p>
        </w:tc>
        <w:tc>
          <w:tcPr>
            <w:tcW w:w="647" w:type="pct"/>
          </w:tcPr>
          <w:p w:rsidR="00124E17" w:rsidRPr="001A62DC" w:rsidRDefault="008E3A9E" w:rsidP="008B4B29">
            <w:pPr>
              <w:keepNext/>
              <w:widowControl/>
              <w:jc w:val="center"/>
              <w:rPr>
                <w:rFonts w:ascii="Arial Narrow" w:hAnsi="Arial Narrow"/>
                <w:sz w:val="20"/>
              </w:rPr>
            </w:pPr>
            <w:r>
              <w:rPr>
                <w:rFonts w:ascii="Arial Narrow" w:hAnsi="Arial Narrow"/>
                <w:sz w:val="20"/>
              </w:rPr>
              <w:t>12 (1.8%)</w:t>
            </w:r>
          </w:p>
        </w:tc>
        <w:tc>
          <w:tcPr>
            <w:tcW w:w="650" w:type="pct"/>
          </w:tcPr>
          <w:p w:rsidR="00124E17" w:rsidRPr="001A62DC" w:rsidRDefault="008E3A9E" w:rsidP="008B4B29">
            <w:pPr>
              <w:keepNext/>
              <w:widowControl/>
              <w:jc w:val="center"/>
              <w:rPr>
                <w:rFonts w:ascii="Arial Narrow" w:hAnsi="Arial Narrow"/>
                <w:sz w:val="20"/>
              </w:rPr>
            </w:pPr>
            <w:r>
              <w:rPr>
                <w:rFonts w:ascii="Arial Narrow" w:hAnsi="Arial Narrow"/>
                <w:sz w:val="20"/>
              </w:rPr>
              <w:t>3 (0.4%)</w:t>
            </w:r>
          </w:p>
        </w:tc>
        <w:tc>
          <w:tcPr>
            <w:tcW w:w="647" w:type="pct"/>
          </w:tcPr>
          <w:p w:rsidR="00124E17" w:rsidRPr="001A62DC" w:rsidRDefault="00124E17" w:rsidP="008B4B29">
            <w:pPr>
              <w:keepNext/>
              <w:widowControl/>
              <w:jc w:val="center"/>
              <w:rPr>
                <w:rFonts w:ascii="Arial Narrow" w:hAnsi="Arial Narrow"/>
                <w:sz w:val="20"/>
              </w:rPr>
            </w:pPr>
            <w:r w:rsidRPr="001A62DC">
              <w:rPr>
                <w:rFonts w:ascii="Arial Narrow" w:hAnsi="Arial Narrow"/>
                <w:sz w:val="20"/>
              </w:rPr>
              <w:t>100 (10.4%)</w:t>
            </w:r>
          </w:p>
        </w:tc>
        <w:tc>
          <w:tcPr>
            <w:tcW w:w="648" w:type="pct"/>
          </w:tcPr>
          <w:p w:rsidR="00124E17" w:rsidRPr="001A62DC" w:rsidRDefault="00124E17" w:rsidP="008B4B29">
            <w:pPr>
              <w:keepNext/>
              <w:widowControl/>
              <w:jc w:val="center"/>
              <w:rPr>
                <w:rFonts w:ascii="Arial Narrow" w:hAnsi="Arial Narrow"/>
                <w:sz w:val="20"/>
              </w:rPr>
            </w:pPr>
            <w:r w:rsidRPr="001A62DC">
              <w:rPr>
                <w:rFonts w:ascii="Arial Narrow" w:hAnsi="Arial Narrow"/>
                <w:sz w:val="20"/>
              </w:rPr>
              <w:t>17 (3.5%)</w:t>
            </w:r>
          </w:p>
        </w:tc>
        <w:tc>
          <w:tcPr>
            <w:tcW w:w="647" w:type="pct"/>
          </w:tcPr>
          <w:p w:rsidR="00124E17" w:rsidRPr="001A62DC" w:rsidRDefault="00124E17" w:rsidP="008B4B29">
            <w:pPr>
              <w:keepNext/>
              <w:widowControl/>
              <w:jc w:val="center"/>
              <w:rPr>
                <w:rFonts w:ascii="Arial Narrow" w:hAnsi="Arial Narrow"/>
                <w:b/>
                <w:i/>
                <w:sz w:val="20"/>
              </w:rPr>
            </w:pPr>
            <w:r w:rsidRPr="001A62DC">
              <w:rPr>
                <w:rFonts w:ascii="Arial Narrow" w:hAnsi="Arial Narrow"/>
                <w:sz w:val="20"/>
                <w:szCs w:val="20"/>
              </w:rPr>
              <w:t>62 (11.1%)</w:t>
            </w:r>
          </w:p>
        </w:tc>
        <w:tc>
          <w:tcPr>
            <w:tcW w:w="648" w:type="pct"/>
          </w:tcPr>
          <w:p w:rsidR="00124E17" w:rsidRPr="001A62DC" w:rsidRDefault="00124E17" w:rsidP="008B4B29">
            <w:pPr>
              <w:keepNext/>
              <w:widowControl/>
              <w:jc w:val="center"/>
              <w:rPr>
                <w:rFonts w:ascii="Arial Narrow" w:hAnsi="Arial Narrow"/>
                <w:b/>
                <w:i/>
                <w:sz w:val="20"/>
              </w:rPr>
            </w:pPr>
            <w:r w:rsidRPr="001A62DC">
              <w:rPr>
                <w:rFonts w:ascii="Arial Narrow" w:hAnsi="Arial Narrow"/>
                <w:sz w:val="20"/>
                <w:szCs w:val="20"/>
              </w:rPr>
              <w:t>51 (16.2%)</w:t>
            </w:r>
          </w:p>
        </w:tc>
      </w:tr>
      <w:tr w:rsidR="00124E17" w:rsidRPr="001A62DC" w:rsidTr="009E698C">
        <w:tc>
          <w:tcPr>
            <w:tcW w:w="1114" w:type="pct"/>
          </w:tcPr>
          <w:p w:rsidR="00124E17" w:rsidRPr="001A62DC" w:rsidRDefault="00124E17" w:rsidP="008B4B29">
            <w:pPr>
              <w:keepNext/>
              <w:widowControl/>
              <w:tabs>
                <w:tab w:val="left" w:pos="150"/>
              </w:tabs>
              <w:jc w:val="left"/>
              <w:rPr>
                <w:rFonts w:ascii="Arial Narrow" w:hAnsi="Arial Narrow"/>
                <w:sz w:val="20"/>
                <w:vertAlign w:val="superscript"/>
              </w:rPr>
            </w:pPr>
            <w:r w:rsidRPr="001A62DC">
              <w:rPr>
                <w:rFonts w:ascii="Arial Narrow" w:hAnsi="Arial Narrow"/>
                <w:sz w:val="20"/>
              </w:rPr>
              <w:t>Haematuria</w:t>
            </w:r>
          </w:p>
        </w:tc>
        <w:tc>
          <w:tcPr>
            <w:tcW w:w="647" w:type="pct"/>
            <w:vAlign w:val="center"/>
          </w:tcPr>
          <w:p w:rsidR="00124E17" w:rsidRPr="001A62DC" w:rsidRDefault="00124E17" w:rsidP="008B4B29">
            <w:pPr>
              <w:keepNext/>
              <w:widowControl/>
              <w:jc w:val="center"/>
              <w:rPr>
                <w:rFonts w:ascii="Arial Narrow" w:hAnsi="Arial Narrow"/>
                <w:sz w:val="20"/>
              </w:rPr>
            </w:pPr>
            <w:r w:rsidRPr="001A62DC">
              <w:rPr>
                <w:rFonts w:ascii="Arial Narrow" w:hAnsi="Arial Narrow"/>
                <w:sz w:val="20"/>
                <w:szCs w:val="20"/>
              </w:rPr>
              <w:t>37 (5.4%)</w:t>
            </w:r>
          </w:p>
        </w:tc>
        <w:tc>
          <w:tcPr>
            <w:tcW w:w="650" w:type="pct"/>
            <w:vAlign w:val="center"/>
          </w:tcPr>
          <w:p w:rsidR="00124E17" w:rsidRPr="001A62DC" w:rsidRDefault="00124E17" w:rsidP="008B4B29">
            <w:pPr>
              <w:keepNext/>
              <w:widowControl/>
              <w:jc w:val="center"/>
              <w:rPr>
                <w:rFonts w:ascii="Arial Narrow" w:hAnsi="Arial Narrow"/>
                <w:sz w:val="20"/>
                <w:vertAlign w:val="superscript"/>
              </w:rPr>
            </w:pPr>
            <w:r w:rsidRPr="001A62DC">
              <w:rPr>
                <w:rFonts w:ascii="Arial Narrow" w:hAnsi="Arial Narrow"/>
                <w:sz w:val="20"/>
                <w:szCs w:val="20"/>
              </w:rPr>
              <w:t>35 (5.1%)</w:t>
            </w:r>
          </w:p>
        </w:tc>
        <w:tc>
          <w:tcPr>
            <w:tcW w:w="647" w:type="pct"/>
          </w:tcPr>
          <w:p w:rsidR="00124E17" w:rsidRPr="001A62DC" w:rsidRDefault="00124E17" w:rsidP="008B4B29">
            <w:pPr>
              <w:keepNext/>
              <w:widowControl/>
              <w:jc w:val="center"/>
              <w:rPr>
                <w:rFonts w:ascii="Arial Narrow" w:hAnsi="Arial Narrow"/>
                <w:sz w:val="20"/>
              </w:rPr>
            </w:pPr>
            <w:r w:rsidRPr="001A62DC">
              <w:rPr>
                <w:rFonts w:ascii="Arial Narrow" w:hAnsi="Arial Narrow"/>
                <w:sz w:val="20"/>
              </w:rPr>
              <w:t>75 (7.8%)</w:t>
            </w:r>
          </w:p>
        </w:tc>
        <w:tc>
          <w:tcPr>
            <w:tcW w:w="648" w:type="pct"/>
          </w:tcPr>
          <w:p w:rsidR="00124E17" w:rsidRPr="001A62DC" w:rsidRDefault="00124E17" w:rsidP="008B4B29">
            <w:pPr>
              <w:keepNext/>
              <w:widowControl/>
              <w:jc w:val="center"/>
              <w:rPr>
                <w:rFonts w:ascii="Arial Narrow" w:hAnsi="Arial Narrow"/>
                <w:sz w:val="20"/>
              </w:rPr>
            </w:pPr>
            <w:r w:rsidRPr="001A62DC">
              <w:rPr>
                <w:rFonts w:ascii="Arial Narrow" w:hAnsi="Arial Narrow"/>
                <w:sz w:val="20"/>
              </w:rPr>
              <w:t>68 (14.1%)</w:t>
            </w:r>
          </w:p>
        </w:tc>
        <w:tc>
          <w:tcPr>
            <w:tcW w:w="647" w:type="pct"/>
          </w:tcPr>
          <w:p w:rsidR="00124E17" w:rsidRPr="001A62DC" w:rsidRDefault="00124E17" w:rsidP="008B4B29">
            <w:pPr>
              <w:keepNext/>
              <w:widowControl/>
              <w:jc w:val="center"/>
              <w:rPr>
                <w:rFonts w:ascii="Arial Narrow" w:hAnsi="Arial Narrow"/>
                <w:i/>
                <w:sz w:val="20"/>
              </w:rPr>
            </w:pPr>
            <w:r w:rsidRPr="001A62DC">
              <w:rPr>
                <w:rFonts w:ascii="Arial Narrow" w:hAnsi="Arial Narrow"/>
                <w:sz w:val="20"/>
                <w:szCs w:val="20"/>
              </w:rPr>
              <w:t>47 (8.4%)</w:t>
            </w:r>
          </w:p>
        </w:tc>
        <w:tc>
          <w:tcPr>
            <w:tcW w:w="648" w:type="pct"/>
          </w:tcPr>
          <w:p w:rsidR="00124E17" w:rsidRPr="001A62DC" w:rsidRDefault="00124E17" w:rsidP="008B4B29">
            <w:pPr>
              <w:keepNext/>
              <w:widowControl/>
              <w:jc w:val="center"/>
              <w:rPr>
                <w:rFonts w:ascii="Arial Narrow" w:hAnsi="Arial Narrow"/>
                <w:i/>
                <w:sz w:val="20"/>
              </w:rPr>
            </w:pPr>
            <w:r w:rsidRPr="001A62DC">
              <w:rPr>
                <w:rFonts w:ascii="Arial Narrow" w:hAnsi="Arial Narrow"/>
                <w:sz w:val="20"/>
                <w:szCs w:val="20"/>
              </w:rPr>
              <w:t>37 (11.8%)</w:t>
            </w:r>
          </w:p>
        </w:tc>
      </w:tr>
      <w:tr w:rsidR="00124E17" w:rsidRPr="001A62DC" w:rsidTr="009E698C">
        <w:tc>
          <w:tcPr>
            <w:tcW w:w="1114" w:type="pct"/>
          </w:tcPr>
          <w:p w:rsidR="00124E17" w:rsidRPr="001A62DC" w:rsidRDefault="00124E17" w:rsidP="008B4B29">
            <w:pPr>
              <w:keepNext/>
              <w:widowControl/>
              <w:tabs>
                <w:tab w:val="left" w:pos="150"/>
              </w:tabs>
              <w:jc w:val="left"/>
              <w:rPr>
                <w:rFonts w:ascii="Arial Narrow" w:hAnsi="Arial Narrow"/>
                <w:sz w:val="20"/>
              </w:rPr>
            </w:pPr>
            <w:r w:rsidRPr="001A62DC">
              <w:rPr>
                <w:rFonts w:ascii="Arial Narrow" w:hAnsi="Arial Narrow"/>
                <w:sz w:val="20"/>
              </w:rPr>
              <w:t>Decreased appetite</w:t>
            </w:r>
          </w:p>
        </w:tc>
        <w:tc>
          <w:tcPr>
            <w:tcW w:w="647" w:type="pct"/>
          </w:tcPr>
          <w:p w:rsidR="00124E17" w:rsidRPr="001A62DC" w:rsidRDefault="00124E17" w:rsidP="008B4B29">
            <w:pPr>
              <w:keepNext/>
              <w:widowControl/>
              <w:jc w:val="center"/>
              <w:rPr>
                <w:rFonts w:ascii="Arial Narrow" w:hAnsi="Arial Narrow"/>
                <w:sz w:val="20"/>
              </w:rPr>
            </w:pPr>
            <w:r w:rsidRPr="001A62DC">
              <w:rPr>
                <w:rFonts w:ascii="Arial Narrow" w:hAnsi="Arial Narrow"/>
                <w:sz w:val="20"/>
                <w:szCs w:val="20"/>
              </w:rPr>
              <w:t>17 (2.5%)</w:t>
            </w:r>
          </w:p>
        </w:tc>
        <w:tc>
          <w:tcPr>
            <w:tcW w:w="650" w:type="pct"/>
          </w:tcPr>
          <w:p w:rsidR="00124E17" w:rsidRPr="001A62DC" w:rsidRDefault="00124E17" w:rsidP="008B4B29">
            <w:pPr>
              <w:keepNext/>
              <w:widowControl/>
              <w:jc w:val="center"/>
              <w:rPr>
                <w:rFonts w:ascii="Arial Narrow" w:hAnsi="Arial Narrow"/>
                <w:sz w:val="20"/>
              </w:rPr>
            </w:pPr>
            <w:r w:rsidRPr="001A62DC">
              <w:rPr>
                <w:rFonts w:ascii="Arial Narrow" w:hAnsi="Arial Narrow"/>
                <w:sz w:val="20"/>
                <w:szCs w:val="20"/>
              </w:rPr>
              <w:t>5 (0.7%)</w:t>
            </w:r>
          </w:p>
        </w:tc>
        <w:tc>
          <w:tcPr>
            <w:tcW w:w="647" w:type="pct"/>
          </w:tcPr>
          <w:p w:rsidR="00124E17" w:rsidRPr="001A62DC" w:rsidRDefault="00124E17" w:rsidP="008B4B29">
            <w:pPr>
              <w:keepNext/>
              <w:widowControl/>
              <w:jc w:val="center"/>
              <w:rPr>
                <w:rFonts w:ascii="Arial Narrow" w:hAnsi="Arial Narrow"/>
                <w:sz w:val="20"/>
              </w:rPr>
            </w:pPr>
            <w:r w:rsidRPr="001A62DC">
              <w:rPr>
                <w:rFonts w:ascii="Arial Narrow" w:hAnsi="Arial Narrow"/>
                <w:sz w:val="20"/>
              </w:rPr>
              <w:t>69 (7.2%)</w:t>
            </w:r>
          </w:p>
        </w:tc>
        <w:tc>
          <w:tcPr>
            <w:tcW w:w="648" w:type="pct"/>
          </w:tcPr>
          <w:p w:rsidR="00124E17" w:rsidRPr="001A62DC" w:rsidRDefault="00124E17" w:rsidP="008B4B29">
            <w:pPr>
              <w:keepNext/>
              <w:widowControl/>
              <w:jc w:val="center"/>
              <w:rPr>
                <w:rFonts w:ascii="Arial Narrow" w:hAnsi="Arial Narrow"/>
                <w:sz w:val="20"/>
              </w:rPr>
            </w:pPr>
            <w:r w:rsidRPr="001A62DC">
              <w:rPr>
                <w:rFonts w:ascii="Arial Narrow" w:hAnsi="Arial Narrow"/>
                <w:sz w:val="20"/>
              </w:rPr>
              <w:t>5 (1.0%)</w:t>
            </w:r>
          </w:p>
        </w:tc>
        <w:tc>
          <w:tcPr>
            <w:tcW w:w="647" w:type="pct"/>
          </w:tcPr>
          <w:p w:rsidR="00124E17" w:rsidRPr="002D1FB0" w:rsidRDefault="00124E17" w:rsidP="008B4B29">
            <w:pPr>
              <w:keepNext/>
              <w:widowControl/>
              <w:jc w:val="center"/>
              <w:rPr>
                <w:rFonts w:ascii="Arial Narrow" w:hAnsi="Arial Narrow"/>
                <w:i/>
                <w:sz w:val="20"/>
              </w:rPr>
            </w:pPr>
            <w:r w:rsidRPr="002D1FB0">
              <w:rPr>
                <w:rFonts w:ascii="Arial Narrow" w:hAnsi="Arial Narrow"/>
                <w:i/>
                <w:sz w:val="20"/>
              </w:rPr>
              <w:t>-</w:t>
            </w:r>
          </w:p>
        </w:tc>
        <w:tc>
          <w:tcPr>
            <w:tcW w:w="648" w:type="pct"/>
          </w:tcPr>
          <w:p w:rsidR="00124E17" w:rsidRPr="002D1FB0" w:rsidRDefault="00124E17" w:rsidP="008B4B29">
            <w:pPr>
              <w:keepNext/>
              <w:widowControl/>
              <w:jc w:val="center"/>
              <w:rPr>
                <w:rFonts w:ascii="Arial Narrow" w:hAnsi="Arial Narrow"/>
                <w:i/>
                <w:sz w:val="20"/>
              </w:rPr>
            </w:pPr>
            <w:r w:rsidRPr="002D1FB0">
              <w:rPr>
                <w:rFonts w:ascii="Arial Narrow" w:hAnsi="Arial Narrow"/>
                <w:i/>
                <w:sz w:val="20"/>
              </w:rPr>
              <w:t>-</w:t>
            </w:r>
          </w:p>
        </w:tc>
      </w:tr>
      <w:tr w:rsidR="00124E17" w:rsidRPr="001A62DC" w:rsidTr="009E698C">
        <w:tc>
          <w:tcPr>
            <w:tcW w:w="1114" w:type="pct"/>
          </w:tcPr>
          <w:p w:rsidR="00124E17" w:rsidRPr="001A62DC" w:rsidRDefault="00124E17" w:rsidP="008B4B29">
            <w:pPr>
              <w:keepNext/>
              <w:widowControl/>
              <w:tabs>
                <w:tab w:val="left" w:pos="150"/>
              </w:tabs>
              <w:jc w:val="left"/>
              <w:rPr>
                <w:rFonts w:ascii="Arial Narrow" w:hAnsi="Arial Narrow"/>
                <w:sz w:val="20"/>
              </w:rPr>
            </w:pPr>
            <w:r w:rsidRPr="001A62DC">
              <w:rPr>
                <w:rFonts w:ascii="Arial Narrow" w:hAnsi="Arial Narrow"/>
                <w:sz w:val="20"/>
              </w:rPr>
              <w:t>Rash</w:t>
            </w:r>
          </w:p>
        </w:tc>
        <w:tc>
          <w:tcPr>
            <w:tcW w:w="647" w:type="pct"/>
          </w:tcPr>
          <w:p w:rsidR="00124E17" w:rsidRPr="001A62DC" w:rsidRDefault="00124E17" w:rsidP="008B4B29">
            <w:pPr>
              <w:keepNext/>
              <w:widowControl/>
              <w:jc w:val="center"/>
              <w:rPr>
                <w:rFonts w:ascii="Arial Narrow" w:hAnsi="Arial Narrow"/>
                <w:sz w:val="20"/>
              </w:rPr>
            </w:pPr>
            <w:r w:rsidRPr="001A62DC">
              <w:rPr>
                <w:rFonts w:ascii="Arial Narrow" w:hAnsi="Arial Narrow"/>
                <w:sz w:val="20"/>
              </w:rPr>
              <w:t>17 (2.5%)</w:t>
            </w:r>
          </w:p>
        </w:tc>
        <w:tc>
          <w:tcPr>
            <w:tcW w:w="650" w:type="pct"/>
          </w:tcPr>
          <w:p w:rsidR="00124E17" w:rsidRPr="001A62DC" w:rsidRDefault="00124E17" w:rsidP="008B4B29">
            <w:pPr>
              <w:keepNext/>
              <w:widowControl/>
              <w:jc w:val="center"/>
              <w:rPr>
                <w:rFonts w:ascii="Arial Narrow" w:hAnsi="Arial Narrow"/>
                <w:sz w:val="20"/>
              </w:rPr>
            </w:pPr>
            <w:r w:rsidRPr="001A62DC">
              <w:rPr>
                <w:rFonts w:ascii="Arial Narrow" w:hAnsi="Arial Narrow"/>
                <w:sz w:val="20"/>
              </w:rPr>
              <w:t>10 (1.5%)</w:t>
            </w:r>
          </w:p>
        </w:tc>
        <w:tc>
          <w:tcPr>
            <w:tcW w:w="647" w:type="pct"/>
          </w:tcPr>
          <w:p w:rsidR="00124E17" w:rsidRPr="001A62DC" w:rsidRDefault="00124E17" w:rsidP="008B4B29">
            <w:pPr>
              <w:keepNext/>
              <w:widowControl/>
              <w:jc w:val="center"/>
              <w:rPr>
                <w:rFonts w:ascii="Arial Narrow" w:hAnsi="Arial Narrow"/>
                <w:sz w:val="20"/>
              </w:rPr>
            </w:pPr>
            <w:r w:rsidRPr="001A62DC">
              <w:rPr>
                <w:rFonts w:ascii="Arial Narrow" w:hAnsi="Arial Narrow"/>
                <w:sz w:val="20"/>
              </w:rPr>
              <w:t>40 (4.2%)</w:t>
            </w:r>
          </w:p>
        </w:tc>
        <w:tc>
          <w:tcPr>
            <w:tcW w:w="648" w:type="pct"/>
          </w:tcPr>
          <w:p w:rsidR="00124E17" w:rsidRPr="001A62DC" w:rsidRDefault="00124E17" w:rsidP="008B4B29">
            <w:pPr>
              <w:keepNext/>
              <w:widowControl/>
              <w:jc w:val="center"/>
              <w:rPr>
                <w:rFonts w:ascii="Arial Narrow" w:hAnsi="Arial Narrow"/>
                <w:sz w:val="20"/>
              </w:rPr>
            </w:pPr>
            <w:r w:rsidRPr="001A62DC">
              <w:rPr>
                <w:rFonts w:ascii="Arial Narrow" w:hAnsi="Arial Narrow"/>
                <w:sz w:val="20"/>
              </w:rPr>
              <w:t>9 (1.9%)</w:t>
            </w:r>
          </w:p>
        </w:tc>
        <w:tc>
          <w:tcPr>
            <w:tcW w:w="647" w:type="pct"/>
          </w:tcPr>
          <w:p w:rsidR="00124E17" w:rsidRPr="002D1FB0" w:rsidRDefault="00124E17" w:rsidP="008B4B29">
            <w:pPr>
              <w:keepNext/>
              <w:widowControl/>
              <w:jc w:val="center"/>
              <w:rPr>
                <w:rFonts w:ascii="Arial Narrow" w:hAnsi="Arial Narrow"/>
                <w:i/>
                <w:sz w:val="20"/>
              </w:rPr>
            </w:pPr>
            <w:r w:rsidRPr="002D1FB0">
              <w:rPr>
                <w:rFonts w:ascii="Arial Narrow" w:hAnsi="Arial Narrow"/>
                <w:i/>
                <w:sz w:val="20"/>
              </w:rPr>
              <w:t>-</w:t>
            </w:r>
          </w:p>
        </w:tc>
        <w:tc>
          <w:tcPr>
            <w:tcW w:w="648" w:type="pct"/>
          </w:tcPr>
          <w:p w:rsidR="00124E17" w:rsidRPr="002D1FB0" w:rsidRDefault="00124E17" w:rsidP="008B4B29">
            <w:pPr>
              <w:keepNext/>
              <w:widowControl/>
              <w:jc w:val="center"/>
              <w:rPr>
                <w:rFonts w:ascii="Arial Narrow" w:hAnsi="Arial Narrow"/>
                <w:i/>
                <w:sz w:val="20"/>
              </w:rPr>
            </w:pPr>
            <w:r w:rsidRPr="002D1FB0">
              <w:rPr>
                <w:rFonts w:ascii="Arial Narrow" w:hAnsi="Arial Narrow"/>
                <w:i/>
                <w:sz w:val="20"/>
              </w:rPr>
              <w:t>-</w:t>
            </w:r>
          </w:p>
        </w:tc>
      </w:tr>
      <w:tr w:rsidR="00124E17" w:rsidRPr="001A62DC" w:rsidTr="009E698C">
        <w:tc>
          <w:tcPr>
            <w:tcW w:w="1114" w:type="pct"/>
          </w:tcPr>
          <w:p w:rsidR="00124E17" w:rsidRPr="001A62DC" w:rsidRDefault="00124E17" w:rsidP="008B4B29">
            <w:pPr>
              <w:keepNext/>
              <w:widowControl/>
              <w:tabs>
                <w:tab w:val="left" w:pos="150"/>
              </w:tabs>
              <w:jc w:val="left"/>
              <w:rPr>
                <w:rFonts w:ascii="Arial Narrow" w:hAnsi="Arial Narrow"/>
                <w:sz w:val="20"/>
              </w:rPr>
            </w:pPr>
            <w:r w:rsidRPr="001A62DC">
              <w:rPr>
                <w:rFonts w:ascii="Arial Narrow" w:hAnsi="Arial Narrow"/>
                <w:sz w:val="20"/>
              </w:rPr>
              <w:t>Hepatic enzyme increased</w:t>
            </w:r>
          </w:p>
        </w:tc>
        <w:tc>
          <w:tcPr>
            <w:tcW w:w="647" w:type="pct"/>
          </w:tcPr>
          <w:p w:rsidR="00124E17" w:rsidRPr="001A62DC" w:rsidRDefault="00124E17" w:rsidP="008B4B29">
            <w:pPr>
              <w:keepNext/>
              <w:widowControl/>
              <w:jc w:val="center"/>
              <w:rPr>
                <w:rFonts w:ascii="Arial Narrow" w:hAnsi="Arial Narrow"/>
                <w:sz w:val="20"/>
              </w:rPr>
            </w:pPr>
            <w:r w:rsidRPr="001A62DC">
              <w:rPr>
                <w:rFonts w:ascii="Arial Narrow" w:hAnsi="Arial Narrow"/>
                <w:sz w:val="20"/>
                <w:szCs w:val="20"/>
              </w:rPr>
              <w:t>17 (2.5%)</w:t>
            </w:r>
          </w:p>
        </w:tc>
        <w:tc>
          <w:tcPr>
            <w:tcW w:w="650" w:type="pct"/>
          </w:tcPr>
          <w:p w:rsidR="00124E17" w:rsidRPr="001A62DC" w:rsidRDefault="00124E17" w:rsidP="008B4B29">
            <w:pPr>
              <w:keepNext/>
              <w:widowControl/>
              <w:jc w:val="center"/>
              <w:rPr>
                <w:rFonts w:ascii="Arial Narrow" w:hAnsi="Arial Narrow"/>
                <w:sz w:val="20"/>
              </w:rPr>
            </w:pPr>
            <w:r w:rsidRPr="001A62DC">
              <w:rPr>
                <w:rFonts w:ascii="Arial Narrow" w:hAnsi="Arial Narrow"/>
                <w:sz w:val="20"/>
                <w:szCs w:val="20"/>
              </w:rPr>
              <w:t>3 (0.4%)</w:t>
            </w:r>
          </w:p>
        </w:tc>
        <w:tc>
          <w:tcPr>
            <w:tcW w:w="647" w:type="pct"/>
          </w:tcPr>
          <w:p w:rsidR="00124E17" w:rsidRPr="001A62DC" w:rsidRDefault="00124E17" w:rsidP="008B4B29">
            <w:pPr>
              <w:keepNext/>
              <w:widowControl/>
              <w:jc w:val="center"/>
              <w:rPr>
                <w:rFonts w:ascii="Arial Narrow" w:hAnsi="Arial Narrow"/>
                <w:sz w:val="20"/>
              </w:rPr>
            </w:pPr>
            <w:r w:rsidRPr="001A62DC">
              <w:rPr>
                <w:rFonts w:ascii="Arial Narrow" w:hAnsi="Arial Narrow"/>
                <w:sz w:val="20"/>
              </w:rPr>
              <w:t>17 (1.8%)</w:t>
            </w:r>
          </w:p>
        </w:tc>
        <w:tc>
          <w:tcPr>
            <w:tcW w:w="648" w:type="pct"/>
          </w:tcPr>
          <w:p w:rsidR="00124E17" w:rsidRPr="001A62DC" w:rsidRDefault="00124E17" w:rsidP="008B4B29">
            <w:pPr>
              <w:keepNext/>
              <w:widowControl/>
              <w:jc w:val="center"/>
              <w:rPr>
                <w:rFonts w:ascii="Arial Narrow" w:hAnsi="Arial Narrow"/>
                <w:sz w:val="20"/>
              </w:rPr>
            </w:pPr>
            <w:r w:rsidRPr="001A62DC">
              <w:rPr>
                <w:rFonts w:ascii="Arial Narrow" w:hAnsi="Arial Narrow"/>
                <w:sz w:val="20"/>
              </w:rPr>
              <w:t>1 (0.2%)</w:t>
            </w:r>
          </w:p>
        </w:tc>
        <w:tc>
          <w:tcPr>
            <w:tcW w:w="647" w:type="pct"/>
          </w:tcPr>
          <w:p w:rsidR="00124E17" w:rsidRPr="002D1FB0" w:rsidRDefault="00124E17" w:rsidP="008B4B29">
            <w:pPr>
              <w:keepNext/>
              <w:widowControl/>
              <w:jc w:val="center"/>
              <w:rPr>
                <w:rFonts w:ascii="Arial Narrow" w:hAnsi="Arial Narrow"/>
                <w:i/>
                <w:sz w:val="20"/>
              </w:rPr>
            </w:pPr>
            <w:r w:rsidRPr="002D1FB0">
              <w:rPr>
                <w:rFonts w:ascii="Arial Narrow" w:hAnsi="Arial Narrow"/>
                <w:i/>
                <w:sz w:val="20"/>
              </w:rPr>
              <w:t>-</w:t>
            </w:r>
          </w:p>
        </w:tc>
        <w:tc>
          <w:tcPr>
            <w:tcW w:w="648" w:type="pct"/>
          </w:tcPr>
          <w:p w:rsidR="00124E17" w:rsidRPr="002D1FB0" w:rsidRDefault="00124E17" w:rsidP="008B4B29">
            <w:pPr>
              <w:keepNext/>
              <w:widowControl/>
              <w:jc w:val="center"/>
              <w:rPr>
                <w:rFonts w:ascii="Arial Narrow" w:hAnsi="Arial Narrow"/>
                <w:i/>
                <w:sz w:val="20"/>
              </w:rPr>
            </w:pPr>
            <w:r w:rsidRPr="002D1FB0">
              <w:rPr>
                <w:rFonts w:ascii="Arial Narrow" w:hAnsi="Arial Narrow"/>
                <w:i/>
                <w:sz w:val="20"/>
              </w:rPr>
              <w:t>-</w:t>
            </w:r>
          </w:p>
        </w:tc>
      </w:tr>
      <w:tr w:rsidR="00124E17" w:rsidRPr="001A62DC" w:rsidTr="009E698C">
        <w:tc>
          <w:tcPr>
            <w:tcW w:w="1114" w:type="pct"/>
          </w:tcPr>
          <w:p w:rsidR="00124E17" w:rsidRPr="001A62DC" w:rsidRDefault="00124E17" w:rsidP="008B4B29">
            <w:pPr>
              <w:keepNext/>
              <w:widowControl/>
              <w:tabs>
                <w:tab w:val="left" w:pos="150"/>
              </w:tabs>
              <w:jc w:val="left"/>
              <w:rPr>
                <w:rFonts w:ascii="Arial Narrow" w:hAnsi="Arial Narrow"/>
                <w:sz w:val="20"/>
              </w:rPr>
            </w:pPr>
            <w:r w:rsidRPr="001A62DC">
              <w:rPr>
                <w:rFonts w:ascii="Arial Narrow" w:hAnsi="Arial Narrow"/>
                <w:sz w:val="20"/>
              </w:rPr>
              <w:t>Dry mouth</w:t>
            </w:r>
          </w:p>
        </w:tc>
        <w:tc>
          <w:tcPr>
            <w:tcW w:w="647" w:type="pct"/>
          </w:tcPr>
          <w:p w:rsidR="00124E17" w:rsidRPr="002D1FB0" w:rsidRDefault="00124E17" w:rsidP="008B4B29">
            <w:pPr>
              <w:keepNext/>
              <w:widowControl/>
              <w:jc w:val="center"/>
              <w:rPr>
                <w:rFonts w:ascii="Arial Narrow" w:hAnsi="Arial Narrow"/>
                <w:sz w:val="20"/>
                <w:szCs w:val="20"/>
              </w:rPr>
            </w:pPr>
            <w:r w:rsidRPr="002D1FB0">
              <w:rPr>
                <w:rFonts w:ascii="Arial Narrow" w:hAnsi="Arial Narrow"/>
                <w:i/>
                <w:sz w:val="20"/>
              </w:rPr>
              <w:t>-</w:t>
            </w:r>
          </w:p>
        </w:tc>
        <w:tc>
          <w:tcPr>
            <w:tcW w:w="650" w:type="pct"/>
          </w:tcPr>
          <w:p w:rsidR="00124E17" w:rsidRPr="002D1FB0" w:rsidRDefault="00124E17" w:rsidP="008B4B29">
            <w:pPr>
              <w:keepNext/>
              <w:widowControl/>
              <w:jc w:val="center"/>
              <w:rPr>
                <w:rFonts w:ascii="Arial Narrow" w:hAnsi="Arial Narrow"/>
                <w:sz w:val="20"/>
                <w:szCs w:val="20"/>
              </w:rPr>
            </w:pPr>
            <w:r w:rsidRPr="002D1FB0">
              <w:rPr>
                <w:rFonts w:ascii="Arial Narrow" w:hAnsi="Arial Narrow"/>
                <w:i/>
                <w:sz w:val="20"/>
              </w:rPr>
              <w:t>-</w:t>
            </w:r>
          </w:p>
        </w:tc>
        <w:tc>
          <w:tcPr>
            <w:tcW w:w="647" w:type="pct"/>
          </w:tcPr>
          <w:p w:rsidR="00124E17" w:rsidRPr="002D1FB0" w:rsidRDefault="00124E17" w:rsidP="008B4B29">
            <w:pPr>
              <w:keepNext/>
              <w:widowControl/>
              <w:jc w:val="center"/>
              <w:rPr>
                <w:rFonts w:ascii="Arial Narrow" w:hAnsi="Arial Narrow"/>
                <w:sz w:val="20"/>
              </w:rPr>
            </w:pPr>
            <w:r w:rsidRPr="002D1FB0">
              <w:rPr>
                <w:rFonts w:ascii="Arial Narrow" w:hAnsi="Arial Narrow"/>
                <w:i/>
                <w:sz w:val="20"/>
              </w:rPr>
              <w:t>-</w:t>
            </w:r>
          </w:p>
        </w:tc>
        <w:tc>
          <w:tcPr>
            <w:tcW w:w="648" w:type="pct"/>
          </w:tcPr>
          <w:p w:rsidR="00124E17" w:rsidRPr="002D1FB0" w:rsidRDefault="00124E17" w:rsidP="008B4B29">
            <w:pPr>
              <w:keepNext/>
              <w:widowControl/>
              <w:jc w:val="center"/>
              <w:rPr>
                <w:rFonts w:ascii="Arial Narrow" w:hAnsi="Arial Narrow"/>
                <w:sz w:val="20"/>
              </w:rPr>
            </w:pPr>
            <w:r w:rsidRPr="002D1FB0">
              <w:rPr>
                <w:rFonts w:ascii="Arial Narrow" w:hAnsi="Arial Narrow"/>
                <w:i/>
                <w:sz w:val="20"/>
              </w:rPr>
              <w:t>-</w:t>
            </w:r>
          </w:p>
        </w:tc>
        <w:tc>
          <w:tcPr>
            <w:tcW w:w="647" w:type="pct"/>
          </w:tcPr>
          <w:p w:rsidR="00124E17" w:rsidRPr="001A62DC" w:rsidRDefault="00124E17" w:rsidP="008B4B29">
            <w:pPr>
              <w:keepNext/>
              <w:widowControl/>
              <w:jc w:val="center"/>
              <w:rPr>
                <w:rFonts w:ascii="Arial Narrow" w:hAnsi="Arial Narrow"/>
                <w:sz w:val="20"/>
              </w:rPr>
            </w:pPr>
            <w:r w:rsidRPr="001A62DC">
              <w:rPr>
                <w:rFonts w:ascii="Arial Narrow" w:hAnsi="Arial Narrow"/>
                <w:sz w:val="20"/>
                <w:szCs w:val="20"/>
              </w:rPr>
              <w:t>45 (8.1%)</w:t>
            </w:r>
          </w:p>
        </w:tc>
        <w:tc>
          <w:tcPr>
            <w:tcW w:w="648" w:type="pct"/>
          </w:tcPr>
          <w:p w:rsidR="00124E17" w:rsidRPr="001A62DC" w:rsidRDefault="00124E17" w:rsidP="008B4B29">
            <w:pPr>
              <w:keepNext/>
              <w:widowControl/>
              <w:jc w:val="center"/>
              <w:rPr>
                <w:rFonts w:ascii="Arial Narrow" w:hAnsi="Arial Narrow"/>
                <w:sz w:val="20"/>
              </w:rPr>
            </w:pPr>
            <w:r w:rsidRPr="001A62DC">
              <w:rPr>
                <w:rFonts w:ascii="Arial Narrow" w:hAnsi="Arial Narrow"/>
                <w:sz w:val="20"/>
                <w:szCs w:val="20"/>
              </w:rPr>
              <w:t>44 (14.0%)</w:t>
            </w:r>
          </w:p>
        </w:tc>
      </w:tr>
      <w:tr w:rsidR="00124E17" w:rsidRPr="001A62DC" w:rsidTr="009E698C">
        <w:tc>
          <w:tcPr>
            <w:tcW w:w="1114" w:type="pct"/>
          </w:tcPr>
          <w:p w:rsidR="00124E17" w:rsidRPr="001A62DC" w:rsidRDefault="00124E17" w:rsidP="008B4B29">
            <w:pPr>
              <w:keepNext/>
              <w:widowControl/>
              <w:tabs>
                <w:tab w:val="left" w:pos="150"/>
              </w:tabs>
              <w:jc w:val="left"/>
              <w:rPr>
                <w:rFonts w:ascii="Arial Narrow" w:hAnsi="Arial Narrow"/>
                <w:sz w:val="20"/>
              </w:rPr>
            </w:pPr>
            <w:r w:rsidRPr="001A62DC">
              <w:rPr>
                <w:rFonts w:ascii="Arial Narrow" w:hAnsi="Arial Narrow"/>
                <w:sz w:val="20"/>
              </w:rPr>
              <w:t>Arthralgia</w:t>
            </w:r>
          </w:p>
        </w:tc>
        <w:tc>
          <w:tcPr>
            <w:tcW w:w="647" w:type="pct"/>
          </w:tcPr>
          <w:p w:rsidR="00124E17" w:rsidRPr="001A62DC" w:rsidRDefault="00124E17" w:rsidP="008B4B29">
            <w:pPr>
              <w:keepNext/>
              <w:widowControl/>
              <w:jc w:val="center"/>
              <w:rPr>
                <w:rFonts w:ascii="Arial Narrow" w:hAnsi="Arial Narrow"/>
                <w:sz w:val="20"/>
                <w:szCs w:val="20"/>
              </w:rPr>
            </w:pPr>
            <w:r w:rsidRPr="001A62DC">
              <w:rPr>
                <w:rFonts w:ascii="Arial Narrow" w:hAnsi="Arial Narrow"/>
                <w:i/>
                <w:sz w:val="20"/>
              </w:rPr>
              <w:t>-</w:t>
            </w:r>
          </w:p>
        </w:tc>
        <w:tc>
          <w:tcPr>
            <w:tcW w:w="650" w:type="pct"/>
          </w:tcPr>
          <w:p w:rsidR="00124E17" w:rsidRPr="001A62DC" w:rsidRDefault="00124E17" w:rsidP="008B4B29">
            <w:pPr>
              <w:keepNext/>
              <w:widowControl/>
              <w:jc w:val="center"/>
              <w:rPr>
                <w:rFonts w:ascii="Arial Narrow" w:hAnsi="Arial Narrow"/>
                <w:sz w:val="20"/>
                <w:szCs w:val="20"/>
              </w:rPr>
            </w:pPr>
            <w:r w:rsidRPr="001A62DC">
              <w:rPr>
                <w:rFonts w:ascii="Arial Narrow" w:hAnsi="Arial Narrow"/>
                <w:i/>
                <w:sz w:val="20"/>
              </w:rPr>
              <w:t>-</w:t>
            </w:r>
          </w:p>
        </w:tc>
        <w:tc>
          <w:tcPr>
            <w:tcW w:w="647" w:type="pct"/>
          </w:tcPr>
          <w:p w:rsidR="00124E17" w:rsidRPr="001A62DC" w:rsidRDefault="00124E17" w:rsidP="008B4B29">
            <w:pPr>
              <w:keepNext/>
              <w:widowControl/>
              <w:jc w:val="center"/>
              <w:rPr>
                <w:rFonts w:ascii="Arial Narrow" w:hAnsi="Arial Narrow"/>
                <w:sz w:val="20"/>
              </w:rPr>
            </w:pPr>
            <w:r w:rsidRPr="001A62DC">
              <w:rPr>
                <w:rFonts w:ascii="Arial Narrow" w:hAnsi="Arial Narrow"/>
                <w:i/>
                <w:sz w:val="20"/>
              </w:rPr>
              <w:t>-</w:t>
            </w:r>
          </w:p>
        </w:tc>
        <w:tc>
          <w:tcPr>
            <w:tcW w:w="648" w:type="pct"/>
          </w:tcPr>
          <w:p w:rsidR="00124E17" w:rsidRPr="001A62DC" w:rsidRDefault="00124E17" w:rsidP="008B4B29">
            <w:pPr>
              <w:keepNext/>
              <w:widowControl/>
              <w:jc w:val="center"/>
              <w:rPr>
                <w:rFonts w:ascii="Arial Narrow" w:hAnsi="Arial Narrow"/>
                <w:sz w:val="20"/>
              </w:rPr>
            </w:pPr>
            <w:r w:rsidRPr="001A62DC">
              <w:rPr>
                <w:rFonts w:ascii="Arial Narrow" w:hAnsi="Arial Narrow"/>
                <w:i/>
                <w:sz w:val="20"/>
              </w:rPr>
              <w:t>-</w:t>
            </w:r>
          </w:p>
        </w:tc>
        <w:tc>
          <w:tcPr>
            <w:tcW w:w="647" w:type="pct"/>
          </w:tcPr>
          <w:p w:rsidR="00124E17" w:rsidRPr="001A62DC" w:rsidRDefault="00124E17" w:rsidP="008B4B29">
            <w:pPr>
              <w:keepNext/>
              <w:widowControl/>
              <w:jc w:val="center"/>
              <w:rPr>
                <w:rFonts w:ascii="Arial Narrow" w:hAnsi="Arial Narrow"/>
                <w:sz w:val="20"/>
              </w:rPr>
            </w:pPr>
            <w:r w:rsidRPr="001A62DC">
              <w:rPr>
                <w:rFonts w:ascii="Arial Narrow" w:hAnsi="Arial Narrow"/>
                <w:sz w:val="20"/>
                <w:szCs w:val="20"/>
              </w:rPr>
              <w:t>57 (10.2%)</w:t>
            </w:r>
          </w:p>
        </w:tc>
        <w:tc>
          <w:tcPr>
            <w:tcW w:w="648" w:type="pct"/>
          </w:tcPr>
          <w:p w:rsidR="00124E17" w:rsidRPr="001A62DC" w:rsidRDefault="00124E17" w:rsidP="008B4B29">
            <w:pPr>
              <w:keepNext/>
              <w:widowControl/>
              <w:jc w:val="center"/>
              <w:rPr>
                <w:rFonts w:ascii="Arial Narrow" w:hAnsi="Arial Narrow"/>
                <w:sz w:val="20"/>
              </w:rPr>
            </w:pPr>
            <w:r w:rsidRPr="001A62DC">
              <w:rPr>
                <w:rFonts w:ascii="Arial Narrow" w:hAnsi="Arial Narrow"/>
                <w:sz w:val="20"/>
                <w:szCs w:val="20"/>
              </w:rPr>
              <w:t>16 (5.1%)</w:t>
            </w:r>
          </w:p>
        </w:tc>
      </w:tr>
    </w:tbl>
    <w:p w:rsidR="00124E17" w:rsidRPr="00D13A3E" w:rsidRDefault="00124E17" w:rsidP="008B4B29">
      <w:pPr>
        <w:pStyle w:val="TableFooter"/>
        <w:keepNext/>
        <w:widowControl/>
      </w:pPr>
      <w:r w:rsidRPr="001A62DC">
        <w:rPr>
          <w:szCs w:val="18"/>
        </w:rPr>
        <w:t>Source: Table 2-27, pp71-72 and Table 2-34, pp86 of the resubmission.</w:t>
      </w:r>
      <w:r>
        <w:rPr>
          <w:szCs w:val="18"/>
        </w:rPr>
        <w:t xml:space="preserve"> </w:t>
      </w:r>
    </w:p>
    <w:p w:rsidR="00576BFC" w:rsidRPr="001A62DC" w:rsidRDefault="00576BFC" w:rsidP="0086251F">
      <w:pPr>
        <w:pStyle w:val="ListParagraph"/>
        <w:widowControl/>
        <w:numPr>
          <w:ilvl w:val="1"/>
          <w:numId w:val="3"/>
        </w:numPr>
        <w:spacing w:before="120" w:after="120"/>
        <w:ind w:left="720"/>
        <w:rPr>
          <w:i/>
        </w:rPr>
      </w:pPr>
      <w:r w:rsidRPr="001A62DC">
        <w:t>Adverse events were consistent with those previously reported in the March 2017 submission; i.e. larger proportions of patients taking tolvaptan reported adverse events compared to placebo, most frequently related to tolvaptan’s aquaretic effect (e.g</w:t>
      </w:r>
      <w:r w:rsidR="0086251F">
        <w:t>.</w:t>
      </w:r>
      <w:r w:rsidRPr="001A62DC">
        <w:t xml:space="preserve"> thirst, polyuria, nocturia and </w:t>
      </w:r>
      <w:r w:rsidR="00DD19B8">
        <w:t>pollakiuria</w:t>
      </w:r>
      <w:r w:rsidRPr="001A62DC">
        <w:t>) and fatigue.</w:t>
      </w:r>
    </w:p>
    <w:p w:rsidR="00671A0B" w:rsidRPr="007F03CB" w:rsidRDefault="00576BFC" w:rsidP="0086251F">
      <w:pPr>
        <w:pStyle w:val="ListParagraph"/>
        <w:widowControl/>
        <w:numPr>
          <w:ilvl w:val="1"/>
          <w:numId w:val="3"/>
        </w:numPr>
        <w:spacing w:before="120" w:after="120"/>
        <w:ind w:left="720"/>
      </w:pPr>
      <w:r>
        <w:t>T</w:t>
      </w:r>
      <w:r w:rsidRPr="00C06333">
        <w:t xml:space="preserve">hree </w:t>
      </w:r>
      <w:proofErr w:type="spellStart"/>
      <w:r w:rsidRPr="00C06333">
        <w:t>Hy’s</w:t>
      </w:r>
      <w:proofErr w:type="spellEnd"/>
      <w:r w:rsidRPr="00C06333">
        <w:t xml:space="preserve"> Law </w:t>
      </w:r>
      <w:r w:rsidR="006C4363">
        <w:t>(</w:t>
      </w:r>
      <w:r w:rsidR="006C4363" w:rsidRPr="006C4363">
        <w:t>high risk of a fatal drug-induced liver injury (DILI)</w:t>
      </w:r>
      <w:r w:rsidR="006C4363">
        <w:t>)</w:t>
      </w:r>
      <w:r w:rsidR="006C4363" w:rsidRPr="006C4363">
        <w:t xml:space="preserve"> </w:t>
      </w:r>
      <w:r w:rsidRPr="00C06333">
        <w:t>cases were identified as likely or highly likely to be re</w:t>
      </w:r>
      <w:r>
        <w:t>lated to tolvaptan in TEMPO 3:4. N</w:t>
      </w:r>
      <w:r w:rsidRPr="00C06333">
        <w:t xml:space="preserve">o patients met the criteria for </w:t>
      </w:r>
      <w:proofErr w:type="spellStart"/>
      <w:r w:rsidRPr="00C06333">
        <w:t>Hy’s</w:t>
      </w:r>
      <w:proofErr w:type="spellEnd"/>
      <w:r w:rsidRPr="00C06333">
        <w:t xml:space="preserve"> Law in REPRISE and only one patient in TEMPO 4:4 (recovered after cessation of tolvaptan). The resubmission acknowledged that tolvaptan may cause serious hepatocellular injury in some patients, but suggested </w:t>
      </w:r>
      <w:r w:rsidRPr="00C06333">
        <w:lastRenderedPageBreak/>
        <w:t xml:space="preserve">the risk of hepatic injury was </w:t>
      </w:r>
      <w:r w:rsidRPr="007F03CB">
        <w:t xml:space="preserve">small and reversible. </w:t>
      </w:r>
      <w:r w:rsidR="00CB3807" w:rsidRPr="007F03CB">
        <w:t xml:space="preserve"> The ESC advised hepatotoxicity remains a concern given </w:t>
      </w:r>
      <w:r w:rsidR="00747ADC" w:rsidRPr="007F03CB">
        <w:t>tolvaptan</w:t>
      </w:r>
      <w:r w:rsidR="00CB3807" w:rsidRPr="007F03CB">
        <w:t xml:space="preserve"> will be a life-long treatment. </w:t>
      </w:r>
    </w:p>
    <w:p w:rsidR="00576BFC" w:rsidRDefault="00576BFC" w:rsidP="0086251F">
      <w:pPr>
        <w:pStyle w:val="ListParagraph"/>
        <w:widowControl/>
        <w:numPr>
          <w:ilvl w:val="1"/>
          <w:numId w:val="3"/>
        </w:numPr>
        <w:spacing w:before="120" w:after="120"/>
        <w:ind w:left="720"/>
      </w:pPr>
      <w:r w:rsidRPr="00C06333">
        <w:t>The tolvaptan Product Information includes a TGA box warning that tolvaptan has been associated with elevated serum liver enzymes and total bilirubin, and to mitigate the risk of liver injury, blood testing for hepatic transaminases is required prior to initiation of tolvaptan, monthly for 18 months, then 3 monthly during treatment.</w:t>
      </w:r>
    </w:p>
    <w:p w:rsidR="00576BFC" w:rsidRPr="00B82A6B" w:rsidRDefault="0060187F" w:rsidP="0086251F">
      <w:pPr>
        <w:pStyle w:val="Heading2"/>
        <w:spacing w:before="240"/>
      </w:pPr>
      <w:r w:rsidRPr="00B82A6B">
        <w:t>Benefits/harms</w:t>
      </w:r>
    </w:p>
    <w:p w:rsidR="00576BFC" w:rsidRPr="00B50DB8" w:rsidRDefault="00576BFC" w:rsidP="008B4B29">
      <w:pPr>
        <w:pStyle w:val="ListParagraph"/>
        <w:widowControl/>
        <w:numPr>
          <w:ilvl w:val="1"/>
          <w:numId w:val="3"/>
        </w:numPr>
        <w:spacing w:after="0"/>
        <w:ind w:left="709"/>
      </w:pPr>
      <w:r w:rsidRPr="00B50DB8">
        <w:t xml:space="preserve">A summary of the comparative benefits and harms for </w:t>
      </w:r>
      <w:r>
        <w:t>tolvaptan</w:t>
      </w:r>
      <w:r w:rsidRPr="00B50DB8">
        <w:t xml:space="preserve"> versus </w:t>
      </w:r>
      <w:r w:rsidRPr="00C06333">
        <w:t>placebo</w:t>
      </w:r>
      <w:r w:rsidRPr="00B50DB8">
        <w:t xml:space="preserve"> is presented in the table below. </w:t>
      </w:r>
    </w:p>
    <w:p w:rsidR="00576BFC" w:rsidRDefault="00576BFC" w:rsidP="008B4B29">
      <w:pPr>
        <w:widowControl/>
      </w:pPr>
    </w:p>
    <w:p w:rsidR="00576BFC" w:rsidRPr="0088724B" w:rsidRDefault="00576BFC" w:rsidP="008B4B29">
      <w:pPr>
        <w:keepNext/>
        <w:widowControl/>
        <w:rPr>
          <w:rStyle w:val="CommentReference"/>
        </w:rPr>
      </w:pPr>
      <w:r w:rsidRPr="0088724B">
        <w:rPr>
          <w:rStyle w:val="CommentReference"/>
        </w:rPr>
        <w:t xml:space="preserve">Table </w:t>
      </w:r>
      <w:r w:rsidR="00D320B2">
        <w:rPr>
          <w:rStyle w:val="CommentReference"/>
        </w:rPr>
        <w:t>9</w:t>
      </w:r>
      <w:r w:rsidRPr="0088724B">
        <w:rPr>
          <w:rStyle w:val="CommentReference"/>
        </w:rPr>
        <w:t>: Summary of comparative benefits and harms for tolvaptan and placebo</w:t>
      </w:r>
    </w:p>
    <w:tbl>
      <w:tblPr>
        <w:tblStyle w:val="TableGrid"/>
        <w:tblW w:w="5000" w:type="pct"/>
        <w:tblCellMar>
          <w:left w:w="28" w:type="dxa"/>
          <w:right w:w="28" w:type="dxa"/>
        </w:tblCellMar>
        <w:tblLook w:val="04A0" w:firstRow="1" w:lastRow="0" w:firstColumn="1" w:lastColumn="0" w:noHBand="0" w:noVBand="1"/>
        <w:tblCaption w:val="Table 9: Summary of comparative benefits and harms for tolvaptan and placebo"/>
      </w:tblPr>
      <w:tblGrid>
        <w:gridCol w:w="2310"/>
        <w:gridCol w:w="1542"/>
        <w:gridCol w:w="1693"/>
        <w:gridCol w:w="1849"/>
        <w:gridCol w:w="1689"/>
      </w:tblGrid>
      <w:tr w:rsidR="00576BFC" w:rsidRPr="0088724B" w:rsidTr="001D22CA">
        <w:trPr>
          <w:tblHeader/>
        </w:trPr>
        <w:tc>
          <w:tcPr>
            <w:tcW w:w="1271" w:type="pct"/>
            <w:shd w:val="clear" w:color="auto" w:fill="auto"/>
            <w:vAlign w:val="center"/>
          </w:tcPr>
          <w:p w:rsidR="00576BFC" w:rsidRPr="0088724B" w:rsidRDefault="00576BFC" w:rsidP="008B4B29">
            <w:pPr>
              <w:keepNext/>
              <w:widowControl/>
              <w:jc w:val="left"/>
              <w:rPr>
                <w:rFonts w:ascii="Arial Narrow" w:hAnsi="Arial Narrow"/>
                <w:b/>
                <w:sz w:val="20"/>
              </w:rPr>
            </w:pPr>
            <w:r w:rsidRPr="0088724B">
              <w:rPr>
                <w:rFonts w:ascii="Arial Narrow" w:hAnsi="Arial Narrow"/>
                <w:b/>
                <w:sz w:val="20"/>
              </w:rPr>
              <w:t>Benefits</w:t>
            </w:r>
          </w:p>
        </w:tc>
        <w:tc>
          <w:tcPr>
            <w:tcW w:w="849" w:type="pct"/>
            <w:vAlign w:val="center"/>
          </w:tcPr>
          <w:p w:rsidR="00576BFC" w:rsidRPr="0088724B" w:rsidRDefault="00576BFC" w:rsidP="008B4B29">
            <w:pPr>
              <w:keepNext/>
              <w:widowControl/>
              <w:jc w:val="center"/>
              <w:rPr>
                <w:rFonts w:ascii="Arial Narrow" w:hAnsi="Arial Narrow"/>
                <w:b/>
                <w:sz w:val="20"/>
              </w:rPr>
            </w:pPr>
            <w:r w:rsidRPr="0088724B">
              <w:rPr>
                <w:rFonts w:ascii="Arial Narrow" w:hAnsi="Arial Narrow"/>
                <w:b/>
                <w:sz w:val="20"/>
              </w:rPr>
              <w:t>Tolvaptan</w:t>
            </w:r>
          </w:p>
        </w:tc>
        <w:tc>
          <w:tcPr>
            <w:tcW w:w="932" w:type="pct"/>
            <w:vAlign w:val="center"/>
          </w:tcPr>
          <w:p w:rsidR="00576BFC" w:rsidRPr="0088724B" w:rsidRDefault="00576BFC" w:rsidP="008B4B29">
            <w:pPr>
              <w:keepNext/>
              <w:widowControl/>
              <w:jc w:val="center"/>
              <w:rPr>
                <w:rFonts w:ascii="Arial Narrow" w:hAnsi="Arial Narrow"/>
                <w:b/>
                <w:sz w:val="20"/>
              </w:rPr>
            </w:pPr>
            <w:r w:rsidRPr="0088724B">
              <w:rPr>
                <w:rFonts w:ascii="Arial Narrow" w:hAnsi="Arial Narrow"/>
                <w:b/>
                <w:sz w:val="20"/>
              </w:rPr>
              <w:t>Placebo</w:t>
            </w:r>
          </w:p>
        </w:tc>
        <w:tc>
          <w:tcPr>
            <w:tcW w:w="1018" w:type="pct"/>
            <w:vAlign w:val="center"/>
          </w:tcPr>
          <w:p w:rsidR="00576BFC" w:rsidRPr="0088724B" w:rsidRDefault="00576BFC" w:rsidP="008B4B29">
            <w:pPr>
              <w:keepNext/>
              <w:widowControl/>
              <w:jc w:val="center"/>
              <w:rPr>
                <w:rFonts w:ascii="Arial Narrow" w:hAnsi="Arial Narrow"/>
                <w:b/>
                <w:sz w:val="20"/>
              </w:rPr>
            </w:pPr>
            <w:r w:rsidRPr="0088724B">
              <w:rPr>
                <w:rFonts w:ascii="Arial Narrow" w:hAnsi="Arial Narrow"/>
                <w:b/>
                <w:sz w:val="20"/>
              </w:rPr>
              <w:t>Treatment difference</w:t>
            </w:r>
          </w:p>
        </w:tc>
        <w:tc>
          <w:tcPr>
            <w:tcW w:w="930" w:type="pct"/>
            <w:vAlign w:val="center"/>
          </w:tcPr>
          <w:p w:rsidR="00576BFC" w:rsidRPr="0088724B" w:rsidRDefault="00576BFC" w:rsidP="008B4B29">
            <w:pPr>
              <w:keepNext/>
              <w:widowControl/>
              <w:jc w:val="center"/>
              <w:rPr>
                <w:rFonts w:ascii="Arial Narrow" w:hAnsi="Arial Narrow"/>
                <w:b/>
                <w:sz w:val="20"/>
              </w:rPr>
            </w:pPr>
            <w:r w:rsidRPr="0088724B">
              <w:rPr>
                <w:rFonts w:ascii="Arial Narrow" w:hAnsi="Arial Narrow"/>
                <w:b/>
                <w:sz w:val="20"/>
              </w:rPr>
              <w:t>Relative difference</w:t>
            </w:r>
          </w:p>
        </w:tc>
      </w:tr>
      <w:tr w:rsidR="00576BFC" w:rsidRPr="007653CE" w:rsidTr="009E698C">
        <w:tc>
          <w:tcPr>
            <w:tcW w:w="5000" w:type="pct"/>
            <w:gridSpan w:val="5"/>
            <w:shd w:val="clear" w:color="auto" w:fill="auto"/>
            <w:vAlign w:val="center"/>
          </w:tcPr>
          <w:p w:rsidR="00576BFC" w:rsidRPr="007653CE" w:rsidRDefault="00576BFC" w:rsidP="008B4B29">
            <w:pPr>
              <w:keepNext/>
              <w:widowControl/>
              <w:jc w:val="left"/>
              <w:rPr>
                <w:rFonts w:ascii="Arial Narrow" w:hAnsi="Arial Narrow"/>
                <w:sz w:val="20"/>
              </w:rPr>
            </w:pPr>
            <w:r w:rsidRPr="007653CE">
              <w:rPr>
                <w:rFonts w:ascii="Arial Narrow" w:hAnsi="Arial Narrow"/>
                <w:sz w:val="20"/>
                <w:szCs w:val="20"/>
              </w:rPr>
              <w:t xml:space="preserve">Estimated annualised change in slope </w:t>
            </w:r>
            <w:r>
              <w:rPr>
                <w:rFonts w:ascii="Arial Narrow" w:hAnsi="Arial Narrow"/>
                <w:sz w:val="20"/>
                <w:szCs w:val="20"/>
              </w:rPr>
              <w:t xml:space="preserve">of decline in </w:t>
            </w:r>
            <w:r w:rsidRPr="007653CE">
              <w:rPr>
                <w:rFonts w:ascii="Arial Narrow" w:hAnsi="Arial Narrow"/>
                <w:sz w:val="20"/>
                <w:szCs w:val="20"/>
              </w:rPr>
              <w:t>eGFR (mL/min/1.73 m</w:t>
            </w:r>
            <w:r w:rsidRPr="007653CE">
              <w:rPr>
                <w:rFonts w:ascii="Arial Narrow" w:hAnsi="Arial Narrow"/>
                <w:sz w:val="20"/>
                <w:szCs w:val="20"/>
                <w:vertAlign w:val="superscript"/>
              </w:rPr>
              <w:t>2</w:t>
            </w:r>
            <w:r w:rsidRPr="007653CE">
              <w:rPr>
                <w:rFonts w:ascii="Arial Narrow" w:hAnsi="Arial Narrow"/>
                <w:sz w:val="20"/>
                <w:szCs w:val="20"/>
              </w:rPr>
              <w:t>/year; linear mixed effect model)</w:t>
            </w:r>
          </w:p>
        </w:tc>
      </w:tr>
      <w:tr w:rsidR="00576BFC" w:rsidRPr="0088724B" w:rsidTr="009E698C">
        <w:tc>
          <w:tcPr>
            <w:tcW w:w="1271" w:type="pct"/>
            <w:shd w:val="clear" w:color="auto" w:fill="auto"/>
            <w:vAlign w:val="center"/>
          </w:tcPr>
          <w:p w:rsidR="00576BFC" w:rsidRPr="0088724B" w:rsidRDefault="00576BFC" w:rsidP="008B4B29">
            <w:pPr>
              <w:keepNext/>
              <w:widowControl/>
              <w:jc w:val="left"/>
              <w:rPr>
                <w:rFonts w:ascii="Arial Narrow" w:hAnsi="Arial Narrow"/>
                <w:sz w:val="20"/>
              </w:rPr>
            </w:pPr>
            <w:r>
              <w:rPr>
                <w:rFonts w:ascii="Arial Narrow" w:hAnsi="Arial Narrow"/>
                <w:sz w:val="20"/>
                <w:szCs w:val="20"/>
              </w:rPr>
              <w:t xml:space="preserve">REPRISE </w:t>
            </w:r>
          </w:p>
        </w:tc>
        <w:tc>
          <w:tcPr>
            <w:tcW w:w="849" w:type="pct"/>
            <w:vAlign w:val="center"/>
          </w:tcPr>
          <w:p w:rsidR="00576BFC" w:rsidRPr="0088724B" w:rsidRDefault="00576BFC" w:rsidP="008B4B29">
            <w:pPr>
              <w:keepNext/>
              <w:widowControl/>
              <w:jc w:val="center"/>
              <w:rPr>
                <w:rFonts w:ascii="Arial Narrow" w:hAnsi="Arial Narrow"/>
                <w:sz w:val="20"/>
              </w:rPr>
            </w:pPr>
            <w:r w:rsidRPr="00841D26">
              <w:rPr>
                <w:rFonts w:ascii="Arial Narrow" w:hAnsi="Arial Narrow"/>
                <w:sz w:val="20"/>
                <w:szCs w:val="20"/>
              </w:rPr>
              <w:t>-2.</w:t>
            </w:r>
            <w:r>
              <w:rPr>
                <w:rFonts w:ascii="Arial Narrow" w:hAnsi="Arial Narrow"/>
                <w:sz w:val="20"/>
                <w:szCs w:val="20"/>
              </w:rPr>
              <w:t>552</w:t>
            </w:r>
          </w:p>
        </w:tc>
        <w:tc>
          <w:tcPr>
            <w:tcW w:w="932" w:type="pct"/>
            <w:vAlign w:val="center"/>
          </w:tcPr>
          <w:p w:rsidR="00576BFC" w:rsidRPr="0088724B" w:rsidRDefault="00576BFC" w:rsidP="008B4B29">
            <w:pPr>
              <w:keepNext/>
              <w:widowControl/>
              <w:jc w:val="center"/>
              <w:rPr>
                <w:rFonts w:ascii="Arial Narrow" w:hAnsi="Arial Narrow"/>
                <w:sz w:val="20"/>
              </w:rPr>
            </w:pPr>
            <w:r w:rsidRPr="00841D26">
              <w:rPr>
                <w:rFonts w:ascii="Arial Narrow" w:hAnsi="Arial Narrow"/>
                <w:sz w:val="20"/>
                <w:szCs w:val="20"/>
              </w:rPr>
              <w:t>-</w:t>
            </w:r>
            <w:r>
              <w:rPr>
                <w:rFonts w:ascii="Arial Narrow" w:hAnsi="Arial Narrow"/>
                <w:sz w:val="20"/>
                <w:szCs w:val="20"/>
              </w:rPr>
              <w:t>3.238</w:t>
            </w:r>
          </w:p>
        </w:tc>
        <w:tc>
          <w:tcPr>
            <w:tcW w:w="1018" w:type="pct"/>
            <w:vAlign w:val="center"/>
          </w:tcPr>
          <w:p w:rsidR="00576BFC" w:rsidRPr="0088724B" w:rsidRDefault="00576BFC" w:rsidP="008B4B29">
            <w:pPr>
              <w:keepNext/>
              <w:widowControl/>
              <w:jc w:val="center"/>
              <w:rPr>
                <w:rFonts w:ascii="Arial Narrow" w:hAnsi="Arial Narrow"/>
                <w:sz w:val="20"/>
              </w:rPr>
            </w:pPr>
            <w:r>
              <w:rPr>
                <w:rFonts w:ascii="Arial Narrow" w:hAnsi="Arial Narrow"/>
                <w:sz w:val="20"/>
                <w:szCs w:val="20"/>
              </w:rPr>
              <w:t>0.728</w:t>
            </w:r>
            <w:r w:rsidRPr="00841D26">
              <w:rPr>
                <w:rFonts w:ascii="Arial Narrow" w:hAnsi="Arial Narrow"/>
                <w:sz w:val="20"/>
                <w:szCs w:val="20"/>
              </w:rPr>
              <w:t xml:space="preserve"> </w:t>
            </w:r>
          </w:p>
        </w:tc>
        <w:tc>
          <w:tcPr>
            <w:tcW w:w="930" w:type="pct"/>
            <w:vAlign w:val="center"/>
          </w:tcPr>
          <w:p w:rsidR="00576BFC" w:rsidRPr="0088724B" w:rsidRDefault="00576BFC" w:rsidP="008B4B29">
            <w:pPr>
              <w:keepNext/>
              <w:widowControl/>
              <w:jc w:val="center"/>
              <w:rPr>
                <w:rFonts w:ascii="Arial Narrow" w:hAnsi="Arial Narrow"/>
                <w:sz w:val="20"/>
              </w:rPr>
            </w:pPr>
            <w:r>
              <w:rPr>
                <w:rFonts w:ascii="Arial Narrow" w:hAnsi="Arial Narrow"/>
                <w:sz w:val="20"/>
                <w:szCs w:val="20"/>
              </w:rPr>
              <w:t>22.2%</w:t>
            </w:r>
          </w:p>
        </w:tc>
      </w:tr>
      <w:tr w:rsidR="00576BFC" w:rsidRPr="0088724B" w:rsidTr="009E698C">
        <w:tc>
          <w:tcPr>
            <w:tcW w:w="1271" w:type="pct"/>
            <w:shd w:val="clear" w:color="auto" w:fill="auto"/>
            <w:vAlign w:val="center"/>
          </w:tcPr>
          <w:p w:rsidR="00576BFC" w:rsidRPr="0088724B" w:rsidRDefault="00576BFC" w:rsidP="008B4B29">
            <w:pPr>
              <w:keepNext/>
              <w:widowControl/>
              <w:jc w:val="left"/>
              <w:rPr>
                <w:rFonts w:ascii="Arial Narrow" w:hAnsi="Arial Narrow"/>
                <w:sz w:val="20"/>
              </w:rPr>
            </w:pPr>
            <w:r>
              <w:rPr>
                <w:rFonts w:ascii="Arial Narrow" w:hAnsi="Arial Narrow"/>
                <w:sz w:val="20"/>
              </w:rPr>
              <w:t>TEMPO 3:4</w:t>
            </w:r>
          </w:p>
        </w:tc>
        <w:tc>
          <w:tcPr>
            <w:tcW w:w="849" w:type="pct"/>
            <w:vAlign w:val="center"/>
          </w:tcPr>
          <w:p w:rsidR="00576BFC" w:rsidRPr="0088724B" w:rsidRDefault="00576BFC" w:rsidP="008B4B29">
            <w:pPr>
              <w:keepNext/>
              <w:widowControl/>
              <w:jc w:val="center"/>
              <w:rPr>
                <w:rFonts w:ascii="Arial Narrow" w:hAnsi="Arial Narrow"/>
                <w:sz w:val="20"/>
              </w:rPr>
            </w:pPr>
            <w:r w:rsidRPr="00A04D2D">
              <w:rPr>
                <w:rFonts w:ascii="Arial Narrow" w:hAnsi="Arial Narrow"/>
                <w:sz w:val="20"/>
                <w:szCs w:val="20"/>
              </w:rPr>
              <w:t>-2.723</w:t>
            </w:r>
          </w:p>
        </w:tc>
        <w:tc>
          <w:tcPr>
            <w:tcW w:w="932" w:type="pct"/>
            <w:vAlign w:val="center"/>
          </w:tcPr>
          <w:p w:rsidR="00576BFC" w:rsidRPr="0088724B" w:rsidRDefault="00576BFC" w:rsidP="008B4B29">
            <w:pPr>
              <w:keepNext/>
              <w:widowControl/>
              <w:jc w:val="center"/>
              <w:rPr>
                <w:rFonts w:ascii="Arial Narrow" w:hAnsi="Arial Narrow"/>
                <w:sz w:val="20"/>
              </w:rPr>
            </w:pPr>
            <w:r w:rsidRPr="00A04D2D">
              <w:rPr>
                <w:rFonts w:ascii="Arial Narrow" w:hAnsi="Arial Narrow"/>
                <w:sz w:val="20"/>
                <w:szCs w:val="20"/>
              </w:rPr>
              <w:t>-3.700</w:t>
            </w:r>
          </w:p>
        </w:tc>
        <w:tc>
          <w:tcPr>
            <w:tcW w:w="1018" w:type="pct"/>
            <w:vAlign w:val="center"/>
          </w:tcPr>
          <w:p w:rsidR="00576BFC" w:rsidRPr="007653CE" w:rsidRDefault="00576BFC" w:rsidP="008B4B29">
            <w:pPr>
              <w:keepNext/>
              <w:widowControl/>
              <w:jc w:val="center"/>
              <w:rPr>
                <w:rFonts w:ascii="Arial Narrow" w:hAnsi="Arial Narrow"/>
                <w:sz w:val="20"/>
              </w:rPr>
            </w:pPr>
            <w:r w:rsidRPr="007653CE">
              <w:rPr>
                <w:rFonts w:ascii="Arial Narrow" w:hAnsi="Arial Narrow"/>
                <w:sz w:val="20"/>
                <w:szCs w:val="20"/>
              </w:rPr>
              <w:t xml:space="preserve">0.977 </w:t>
            </w:r>
          </w:p>
        </w:tc>
        <w:tc>
          <w:tcPr>
            <w:tcW w:w="930" w:type="pct"/>
            <w:vAlign w:val="center"/>
          </w:tcPr>
          <w:p w:rsidR="00576BFC" w:rsidRPr="0088724B" w:rsidRDefault="00576BFC" w:rsidP="008B4B29">
            <w:pPr>
              <w:keepNext/>
              <w:widowControl/>
              <w:jc w:val="center"/>
              <w:rPr>
                <w:rFonts w:ascii="Arial Narrow" w:hAnsi="Arial Narrow"/>
                <w:sz w:val="20"/>
              </w:rPr>
            </w:pPr>
            <w:r w:rsidRPr="00A04D2D">
              <w:rPr>
                <w:rFonts w:ascii="Arial Narrow" w:hAnsi="Arial Narrow"/>
                <w:sz w:val="20"/>
                <w:szCs w:val="20"/>
              </w:rPr>
              <w:t>26.4%</w:t>
            </w:r>
          </w:p>
        </w:tc>
      </w:tr>
      <w:tr w:rsidR="00576BFC" w:rsidRPr="0088724B" w:rsidTr="009E698C">
        <w:tc>
          <w:tcPr>
            <w:tcW w:w="1271" w:type="pct"/>
            <w:vMerge w:val="restart"/>
            <w:shd w:val="clear" w:color="auto" w:fill="auto"/>
            <w:vAlign w:val="center"/>
          </w:tcPr>
          <w:p w:rsidR="00576BFC" w:rsidRPr="0088724B" w:rsidRDefault="00576BFC" w:rsidP="008B4B29">
            <w:pPr>
              <w:keepNext/>
              <w:widowControl/>
              <w:rPr>
                <w:rFonts w:ascii="Arial Narrow" w:hAnsi="Arial Narrow"/>
                <w:b/>
                <w:sz w:val="20"/>
              </w:rPr>
            </w:pPr>
            <w:r w:rsidRPr="0088724B">
              <w:rPr>
                <w:rFonts w:ascii="Arial Narrow" w:hAnsi="Arial Narrow"/>
                <w:b/>
                <w:sz w:val="20"/>
              </w:rPr>
              <w:t>Harms</w:t>
            </w:r>
          </w:p>
        </w:tc>
        <w:tc>
          <w:tcPr>
            <w:tcW w:w="849" w:type="pct"/>
            <w:vMerge w:val="restart"/>
            <w:vAlign w:val="center"/>
          </w:tcPr>
          <w:p w:rsidR="00576BFC" w:rsidRPr="0088724B" w:rsidRDefault="00576BFC" w:rsidP="008B4B29">
            <w:pPr>
              <w:keepNext/>
              <w:widowControl/>
              <w:jc w:val="center"/>
              <w:rPr>
                <w:rFonts w:ascii="Arial Narrow" w:hAnsi="Arial Narrow"/>
                <w:b/>
                <w:sz w:val="20"/>
              </w:rPr>
            </w:pPr>
            <w:r w:rsidRPr="0088724B">
              <w:rPr>
                <w:rFonts w:ascii="Arial Narrow" w:hAnsi="Arial Narrow"/>
                <w:b/>
                <w:sz w:val="20"/>
              </w:rPr>
              <w:t>Tolvaptan</w:t>
            </w:r>
          </w:p>
        </w:tc>
        <w:tc>
          <w:tcPr>
            <w:tcW w:w="932" w:type="pct"/>
            <w:vMerge w:val="restart"/>
            <w:vAlign w:val="center"/>
          </w:tcPr>
          <w:p w:rsidR="00576BFC" w:rsidRPr="0088724B" w:rsidRDefault="00576BFC" w:rsidP="008B4B29">
            <w:pPr>
              <w:keepNext/>
              <w:widowControl/>
              <w:jc w:val="center"/>
              <w:rPr>
                <w:rFonts w:ascii="Arial Narrow" w:hAnsi="Arial Narrow"/>
                <w:b/>
                <w:sz w:val="20"/>
              </w:rPr>
            </w:pPr>
            <w:r w:rsidRPr="0088724B">
              <w:rPr>
                <w:rFonts w:ascii="Arial Narrow" w:hAnsi="Arial Narrow"/>
                <w:b/>
                <w:sz w:val="20"/>
              </w:rPr>
              <w:t>Placebo</w:t>
            </w:r>
          </w:p>
        </w:tc>
        <w:tc>
          <w:tcPr>
            <w:tcW w:w="1948" w:type="pct"/>
            <w:gridSpan w:val="2"/>
            <w:vAlign w:val="center"/>
          </w:tcPr>
          <w:p w:rsidR="00576BFC" w:rsidRPr="0088724B" w:rsidRDefault="00576BFC" w:rsidP="008B4B29">
            <w:pPr>
              <w:keepNext/>
              <w:widowControl/>
              <w:jc w:val="center"/>
              <w:rPr>
                <w:rFonts w:ascii="Arial Narrow" w:hAnsi="Arial Narrow"/>
                <w:b/>
                <w:sz w:val="20"/>
              </w:rPr>
            </w:pPr>
            <w:r w:rsidRPr="0088724B">
              <w:rPr>
                <w:rFonts w:ascii="Arial Narrow" w:hAnsi="Arial Narrow"/>
                <w:b/>
                <w:sz w:val="20"/>
              </w:rPr>
              <w:t>Event rate per 100 patients</w:t>
            </w:r>
          </w:p>
        </w:tc>
      </w:tr>
      <w:tr w:rsidR="00576BFC" w:rsidRPr="0088724B" w:rsidTr="009E698C">
        <w:tc>
          <w:tcPr>
            <w:tcW w:w="1271" w:type="pct"/>
            <w:vMerge/>
            <w:shd w:val="clear" w:color="auto" w:fill="auto"/>
            <w:vAlign w:val="center"/>
          </w:tcPr>
          <w:p w:rsidR="00576BFC" w:rsidRPr="0088724B" w:rsidRDefault="00576BFC" w:rsidP="008B4B29">
            <w:pPr>
              <w:keepNext/>
              <w:widowControl/>
              <w:rPr>
                <w:rFonts w:ascii="Arial Narrow" w:hAnsi="Arial Narrow"/>
                <w:b/>
                <w:sz w:val="20"/>
              </w:rPr>
            </w:pPr>
          </w:p>
        </w:tc>
        <w:tc>
          <w:tcPr>
            <w:tcW w:w="849" w:type="pct"/>
            <w:vMerge/>
            <w:vAlign w:val="center"/>
          </w:tcPr>
          <w:p w:rsidR="00576BFC" w:rsidRPr="0088724B" w:rsidRDefault="00576BFC" w:rsidP="008B4B29">
            <w:pPr>
              <w:keepNext/>
              <w:widowControl/>
              <w:jc w:val="center"/>
              <w:rPr>
                <w:rFonts w:ascii="Arial Narrow" w:hAnsi="Arial Narrow"/>
                <w:b/>
                <w:sz w:val="20"/>
              </w:rPr>
            </w:pPr>
          </w:p>
        </w:tc>
        <w:tc>
          <w:tcPr>
            <w:tcW w:w="932" w:type="pct"/>
            <w:vMerge/>
            <w:vAlign w:val="center"/>
          </w:tcPr>
          <w:p w:rsidR="00576BFC" w:rsidRPr="0088724B" w:rsidRDefault="00576BFC" w:rsidP="008B4B29">
            <w:pPr>
              <w:keepNext/>
              <w:widowControl/>
              <w:jc w:val="center"/>
              <w:rPr>
                <w:rFonts w:ascii="Arial Narrow" w:hAnsi="Arial Narrow"/>
                <w:b/>
                <w:sz w:val="20"/>
              </w:rPr>
            </w:pPr>
          </w:p>
        </w:tc>
        <w:tc>
          <w:tcPr>
            <w:tcW w:w="1018" w:type="pct"/>
            <w:vAlign w:val="center"/>
          </w:tcPr>
          <w:p w:rsidR="00576BFC" w:rsidRPr="0088724B" w:rsidRDefault="00576BFC" w:rsidP="008B4B29">
            <w:pPr>
              <w:keepNext/>
              <w:widowControl/>
              <w:jc w:val="center"/>
              <w:rPr>
                <w:rFonts w:ascii="Arial Narrow" w:hAnsi="Arial Narrow"/>
                <w:b/>
                <w:sz w:val="20"/>
              </w:rPr>
            </w:pPr>
            <w:r w:rsidRPr="0088724B">
              <w:rPr>
                <w:rFonts w:ascii="Arial Narrow" w:hAnsi="Arial Narrow"/>
                <w:b/>
                <w:sz w:val="20"/>
              </w:rPr>
              <w:t>Tolvaptan</w:t>
            </w:r>
          </w:p>
        </w:tc>
        <w:tc>
          <w:tcPr>
            <w:tcW w:w="930" w:type="pct"/>
            <w:vAlign w:val="center"/>
          </w:tcPr>
          <w:p w:rsidR="00576BFC" w:rsidRPr="0088724B" w:rsidRDefault="00576BFC" w:rsidP="008B4B29">
            <w:pPr>
              <w:keepNext/>
              <w:widowControl/>
              <w:jc w:val="center"/>
              <w:rPr>
                <w:rFonts w:ascii="Arial Narrow" w:hAnsi="Arial Narrow"/>
                <w:b/>
                <w:sz w:val="20"/>
              </w:rPr>
            </w:pPr>
            <w:r w:rsidRPr="0088724B">
              <w:rPr>
                <w:rFonts w:ascii="Arial Narrow" w:hAnsi="Arial Narrow"/>
                <w:b/>
                <w:sz w:val="20"/>
              </w:rPr>
              <w:t>Placebo</w:t>
            </w:r>
          </w:p>
        </w:tc>
      </w:tr>
      <w:tr w:rsidR="00576BFC" w:rsidRPr="0088724B" w:rsidTr="009E698C">
        <w:tc>
          <w:tcPr>
            <w:tcW w:w="5000" w:type="pct"/>
            <w:gridSpan w:val="5"/>
            <w:shd w:val="clear" w:color="auto" w:fill="auto"/>
            <w:vAlign w:val="center"/>
          </w:tcPr>
          <w:p w:rsidR="00576BFC" w:rsidRPr="0088724B" w:rsidRDefault="00576BFC" w:rsidP="008B4B29">
            <w:pPr>
              <w:keepNext/>
              <w:widowControl/>
              <w:jc w:val="left"/>
              <w:rPr>
                <w:rFonts w:ascii="Arial Narrow" w:hAnsi="Arial Narrow"/>
                <w:sz w:val="20"/>
              </w:rPr>
            </w:pPr>
            <w:r>
              <w:rPr>
                <w:rFonts w:ascii="Arial Narrow" w:hAnsi="Arial Narrow"/>
                <w:sz w:val="20"/>
              </w:rPr>
              <w:t>REPRISE</w:t>
            </w:r>
          </w:p>
        </w:tc>
      </w:tr>
      <w:tr w:rsidR="00576BFC" w:rsidRPr="0088724B" w:rsidTr="009E698C">
        <w:tc>
          <w:tcPr>
            <w:tcW w:w="1271" w:type="pct"/>
            <w:shd w:val="clear" w:color="auto" w:fill="auto"/>
            <w:vAlign w:val="center"/>
          </w:tcPr>
          <w:p w:rsidR="00576BFC" w:rsidRPr="0088724B" w:rsidRDefault="00576BFC" w:rsidP="008B4B29">
            <w:pPr>
              <w:keepNext/>
              <w:widowControl/>
              <w:rPr>
                <w:rFonts w:ascii="Arial Narrow" w:hAnsi="Arial Narrow"/>
                <w:sz w:val="20"/>
              </w:rPr>
            </w:pPr>
            <w:r w:rsidRPr="0088724B">
              <w:rPr>
                <w:rFonts w:ascii="Arial Narrow" w:hAnsi="Arial Narrow"/>
                <w:sz w:val="20"/>
              </w:rPr>
              <w:t>Nocturia</w:t>
            </w:r>
          </w:p>
        </w:tc>
        <w:tc>
          <w:tcPr>
            <w:tcW w:w="849" w:type="pct"/>
            <w:vAlign w:val="center"/>
          </w:tcPr>
          <w:p w:rsidR="00576BFC" w:rsidRPr="003B480F" w:rsidRDefault="00576BFC" w:rsidP="008B4B29">
            <w:pPr>
              <w:keepNext/>
              <w:widowControl/>
              <w:jc w:val="center"/>
              <w:rPr>
                <w:rFonts w:ascii="Arial Narrow" w:hAnsi="Arial Narrow"/>
                <w:sz w:val="20"/>
              </w:rPr>
            </w:pPr>
            <w:r w:rsidRPr="003B480F">
              <w:rPr>
                <w:rFonts w:ascii="Arial Narrow" w:hAnsi="Arial Narrow"/>
                <w:sz w:val="20"/>
                <w:szCs w:val="20"/>
              </w:rPr>
              <w:t>32/681</w:t>
            </w:r>
          </w:p>
        </w:tc>
        <w:tc>
          <w:tcPr>
            <w:tcW w:w="932" w:type="pct"/>
            <w:vAlign w:val="center"/>
          </w:tcPr>
          <w:p w:rsidR="00576BFC" w:rsidRPr="003B480F" w:rsidRDefault="00576BFC" w:rsidP="008B4B29">
            <w:pPr>
              <w:keepNext/>
              <w:widowControl/>
              <w:jc w:val="center"/>
              <w:rPr>
                <w:rFonts w:ascii="Arial Narrow" w:hAnsi="Arial Narrow"/>
                <w:sz w:val="20"/>
              </w:rPr>
            </w:pPr>
            <w:r w:rsidRPr="003B480F">
              <w:rPr>
                <w:rFonts w:ascii="Arial Narrow" w:hAnsi="Arial Narrow"/>
                <w:sz w:val="20"/>
                <w:szCs w:val="20"/>
              </w:rPr>
              <w:t xml:space="preserve">12/685 </w:t>
            </w:r>
          </w:p>
        </w:tc>
        <w:tc>
          <w:tcPr>
            <w:tcW w:w="1018" w:type="pct"/>
            <w:vAlign w:val="center"/>
          </w:tcPr>
          <w:p w:rsidR="00576BFC" w:rsidRPr="0088724B" w:rsidRDefault="00576BFC" w:rsidP="008B4B29">
            <w:pPr>
              <w:keepNext/>
              <w:widowControl/>
              <w:jc w:val="center"/>
              <w:rPr>
                <w:rFonts w:ascii="Arial Narrow" w:hAnsi="Arial Narrow"/>
                <w:sz w:val="20"/>
              </w:rPr>
            </w:pPr>
            <w:r>
              <w:rPr>
                <w:rFonts w:ascii="Arial Narrow" w:hAnsi="Arial Narrow"/>
                <w:sz w:val="20"/>
              </w:rPr>
              <w:t>4.7</w:t>
            </w:r>
          </w:p>
        </w:tc>
        <w:tc>
          <w:tcPr>
            <w:tcW w:w="930" w:type="pct"/>
            <w:vAlign w:val="center"/>
          </w:tcPr>
          <w:p w:rsidR="00576BFC" w:rsidRPr="0088724B" w:rsidRDefault="00576BFC" w:rsidP="008B4B29">
            <w:pPr>
              <w:keepNext/>
              <w:widowControl/>
              <w:jc w:val="center"/>
              <w:rPr>
                <w:rFonts w:ascii="Arial Narrow" w:hAnsi="Arial Narrow"/>
                <w:sz w:val="20"/>
              </w:rPr>
            </w:pPr>
            <w:r>
              <w:rPr>
                <w:rFonts w:ascii="Arial Narrow" w:hAnsi="Arial Narrow"/>
                <w:sz w:val="20"/>
              </w:rPr>
              <w:t>1.8</w:t>
            </w:r>
          </w:p>
        </w:tc>
      </w:tr>
      <w:tr w:rsidR="00576BFC" w:rsidRPr="0088724B" w:rsidTr="009E698C">
        <w:tc>
          <w:tcPr>
            <w:tcW w:w="1271" w:type="pct"/>
            <w:shd w:val="clear" w:color="auto" w:fill="auto"/>
            <w:vAlign w:val="center"/>
          </w:tcPr>
          <w:p w:rsidR="00576BFC" w:rsidRPr="0088724B" w:rsidRDefault="00576BFC" w:rsidP="008B4B29">
            <w:pPr>
              <w:keepNext/>
              <w:widowControl/>
              <w:rPr>
                <w:rFonts w:ascii="Arial Narrow" w:hAnsi="Arial Narrow"/>
                <w:sz w:val="20"/>
              </w:rPr>
            </w:pPr>
            <w:r w:rsidRPr="0088724B">
              <w:rPr>
                <w:rFonts w:ascii="Arial Narrow" w:hAnsi="Arial Narrow"/>
                <w:sz w:val="20"/>
              </w:rPr>
              <w:t>Renal pain</w:t>
            </w:r>
          </w:p>
        </w:tc>
        <w:tc>
          <w:tcPr>
            <w:tcW w:w="849" w:type="pct"/>
            <w:vAlign w:val="center"/>
          </w:tcPr>
          <w:p w:rsidR="00576BFC" w:rsidRPr="003B480F" w:rsidRDefault="009F6C50" w:rsidP="008B4B29">
            <w:pPr>
              <w:keepNext/>
              <w:widowControl/>
              <w:jc w:val="center"/>
              <w:rPr>
                <w:rFonts w:ascii="Arial Narrow" w:hAnsi="Arial Narrow"/>
                <w:sz w:val="20"/>
              </w:rPr>
            </w:pPr>
            <w:r>
              <w:rPr>
                <w:rFonts w:ascii="Arial Narrow" w:hAnsi="Arial Narrow"/>
                <w:sz w:val="20"/>
                <w:szCs w:val="20"/>
              </w:rPr>
              <w:t>113</w:t>
            </w:r>
            <w:r w:rsidR="00576BFC" w:rsidRPr="003B480F">
              <w:rPr>
                <w:rFonts w:ascii="Arial Narrow" w:hAnsi="Arial Narrow"/>
                <w:sz w:val="20"/>
                <w:szCs w:val="20"/>
              </w:rPr>
              <w:t>/681</w:t>
            </w:r>
          </w:p>
        </w:tc>
        <w:tc>
          <w:tcPr>
            <w:tcW w:w="932" w:type="pct"/>
            <w:vAlign w:val="center"/>
          </w:tcPr>
          <w:p w:rsidR="00576BFC" w:rsidRPr="003B480F" w:rsidRDefault="00576BFC" w:rsidP="008B4B29">
            <w:pPr>
              <w:keepNext/>
              <w:widowControl/>
              <w:jc w:val="center"/>
              <w:rPr>
                <w:rFonts w:ascii="Arial Narrow" w:hAnsi="Arial Narrow"/>
                <w:sz w:val="20"/>
              </w:rPr>
            </w:pPr>
            <w:r w:rsidRPr="003B480F">
              <w:rPr>
                <w:rFonts w:ascii="Arial Narrow" w:hAnsi="Arial Narrow"/>
                <w:sz w:val="20"/>
                <w:szCs w:val="20"/>
              </w:rPr>
              <w:t>1</w:t>
            </w:r>
            <w:r w:rsidR="009F6C50">
              <w:rPr>
                <w:rFonts w:ascii="Arial Narrow" w:hAnsi="Arial Narrow"/>
                <w:sz w:val="20"/>
                <w:szCs w:val="20"/>
              </w:rPr>
              <w:t>3</w:t>
            </w:r>
            <w:r w:rsidRPr="003B480F">
              <w:rPr>
                <w:rFonts w:ascii="Arial Narrow" w:hAnsi="Arial Narrow"/>
                <w:sz w:val="20"/>
                <w:szCs w:val="20"/>
              </w:rPr>
              <w:t>0/685</w:t>
            </w:r>
          </w:p>
        </w:tc>
        <w:tc>
          <w:tcPr>
            <w:tcW w:w="1018" w:type="pct"/>
            <w:vAlign w:val="center"/>
          </w:tcPr>
          <w:p w:rsidR="00576BFC" w:rsidRPr="0088724B" w:rsidRDefault="009F6C50" w:rsidP="008B4B29">
            <w:pPr>
              <w:keepNext/>
              <w:widowControl/>
              <w:jc w:val="center"/>
              <w:rPr>
                <w:rFonts w:ascii="Arial Narrow" w:hAnsi="Arial Narrow"/>
                <w:sz w:val="20"/>
              </w:rPr>
            </w:pPr>
            <w:r>
              <w:rPr>
                <w:rFonts w:ascii="Arial Narrow" w:hAnsi="Arial Narrow"/>
                <w:sz w:val="20"/>
              </w:rPr>
              <w:t>16</w:t>
            </w:r>
            <w:r w:rsidR="00576BFC">
              <w:rPr>
                <w:rFonts w:ascii="Arial Narrow" w:hAnsi="Arial Narrow"/>
                <w:sz w:val="20"/>
              </w:rPr>
              <w:t>.</w:t>
            </w:r>
            <w:r>
              <w:rPr>
                <w:rFonts w:ascii="Arial Narrow" w:hAnsi="Arial Narrow"/>
                <w:sz w:val="20"/>
              </w:rPr>
              <w:t>6</w:t>
            </w:r>
          </w:p>
        </w:tc>
        <w:tc>
          <w:tcPr>
            <w:tcW w:w="930" w:type="pct"/>
            <w:vAlign w:val="center"/>
          </w:tcPr>
          <w:p w:rsidR="00576BFC" w:rsidRPr="0088724B" w:rsidRDefault="00576BFC" w:rsidP="008B4B29">
            <w:pPr>
              <w:keepNext/>
              <w:widowControl/>
              <w:jc w:val="center"/>
              <w:rPr>
                <w:rFonts w:ascii="Arial Narrow" w:hAnsi="Arial Narrow"/>
                <w:sz w:val="20"/>
              </w:rPr>
            </w:pPr>
            <w:r>
              <w:rPr>
                <w:rFonts w:ascii="Arial Narrow" w:hAnsi="Arial Narrow"/>
                <w:sz w:val="20"/>
              </w:rPr>
              <w:t>1</w:t>
            </w:r>
            <w:r w:rsidR="009F6C50">
              <w:rPr>
                <w:rFonts w:ascii="Arial Narrow" w:hAnsi="Arial Narrow"/>
                <w:sz w:val="20"/>
              </w:rPr>
              <w:t>9</w:t>
            </w:r>
            <w:r>
              <w:rPr>
                <w:rFonts w:ascii="Arial Narrow" w:hAnsi="Arial Narrow"/>
                <w:sz w:val="20"/>
              </w:rPr>
              <w:t>.</w:t>
            </w:r>
            <w:r w:rsidR="009F6C50">
              <w:rPr>
                <w:rFonts w:ascii="Arial Narrow" w:hAnsi="Arial Narrow"/>
                <w:sz w:val="20"/>
              </w:rPr>
              <w:t>0</w:t>
            </w:r>
          </w:p>
        </w:tc>
      </w:tr>
      <w:tr w:rsidR="00576BFC" w:rsidRPr="0088724B" w:rsidTr="009E698C">
        <w:tc>
          <w:tcPr>
            <w:tcW w:w="1271" w:type="pct"/>
            <w:shd w:val="clear" w:color="auto" w:fill="auto"/>
            <w:vAlign w:val="center"/>
          </w:tcPr>
          <w:p w:rsidR="00576BFC" w:rsidRPr="0088724B" w:rsidRDefault="00576BFC" w:rsidP="008B4B29">
            <w:pPr>
              <w:keepNext/>
              <w:widowControl/>
              <w:rPr>
                <w:rFonts w:ascii="Arial Narrow" w:hAnsi="Arial Narrow"/>
                <w:sz w:val="20"/>
              </w:rPr>
            </w:pPr>
            <w:r w:rsidRPr="0088724B">
              <w:rPr>
                <w:rFonts w:ascii="Arial Narrow" w:hAnsi="Arial Narrow"/>
                <w:sz w:val="20"/>
              </w:rPr>
              <w:t>Hepatic enzyme increased</w:t>
            </w:r>
          </w:p>
        </w:tc>
        <w:tc>
          <w:tcPr>
            <w:tcW w:w="849" w:type="pct"/>
          </w:tcPr>
          <w:p w:rsidR="00576BFC" w:rsidRPr="003B480F" w:rsidRDefault="00576BFC" w:rsidP="008B4B29">
            <w:pPr>
              <w:keepNext/>
              <w:widowControl/>
              <w:jc w:val="center"/>
              <w:rPr>
                <w:rFonts w:ascii="Arial Narrow" w:hAnsi="Arial Narrow"/>
                <w:sz w:val="20"/>
              </w:rPr>
            </w:pPr>
            <w:r w:rsidRPr="003B480F">
              <w:rPr>
                <w:rFonts w:ascii="Arial Narrow" w:hAnsi="Arial Narrow"/>
                <w:sz w:val="20"/>
                <w:szCs w:val="20"/>
              </w:rPr>
              <w:t>17/681</w:t>
            </w:r>
          </w:p>
        </w:tc>
        <w:tc>
          <w:tcPr>
            <w:tcW w:w="932" w:type="pct"/>
          </w:tcPr>
          <w:p w:rsidR="00576BFC" w:rsidRPr="003B480F" w:rsidRDefault="00576BFC" w:rsidP="008B4B29">
            <w:pPr>
              <w:keepNext/>
              <w:widowControl/>
              <w:jc w:val="center"/>
              <w:rPr>
                <w:rFonts w:ascii="Arial Narrow" w:hAnsi="Arial Narrow"/>
                <w:sz w:val="20"/>
              </w:rPr>
            </w:pPr>
            <w:r w:rsidRPr="003B480F">
              <w:rPr>
                <w:rFonts w:ascii="Arial Narrow" w:hAnsi="Arial Narrow"/>
                <w:sz w:val="20"/>
                <w:szCs w:val="20"/>
              </w:rPr>
              <w:t>3/685</w:t>
            </w:r>
          </w:p>
        </w:tc>
        <w:tc>
          <w:tcPr>
            <w:tcW w:w="1018" w:type="pct"/>
            <w:vAlign w:val="center"/>
          </w:tcPr>
          <w:p w:rsidR="00576BFC" w:rsidRPr="0088724B" w:rsidRDefault="00576BFC" w:rsidP="008B4B29">
            <w:pPr>
              <w:keepNext/>
              <w:widowControl/>
              <w:jc w:val="center"/>
              <w:rPr>
                <w:rFonts w:ascii="Arial Narrow" w:hAnsi="Arial Narrow"/>
                <w:sz w:val="20"/>
              </w:rPr>
            </w:pPr>
            <w:r>
              <w:rPr>
                <w:rFonts w:ascii="Arial Narrow" w:hAnsi="Arial Narrow"/>
                <w:sz w:val="20"/>
              </w:rPr>
              <w:t>2.5</w:t>
            </w:r>
          </w:p>
        </w:tc>
        <w:tc>
          <w:tcPr>
            <w:tcW w:w="930" w:type="pct"/>
            <w:vAlign w:val="center"/>
          </w:tcPr>
          <w:p w:rsidR="00576BFC" w:rsidRPr="0088724B" w:rsidRDefault="00576BFC" w:rsidP="008B4B29">
            <w:pPr>
              <w:keepNext/>
              <w:widowControl/>
              <w:jc w:val="center"/>
              <w:rPr>
                <w:rFonts w:ascii="Arial Narrow" w:hAnsi="Arial Narrow"/>
                <w:sz w:val="20"/>
              </w:rPr>
            </w:pPr>
            <w:r>
              <w:rPr>
                <w:rFonts w:ascii="Arial Narrow" w:hAnsi="Arial Narrow"/>
                <w:sz w:val="20"/>
              </w:rPr>
              <w:t>0.4</w:t>
            </w:r>
          </w:p>
        </w:tc>
      </w:tr>
      <w:tr w:rsidR="00AC6DF1" w:rsidRPr="0088724B" w:rsidTr="009E698C">
        <w:tc>
          <w:tcPr>
            <w:tcW w:w="1271" w:type="pct"/>
            <w:shd w:val="clear" w:color="auto" w:fill="auto"/>
            <w:vAlign w:val="center"/>
          </w:tcPr>
          <w:p w:rsidR="00AC6DF1" w:rsidRPr="0088724B" w:rsidRDefault="00AC6DF1" w:rsidP="008B4B29">
            <w:pPr>
              <w:keepNext/>
              <w:widowControl/>
              <w:rPr>
                <w:rFonts w:ascii="Arial Narrow" w:hAnsi="Arial Narrow"/>
                <w:sz w:val="20"/>
              </w:rPr>
            </w:pPr>
            <w:r>
              <w:rPr>
                <w:rFonts w:ascii="Arial Narrow" w:hAnsi="Arial Narrow"/>
                <w:sz w:val="20"/>
              </w:rPr>
              <w:t>Hypernatremia</w:t>
            </w:r>
          </w:p>
        </w:tc>
        <w:tc>
          <w:tcPr>
            <w:tcW w:w="849" w:type="pct"/>
            <w:vAlign w:val="center"/>
          </w:tcPr>
          <w:p w:rsidR="00AC6DF1" w:rsidRPr="0088724B" w:rsidRDefault="0083017D" w:rsidP="008B4B29">
            <w:pPr>
              <w:keepNext/>
              <w:widowControl/>
              <w:jc w:val="center"/>
              <w:rPr>
                <w:rFonts w:ascii="Arial Narrow" w:hAnsi="Arial Narrow"/>
                <w:sz w:val="20"/>
              </w:rPr>
            </w:pPr>
            <w:r>
              <w:rPr>
                <w:rFonts w:ascii="Arial Narrow" w:hAnsi="Arial Narrow"/>
                <w:sz w:val="20"/>
              </w:rPr>
              <w:t>3</w:t>
            </w:r>
            <w:r w:rsidR="00AC6DF1">
              <w:rPr>
                <w:rFonts w:ascii="Arial Narrow" w:hAnsi="Arial Narrow"/>
                <w:sz w:val="20"/>
              </w:rPr>
              <w:t>/681</w:t>
            </w:r>
          </w:p>
        </w:tc>
        <w:tc>
          <w:tcPr>
            <w:tcW w:w="932" w:type="pct"/>
            <w:vAlign w:val="center"/>
          </w:tcPr>
          <w:p w:rsidR="00AC6DF1" w:rsidRPr="0088724B" w:rsidRDefault="0083017D" w:rsidP="008B4B29">
            <w:pPr>
              <w:keepNext/>
              <w:widowControl/>
              <w:jc w:val="center"/>
              <w:rPr>
                <w:rFonts w:ascii="Arial Narrow" w:hAnsi="Arial Narrow"/>
                <w:sz w:val="20"/>
              </w:rPr>
            </w:pPr>
            <w:r>
              <w:rPr>
                <w:rFonts w:ascii="Arial Narrow" w:hAnsi="Arial Narrow"/>
                <w:sz w:val="20"/>
              </w:rPr>
              <w:t>0</w:t>
            </w:r>
          </w:p>
        </w:tc>
        <w:tc>
          <w:tcPr>
            <w:tcW w:w="1018" w:type="pct"/>
            <w:vAlign w:val="center"/>
          </w:tcPr>
          <w:p w:rsidR="00AC6DF1" w:rsidRPr="0088724B" w:rsidRDefault="0083017D" w:rsidP="008B4B29">
            <w:pPr>
              <w:keepNext/>
              <w:widowControl/>
              <w:jc w:val="center"/>
              <w:rPr>
                <w:rFonts w:ascii="Arial Narrow" w:hAnsi="Arial Narrow"/>
                <w:sz w:val="20"/>
              </w:rPr>
            </w:pPr>
            <w:r>
              <w:rPr>
                <w:rFonts w:ascii="Arial Narrow" w:hAnsi="Arial Narrow"/>
                <w:sz w:val="20"/>
              </w:rPr>
              <w:t>0.4</w:t>
            </w:r>
          </w:p>
        </w:tc>
        <w:tc>
          <w:tcPr>
            <w:tcW w:w="930" w:type="pct"/>
            <w:vAlign w:val="center"/>
          </w:tcPr>
          <w:p w:rsidR="00AC6DF1" w:rsidRPr="0088724B" w:rsidRDefault="0083017D" w:rsidP="008B4B29">
            <w:pPr>
              <w:keepNext/>
              <w:widowControl/>
              <w:jc w:val="center"/>
              <w:rPr>
                <w:rFonts w:ascii="Arial Narrow" w:hAnsi="Arial Narrow"/>
                <w:sz w:val="20"/>
              </w:rPr>
            </w:pPr>
            <w:r>
              <w:rPr>
                <w:rFonts w:ascii="Arial Narrow" w:hAnsi="Arial Narrow"/>
                <w:sz w:val="20"/>
              </w:rPr>
              <w:t>0</w:t>
            </w:r>
          </w:p>
        </w:tc>
      </w:tr>
      <w:tr w:rsidR="00AC6DF1" w:rsidRPr="0088724B" w:rsidTr="009E698C">
        <w:tc>
          <w:tcPr>
            <w:tcW w:w="1271" w:type="pct"/>
            <w:shd w:val="clear" w:color="auto" w:fill="auto"/>
            <w:vAlign w:val="center"/>
          </w:tcPr>
          <w:p w:rsidR="00AC6DF1" w:rsidRPr="0088724B" w:rsidRDefault="00AC6DF1" w:rsidP="008B4B29">
            <w:pPr>
              <w:keepNext/>
              <w:widowControl/>
              <w:rPr>
                <w:rFonts w:ascii="Arial Narrow" w:hAnsi="Arial Narrow"/>
                <w:sz w:val="20"/>
              </w:rPr>
            </w:pPr>
            <w:r>
              <w:rPr>
                <w:rFonts w:ascii="Arial Narrow" w:hAnsi="Arial Narrow"/>
                <w:sz w:val="20"/>
              </w:rPr>
              <w:t>Serum sodium increased</w:t>
            </w:r>
          </w:p>
        </w:tc>
        <w:tc>
          <w:tcPr>
            <w:tcW w:w="849" w:type="pct"/>
            <w:vAlign w:val="center"/>
          </w:tcPr>
          <w:p w:rsidR="00AC6DF1" w:rsidRPr="0088724B" w:rsidRDefault="00AC6DF1" w:rsidP="008B4B29">
            <w:pPr>
              <w:keepNext/>
              <w:widowControl/>
              <w:jc w:val="center"/>
              <w:rPr>
                <w:rFonts w:ascii="Arial Narrow" w:hAnsi="Arial Narrow"/>
                <w:sz w:val="20"/>
              </w:rPr>
            </w:pPr>
            <w:r>
              <w:rPr>
                <w:rFonts w:ascii="Arial Narrow" w:hAnsi="Arial Narrow"/>
                <w:sz w:val="20"/>
              </w:rPr>
              <w:t>4/681</w:t>
            </w:r>
          </w:p>
        </w:tc>
        <w:tc>
          <w:tcPr>
            <w:tcW w:w="932" w:type="pct"/>
            <w:vAlign w:val="center"/>
          </w:tcPr>
          <w:p w:rsidR="00AC6DF1" w:rsidRPr="0088724B" w:rsidRDefault="00AC6DF1" w:rsidP="008B4B29">
            <w:pPr>
              <w:keepNext/>
              <w:widowControl/>
              <w:jc w:val="center"/>
              <w:rPr>
                <w:rFonts w:ascii="Arial Narrow" w:hAnsi="Arial Narrow"/>
                <w:sz w:val="20"/>
              </w:rPr>
            </w:pPr>
            <w:r>
              <w:rPr>
                <w:rFonts w:ascii="Arial Narrow" w:hAnsi="Arial Narrow"/>
                <w:sz w:val="20"/>
              </w:rPr>
              <w:t>0</w:t>
            </w:r>
          </w:p>
        </w:tc>
        <w:tc>
          <w:tcPr>
            <w:tcW w:w="1018" w:type="pct"/>
            <w:vAlign w:val="center"/>
          </w:tcPr>
          <w:p w:rsidR="00AC6DF1" w:rsidRPr="0088724B" w:rsidRDefault="0083017D" w:rsidP="008B4B29">
            <w:pPr>
              <w:keepNext/>
              <w:widowControl/>
              <w:jc w:val="center"/>
              <w:rPr>
                <w:rFonts w:ascii="Arial Narrow" w:hAnsi="Arial Narrow"/>
                <w:sz w:val="20"/>
              </w:rPr>
            </w:pPr>
            <w:r>
              <w:rPr>
                <w:rFonts w:ascii="Arial Narrow" w:hAnsi="Arial Narrow"/>
                <w:sz w:val="20"/>
              </w:rPr>
              <w:t>0.6</w:t>
            </w:r>
          </w:p>
        </w:tc>
        <w:tc>
          <w:tcPr>
            <w:tcW w:w="930" w:type="pct"/>
            <w:vAlign w:val="center"/>
          </w:tcPr>
          <w:p w:rsidR="00AC6DF1" w:rsidRPr="0088724B" w:rsidRDefault="0083017D" w:rsidP="008B4B29">
            <w:pPr>
              <w:keepNext/>
              <w:widowControl/>
              <w:jc w:val="center"/>
              <w:rPr>
                <w:rFonts w:ascii="Arial Narrow" w:hAnsi="Arial Narrow"/>
                <w:sz w:val="20"/>
              </w:rPr>
            </w:pPr>
            <w:r>
              <w:rPr>
                <w:rFonts w:ascii="Arial Narrow" w:hAnsi="Arial Narrow"/>
                <w:sz w:val="20"/>
              </w:rPr>
              <w:t>0</w:t>
            </w:r>
          </w:p>
        </w:tc>
      </w:tr>
      <w:tr w:rsidR="00AC6DF1" w:rsidRPr="0088724B" w:rsidTr="009E698C">
        <w:tc>
          <w:tcPr>
            <w:tcW w:w="5000" w:type="pct"/>
            <w:gridSpan w:val="5"/>
            <w:shd w:val="clear" w:color="auto" w:fill="auto"/>
            <w:vAlign w:val="center"/>
          </w:tcPr>
          <w:p w:rsidR="00AC6DF1" w:rsidRPr="0088724B" w:rsidRDefault="00AC6DF1" w:rsidP="008B4B29">
            <w:pPr>
              <w:keepNext/>
              <w:widowControl/>
              <w:jc w:val="left"/>
              <w:rPr>
                <w:rFonts w:ascii="Arial Narrow" w:hAnsi="Arial Narrow"/>
                <w:sz w:val="20"/>
              </w:rPr>
            </w:pPr>
            <w:r>
              <w:rPr>
                <w:rFonts w:ascii="Arial Narrow" w:hAnsi="Arial Narrow"/>
                <w:sz w:val="20"/>
              </w:rPr>
              <w:t>TEMPO 3:4</w:t>
            </w:r>
          </w:p>
        </w:tc>
      </w:tr>
      <w:tr w:rsidR="00AC6DF1" w:rsidRPr="0088724B" w:rsidTr="009E698C">
        <w:tc>
          <w:tcPr>
            <w:tcW w:w="1271" w:type="pct"/>
            <w:shd w:val="clear" w:color="auto" w:fill="auto"/>
            <w:vAlign w:val="center"/>
          </w:tcPr>
          <w:p w:rsidR="00AC6DF1" w:rsidRPr="0088724B" w:rsidRDefault="00AC6DF1" w:rsidP="008B4B29">
            <w:pPr>
              <w:keepNext/>
              <w:widowControl/>
              <w:rPr>
                <w:rFonts w:ascii="Arial Narrow" w:hAnsi="Arial Narrow"/>
                <w:sz w:val="20"/>
              </w:rPr>
            </w:pPr>
            <w:r w:rsidRPr="0088724B">
              <w:rPr>
                <w:rFonts w:ascii="Arial Narrow" w:hAnsi="Arial Narrow"/>
                <w:sz w:val="20"/>
              </w:rPr>
              <w:t>Nocturia</w:t>
            </w:r>
          </w:p>
        </w:tc>
        <w:tc>
          <w:tcPr>
            <w:tcW w:w="849" w:type="pct"/>
            <w:vAlign w:val="center"/>
          </w:tcPr>
          <w:p w:rsidR="00AC6DF1" w:rsidRPr="0088724B" w:rsidRDefault="00AC6DF1" w:rsidP="008B4B29">
            <w:pPr>
              <w:keepNext/>
              <w:widowControl/>
              <w:jc w:val="center"/>
              <w:rPr>
                <w:rFonts w:ascii="Arial Narrow" w:hAnsi="Arial Narrow"/>
                <w:sz w:val="20"/>
              </w:rPr>
            </w:pPr>
            <w:r w:rsidRPr="0088724B">
              <w:rPr>
                <w:rFonts w:ascii="Arial Narrow" w:hAnsi="Arial Narrow"/>
                <w:sz w:val="20"/>
              </w:rPr>
              <w:t>280/961</w:t>
            </w:r>
          </w:p>
        </w:tc>
        <w:tc>
          <w:tcPr>
            <w:tcW w:w="932" w:type="pct"/>
            <w:vAlign w:val="center"/>
          </w:tcPr>
          <w:p w:rsidR="00AC6DF1" w:rsidRPr="0088724B" w:rsidRDefault="00AC6DF1" w:rsidP="008B4B29">
            <w:pPr>
              <w:keepNext/>
              <w:widowControl/>
              <w:jc w:val="center"/>
              <w:rPr>
                <w:rFonts w:ascii="Arial Narrow" w:hAnsi="Arial Narrow"/>
                <w:sz w:val="20"/>
              </w:rPr>
            </w:pPr>
            <w:r w:rsidRPr="0088724B">
              <w:rPr>
                <w:rFonts w:ascii="Arial Narrow" w:hAnsi="Arial Narrow"/>
                <w:sz w:val="20"/>
              </w:rPr>
              <w:t>63/483</w:t>
            </w:r>
          </w:p>
        </w:tc>
        <w:tc>
          <w:tcPr>
            <w:tcW w:w="1018" w:type="pct"/>
            <w:vAlign w:val="center"/>
          </w:tcPr>
          <w:p w:rsidR="00AC6DF1" w:rsidRPr="0088724B" w:rsidRDefault="00AC6DF1" w:rsidP="008B4B29">
            <w:pPr>
              <w:keepNext/>
              <w:widowControl/>
              <w:jc w:val="center"/>
              <w:rPr>
                <w:rFonts w:ascii="Arial Narrow" w:hAnsi="Arial Narrow"/>
                <w:sz w:val="20"/>
              </w:rPr>
            </w:pPr>
            <w:r w:rsidRPr="0088724B">
              <w:rPr>
                <w:rFonts w:ascii="Arial Narrow" w:hAnsi="Arial Narrow"/>
                <w:sz w:val="20"/>
              </w:rPr>
              <w:t>29.1</w:t>
            </w:r>
          </w:p>
        </w:tc>
        <w:tc>
          <w:tcPr>
            <w:tcW w:w="930" w:type="pct"/>
            <w:vAlign w:val="center"/>
          </w:tcPr>
          <w:p w:rsidR="00AC6DF1" w:rsidRPr="0088724B" w:rsidRDefault="00AC6DF1" w:rsidP="008B4B29">
            <w:pPr>
              <w:keepNext/>
              <w:widowControl/>
              <w:jc w:val="center"/>
              <w:rPr>
                <w:rFonts w:ascii="Arial Narrow" w:hAnsi="Arial Narrow"/>
                <w:sz w:val="20"/>
              </w:rPr>
            </w:pPr>
            <w:r w:rsidRPr="0088724B">
              <w:rPr>
                <w:rFonts w:ascii="Arial Narrow" w:hAnsi="Arial Narrow"/>
                <w:sz w:val="20"/>
              </w:rPr>
              <w:t>13.0</w:t>
            </w:r>
          </w:p>
        </w:tc>
      </w:tr>
      <w:tr w:rsidR="00AC6DF1" w:rsidRPr="0088724B" w:rsidTr="009E698C">
        <w:tc>
          <w:tcPr>
            <w:tcW w:w="1271" w:type="pct"/>
            <w:shd w:val="clear" w:color="auto" w:fill="auto"/>
            <w:vAlign w:val="center"/>
          </w:tcPr>
          <w:p w:rsidR="00AC6DF1" w:rsidRPr="0088724B" w:rsidRDefault="00AC6DF1" w:rsidP="008B4B29">
            <w:pPr>
              <w:keepNext/>
              <w:widowControl/>
              <w:rPr>
                <w:rFonts w:ascii="Arial Narrow" w:hAnsi="Arial Narrow"/>
                <w:sz w:val="20"/>
              </w:rPr>
            </w:pPr>
            <w:r w:rsidRPr="0088724B">
              <w:rPr>
                <w:rFonts w:ascii="Arial Narrow" w:hAnsi="Arial Narrow"/>
                <w:sz w:val="20"/>
              </w:rPr>
              <w:t>Renal pain</w:t>
            </w:r>
          </w:p>
        </w:tc>
        <w:tc>
          <w:tcPr>
            <w:tcW w:w="849" w:type="pct"/>
            <w:vAlign w:val="center"/>
          </w:tcPr>
          <w:p w:rsidR="00AC6DF1" w:rsidRPr="0088724B" w:rsidRDefault="00AC6DF1" w:rsidP="008B4B29">
            <w:pPr>
              <w:keepNext/>
              <w:widowControl/>
              <w:jc w:val="center"/>
              <w:rPr>
                <w:rFonts w:ascii="Arial Narrow" w:hAnsi="Arial Narrow"/>
                <w:sz w:val="20"/>
              </w:rPr>
            </w:pPr>
            <w:r w:rsidRPr="0088724B">
              <w:rPr>
                <w:rFonts w:ascii="Arial Narrow" w:hAnsi="Arial Narrow"/>
                <w:sz w:val="20"/>
              </w:rPr>
              <w:t>260/961</w:t>
            </w:r>
          </w:p>
        </w:tc>
        <w:tc>
          <w:tcPr>
            <w:tcW w:w="932" w:type="pct"/>
            <w:vAlign w:val="center"/>
          </w:tcPr>
          <w:p w:rsidR="00AC6DF1" w:rsidRPr="0088724B" w:rsidRDefault="00AC6DF1" w:rsidP="008B4B29">
            <w:pPr>
              <w:keepNext/>
              <w:widowControl/>
              <w:jc w:val="center"/>
              <w:rPr>
                <w:rFonts w:ascii="Arial Narrow" w:hAnsi="Arial Narrow"/>
                <w:sz w:val="20"/>
              </w:rPr>
            </w:pPr>
            <w:r w:rsidRPr="0088724B">
              <w:rPr>
                <w:rFonts w:ascii="Arial Narrow" w:hAnsi="Arial Narrow"/>
                <w:sz w:val="20"/>
              </w:rPr>
              <w:t xml:space="preserve">171/483 </w:t>
            </w:r>
          </w:p>
        </w:tc>
        <w:tc>
          <w:tcPr>
            <w:tcW w:w="1018" w:type="pct"/>
            <w:vAlign w:val="center"/>
          </w:tcPr>
          <w:p w:rsidR="00AC6DF1" w:rsidRPr="0088724B" w:rsidRDefault="00AC6DF1" w:rsidP="008B4B29">
            <w:pPr>
              <w:keepNext/>
              <w:widowControl/>
              <w:jc w:val="center"/>
              <w:rPr>
                <w:rFonts w:ascii="Arial Narrow" w:hAnsi="Arial Narrow"/>
                <w:sz w:val="20"/>
              </w:rPr>
            </w:pPr>
            <w:r w:rsidRPr="0088724B">
              <w:rPr>
                <w:rFonts w:ascii="Arial Narrow" w:hAnsi="Arial Narrow"/>
                <w:sz w:val="20"/>
              </w:rPr>
              <w:t>27.1</w:t>
            </w:r>
          </w:p>
        </w:tc>
        <w:tc>
          <w:tcPr>
            <w:tcW w:w="930" w:type="pct"/>
            <w:vAlign w:val="center"/>
          </w:tcPr>
          <w:p w:rsidR="00AC6DF1" w:rsidRPr="0088724B" w:rsidRDefault="00AC6DF1" w:rsidP="008B4B29">
            <w:pPr>
              <w:keepNext/>
              <w:widowControl/>
              <w:jc w:val="center"/>
              <w:rPr>
                <w:rFonts w:ascii="Arial Narrow" w:hAnsi="Arial Narrow"/>
                <w:sz w:val="20"/>
              </w:rPr>
            </w:pPr>
            <w:r w:rsidRPr="0088724B">
              <w:rPr>
                <w:rFonts w:ascii="Arial Narrow" w:hAnsi="Arial Narrow"/>
                <w:sz w:val="20"/>
              </w:rPr>
              <w:t>35.4</w:t>
            </w:r>
          </w:p>
        </w:tc>
      </w:tr>
      <w:tr w:rsidR="00AC6DF1" w:rsidRPr="0088724B" w:rsidTr="009E698C">
        <w:tc>
          <w:tcPr>
            <w:tcW w:w="1271" w:type="pct"/>
            <w:shd w:val="clear" w:color="auto" w:fill="auto"/>
            <w:vAlign w:val="center"/>
          </w:tcPr>
          <w:p w:rsidR="00AC6DF1" w:rsidRPr="0088724B" w:rsidRDefault="00AC6DF1" w:rsidP="008B4B29">
            <w:pPr>
              <w:keepNext/>
              <w:widowControl/>
              <w:rPr>
                <w:rFonts w:ascii="Arial Narrow" w:hAnsi="Arial Narrow"/>
                <w:sz w:val="20"/>
              </w:rPr>
            </w:pPr>
            <w:r w:rsidRPr="0088724B">
              <w:rPr>
                <w:rFonts w:ascii="Arial Narrow" w:hAnsi="Arial Narrow"/>
                <w:sz w:val="20"/>
              </w:rPr>
              <w:t>Hepatic enzyme increased</w:t>
            </w:r>
          </w:p>
        </w:tc>
        <w:tc>
          <w:tcPr>
            <w:tcW w:w="849" w:type="pct"/>
            <w:vAlign w:val="center"/>
          </w:tcPr>
          <w:p w:rsidR="00AC6DF1" w:rsidRPr="0088724B" w:rsidRDefault="00AC6DF1" w:rsidP="008B4B29">
            <w:pPr>
              <w:keepNext/>
              <w:widowControl/>
              <w:jc w:val="center"/>
              <w:rPr>
                <w:rFonts w:ascii="Arial Narrow" w:hAnsi="Arial Narrow"/>
                <w:sz w:val="20"/>
              </w:rPr>
            </w:pPr>
            <w:r w:rsidRPr="0088724B">
              <w:rPr>
                <w:rFonts w:ascii="Arial Narrow" w:hAnsi="Arial Narrow"/>
                <w:sz w:val="20"/>
              </w:rPr>
              <w:t>17/961</w:t>
            </w:r>
          </w:p>
        </w:tc>
        <w:tc>
          <w:tcPr>
            <w:tcW w:w="932" w:type="pct"/>
            <w:vAlign w:val="center"/>
          </w:tcPr>
          <w:p w:rsidR="00AC6DF1" w:rsidRPr="0088724B" w:rsidRDefault="00AC6DF1" w:rsidP="008B4B29">
            <w:pPr>
              <w:keepNext/>
              <w:widowControl/>
              <w:jc w:val="center"/>
              <w:rPr>
                <w:rFonts w:ascii="Arial Narrow" w:hAnsi="Arial Narrow"/>
                <w:sz w:val="20"/>
              </w:rPr>
            </w:pPr>
            <w:r w:rsidRPr="0088724B">
              <w:rPr>
                <w:rFonts w:ascii="Arial Narrow" w:hAnsi="Arial Narrow"/>
                <w:sz w:val="20"/>
              </w:rPr>
              <w:t>1/483</w:t>
            </w:r>
          </w:p>
        </w:tc>
        <w:tc>
          <w:tcPr>
            <w:tcW w:w="1018" w:type="pct"/>
            <w:vAlign w:val="center"/>
          </w:tcPr>
          <w:p w:rsidR="00AC6DF1" w:rsidRPr="0088724B" w:rsidRDefault="00AC6DF1" w:rsidP="008B4B29">
            <w:pPr>
              <w:keepNext/>
              <w:widowControl/>
              <w:jc w:val="center"/>
              <w:rPr>
                <w:rFonts w:ascii="Arial Narrow" w:hAnsi="Arial Narrow"/>
                <w:sz w:val="20"/>
              </w:rPr>
            </w:pPr>
            <w:r w:rsidRPr="0088724B">
              <w:rPr>
                <w:rFonts w:ascii="Arial Narrow" w:hAnsi="Arial Narrow"/>
                <w:sz w:val="20"/>
              </w:rPr>
              <w:t>1.8</w:t>
            </w:r>
          </w:p>
        </w:tc>
        <w:tc>
          <w:tcPr>
            <w:tcW w:w="930" w:type="pct"/>
            <w:vAlign w:val="center"/>
          </w:tcPr>
          <w:p w:rsidR="00AC6DF1" w:rsidRPr="0088724B" w:rsidRDefault="00AC6DF1" w:rsidP="008B4B29">
            <w:pPr>
              <w:keepNext/>
              <w:widowControl/>
              <w:jc w:val="center"/>
              <w:rPr>
                <w:rFonts w:ascii="Arial Narrow" w:hAnsi="Arial Narrow"/>
                <w:sz w:val="20"/>
              </w:rPr>
            </w:pPr>
            <w:r w:rsidRPr="0088724B">
              <w:rPr>
                <w:rFonts w:ascii="Arial Narrow" w:hAnsi="Arial Narrow"/>
                <w:sz w:val="20"/>
              </w:rPr>
              <w:t>0.2</w:t>
            </w:r>
          </w:p>
        </w:tc>
      </w:tr>
      <w:tr w:rsidR="00AC6DF1" w:rsidRPr="0088724B" w:rsidTr="009E698C">
        <w:tc>
          <w:tcPr>
            <w:tcW w:w="1271" w:type="pct"/>
            <w:shd w:val="clear" w:color="auto" w:fill="auto"/>
            <w:vAlign w:val="center"/>
          </w:tcPr>
          <w:p w:rsidR="00AC6DF1" w:rsidRPr="0088724B" w:rsidRDefault="00AC6DF1" w:rsidP="008B4B29">
            <w:pPr>
              <w:keepNext/>
              <w:widowControl/>
              <w:rPr>
                <w:rFonts w:ascii="Arial Narrow" w:hAnsi="Arial Narrow"/>
                <w:sz w:val="20"/>
              </w:rPr>
            </w:pPr>
            <w:r>
              <w:rPr>
                <w:rFonts w:ascii="Arial Narrow" w:hAnsi="Arial Narrow"/>
                <w:sz w:val="20"/>
              </w:rPr>
              <w:t>Hypernatremia</w:t>
            </w:r>
          </w:p>
        </w:tc>
        <w:tc>
          <w:tcPr>
            <w:tcW w:w="849" w:type="pct"/>
            <w:vAlign w:val="center"/>
          </w:tcPr>
          <w:p w:rsidR="00AC6DF1" w:rsidRPr="0088724B" w:rsidRDefault="00AC6DF1" w:rsidP="008B4B29">
            <w:pPr>
              <w:keepNext/>
              <w:widowControl/>
              <w:jc w:val="center"/>
              <w:rPr>
                <w:rFonts w:ascii="Arial Narrow" w:hAnsi="Arial Narrow"/>
                <w:sz w:val="20"/>
              </w:rPr>
            </w:pPr>
            <w:r>
              <w:rPr>
                <w:rFonts w:ascii="Arial Narrow" w:hAnsi="Arial Narrow"/>
                <w:sz w:val="20"/>
              </w:rPr>
              <w:t>27/961</w:t>
            </w:r>
          </w:p>
        </w:tc>
        <w:tc>
          <w:tcPr>
            <w:tcW w:w="932" w:type="pct"/>
            <w:vAlign w:val="center"/>
          </w:tcPr>
          <w:p w:rsidR="00AC6DF1" w:rsidRPr="0088724B" w:rsidRDefault="00AC6DF1" w:rsidP="008B4B29">
            <w:pPr>
              <w:keepNext/>
              <w:widowControl/>
              <w:jc w:val="center"/>
              <w:rPr>
                <w:rFonts w:ascii="Arial Narrow" w:hAnsi="Arial Narrow"/>
                <w:sz w:val="20"/>
              </w:rPr>
            </w:pPr>
            <w:r>
              <w:rPr>
                <w:rFonts w:ascii="Arial Narrow" w:hAnsi="Arial Narrow"/>
                <w:sz w:val="20"/>
              </w:rPr>
              <w:t>5/483</w:t>
            </w:r>
          </w:p>
        </w:tc>
        <w:tc>
          <w:tcPr>
            <w:tcW w:w="1018" w:type="pct"/>
            <w:vAlign w:val="center"/>
          </w:tcPr>
          <w:p w:rsidR="00AC6DF1" w:rsidRPr="0088724B" w:rsidRDefault="00AC6DF1" w:rsidP="008B4B29">
            <w:pPr>
              <w:keepNext/>
              <w:widowControl/>
              <w:jc w:val="center"/>
              <w:rPr>
                <w:rFonts w:ascii="Arial Narrow" w:hAnsi="Arial Narrow"/>
                <w:sz w:val="20"/>
              </w:rPr>
            </w:pPr>
            <w:r>
              <w:rPr>
                <w:rFonts w:ascii="Arial Narrow" w:hAnsi="Arial Narrow"/>
                <w:sz w:val="20"/>
              </w:rPr>
              <w:t>2.8</w:t>
            </w:r>
          </w:p>
        </w:tc>
        <w:tc>
          <w:tcPr>
            <w:tcW w:w="930" w:type="pct"/>
            <w:vAlign w:val="center"/>
          </w:tcPr>
          <w:p w:rsidR="00AC6DF1" w:rsidRPr="0088724B" w:rsidRDefault="00AC6DF1" w:rsidP="008B4B29">
            <w:pPr>
              <w:keepNext/>
              <w:widowControl/>
              <w:jc w:val="center"/>
              <w:rPr>
                <w:rFonts w:ascii="Arial Narrow" w:hAnsi="Arial Narrow"/>
                <w:sz w:val="20"/>
              </w:rPr>
            </w:pPr>
            <w:r>
              <w:rPr>
                <w:rFonts w:ascii="Arial Narrow" w:hAnsi="Arial Narrow"/>
                <w:sz w:val="20"/>
              </w:rPr>
              <w:t>1.0</w:t>
            </w:r>
          </w:p>
        </w:tc>
      </w:tr>
      <w:tr w:rsidR="00AC6DF1" w:rsidRPr="0088724B" w:rsidTr="009E698C">
        <w:tc>
          <w:tcPr>
            <w:tcW w:w="1271" w:type="pct"/>
            <w:shd w:val="clear" w:color="auto" w:fill="auto"/>
            <w:vAlign w:val="center"/>
          </w:tcPr>
          <w:p w:rsidR="00AC6DF1" w:rsidRPr="0088724B" w:rsidRDefault="00AC6DF1" w:rsidP="008B4B29">
            <w:pPr>
              <w:keepNext/>
              <w:widowControl/>
              <w:rPr>
                <w:rFonts w:ascii="Arial Narrow" w:hAnsi="Arial Narrow"/>
                <w:sz w:val="20"/>
              </w:rPr>
            </w:pPr>
            <w:r>
              <w:rPr>
                <w:rFonts w:ascii="Arial Narrow" w:hAnsi="Arial Narrow"/>
                <w:sz w:val="20"/>
              </w:rPr>
              <w:t>Serum sodium increased</w:t>
            </w:r>
          </w:p>
        </w:tc>
        <w:tc>
          <w:tcPr>
            <w:tcW w:w="849" w:type="pct"/>
            <w:vAlign w:val="center"/>
          </w:tcPr>
          <w:p w:rsidR="00AC6DF1" w:rsidRPr="0088724B" w:rsidRDefault="00AC6DF1" w:rsidP="008B4B29">
            <w:pPr>
              <w:keepNext/>
              <w:widowControl/>
              <w:jc w:val="center"/>
              <w:rPr>
                <w:rFonts w:ascii="Arial Narrow" w:hAnsi="Arial Narrow"/>
                <w:sz w:val="20"/>
              </w:rPr>
            </w:pPr>
            <w:r>
              <w:rPr>
                <w:rFonts w:ascii="Arial Narrow" w:hAnsi="Arial Narrow"/>
                <w:sz w:val="20"/>
              </w:rPr>
              <w:t>14/961</w:t>
            </w:r>
          </w:p>
        </w:tc>
        <w:tc>
          <w:tcPr>
            <w:tcW w:w="932" w:type="pct"/>
            <w:vAlign w:val="center"/>
          </w:tcPr>
          <w:p w:rsidR="00AC6DF1" w:rsidRPr="0088724B" w:rsidRDefault="00AC6DF1" w:rsidP="008B4B29">
            <w:pPr>
              <w:keepNext/>
              <w:widowControl/>
              <w:jc w:val="center"/>
              <w:rPr>
                <w:rFonts w:ascii="Arial Narrow" w:hAnsi="Arial Narrow"/>
                <w:sz w:val="20"/>
              </w:rPr>
            </w:pPr>
            <w:r>
              <w:rPr>
                <w:rFonts w:ascii="Arial Narrow" w:hAnsi="Arial Narrow"/>
                <w:sz w:val="20"/>
              </w:rPr>
              <w:t>1/483</w:t>
            </w:r>
          </w:p>
        </w:tc>
        <w:tc>
          <w:tcPr>
            <w:tcW w:w="1018" w:type="pct"/>
            <w:vAlign w:val="center"/>
          </w:tcPr>
          <w:p w:rsidR="00AC6DF1" w:rsidRPr="0088724B" w:rsidRDefault="00AC6DF1" w:rsidP="008B4B29">
            <w:pPr>
              <w:keepNext/>
              <w:widowControl/>
              <w:jc w:val="center"/>
              <w:rPr>
                <w:rFonts w:ascii="Arial Narrow" w:hAnsi="Arial Narrow"/>
                <w:sz w:val="20"/>
              </w:rPr>
            </w:pPr>
            <w:r>
              <w:rPr>
                <w:rFonts w:ascii="Arial Narrow" w:hAnsi="Arial Narrow"/>
                <w:sz w:val="20"/>
              </w:rPr>
              <w:t>1.5</w:t>
            </w:r>
          </w:p>
        </w:tc>
        <w:tc>
          <w:tcPr>
            <w:tcW w:w="930" w:type="pct"/>
            <w:vAlign w:val="center"/>
          </w:tcPr>
          <w:p w:rsidR="00AC6DF1" w:rsidRPr="0088724B" w:rsidRDefault="00AC6DF1" w:rsidP="008B4B29">
            <w:pPr>
              <w:keepNext/>
              <w:widowControl/>
              <w:jc w:val="center"/>
              <w:rPr>
                <w:rFonts w:ascii="Arial Narrow" w:hAnsi="Arial Narrow"/>
                <w:sz w:val="20"/>
              </w:rPr>
            </w:pPr>
            <w:r>
              <w:rPr>
                <w:rFonts w:ascii="Arial Narrow" w:hAnsi="Arial Narrow"/>
                <w:sz w:val="20"/>
              </w:rPr>
              <w:t>0.2</w:t>
            </w:r>
          </w:p>
        </w:tc>
      </w:tr>
    </w:tbl>
    <w:p w:rsidR="00576BFC" w:rsidRPr="007653CE" w:rsidRDefault="00576BFC" w:rsidP="008B4B29">
      <w:pPr>
        <w:widowControl/>
        <w:rPr>
          <w:rStyle w:val="CommentReference"/>
          <w:b w:val="0"/>
          <w:sz w:val="18"/>
          <w:szCs w:val="18"/>
        </w:rPr>
      </w:pPr>
      <w:r w:rsidRPr="007653CE">
        <w:rPr>
          <w:rStyle w:val="CommentReference"/>
          <w:b w:val="0"/>
          <w:sz w:val="18"/>
          <w:szCs w:val="18"/>
        </w:rPr>
        <w:t xml:space="preserve">Abbreviations: </w:t>
      </w:r>
      <w:proofErr w:type="gramStart"/>
      <w:r>
        <w:rPr>
          <w:rStyle w:val="CommentReference"/>
          <w:b w:val="0"/>
          <w:sz w:val="18"/>
          <w:szCs w:val="18"/>
        </w:rPr>
        <w:t>eGFR</w:t>
      </w:r>
      <w:r w:rsidRPr="007653CE">
        <w:rPr>
          <w:rStyle w:val="CommentReference"/>
          <w:b w:val="0"/>
          <w:sz w:val="18"/>
          <w:szCs w:val="18"/>
        </w:rPr>
        <w:t>,</w:t>
      </w:r>
      <w:proofErr w:type="gramEnd"/>
      <w:r w:rsidRPr="007653CE">
        <w:rPr>
          <w:rStyle w:val="CommentReference"/>
          <w:b w:val="0"/>
          <w:sz w:val="18"/>
          <w:szCs w:val="18"/>
        </w:rPr>
        <w:t xml:space="preserve"> </w:t>
      </w:r>
      <w:r>
        <w:rPr>
          <w:rStyle w:val="CommentReference"/>
          <w:b w:val="0"/>
          <w:sz w:val="18"/>
          <w:szCs w:val="18"/>
        </w:rPr>
        <w:t>estimated glomerular filtration rate.</w:t>
      </w:r>
    </w:p>
    <w:p w:rsidR="00576BFC" w:rsidRPr="007653CE" w:rsidRDefault="009F6C50" w:rsidP="008B4B29">
      <w:pPr>
        <w:keepNext/>
        <w:widowControl/>
        <w:rPr>
          <w:rStyle w:val="CommentReference"/>
          <w:b w:val="0"/>
          <w:sz w:val="18"/>
          <w:szCs w:val="18"/>
        </w:rPr>
      </w:pPr>
      <w:r>
        <w:rPr>
          <w:rFonts w:ascii="Arial Narrow" w:hAnsi="Arial Narrow"/>
          <w:sz w:val="18"/>
          <w:szCs w:val="18"/>
        </w:rPr>
        <w:t>Source: Table 2-22</w:t>
      </w:r>
      <w:r w:rsidRPr="0075474E">
        <w:rPr>
          <w:rFonts w:ascii="Arial Narrow" w:hAnsi="Arial Narrow"/>
          <w:sz w:val="18"/>
          <w:szCs w:val="18"/>
        </w:rPr>
        <w:t>,</w:t>
      </w:r>
      <w:r>
        <w:rPr>
          <w:rFonts w:ascii="Arial Narrow" w:hAnsi="Arial Narrow"/>
          <w:sz w:val="18"/>
          <w:szCs w:val="18"/>
        </w:rPr>
        <w:t xml:space="preserve"> p66; </w:t>
      </w:r>
      <w:r w:rsidRPr="009F6C50">
        <w:rPr>
          <w:rFonts w:ascii="Arial Narrow" w:hAnsi="Arial Narrow"/>
          <w:sz w:val="18"/>
          <w:szCs w:val="18"/>
        </w:rPr>
        <w:t>Table 2-27, pp71-72</w:t>
      </w:r>
      <w:r>
        <w:rPr>
          <w:rFonts w:ascii="Arial Narrow" w:hAnsi="Arial Narrow"/>
          <w:sz w:val="18"/>
          <w:szCs w:val="18"/>
        </w:rPr>
        <w:t>;</w:t>
      </w:r>
      <w:r w:rsidRPr="009F6C50">
        <w:rPr>
          <w:rFonts w:ascii="Arial Narrow" w:hAnsi="Arial Narrow"/>
          <w:sz w:val="18"/>
          <w:szCs w:val="18"/>
        </w:rPr>
        <w:t xml:space="preserve"> and Table 2-34, pp86 of the resubmission</w:t>
      </w:r>
      <w:r w:rsidRPr="0075474E">
        <w:rPr>
          <w:rFonts w:ascii="Arial Narrow" w:hAnsi="Arial Narrow"/>
          <w:sz w:val="18"/>
          <w:szCs w:val="18"/>
        </w:rPr>
        <w:t>.</w:t>
      </w:r>
      <w:r>
        <w:rPr>
          <w:rFonts w:ascii="Arial Narrow" w:hAnsi="Arial Narrow"/>
          <w:sz w:val="18"/>
          <w:szCs w:val="18"/>
        </w:rPr>
        <w:t xml:space="preserve"> </w:t>
      </w:r>
    </w:p>
    <w:p w:rsidR="00576BFC" w:rsidRPr="00F563B9" w:rsidRDefault="00576BFC" w:rsidP="0086251F">
      <w:pPr>
        <w:pStyle w:val="ListParagraph"/>
        <w:widowControl/>
        <w:numPr>
          <w:ilvl w:val="1"/>
          <w:numId w:val="3"/>
        </w:numPr>
        <w:spacing w:before="120" w:after="120"/>
        <w:ind w:left="720"/>
      </w:pPr>
      <w:r w:rsidRPr="00F563B9">
        <w:t>On the basis of the direct evidence presented in the submission in the REPRISE and TEMPO 3:4 trials, treatment with tolvaptan compared with placebo (both in combination with best supportive care) resulted in a smaller decline in eGFR over one year in tolvaptan treated patients</w:t>
      </w:r>
      <w:r w:rsidR="00F952AE" w:rsidRPr="00F563B9">
        <w:t>, but the difference is small and may not be clinically meaningful</w:t>
      </w:r>
      <w:r w:rsidRPr="00F563B9">
        <w:t>.</w:t>
      </w:r>
      <w:r w:rsidR="00836C5D">
        <w:t xml:space="preserve"> Tolvaptan treatment was also associated with an </w:t>
      </w:r>
      <w:r w:rsidR="00E7284F">
        <w:t>initial</w:t>
      </w:r>
      <w:r w:rsidR="00836C5D">
        <w:t xml:space="preserve"> drop in eGFR, only reversible upon </w:t>
      </w:r>
      <w:r w:rsidR="00E7284F">
        <w:t>stopping</w:t>
      </w:r>
      <w:r w:rsidR="00836C5D">
        <w:t xml:space="preserve"> treatment.</w:t>
      </w:r>
    </w:p>
    <w:p w:rsidR="00576BFC" w:rsidRPr="0067132C" w:rsidRDefault="00576BFC" w:rsidP="0086251F">
      <w:pPr>
        <w:pStyle w:val="ListParagraph"/>
        <w:widowControl/>
        <w:numPr>
          <w:ilvl w:val="1"/>
          <w:numId w:val="3"/>
        </w:numPr>
        <w:spacing w:before="120" w:after="120"/>
        <w:ind w:left="720"/>
      </w:pPr>
      <w:r>
        <w:t xml:space="preserve">In REPRISE, on </w:t>
      </w:r>
      <w:r w:rsidRPr="0088724B">
        <w:t>the basis of the direct evidence presented in the submission,</w:t>
      </w:r>
      <w:r>
        <w:t xml:space="preserve"> for every 100 patients treated with</w:t>
      </w:r>
      <w:r w:rsidRPr="0088724B">
        <w:t xml:space="preserve"> tolvaptan compared </w:t>
      </w:r>
      <w:r>
        <w:t>with</w:t>
      </w:r>
      <w:r w:rsidRPr="0088724B">
        <w:t xml:space="preserve"> placebo (</w:t>
      </w:r>
      <w:r>
        <w:t xml:space="preserve">both in combination with </w:t>
      </w:r>
      <w:r w:rsidRPr="0088724B">
        <w:t>best supportive care)</w:t>
      </w:r>
      <w:r>
        <w:t xml:space="preserve"> over 12 months, approximately:</w:t>
      </w:r>
    </w:p>
    <w:p w:rsidR="00576BFC" w:rsidRPr="0088724B" w:rsidRDefault="00576BFC" w:rsidP="0086251F">
      <w:pPr>
        <w:pStyle w:val="ListParagraph"/>
        <w:widowControl/>
        <w:numPr>
          <w:ilvl w:val="0"/>
          <w:numId w:val="2"/>
        </w:numPr>
        <w:spacing w:before="120" w:after="120"/>
        <w:ind w:left="993" w:hanging="284"/>
      </w:pPr>
      <w:r>
        <w:t>3</w:t>
      </w:r>
      <w:r w:rsidRPr="0088724B">
        <w:t xml:space="preserve"> additional patients </w:t>
      </w:r>
      <w:r>
        <w:t xml:space="preserve">would </w:t>
      </w:r>
      <w:r w:rsidRPr="0088724B">
        <w:t>experienc</w:t>
      </w:r>
      <w:r>
        <w:t>e</w:t>
      </w:r>
      <w:r w:rsidRPr="0088724B">
        <w:t xml:space="preserve"> nocturia</w:t>
      </w:r>
      <w:r>
        <w:t>,</w:t>
      </w:r>
      <w:r w:rsidRPr="0088724B">
        <w:t xml:space="preserve"> </w:t>
      </w:r>
    </w:p>
    <w:p w:rsidR="00576BFC" w:rsidRPr="0088724B" w:rsidRDefault="009F6C50" w:rsidP="0086251F">
      <w:pPr>
        <w:pStyle w:val="ListParagraph"/>
        <w:widowControl/>
        <w:numPr>
          <w:ilvl w:val="0"/>
          <w:numId w:val="2"/>
        </w:numPr>
        <w:spacing w:before="120" w:after="120"/>
        <w:ind w:left="993" w:hanging="284"/>
      </w:pPr>
      <w:r>
        <w:t>2</w:t>
      </w:r>
      <w:r w:rsidR="00576BFC" w:rsidRPr="0088724B">
        <w:t xml:space="preserve"> </w:t>
      </w:r>
      <w:r>
        <w:t>fewer</w:t>
      </w:r>
      <w:r w:rsidR="00576BFC">
        <w:t xml:space="preserve"> patient</w:t>
      </w:r>
      <w:r>
        <w:t>s</w:t>
      </w:r>
      <w:r w:rsidR="00576BFC" w:rsidRPr="0088724B">
        <w:t xml:space="preserve"> </w:t>
      </w:r>
      <w:r w:rsidR="00576BFC">
        <w:t xml:space="preserve">would </w:t>
      </w:r>
      <w:r w:rsidR="00576BFC" w:rsidRPr="0088724B">
        <w:t>experienc</w:t>
      </w:r>
      <w:r w:rsidR="00576BFC">
        <w:t>e</w:t>
      </w:r>
      <w:r w:rsidR="00576BFC" w:rsidRPr="0088724B">
        <w:t xml:space="preserve"> renal pain</w:t>
      </w:r>
      <w:r w:rsidR="00576BFC">
        <w:t>,</w:t>
      </w:r>
    </w:p>
    <w:p w:rsidR="00576BFC" w:rsidRDefault="00576BFC" w:rsidP="0086251F">
      <w:pPr>
        <w:pStyle w:val="ListParagraph"/>
        <w:widowControl/>
        <w:numPr>
          <w:ilvl w:val="0"/>
          <w:numId w:val="2"/>
        </w:numPr>
        <w:spacing w:before="120" w:after="120"/>
        <w:ind w:left="993" w:hanging="284"/>
      </w:pPr>
      <w:r>
        <w:lastRenderedPageBreak/>
        <w:t xml:space="preserve">2 </w:t>
      </w:r>
      <w:r w:rsidRPr="0088724B">
        <w:t xml:space="preserve">additional patients </w:t>
      </w:r>
      <w:r>
        <w:t xml:space="preserve">would </w:t>
      </w:r>
      <w:r w:rsidRPr="0088724B">
        <w:t>experienc</w:t>
      </w:r>
      <w:r>
        <w:t>e</w:t>
      </w:r>
      <w:r w:rsidR="0083017D">
        <w:t xml:space="preserve"> an increase in hepatic enzymes,</w:t>
      </w:r>
    </w:p>
    <w:p w:rsidR="0083017D" w:rsidRPr="0088724B" w:rsidRDefault="0083017D" w:rsidP="0086251F">
      <w:pPr>
        <w:pStyle w:val="ListParagraph"/>
        <w:widowControl/>
        <w:numPr>
          <w:ilvl w:val="0"/>
          <w:numId w:val="2"/>
        </w:numPr>
        <w:spacing w:before="120" w:after="120"/>
        <w:ind w:left="993" w:hanging="284"/>
      </w:pPr>
      <w:r w:rsidRPr="00F952AE">
        <w:t>1 additional patient would experience increased blood sodium</w:t>
      </w:r>
      <w:r>
        <w:t>.</w:t>
      </w:r>
    </w:p>
    <w:p w:rsidR="00576BFC" w:rsidRPr="0067132C" w:rsidRDefault="00576BFC" w:rsidP="0086251F">
      <w:pPr>
        <w:pStyle w:val="ListParagraph"/>
        <w:widowControl/>
        <w:numPr>
          <w:ilvl w:val="1"/>
          <w:numId w:val="3"/>
        </w:numPr>
        <w:spacing w:before="120" w:after="120"/>
        <w:ind w:left="720"/>
      </w:pPr>
      <w:r>
        <w:t xml:space="preserve">In TEMPO 3:4, on </w:t>
      </w:r>
      <w:r w:rsidRPr="0088724B">
        <w:t>the basis of the direct evidence presented in the submission,</w:t>
      </w:r>
      <w:r>
        <w:t xml:space="preserve"> for every 100 patients treated with</w:t>
      </w:r>
      <w:r w:rsidRPr="0088724B">
        <w:t xml:space="preserve"> tolvaptan compared </w:t>
      </w:r>
      <w:r>
        <w:t>with</w:t>
      </w:r>
      <w:r w:rsidRPr="0088724B">
        <w:t xml:space="preserve"> placebo (</w:t>
      </w:r>
      <w:r>
        <w:t xml:space="preserve">both in combination with </w:t>
      </w:r>
      <w:r w:rsidRPr="0088724B">
        <w:t>best supportive care)</w:t>
      </w:r>
      <w:r>
        <w:t xml:space="preserve"> over 36 months, approximately:</w:t>
      </w:r>
    </w:p>
    <w:p w:rsidR="00576BFC" w:rsidRPr="0088724B" w:rsidRDefault="00576BFC" w:rsidP="0086251F">
      <w:pPr>
        <w:pStyle w:val="ListParagraph"/>
        <w:widowControl/>
        <w:numPr>
          <w:ilvl w:val="0"/>
          <w:numId w:val="2"/>
        </w:numPr>
        <w:spacing w:before="120" w:after="120"/>
        <w:ind w:left="993" w:hanging="284"/>
      </w:pPr>
      <w:r w:rsidRPr="0088724B">
        <w:t xml:space="preserve">16 additional patients </w:t>
      </w:r>
      <w:r>
        <w:t xml:space="preserve">would </w:t>
      </w:r>
      <w:r w:rsidRPr="0088724B">
        <w:t>experienc</w:t>
      </w:r>
      <w:r>
        <w:t>e</w:t>
      </w:r>
      <w:r w:rsidRPr="0088724B">
        <w:t xml:space="preserve"> nocturia</w:t>
      </w:r>
      <w:r>
        <w:t>,</w:t>
      </w:r>
      <w:r w:rsidRPr="0088724B">
        <w:t xml:space="preserve"> </w:t>
      </w:r>
    </w:p>
    <w:p w:rsidR="00576BFC" w:rsidRPr="0088724B" w:rsidRDefault="00576BFC" w:rsidP="0086251F">
      <w:pPr>
        <w:pStyle w:val="ListParagraph"/>
        <w:widowControl/>
        <w:numPr>
          <w:ilvl w:val="0"/>
          <w:numId w:val="2"/>
        </w:numPr>
        <w:spacing w:before="120" w:after="120"/>
        <w:ind w:left="993" w:hanging="284"/>
      </w:pPr>
      <w:r w:rsidRPr="0088724B">
        <w:t xml:space="preserve">8 fewer patients </w:t>
      </w:r>
      <w:r>
        <w:t xml:space="preserve">would </w:t>
      </w:r>
      <w:r w:rsidRPr="0088724B">
        <w:t>experienc</w:t>
      </w:r>
      <w:r>
        <w:t>e</w:t>
      </w:r>
      <w:r w:rsidRPr="0088724B">
        <w:t xml:space="preserve"> renal pain</w:t>
      </w:r>
      <w:r>
        <w:t>,</w:t>
      </w:r>
    </w:p>
    <w:p w:rsidR="00576BFC" w:rsidRDefault="0026561F" w:rsidP="0086251F">
      <w:pPr>
        <w:pStyle w:val="ListParagraph"/>
        <w:widowControl/>
        <w:numPr>
          <w:ilvl w:val="0"/>
          <w:numId w:val="2"/>
        </w:numPr>
        <w:spacing w:before="120" w:after="120"/>
        <w:ind w:left="993" w:hanging="284"/>
      </w:pPr>
      <w:r>
        <w:t>2</w:t>
      </w:r>
      <w:r w:rsidR="00576BFC" w:rsidRPr="0088724B">
        <w:t xml:space="preserve"> additional patients </w:t>
      </w:r>
      <w:r w:rsidR="00576BFC">
        <w:t xml:space="preserve">would </w:t>
      </w:r>
      <w:r w:rsidR="00576BFC" w:rsidRPr="0088724B">
        <w:t>experienc</w:t>
      </w:r>
      <w:r w:rsidR="00576BFC">
        <w:t>e</w:t>
      </w:r>
      <w:r w:rsidR="00F952AE">
        <w:t xml:space="preserve"> an increase in hepatic enzymes,</w:t>
      </w:r>
    </w:p>
    <w:p w:rsidR="00F952AE" w:rsidRDefault="00F952AE" w:rsidP="0086251F">
      <w:pPr>
        <w:pStyle w:val="ListParagraph"/>
        <w:widowControl/>
        <w:numPr>
          <w:ilvl w:val="0"/>
          <w:numId w:val="2"/>
        </w:numPr>
        <w:spacing w:before="120" w:after="120"/>
        <w:ind w:left="993" w:hanging="284"/>
      </w:pPr>
      <w:r w:rsidRPr="00F952AE">
        <w:t>2 additional pati</w:t>
      </w:r>
      <w:r>
        <w:t>ents would experience hypernatr</w:t>
      </w:r>
      <w:r w:rsidRPr="00F952AE">
        <w:t>emia</w:t>
      </w:r>
      <w:r>
        <w:t>,</w:t>
      </w:r>
    </w:p>
    <w:p w:rsidR="007936AC" w:rsidRDefault="00F952AE" w:rsidP="0086251F">
      <w:pPr>
        <w:pStyle w:val="ListParagraph"/>
        <w:widowControl/>
        <w:numPr>
          <w:ilvl w:val="0"/>
          <w:numId w:val="2"/>
        </w:numPr>
        <w:spacing w:before="120" w:after="120"/>
        <w:ind w:left="993" w:hanging="284"/>
      </w:pPr>
      <w:r w:rsidRPr="00F952AE">
        <w:t>1 additional patient would experience increased blood sodium.</w:t>
      </w:r>
      <w:bookmarkStart w:id="13" w:name="_Toc503203047"/>
    </w:p>
    <w:bookmarkEnd w:id="13"/>
    <w:p w:rsidR="00576BFC" w:rsidRPr="00B82A6B" w:rsidRDefault="0060187F" w:rsidP="0086251F">
      <w:pPr>
        <w:pStyle w:val="Heading2"/>
        <w:spacing w:before="240" w:after="120"/>
      </w:pPr>
      <w:r w:rsidRPr="00B82A6B">
        <w:t>Clinical claim</w:t>
      </w:r>
    </w:p>
    <w:p w:rsidR="00576BFC" w:rsidRPr="007F03CB" w:rsidRDefault="00576BFC" w:rsidP="0086251F">
      <w:pPr>
        <w:pStyle w:val="ListParagraph"/>
        <w:widowControl/>
        <w:numPr>
          <w:ilvl w:val="1"/>
          <w:numId w:val="3"/>
        </w:numPr>
        <w:spacing w:before="120" w:after="120"/>
        <w:ind w:left="720"/>
      </w:pPr>
      <w:r w:rsidRPr="00F563B9">
        <w:t xml:space="preserve">The submission described tolvaptan as superior in terms of effectiveness and inferior in terms of safety compared to best supportive care alone. The </w:t>
      </w:r>
      <w:r w:rsidR="009F6C50" w:rsidRPr="00F563B9">
        <w:t xml:space="preserve">claim of inferior </w:t>
      </w:r>
      <w:r w:rsidR="009F6C50" w:rsidRPr="007F03CB">
        <w:t xml:space="preserve">safety was supported however, the </w:t>
      </w:r>
      <w:r w:rsidRPr="007F03CB">
        <w:t xml:space="preserve">claim of superior effectiveness in the submission is </w:t>
      </w:r>
      <w:r w:rsidR="008460B2">
        <w:t>uncertain</w:t>
      </w:r>
      <w:r w:rsidRPr="007F03CB">
        <w:t>:</w:t>
      </w:r>
    </w:p>
    <w:p w:rsidR="00182708" w:rsidRPr="007F03CB" w:rsidRDefault="009F6C50" w:rsidP="0086251F">
      <w:pPr>
        <w:pStyle w:val="ListParagraph"/>
        <w:widowControl/>
        <w:numPr>
          <w:ilvl w:val="0"/>
          <w:numId w:val="2"/>
        </w:numPr>
        <w:spacing w:before="120" w:after="120"/>
        <w:ind w:left="993" w:hanging="284"/>
      </w:pPr>
      <w:r w:rsidRPr="007F03CB">
        <w:t>At the March 2017 meeting the PBAC noted that eGFR may be an appropriate surrogate for CKD severity and progression to end-stage kidney disease (ESKD), but was not validated in the setting of ADPKD treated with tolvaptan. The resubmission was based on changes in eGFR, however adequate validation of eGFR as a surrogate in this setting was not presented. The clinical importance of the primary outcome in the resubmission (relative difference in slope of annualised change in eGFR) is unclear given difficulties in translating differences in slope to a patient relevant benefit.</w:t>
      </w:r>
      <w:r w:rsidR="00182708" w:rsidRPr="007F03CB">
        <w:t xml:space="preserve"> The ESC considered it remained unclear how clinicians will assess CKD progression in tolvaptan treated patients given the early decline in eGFR and it raised concerns that tolvaptan may cause premature progression to ESKD. </w:t>
      </w:r>
    </w:p>
    <w:p w:rsidR="00A9735E" w:rsidRPr="007F03CB" w:rsidRDefault="007A7C1C" w:rsidP="0086251F">
      <w:pPr>
        <w:pStyle w:val="ListParagraph"/>
        <w:widowControl/>
        <w:numPr>
          <w:ilvl w:val="0"/>
          <w:numId w:val="2"/>
        </w:numPr>
        <w:spacing w:before="120" w:after="120"/>
        <w:ind w:left="993" w:hanging="284"/>
      </w:pPr>
      <w:r w:rsidRPr="007F03CB">
        <w:t xml:space="preserve">At the March 2017 meeting the PBAC noted that tolvaptan was associated with an acute hemodynamic effect and that interpretation of affected outcomes in trials designed to avoid confounding due to the effect (TEMPO 3:4) was challenging (Tolvaptan Public Summary Document, March 2017 para 6.25 and 7.5). </w:t>
      </w:r>
      <w:r w:rsidR="009F6C50" w:rsidRPr="007F03CB">
        <w:t xml:space="preserve">Tolvaptan is associated with an acute 5-10% decline in eGFR on initiation of treatment reversible on cessation, not associated with any demonstrable reduction in renal plasma flow or filtration fraction. Treatment results adjusting for acute hemodynamic effects suggest that tolvaptan is superior to </w:t>
      </w:r>
      <w:proofErr w:type="gramStart"/>
      <w:r w:rsidR="009F6C50" w:rsidRPr="007F03CB">
        <w:t>placebo,</w:t>
      </w:r>
      <w:proofErr w:type="gramEnd"/>
      <w:r w:rsidR="009F6C50" w:rsidRPr="007F03CB">
        <w:t xml:space="preserve"> however, unadjusted results suggest similar or worse outcomes for tolvaptan versus placebo. It is unclear whether the acute hemodynamic effect and reversal remain constant over long term treatment, what reversal of the effect means for patients treated with tolvaptan until progression to ESKD and how clinicians will assess </w:t>
      </w:r>
      <w:r w:rsidR="009F6C50" w:rsidRPr="007F03CB">
        <w:lastRenderedPageBreak/>
        <w:t>CKD progression in tolvaptan treated patients in clinical practice.</w:t>
      </w:r>
      <w:r w:rsidR="002A7513" w:rsidRPr="007F03CB">
        <w:t xml:space="preserve"> </w:t>
      </w:r>
      <w:r w:rsidR="00A9735E" w:rsidRPr="007F03CB">
        <w:t>For the follow up of TEMPO 3:4 patients in TEMPO 4:4, the tolvaptan group appears to maintain higher renal function post rebound, but results are difficult to interpret due to large loss to follow up (25-28%) and differential time off treatment in between.</w:t>
      </w:r>
    </w:p>
    <w:p w:rsidR="0026561F" w:rsidRPr="00E7284F" w:rsidRDefault="002A7513" w:rsidP="0086251F">
      <w:pPr>
        <w:pStyle w:val="ListParagraph"/>
        <w:widowControl/>
        <w:numPr>
          <w:ilvl w:val="0"/>
          <w:numId w:val="2"/>
        </w:numPr>
        <w:spacing w:before="120" w:after="120"/>
        <w:ind w:left="993" w:hanging="284"/>
      </w:pPr>
      <w:r w:rsidRPr="00182708">
        <w:rPr>
          <w:i/>
        </w:rPr>
        <w:t xml:space="preserve"> </w:t>
      </w:r>
      <w:r w:rsidR="009F6C50" w:rsidRPr="00F563B9" w:rsidDel="000B7273">
        <w:t xml:space="preserve">Whether results for the broader REPRISE </w:t>
      </w:r>
      <w:r w:rsidR="009F6C50" w:rsidRPr="00E7284F" w:rsidDel="000B7273">
        <w:t>and TEMPO 3:4 trial populations are applicable to the eligible Australian population (in terms of rapidly progressing disease, CK</w:t>
      </w:r>
      <w:r w:rsidR="00BF7D41" w:rsidRPr="00E7284F" w:rsidDel="000B7273">
        <w:t>D</w:t>
      </w:r>
      <w:r w:rsidR="009F6C50" w:rsidRPr="00E7284F" w:rsidDel="000B7273">
        <w:t xml:space="preserve"> stage, and age-related eGFR criteria).</w:t>
      </w:r>
      <w:r w:rsidR="006A2ADF" w:rsidRPr="00E7284F" w:rsidDel="000B7273">
        <w:t xml:space="preserve"> </w:t>
      </w:r>
      <w:r w:rsidR="003E3969" w:rsidRPr="00E7284F">
        <w:t>The Pre-PBAC response maintains the REPRISE and TEMPO 3:4 populations represent subgroups (enriched with rapidly progressing cases) of the overall ADPKD patient</w:t>
      </w:r>
      <w:r w:rsidR="00E7284F" w:rsidRPr="00E7284F">
        <w:t xml:space="preserve"> population</w:t>
      </w:r>
      <w:r w:rsidR="003E3969" w:rsidRPr="00E7284F">
        <w:t xml:space="preserve"> and the proposed listing further restricts to a patient subgroup within which the cost-effectiveness of tolvaptan is proven.</w:t>
      </w:r>
      <w:r w:rsidR="00E7284F">
        <w:t xml:space="preserve"> The PBAC did not consider the proposed restriction would adequately target treatment to the most high need patients in whom cost-effectiveness remains uncertain.</w:t>
      </w:r>
    </w:p>
    <w:p w:rsidR="00B80D83" w:rsidRDefault="0024132C" w:rsidP="0086251F">
      <w:pPr>
        <w:pStyle w:val="ListParagraph"/>
        <w:widowControl/>
        <w:numPr>
          <w:ilvl w:val="1"/>
          <w:numId w:val="3"/>
        </w:numPr>
        <w:spacing w:before="120" w:after="120"/>
        <w:ind w:left="720"/>
      </w:pPr>
      <w:bookmarkStart w:id="14" w:name="_Toc503953371"/>
      <w:r w:rsidRPr="007F03CB">
        <w:t>R</w:t>
      </w:r>
      <w:r w:rsidR="00182708" w:rsidRPr="007F03CB">
        <w:t xml:space="preserve">enal function for tolvaptan is consistently worse whilst on the drug in TEMPO and REPRISE and the beneficial effect on renal function was only seen after coming off drug. The </w:t>
      </w:r>
      <w:r w:rsidRPr="007F03CB">
        <w:t xml:space="preserve">ESC considered </w:t>
      </w:r>
      <w:r w:rsidR="00182708" w:rsidRPr="007F03CB">
        <w:t xml:space="preserve">possible explanations for this include: the beneficial effect is present throughout on-drug period but not observable by masking; OR the beneficial effect is not present throughout </w:t>
      </w:r>
      <w:r w:rsidRPr="007F03CB">
        <w:t xml:space="preserve">the treatment </w:t>
      </w:r>
      <w:r w:rsidR="00182708" w:rsidRPr="007F03CB">
        <w:t xml:space="preserve">period but something associated with drug is beneficial and sustained. New data lends support to former possibility. </w:t>
      </w:r>
      <w:r w:rsidR="001D6682">
        <w:t xml:space="preserve"> </w:t>
      </w:r>
    </w:p>
    <w:p w:rsidR="00182708" w:rsidRPr="004D567E" w:rsidRDefault="0024132C" w:rsidP="0086251F">
      <w:pPr>
        <w:pStyle w:val="ListParagraph"/>
        <w:widowControl/>
        <w:numPr>
          <w:ilvl w:val="1"/>
          <w:numId w:val="3"/>
        </w:numPr>
        <w:spacing w:before="120" w:after="120"/>
        <w:ind w:left="720"/>
      </w:pPr>
      <w:r w:rsidRPr="007F03CB">
        <w:t xml:space="preserve">The ESC </w:t>
      </w:r>
      <w:r w:rsidRPr="004D567E">
        <w:t xml:space="preserve">advised </w:t>
      </w:r>
      <w:r w:rsidR="00182708" w:rsidRPr="004D567E">
        <w:t>hepatotoxicity with tolvaptan remains</w:t>
      </w:r>
      <w:r w:rsidRPr="004D567E">
        <w:t xml:space="preserve"> a concern</w:t>
      </w:r>
      <w:r w:rsidR="00182708" w:rsidRPr="004D567E">
        <w:t>.</w:t>
      </w:r>
    </w:p>
    <w:p w:rsidR="00EF283F" w:rsidRDefault="00EF283F" w:rsidP="0086251F">
      <w:pPr>
        <w:pStyle w:val="ListParagraph"/>
        <w:widowControl/>
        <w:numPr>
          <w:ilvl w:val="1"/>
          <w:numId w:val="3"/>
        </w:numPr>
        <w:spacing w:before="120" w:after="120"/>
        <w:ind w:left="810" w:hanging="810"/>
        <w:rPr>
          <w:rFonts w:asciiTheme="minorHAnsi" w:hAnsiTheme="minorHAnsi"/>
          <w:szCs w:val="20"/>
        </w:rPr>
      </w:pPr>
      <w:r w:rsidRPr="004D567E">
        <w:rPr>
          <w:rFonts w:asciiTheme="minorHAnsi" w:hAnsiTheme="minorHAnsi"/>
          <w:szCs w:val="20"/>
        </w:rPr>
        <w:t xml:space="preserve">The PBAC </w:t>
      </w:r>
      <w:r w:rsidR="001A27BA">
        <w:rPr>
          <w:rFonts w:asciiTheme="minorHAnsi" w:hAnsiTheme="minorHAnsi"/>
          <w:szCs w:val="20"/>
        </w:rPr>
        <w:t>considered the claim of</w:t>
      </w:r>
      <w:r w:rsidR="00ED1152" w:rsidRPr="004D567E">
        <w:rPr>
          <w:rFonts w:asciiTheme="minorHAnsi" w:hAnsiTheme="minorHAnsi"/>
          <w:szCs w:val="20"/>
        </w:rPr>
        <w:t xml:space="preserve"> superior comparative effectiveness over best supportive care </w:t>
      </w:r>
      <w:r w:rsidR="001A27BA">
        <w:rPr>
          <w:rFonts w:asciiTheme="minorHAnsi" w:hAnsiTheme="minorHAnsi"/>
          <w:szCs w:val="20"/>
        </w:rPr>
        <w:t xml:space="preserve">was </w:t>
      </w:r>
      <w:r w:rsidR="001A27BA">
        <w:t xml:space="preserve">uncertain and at best </w:t>
      </w:r>
      <w:r w:rsidR="008460B2">
        <w:t>very small</w:t>
      </w:r>
      <w:r w:rsidR="00000120" w:rsidRPr="004D567E">
        <w:rPr>
          <w:rFonts w:asciiTheme="minorHAnsi" w:hAnsiTheme="minorHAnsi"/>
          <w:szCs w:val="20"/>
        </w:rPr>
        <w:t xml:space="preserve">. </w:t>
      </w:r>
    </w:p>
    <w:p w:rsidR="00EF283F" w:rsidRPr="004D567E" w:rsidRDefault="00EF283F" w:rsidP="0086251F">
      <w:pPr>
        <w:pStyle w:val="ListParagraph"/>
        <w:widowControl/>
        <w:numPr>
          <w:ilvl w:val="1"/>
          <w:numId w:val="3"/>
        </w:numPr>
        <w:spacing w:before="120" w:after="120"/>
        <w:ind w:left="810" w:hanging="810"/>
      </w:pPr>
      <w:r w:rsidRPr="004D567E">
        <w:rPr>
          <w:rFonts w:asciiTheme="minorHAnsi" w:hAnsiTheme="minorHAnsi"/>
          <w:szCs w:val="20"/>
        </w:rPr>
        <w:t>The PBAC considered that the claim of inferior comparative safety was reasonable.</w:t>
      </w:r>
    </w:p>
    <w:bookmarkEnd w:id="14"/>
    <w:p w:rsidR="008F5F59" w:rsidRPr="00B82A6B" w:rsidRDefault="0060187F" w:rsidP="0086251F">
      <w:pPr>
        <w:pStyle w:val="Heading2"/>
        <w:spacing w:before="240" w:after="120"/>
      </w:pPr>
      <w:r w:rsidRPr="00B82A6B">
        <w:t>Economic analysis</w:t>
      </w:r>
    </w:p>
    <w:p w:rsidR="008F5F59" w:rsidRPr="009C6646" w:rsidRDefault="008F5F59" w:rsidP="0086251F">
      <w:pPr>
        <w:pStyle w:val="ListParagraph"/>
        <w:widowControl/>
        <w:numPr>
          <w:ilvl w:val="1"/>
          <w:numId w:val="3"/>
        </w:numPr>
        <w:spacing w:before="120" w:after="120"/>
        <w:ind w:left="720"/>
      </w:pPr>
      <w:r w:rsidRPr="00001F88">
        <w:t>The</w:t>
      </w:r>
      <w:r w:rsidRPr="00885255">
        <w:rPr>
          <w:rFonts w:cs="Calibri"/>
          <w:snapToGrid/>
          <w:szCs w:val="24"/>
          <w:lang w:val="en-US" w:eastAsia="en-AU"/>
        </w:rPr>
        <w:t xml:space="preserve"> resubmission presented a modelled economic evaluation comparing tolvaptan to placebo (</w:t>
      </w:r>
      <w:r w:rsidR="00AC182C">
        <w:rPr>
          <w:rFonts w:cs="Calibri"/>
          <w:snapToGrid/>
          <w:szCs w:val="24"/>
          <w:lang w:val="en-US" w:eastAsia="en-AU"/>
        </w:rPr>
        <w:t xml:space="preserve">both in combination with </w:t>
      </w:r>
      <w:r w:rsidRPr="00885255">
        <w:rPr>
          <w:rFonts w:cs="Calibri"/>
          <w:snapToGrid/>
          <w:szCs w:val="24"/>
          <w:lang w:val="en-US" w:eastAsia="en-AU"/>
        </w:rPr>
        <w:t>best supportive care) in patients with ADPKD meeting the PBS eligibility criteria.</w:t>
      </w:r>
    </w:p>
    <w:p w:rsidR="008F5F59" w:rsidRPr="00F563B9" w:rsidRDefault="008F5F59" w:rsidP="0086251F">
      <w:pPr>
        <w:pStyle w:val="ListParagraph"/>
        <w:widowControl/>
        <w:numPr>
          <w:ilvl w:val="1"/>
          <w:numId w:val="3"/>
        </w:numPr>
        <w:spacing w:before="120" w:after="120"/>
        <w:ind w:left="720"/>
      </w:pPr>
      <w:r w:rsidRPr="00F563B9">
        <w:t xml:space="preserve">At the March 2017 meeting the PBAC noted that the use of a cohort based economic model, using 270 risk profiles as separate population cohorts to generate weighted aggregate costs and QALYs, was overly complex and increased the uncertainty of the economic model (Tolvaptan Public Summary Document, March 2017 para 6.49). In response to PBAC concerns, the resubmission presented a microsimulation approach using TreeAge software, based on individual patient data from the REPRISE and TEMPO 3:4 trials, with the same underlying structure used in the March 2017 submission. </w:t>
      </w:r>
    </w:p>
    <w:p w:rsidR="009C6646" w:rsidRDefault="009C6646" w:rsidP="008B4B29">
      <w:pPr>
        <w:widowControl/>
      </w:pPr>
    </w:p>
    <w:p w:rsidR="008F5F59" w:rsidRDefault="008F5F59" w:rsidP="008B4B29">
      <w:pPr>
        <w:keepNext/>
        <w:widowControl/>
        <w:rPr>
          <w:rStyle w:val="CommentReference"/>
        </w:rPr>
      </w:pPr>
      <w:r w:rsidRPr="00A56B6A">
        <w:rPr>
          <w:rStyle w:val="CommentReference"/>
        </w:rPr>
        <w:lastRenderedPageBreak/>
        <w:t xml:space="preserve">Table </w:t>
      </w:r>
      <w:r w:rsidR="00D320B2">
        <w:rPr>
          <w:rStyle w:val="CommentReference"/>
        </w:rPr>
        <w:t>10</w:t>
      </w:r>
      <w:r w:rsidRPr="00A56B6A">
        <w:rPr>
          <w:rStyle w:val="CommentReference"/>
        </w:rPr>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36"/>
        <w:gridCol w:w="6547"/>
      </w:tblGrid>
      <w:tr w:rsidR="008F5F59" w:rsidRPr="003D1DE4" w:rsidTr="009E698C">
        <w:trPr>
          <w:tblHeader/>
        </w:trPr>
        <w:tc>
          <w:tcPr>
            <w:tcW w:w="1396" w:type="pct"/>
            <w:shd w:val="clear" w:color="auto" w:fill="auto"/>
            <w:vAlign w:val="center"/>
          </w:tcPr>
          <w:p w:rsidR="008F5F59" w:rsidRPr="003D1DE4" w:rsidRDefault="008F5F59" w:rsidP="008B4B29">
            <w:pPr>
              <w:pStyle w:val="Tabletext"/>
              <w:keepNext/>
              <w:rPr>
                <w:b/>
              </w:rPr>
            </w:pPr>
            <w:r w:rsidRPr="003D1DE4">
              <w:rPr>
                <w:b/>
              </w:rPr>
              <w:t>Component</w:t>
            </w:r>
          </w:p>
        </w:tc>
        <w:tc>
          <w:tcPr>
            <w:tcW w:w="3604" w:type="pct"/>
            <w:shd w:val="clear" w:color="auto" w:fill="auto"/>
            <w:vAlign w:val="center"/>
          </w:tcPr>
          <w:p w:rsidR="008F5F59" w:rsidRPr="003D1DE4" w:rsidRDefault="008F5F59" w:rsidP="008B4B29">
            <w:pPr>
              <w:pStyle w:val="Tabletext"/>
              <w:keepNext/>
              <w:jc w:val="center"/>
              <w:rPr>
                <w:b/>
              </w:rPr>
            </w:pPr>
            <w:r w:rsidRPr="003D1DE4">
              <w:rPr>
                <w:b/>
              </w:rPr>
              <w:t>Summary</w:t>
            </w:r>
          </w:p>
        </w:tc>
      </w:tr>
      <w:tr w:rsidR="008F5F59" w:rsidRPr="00E2771E" w:rsidTr="009E698C">
        <w:tc>
          <w:tcPr>
            <w:tcW w:w="1396" w:type="pct"/>
            <w:shd w:val="clear" w:color="auto" w:fill="auto"/>
            <w:vAlign w:val="center"/>
          </w:tcPr>
          <w:p w:rsidR="008F5F59" w:rsidRPr="00E2771E" w:rsidRDefault="008F5F59" w:rsidP="008B4B29">
            <w:pPr>
              <w:pStyle w:val="Tabletext"/>
              <w:keepNext/>
            </w:pPr>
            <w:r>
              <w:t>Type of economic analysis</w:t>
            </w:r>
          </w:p>
        </w:tc>
        <w:tc>
          <w:tcPr>
            <w:tcW w:w="3604" w:type="pct"/>
            <w:shd w:val="clear" w:color="auto" w:fill="auto"/>
            <w:vAlign w:val="center"/>
          </w:tcPr>
          <w:p w:rsidR="008F5F59" w:rsidRPr="00E2771E" w:rsidRDefault="008F5F59" w:rsidP="008B4B29">
            <w:pPr>
              <w:pStyle w:val="Tabletext"/>
              <w:keepNext/>
            </w:pPr>
            <w:r w:rsidRPr="0065428B">
              <w:rPr>
                <w:szCs w:val="20"/>
              </w:rPr>
              <w:t>Cost-utility analysis</w:t>
            </w:r>
            <w:r>
              <w:rPr>
                <w:szCs w:val="20"/>
              </w:rPr>
              <w:t>.</w:t>
            </w:r>
          </w:p>
        </w:tc>
      </w:tr>
      <w:tr w:rsidR="008F5F59" w:rsidRPr="00E2771E" w:rsidTr="009E698C">
        <w:tc>
          <w:tcPr>
            <w:tcW w:w="1396" w:type="pct"/>
            <w:shd w:val="clear" w:color="auto" w:fill="auto"/>
            <w:vAlign w:val="center"/>
          </w:tcPr>
          <w:p w:rsidR="008F5F59" w:rsidRPr="00E2771E" w:rsidRDefault="008F5F59" w:rsidP="008B4B29">
            <w:pPr>
              <w:pStyle w:val="Tabletext"/>
              <w:keepNext/>
            </w:pPr>
            <w:r w:rsidRPr="00E2771E">
              <w:t>Time horizon</w:t>
            </w:r>
          </w:p>
        </w:tc>
        <w:tc>
          <w:tcPr>
            <w:tcW w:w="3604" w:type="pct"/>
            <w:shd w:val="clear" w:color="auto" w:fill="auto"/>
            <w:vAlign w:val="center"/>
          </w:tcPr>
          <w:p w:rsidR="008F5F59" w:rsidRPr="00E2771E" w:rsidRDefault="008F5F59" w:rsidP="008B4B29">
            <w:pPr>
              <w:pStyle w:val="Tabletext"/>
              <w:keepNext/>
            </w:pPr>
            <w:r w:rsidRPr="002A71FB">
              <w:rPr>
                <w:szCs w:val="20"/>
              </w:rPr>
              <w:t xml:space="preserve">Lifetime </w:t>
            </w:r>
            <w:r>
              <w:rPr>
                <w:szCs w:val="20"/>
              </w:rPr>
              <w:t>(maximum 100 years).</w:t>
            </w:r>
          </w:p>
        </w:tc>
      </w:tr>
      <w:tr w:rsidR="008F5F59" w:rsidRPr="00E2771E" w:rsidTr="009E698C">
        <w:tc>
          <w:tcPr>
            <w:tcW w:w="1396" w:type="pct"/>
            <w:shd w:val="clear" w:color="auto" w:fill="auto"/>
            <w:vAlign w:val="center"/>
          </w:tcPr>
          <w:p w:rsidR="008F5F59" w:rsidRPr="00E2771E" w:rsidRDefault="008F5F59" w:rsidP="008B4B29">
            <w:pPr>
              <w:pStyle w:val="Tabletext"/>
              <w:keepNext/>
            </w:pPr>
            <w:r>
              <w:t>Outcomes</w:t>
            </w:r>
          </w:p>
        </w:tc>
        <w:tc>
          <w:tcPr>
            <w:tcW w:w="3604" w:type="pct"/>
            <w:shd w:val="clear" w:color="auto" w:fill="auto"/>
            <w:vAlign w:val="center"/>
          </w:tcPr>
          <w:p w:rsidR="008F5F59" w:rsidRPr="002A71FB" w:rsidRDefault="008F5F59" w:rsidP="008B4B29">
            <w:pPr>
              <w:pStyle w:val="Tabletext"/>
              <w:keepNext/>
              <w:rPr>
                <w:szCs w:val="20"/>
              </w:rPr>
            </w:pPr>
            <w:r>
              <w:rPr>
                <w:szCs w:val="20"/>
              </w:rPr>
              <w:t>Quality-adjusted life years</w:t>
            </w:r>
          </w:p>
        </w:tc>
      </w:tr>
      <w:tr w:rsidR="008F5F59" w:rsidRPr="00E2771E" w:rsidTr="009E698C">
        <w:tc>
          <w:tcPr>
            <w:tcW w:w="1396" w:type="pct"/>
            <w:shd w:val="clear" w:color="auto" w:fill="auto"/>
            <w:vAlign w:val="center"/>
          </w:tcPr>
          <w:p w:rsidR="008F5F59" w:rsidRPr="00E2771E" w:rsidRDefault="008F5F59" w:rsidP="008B4B29">
            <w:pPr>
              <w:pStyle w:val="Tabletext"/>
              <w:keepNext/>
            </w:pPr>
            <w:r w:rsidRPr="00E2771E">
              <w:t>Methods used to generate results</w:t>
            </w:r>
          </w:p>
        </w:tc>
        <w:tc>
          <w:tcPr>
            <w:tcW w:w="3604" w:type="pct"/>
            <w:shd w:val="clear" w:color="auto" w:fill="auto"/>
            <w:vAlign w:val="center"/>
          </w:tcPr>
          <w:p w:rsidR="008F5F59" w:rsidRPr="002A71FB" w:rsidRDefault="008F5F59" w:rsidP="008B4B29">
            <w:pPr>
              <w:pStyle w:val="Tabletext"/>
              <w:keepNext/>
              <w:rPr>
                <w:szCs w:val="20"/>
              </w:rPr>
            </w:pPr>
            <w:r>
              <w:rPr>
                <w:szCs w:val="20"/>
              </w:rPr>
              <w:t>Two m</w:t>
            </w:r>
            <w:r w:rsidRPr="002A71FB">
              <w:rPr>
                <w:szCs w:val="20"/>
              </w:rPr>
              <w:t>icrosimulation</w:t>
            </w:r>
            <w:r>
              <w:rPr>
                <w:szCs w:val="20"/>
              </w:rPr>
              <w:t>s</w:t>
            </w:r>
            <w:r w:rsidRPr="002A71FB">
              <w:rPr>
                <w:szCs w:val="20"/>
              </w:rPr>
              <w:t xml:space="preserve"> with </w:t>
            </w:r>
            <w:r>
              <w:rPr>
                <w:szCs w:val="20"/>
              </w:rPr>
              <w:t xml:space="preserve">two module (pre- and post-ESKD) </w:t>
            </w:r>
            <w:r w:rsidRPr="002A71FB">
              <w:rPr>
                <w:szCs w:val="20"/>
              </w:rPr>
              <w:t>Markov structure</w:t>
            </w:r>
            <w:r>
              <w:rPr>
                <w:szCs w:val="20"/>
              </w:rPr>
              <w:t>.</w:t>
            </w:r>
          </w:p>
        </w:tc>
      </w:tr>
      <w:tr w:rsidR="008F5F59" w:rsidRPr="00E2771E" w:rsidTr="009E698C">
        <w:tc>
          <w:tcPr>
            <w:tcW w:w="1396" w:type="pct"/>
            <w:shd w:val="clear" w:color="auto" w:fill="auto"/>
            <w:vAlign w:val="center"/>
          </w:tcPr>
          <w:p w:rsidR="008F5F59" w:rsidRPr="00E2771E" w:rsidRDefault="008F5F59" w:rsidP="008B4B29">
            <w:pPr>
              <w:pStyle w:val="Tabletext"/>
              <w:keepNext/>
            </w:pPr>
            <w:r w:rsidRPr="00E2771E">
              <w:t>Health states</w:t>
            </w:r>
          </w:p>
        </w:tc>
        <w:tc>
          <w:tcPr>
            <w:tcW w:w="3604" w:type="pct"/>
            <w:shd w:val="clear" w:color="auto" w:fill="auto"/>
            <w:vAlign w:val="center"/>
          </w:tcPr>
          <w:p w:rsidR="008F5F59" w:rsidRDefault="008F5F59" w:rsidP="008B4B29">
            <w:pPr>
              <w:pStyle w:val="Tabletext"/>
              <w:keepNext/>
              <w:rPr>
                <w:szCs w:val="20"/>
              </w:rPr>
            </w:pPr>
            <w:r w:rsidRPr="002A71FB">
              <w:rPr>
                <w:szCs w:val="20"/>
              </w:rPr>
              <w:t xml:space="preserve">CKD stage 1, CKD stage 2, CKD stage 3, CKD stage 4, CKD stage 5 (pre-dialysis), </w:t>
            </w:r>
          </w:p>
          <w:p w:rsidR="008F5F59" w:rsidRPr="00E2771E" w:rsidRDefault="008F5F59" w:rsidP="008B4B29">
            <w:pPr>
              <w:pStyle w:val="Tabletext"/>
              <w:keepNext/>
            </w:pPr>
            <w:r w:rsidRPr="002A71FB">
              <w:rPr>
                <w:szCs w:val="20"/>
              </w:rPr>
              <w:t xml:space="preserve">CKD stage 5 (dialysis), </w:t>
            </w:r>
            <w:r>
              <w:rPr>
                <w:szCs w:val="20"/>
              </w:rPr>
              <w:t>post-transplant</w:t>
            </w:r>
            <w:r w:rsidRPr="002A71FB">
              <w:rPr>
                <w:szCs w:val="20"/>
              </w:rPr>
              <w:t xml:space="preserve">, </w:t>
            </w:r>
            <w:proofErr w:type="gramStart"/>
            <w:r w:rsidRPr="002A71FB">
              <w:rPr>
                <w:szCs w:val="20"/>
              </w:rPr>
              <w:t>death</w:t>
            </w:r>
            <w:proofErr w:type="gramEnd"/>
            <w:r>
              <w:rPr>
                <w:szCs w:val="20"/>
              </w:rPr>
              <w:t>.</w:t>
            </w:r>
          </w:p>
        </w:tc>
      </w:tr>
      <w:tr w:rsidR="008F5F59" w:rsidRPr="00E2771E" w:rsidTr="009E698C">
        <w:tc>
          <w:tcPr>
            <w:tcW w:w="1396" w:type="pct"/>
            <w:shd w:val="clear" w:color="auto" w:fill="auto"/>
            <w:vAlign w:val="center"/>
          </w:tcPr>
          <w:p w:rsidR="008F5F59" w:rsidRPr="00E2771E" w:rsidRDefault="008F5F59" w:rsidP="008B4B29">
            <w:pPr>
              <w:pStyle w:val="Tabletext"/>
              <w:keepNext/>
            </w:pPr>
            <w:r w:rsidRPr="00E2771E">
              <w:t>Cycle length</w:t>
            </w:r>
          </w:p>
        </w:tc>
        <w:tc>
          <w:tcPr>
            <w:tcW w:w="3604" w:type="pct"/>
            <w:shd w:val="clear" w:color="auto" w:fill="auto"/>
            <w:vAlign w:val="center"/>
          </w:tcPr>
          <w:p w:rsidR="008F5F59" w:rsidRPr="00E2771E" w:rsidRDefault="008F5F59" w:rsidP="008B4B29">
            <w:pPr>
              <w:pStyle w:val="Tabletext"/>
              <w:keepNext/>
            </w:pPr>
            <w:r w:rsidRPr="002A71FB">
              <w:rPr>
                <w:szCs w:val="20"/>
              </w:rPr>
              <w:t>1 year; half-cycle correction</w:t>
            </w:r>
          </w:p>
        </w:tc>
      </w:tr>
      <w:tr w:rsidR="008F5F59" w:rsidRPr="00E2771E" w:rsidTr="009E698C">
        <w:tc>
          <w:tcPr>
            <w:tcW w:w="1396" w:type="pct"/>
            <w:shd w:val="clear" w:color="auto" w:fill="auto"/>
            <w:vAlign w:val="center"/>
          </w:tcPr>
          <w:p w:rsidR="008F5F59" w:rsidRPr="00E2771E" w:rsidRDefault="008F5F59" w:rsidP="008B4B29">
            <w:pPr>
              <w:pStyle w:val="Tabletext"/>
              <w:keepNext/>
            </w:pPr>
            <w:r w:rsidRPr="00E2771E">
              <w:t>Transition probabilities</w:t>
            </w:r>
          </w:p>
        </w:tc>
        <w:tc>
          <w:tcPr>
            <w:tcW w:w="3604" w:type="pct"/>
            <w:shd w:val="clear" w:color="auto" w:fill="auto"/>
            <w:vAlign w:val="center"/>
          </w:tcPr>
          <w:p w:rsidR="008F5F59" w:rsidRDefault="008F5F59" w:rsidP="008B4B29">
            <w:pPr>
              <w:pStyle w:val="Tabletext"/>
              <w:keepNext/>
            </w:pPr>
            <w:r>
              <w:t xml:space="preserve">Transitions between pre-transplant health states not based on probabilities, but derived from annualised decline in eGFR from individual patient data of selected eligible patients in the TEMPO 3:4 and REPRISE placebo arms. </w:t>
            </w:r>
          </w:p>
          <w:p w:rsidR="008F5F59" w:rsidRPr="00E2771E" w:rsidRDefault="008F5F59" w:rsidP="008B4B29">
            <w:pPr>
              <w:pStyle w:val="Tabletext"/>
              <w:keepNext/>
            </w:pPr>
            <w:r>
              <w:t>Transplant; graft rejection</w:t>
            </w:r>
            <w:r w:rsidR="0006266B">
              <w:t>;</w:t>
            </w:r>
            <w:r>
              <w:t xml:space="preserve"> and dialysis and transplantation mortality probabilities based on ANZDATA reports.</w:t>
            </w:r>
          </w:p>
        </w:tc>
      </w:tr>
      <w:tr w:rsidR="008F5F59" w:rsidRPr="00E2771E" w:rsidTr="009E698C">
        <w:tc>
          <w:tcPr>
            <w:tcW w:w="1396" w:type="pct"/>
            <w:shd w:val="clear" w:color="auto" w:fill="auto"/>
            <w:vAlign w:val="center"/>
          </w:tcPr>
          <w:p w:rsidR="008F5F59" w:rsidRPr="00E2771E" w:rsidRDefault="008F5F59" w:rsidP="008B4B29">
            <w:pPr>
              <w:pStyle w:val="Tabletext"/>
              <w:keepNext/>
            </w:pPr>
            <w:r>
              <w:t>Discount rate</w:t>
            </w:r>
          </w:p>
        </w:tc>
        <w:tc>
          <w:tcPr>
            <w:tcW w:w="3604" w:type="pct"/>
            <w:shd w:val="clear" w:color="auto" w:fill="auto"/>
            <w:vAlign w:val="center"/>
          </w:tcPr>
          <w:p w:rsidR="008F5F59" w:rsidRDefault="008F5F59" w:rsidP="008B4B29">
            <w:pPr>
              <w:pStyle w:val="Tabletext"/>
              <w:keepNext/>
            </w:pPr>
            <w:r>
              <w:t>5% for costs and outcomes</w:t>
            </w:r>
          </w:p>
        </w:tc>
      </w:tr>
      <w:tr w:rsidR="008F5F59" w:rsidRPr="00E2771E" w:rsidTr="009E698C">
        <w:tc>
          <w:tcPr>
            <w:tcW w:w="1396" w:type="pct"/>
            <w:shd w:val="clear" w:color="auto" w:fill="auto"/>
            <w:vAlign w:val="center"/>
          </w:tcPr>
          <w:p w:rsidR="008F5F59" w:rsidRPr="00E2771E" w:rsidRDefault="008F5F59" w:rsidP="008B4B29">
            <w:pPr>
              <w:pStyle w:val="Tabletext"/>
              <w:keepNext/>
            </w:pPr>
            <w:r>
              <w:t>Software package</w:t>
            </w:r>
          </w:p>
        </w:tc>
        <w:tc>
          <w:tcPr>
            <w:tcW w:w="3604" w:type="pct"/>
            <w:shd w:val="clear" w:color="auto" w:fill="auto"/>
            <w:vAlign w:val="center"/>
          </w:tcPr>
          <w:p w:rsidR="008F5F59" w:rsidRDefault="008F5F59" w:rsidP="008B4B29">
            <w:pPr>
              <w:pStyle w:val="Tabletext"/>
              <w:keepNext/>
            </w:pPr>
            <w:r>
              <w:t>TreeAge 2017</w:t>
            </w:r>
          </w:p>
        </w:tc>
      </w:tr>
    </w:tbl>
    <w:p w:rsidR="008F5F59" w:rsidRDefault="008F5F59" w:rsidP="008B4B29">
      <w:pPr>
        <w:pStyle w:val="TableFooter"/>
        <w:keepNext/>
        <w:widowControl/>
      </w:pPr>
      <w:r>
        <w:t>Abbreviations: CKD, chronic kidney disease; ESKD, end stage</w:t>
      </w:r>
    </w:p>
    <w:p w:rsidR="008F5F59" w:rsidRDefault="008F5F59" w:rsidP="008B4B29">
      <w:pPr>
        <w:pStyle w:val="TableFooter"/>
        <w:keepNext/>
        <w:widowControl/>
      </w:pPr>
      <w:r>
        <w:t>Source: Table 3-1, p104 of the resubmission.</w:t>
      </w:r>
    </w:p>
    <w:p w:rsidR="00995D69" w:rsidRDefault="00995D69" w:rsidP="0013376E">
      <w:pPr>
        <w:pStyle w:val="ListParagraph"/>
        <w:widowControl/>
        <w:numPr>
          <w:ilvl w:val="1"/>
          <w:numId w:val="3"/>
        </w:numPr>
        <w:spacing w:before="120" w:after="120"/>
        <w:ind w:left="720"/>
      </w:pPr>
      <w:r>
        <w:t xml:space="preserve">All individuals start the model in CKD states 2-3 and experience a decline in renal function (eGFR) during each year of the model. Baseline CKD state and annual decline in eGFR </w:t>
      </w:r>
      <w:r w:rsidR="0006266B">
        <w:t>are</w:t>
      </w:r>
      <w:r>
        <w:t xml:space="preserve"> based on individual patient characteristics from the REPRISE and TEMPO 3:4 trial</w:t>
      </w:r>
      <w:r w:rsidR="0006266B">
        <w:t>s</w:t>
      </w:r>
      <w:r>
        <w:t xml:space="preserve">. The updated eGFR value in each year then determines the </w:t>
      </w:r>
      <w:r w:rsidR="0006266B">
        <w:t>CKD</w:t>
      </w:r>
      <w:r>
        <w:t xml:space="preserve"> state up to point of dialysis. Mortality rates for individuals pre-dialysis are based on </w:t>
      </w:r>
      <w:r w:rsidRPr="00995D69">
        <w:t>Australian general population mortality estimates</w:t>
      </w:r>
      <w:r>
        <w:t>.</w:t>
      </w:r>
    </w:p>
    <w:p w:rsidR="00995D69" w:rsidRDefault="00995D69" w:rsidP="0013376E">
      <w:pPr>
        <w:pStyle w:val="ListParagraph"/>
        <w:widowControl/>
        <w:numPr>
          <w:ilvl w:val="1"/>
          <w:numId w:val="3"/>
        </w:numPr>
        <w:spacing w:before="120" w:after="120"/>
        <w:ind w:left="720"/>
      </w:pPr>
      <w:r>
        <w:t>After reaching the dialysis health state, the transition probabilities are no longer dependent on eGFR levels</w:t>
      </w:r>
      <w:r w:rsidR="006A2ADF">
        <w:t xml:space="preserve"> but were based on </w:t>
      </w:r>
      <w:r w:rsidR="006A2ADF" w:rsidRPr="00B60D2F">
        <w:t>Australia and New Zealand Dialysis and Transplant Registry</w:t>
      </w:r>
      <w:r w:rsidR="006A2ADF">
        <w:t xml:space="preserve"> data</w:t>
      </w:r>
      <w:r>
        <w:t>.  Patients on dialysis may continue with dialysis therapy, have kidney transplantation or die in each model cycle. Patients with a kidney transplant may continue in their current state, have a graft rejection (and return to dialysis state) or die in each model cycle.</w:t>
      </w:r>
    </w:p>
    <w:p w:rsidR="00995D69" w:rsidRDefault="00995D69" w:rsidP="0013376E">
      <w:pPr>
        <w:pStyle w:val="ListParagraph"/>
        <w:widowControl/>
        <w:numPr>
          <w:ilvl w:val="1"/>
          <w:numId w:val="3"/>
        </w:numPr>
        <w:spacing w:before="120" w:after="120"/>
        <w:ind w:left="720"/>
      </w:pPr>
      <w:r>
        <w:t xml:space="preserve">The tolvaptan treatment effect is applied as a relative reduction in eGFR decline </w:t>
      </w:r>
      <w:r w:rsidR="0006266B">
        <w:t>for</w:t>
      </w:r>
      <w:r>
        <w:t xml:space="preserve"> patients receiving tolvaptan therapy. Annual probabilities of treatment discontinuation are applied to patients in the tolvaptan arm, with all patients discontinuing tolvaptan on progression to CKD 5 (end stage kidney disease).</w:t>
      </w:r>
    </w:p>
    <w:p w:rsidR="008F5F59" w:rsidRPr="00885255" w:rsidRDefault="008F5F59" w:rsidP="0013376E">
      <w:pPr>
        <w:pStyle w:val="ListParagraph"/>
        <w:widowControl/>
        <w:numPr>
          <w:ilvl w:val="1"/>
          <w:numId w:val="3"/>
        </w:numPr>
        <w:spacing w:before="120" w:after="120"/>
        <w:ind w:left="720"/>
      </w:pPr>
      <w:r w:rsidRPr="00885255">
        <w:t>The main differences between the economic model presented in the resubmission compared to the March 2017 submission are:</w:t>
      </w:r>
    </w:p>
    <w:p w:rsidR="008F5F59" w:rsidRPr="00885255" w:rsidRDefault="008F5F59" w:rsidP="0013376E">
      <w:pPr>
        <w:pStyle w:val="ListParagraph"/>
        <w:widowControl/>
        <w:numPr>
          <w:ilvl w:val="0"/>
          <w:numId w:val="1"/>
        </w:numPr>
        <w:spacing w:before="120" w:after="120"/>
        <w:ind w:left="1080"/>
      </w:pPr>
      <w:r w:rsidRPr="00885255">
        <w:t xml:space="preserve">The </w:t>
      </w:r>
      <w:r w:rsidR="00CC71B7">
        <w:t xml:space="preserve">reduction in the effective price of </w:t>
      </w:r>
      <w:r w:rsidRPr="00885255">
        <w:t xml:space="preserve">tolvaptan </w:t>
      </w:r>
      <w:r w:rsidR="00CC71B7">
        <w:t xml:space="preserve">(from </w:t>
      </w:r>
      <w:r w:rsidRPr="00885255">
        <w:t>$</w:t>
      </w:r>
      <w:r w:rsidR="00A00758">
        <w:rPr>
          <w:noProof/>
          <w:color w:val="000000"/>
          <w:highlight w:val="black"/>
        </w:rPr>
        <w:t xml:space="preserve">''''''''''''''' </w:t>
      </w:r>
      <w:r w:rsidRPr="00885255">
        <w:t>to $</w:t>
      </w:r>
      <w:r w:rsidR="00A00758">
        <w:rPr>
          <w:noProof/>
          <w:color w:val="000000"/>
          <w:highlight w:val="black"/>
        </w:rPr>
        <w:t>''''''''''''''</w:t>
      </w:r>
      <w:r w:rsidRPr="00885255">
        <w:t xml:space="preserve"> per 28-day treatment pack</w:t>
      </w:r>
      <w:r w:rsidR="00CC71B7">
        <w:t>)</w:t>
      </w:r>
      <w:r w:rsidRPr="00885255">
        <w:t>.</w:t>
      </w:r>
    </w:p>
    <w:p w:rsidR="008F5F59" w:rsidRPr="00885255" w:rsidRDefault="008F5F59" w:rsidP="0013376E">
      <w:pPr>
        <w:pStyle w:val="ListParagraph"/>
        <w:widowControl/>
        <w:numPr>
          <w:ilvl w:val="0"/>
          <w:numId w:val="1"/>
        </w:numPr>
        <w:spacing w:before="120" w:after="120"/>
        <w:ind w:left="1080"/>
      </w:pPr>
      <w:r w:rsidRPr="00885255">
        <w:t>The resubmission used eGFR (CKD-EPI) as the key health outcome and measure of kidney disease progression. The Mayo classification of rate of potential kidney disease progression used in the previous submission was not used.</w:t>
      </w:r>
    </w:p>
    <w:p w:rsidR="008F5F59" w:rsidRPr="00885255" w:rsidRDefault="008F5F59" w:rsidP="0013376E">
      <w:pPr>
        <w:pStyle w:val="ListParagraph"/>
        <w:widowControl/>
        <w:numPr>
          <w:ilvl w:val="0"/>
          <w:numId w:val="1"/>
        </w:numPr>
        <w:spacing w:before="120" w:after="120"/>
        <w:ind w:left="1080"/>
      </w:pPr>
      <w:r w:rsidRPr="00885255">
        <w:t>The resubmission included additional clinical evidence from the recently completed REPRISE trial, in addition to TEMPO 3:4.</w:t>
      </w:r>
    </w:p>
    <w:p w:rsidR="008F5F59" w:rsidRPr="00885255" w:rsidRDefault="008F5F59" w:rsidP="0013376E">
      <w:pPr>
        <w:pStyle w:val="ListParagraph"/>
        <w:widowControl/>
        <w:numPr>
          <w:ilvl w:val="0"/>
          <w:numId w:val="1"/>
        </w:numPr>
        <w:spacing w:before="120" w:after="120"/>
        <w:ind w:left="1080"/>
      </w:pPr>
      <w:r w:rsidRPr="00885255">
        <w:lastRenderedPageBreak/>
        <w:t xml:space="preserve">The resubmission presented two microsimulations populated from TEMPO 3:4 </w:t>
      </w:r>
      <w:r w:rsidR="009C6646">
        <w:t xml:space="preserve">(PBS subpopulation A) </w:t>
      </w:r>
      <w:r w:rsidRPr="00885255">
        <w:t xml:space="preserve">and REPRISE </w:t>
      </w:r>
      <w:r w:rsidR="009C6646">
        <w:t xml:space="preserve">(PBS subpopulation B) </w:t>
      </w:r>
      <w:r w:rsidRPr="00885255">
        <w:t>individual patient data, and weighted ICERs across eligible populations, compared to the 270 patient cohort approach used in the previous submission.</w:t>
      </w:r>
    </w:p>
    <w:p w:rsidR="009C6646" w:rsidRPr="00885255" w:rsidRDefault="008F5F59" w:rsidP="0013376E">
      <w:pPr>
        <w:pStyle w:val="ListParagraph"/>
        <w:widowControl/>
        <w:numPr>
          <w:ilvl w:val="0"/>
          <w:numId w:val="1"/>
        </w:numPr>
        <w:spacing w:before="120" w:after="120"/>
        <w:ind w:left="1080"/>
      </w:pPr>
      <w:r w:rsidRPr="00885255">
        <w:t>The resubmission conducted the economic modelling in TreeAge compared to Microsoft EXCEL in March 2017.</w:t>
      </w:r>
    </w:p>
    <w:p w:rsidR="009C6646" w:rsidRDefault="009C6646" w:rsidP="0013376E">
      <w:pPr>
        <w:pStyle w:val="ListParagraph"/>
        <w:widowControl/>
        <w:numPr>
          <w:ilvl w:val="1"/>
          <w:numId w:val="3"/>
        </w:numPr>
        <w:spacing w:before="120" w:after="120"/>
        <w:ind w:left="720"/>
      </w:pPr>
      <w:r>
        <w:t xml:space="preserve">Costs associated with management of </w:t>
      </w:r>
      <w:r w:rsidR="007A7C1C">
        <w:t xml:space="preserve">chronic kidney disease, </w:t>
      </w:r>
      <w:r>
        <w:t xml:space="preserve">dialysis and kidney transplant were unchanged from the March 2017 submission, updated for inflation using appropriate </w:t>
      </w:r>
      <w:r w:rsidRPr="00BD4E8A">
        <w:t>Australian Bureau of Statistics Health Index inflation factors</w:t>
      </w:r>
      <w:r>
        <w:t>.</w:t>
      </w:r>
    </w:p>
    <w:p w:rsidR="008F5F59" w:rsidRDefault="008F5F59" w:rsidP="0013376E">
      <w:pPr>
        <w:pStyle w:val="ListParagraph"/>
        <w:widowControl/>
        <w:numPr>
          <w:ilvl w:val="1"/>
          <w:numId w:val="3"/>
        </w:numPr>
        <w:spacing w:before="120" w:after="120"/>
        <w:ind w:left="720"/>
      </w:pPr>
      <w:r w:rsidRPr="00885255">
        <w:t xml:space="preserve">Key drivers of the economic model are summarised in </w:t>
      </w:r>
      <w:r w:rsidR="002D1FB0">
        <w:t>T</w:t>
      </w:r>
      <w:r w:rsidRPr="00885255">
        <w:t xml:space="preserve">able </w:t>
      </w:r>
      <w:r w:rsidR="00D320B2">
        <w:t>11</w:t>
      </w:r>
      <w:r w:rsidRPr="00885255">
        <w:t>.</w:t>
      </w:r>
    </w:p>
    <w:p w:rsidR="009C6646" w:rsidRPr="00885255" w:rsidRDefault="009C6646" w:rsidP="008B4B29">
      <w:pPr>
        <w:widowControl/>
      </w:pPr>
    </w:p>
    <w:p w:rsidR="008F5F59" w:rsidRDefault="008F5F59" w:rsidP="008B4B29">
      <w:pPr>
        <w:keepNext/>
        <w:widowControl/>
        <w:rPr>
          <w:rStyle w:val="CommentReference"/>
        </w:rPr>
      </w:pPr>
      <w:r w:rsidRPr="00A56B6A">
        <w:rPr>
          <w:rStyle w:val="CommentReference"/>
        </w:rPr>
        <w:lastRenderedPageBreak/>
        <w:t>Table</w:t>
      </w:r>
      <w:r w:rsidR="002D1FB0">
        <w:rPr>
          <w:rStyle w:val="CommentReference"/>
        </w:rPr>
        <w:t xml:space="preserve"> 1</w:t>
      </w:r>
      <w:r w:rsidR="00D320B2">
        <w:rPr>
          <w:rStyle w:val="CommentReference"/>
        </w:rPr>
        <w:t>1</w:t>
      </w:r>
      <w:r w:rsidRPr="00A56B6A">
        <w:rPr>
          <w:rStyle w:val="CommentReference"/>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26"/>
        <w:gridCol w:w="5837"/>
        <w:gridCol w:w="1520"/>
      </w:tblGrid>
      <w:tr w:rsidR="008F5F59" w:rsidRPr="003D1DE4" w:rsidTr="009E698C">
        <w:trPr>
          <w:tblHeader/>
        </w:trPr>
        <w:tc>
          <w:tcPr>
            <w:tcW w:w="950" w:type="pct"/>
            <w:shd w:val="clear" w:color="auto" w:fill="auto"/>
            <w:vAlign w:val="center"/>
          </w:tcPr>
          <w:p w:rsidR="008F5F59" w:rsidRPr="003D1DE4" w:rsidRDefault="008F5F59" w:rsidP="008B4B29">
            <w:pPr>
              <w:pStyle w:val="Tabletext"/>
              <w:keepNext/>
              <w:rPr>
                <w:b/>
                <w:lang w:val="en-US"/>
              </w:rPr>
            </w:pPr>
            <w:r w:rsidRPr="003D1DE4">
              <w:rPr>
                <w:b/>
                <w:lang w:val="en-US"/>
              </w:rPr>
              <w:t>Description</w:t>
            </w:r>
          </w:p>
        </w:tc>
        <w:tc>
          <w:tcPr>
            <w:tcW w:w="3213" w:type="pct"/>
            <w:shd w:val="clear" w:color="auto" w:fill="auto"/>
            <w:vAlign w:val="center"/>
          </w:tcPr>
          <w:p w:rsidR="008F5F59" w:rsidRPr="003D1DE4" w:rsidRDefault="008F5F59" w:rsidP="008B4B29">
            <w:pPr>
              <w:pStyle w:val="Tabletext"/>
              <w:keepNext/>
              <w:jc w:val="center"/>
              <w:rPr>
                <w:b/>
                <w:lang w:val="en-US"/>
              </w:rPr>
            </w:pPr>
            <w:r w:rsidRPr="003D1DE4">
              <w:rPr>
                <w:b/>
                <w:lang w:val="en-US"/>
              </w:rPr>
              <w:t>Method/Value</w:t>
            </w:r>
          </w:p>
        </w:tc>
        <w:tc>
          <w:tcPr>
            <w:tcW w:w="837" w:type="pct"/>
            <w:shd w:val="clear" w:color="auto" w:fill="auto"/>
            <w:vAlign w:val="center"/>
          </w:tcPr>
          <w:p w:rsidR="008F5F59" w:rsidRPr="003D1DE4" w:rsidRDefault="008F5F59" w:rsidP="008B4B29">
            <w:pPr>
              <w:pStyle w:val="Tabletext"/>
              <w:keepNext/>
              <w:jc w:val="center"/>
              <w:rPr>
                <w:b/>
                <w:lang w:val="en-US"/>
              </w:rPr>
            </w:pPr>
            <w:r w:rsidRPr="003D1DE4">
              <w:rPr>
                <w:b/>
                <w:lang w:val="en-US"/>
              </w:rPr>
              <w:t>Impact</w:t>
            </w:r>
          </w:p>
        </w:tc>
      </w:tr>
      <w:tr w:rsidR="001B0553" w:rsidRPr="00E2771E" w:rsidTr="009E698C">
        <w:tc>
          <w:tcPr>
            <w:tcW w:w="5000" w:type="pct"/>
            <w:gridSpan w:val="3"/>
            <w:shd w:val="clear" w:color="auto" w:fill="auto"/>
            <w:vAlign w:val="center"/>
          </w:tcPr>
          <w:p w:rsidR="001B0553" w:rsidRPr="001B0553" w:rsidRDefault="001B0553" w:rsidP="008B4B29">
            <w:pPr>
              <w:pStyle w:val="Tabletext"/>
              <w:keepNext/>
              <w:rPr>
                <w:b/>
                <w:lang w:val="en-US"/>
              </w:rPr>
            </w:pPr>
            <w:r w:rsidRPr="001B0553">
              <w:rPr>
                <w:b/>
                <w:lang w:val="en-US"/>
              </w:rPr>
              <w:t>Patient population</w:t>
            </w:r>
          </w:p>
        </w:tc>
      </w:tr>
      <w:tr w:rsidR="007B2B11" w:rsidRPr="00E2771E" w:rsidTr="009E698C">
        <w:tc>
          <w:tcPr>
            <w:tcW w:w="950" w:type="pct"/>
            <w:shd w:val="clear" w:color="auto" w:fill="auto"/>
            <w:vAlign w:val="center"/>
          </w:tcPr>
          <w:p w:rsidR="007B2B11" w:rsidRDefault="007B2B11" w:rsidP="008B4B29">
            <w:pPr>
              <w:pStyle w:val="Tabletext"/>
              <w:keepNext/>
              <w:rPr>
                <w:lang w:val="en-US"/>
              </w:rPr>
            </w:pPr>
            <w:r>
              <w:rPr>
                <w:lang w:val="en-US"/>
              </w:rPr>
              <w:t>Natural history</w:t>
            </w:r>
          </w:p>
        </w:tc>
        <w:tc>
          <w:tcPr>
            <w:tcW w:w="3213" w:type="pct"/>
            <w:shd w:val="clear" w:color="auto" w:fill="auto"/>
            <w:vAlign w:val="center"/>
          </w:tcPr>
          <w:p w:rsidR="007B2B11" w:rsidRPr="00F563B9" w:rsidRDefault="001B0553" w:rsidP="008B4B29">
            <w:pPr>
              <w:keepNext/>
              <w:widowControl/>
              <w:jc w:val="left"/>
              <w:rPr>
                <w:rFonts w:ascii="Arial Narrow" w:hAnsi="Arial Narrow"/>
                <w:sz w:val="20"/>
                <w:szCs w:val="20"/>
              </w:rPr>
            </w:pPr>
            <w:r w:rsidRPr="00F563B9">
              <w:rPr>
                <w:rFonts w:ascii="Arial Narrow" w:hAnsi="Arial Narrow"/>
                <w:sz w:val="20"/>
                <w:szCs w:val="20"/>
              </w:rPr>
              <w:t>Individual patients</w:t>
            </w:r>
            <w:r w:rsidR="008158E2" w:rsidRPr="00F563B9">
              <w:rPr>
                <w:rFonts w:ascii="Arial Narrow" w:hAnsi="Arial Narrow"/>
                <w:sz w:val="20"/>
                <w:szCs w:val="20"/>
              </w:rPr>
              <w:t xml:space="preserve"> are assumed to</w:t>
            </w:r>
            <w:r w:rsidRPr="00F563B9">
              <w:rPr>
                <w:rFonts w:ascii="Arial Narrow" w:hAnsi="Arial Narrow"/>
                <w:sz w:val="20"/>
                <w:szCs w:val="20"/>
              </w:rPr>
              <w:t xml:space="preserve"> </w:t>
            </w:r>
            <w:r w:rsidR="008158E2" w:rsidRPr="00F563B9">
              <w:rPr>
                <w:rFonts w:ascii="Arial Narrow" w:hAnsi="Arial Narrow"/>
                <w:sz w:val="20"/>
                <w:szCs w:val="20"/>
              </w:rPr>
              <w:t>have</w:t>
            </w:r>
            <w:r w:rsidRPr="00F563B9">
              <w:rPr>
                <w:rFonts w:ascii="Arial Narrow" w:hAnsi="Arial Narrow"/>
                <w:sz w:val="20"/>
                <w:szCs w:val="20"/>
              </w:rPr>
              <w:t xml:space="preserve"> a linear decline in renal function over the duration of the model. </w:t>
            </w:r>
            <w:r w:rsidR="007B2B11" w:rsidRPr="00F563B9">
              <w:rPr>
                <w:rFonts w:ascii="Arial Narrow" w:hAnsi="Arial Narrow"/>
                <w:sz w:val="20"/>
                <w:szCs w:val="20"/>
              </w:rPr>
              <w:t xml:space="preserve">However, </w:t>
            </w:r>
            <w:r w:rsidRPr="00F563B9">
              <w:rPr>
                <w:rFonts w:ascii="Arial Narrow" w:hAnsi="Arial Narrow"/>
                <w:sz w:val="20"/>
                <w:szCs w:val="20"/>
              </w:rPr>
              <w:t>t</w:t>
            </w:r>
            <w:r w:rsidR="007B2B11" w:rsidRPr="00F563B9">
              <w:rPr>
                <w:rFonts w:ascii="Arial Narrow" w:hAnsi="Arial Narrow"/>
                <w:sz w:val="20"/>
                <w:szCs w:val="20"/>
              </w:rPr>
              <w:t xml:space="preserve">he resubmission acknowledged the inconsistent pattern of eGFR measurements in the TEMPO 3:4 </w:t>
            </w:r>
            <w:proofErr w:type="gramStart"/>
            <w:r w:rsidR="007B2B11" w:rsidRPr="00F563B9">
              <w:rPr>
                <w:rFonts w:ascii="Arial Narrow" w:hAnsi="Arial Narrow"/>
                <w:sz w:val="20"/>
                <w:szCs w:val="20"/>
              </w:rPr>
              <w:t>trial</w:t>
            </w:r>
            <w:proofErr w:type="gramEnd"/>
            <w:r w:rsidR="007B2B11" w:rsidRPr="00F563B9">
              <w:rPr>
                <w:rFonts w:ascii="Arial Narrow" w:hAnsi="Arial Narrow"/>
                <w:sz w:val="20"/>
                <w:szCs w:val="20"/>
              </w:rPr>
              <w:t>, stating that the calculated rate of eGFR change (or annualised eGFR change) could be unreliable if eGFR measurements are taken over a short period of time or too few eGFR measurements are available to inform the calculation.</w:t>
            </w:r>
          </w:p>
        </w:tc>
        <w:tc>
          <w:tcPr>
            <w:tcW w:w="837" w:type="pct"/>
            <w:shd w:val="clear" w:color="auto" w:fill="auto"/>
            <w:vAlign w:val="center"/>
          </w:tcPr>
          <w:p w:rsidR="007B2B11" w:rsidRPr="00F563B9" w:rsidRDefault="001B0553" w:rsidP="008B4B29">
            <w:pPr>
              <w:pStyle w:val="Tabletext"/>
              <w:keepNext/>
              <w:rPr>
                <w:lang w:val="en-US"/>
              </w:rPr>
            </w:pPr>
            <w:r w:rsidRPr="00F563B9">
              <w:rPr>
                <w:lang w:val="en-US"/>
              </w:rPr>
              <w:t>Uncertain impact</w:t>
            </w:r>
          </w:p>
        </w:tc>
      </w:tr>
      <w:tr w:rsidR="00B8359E" w:rsidRPr="00E2771E" w:rsidTr="009E698C">
        <w:tc>
          <w:tcPr>
            <w:tcW w:w="950" w:type="pct"/>
            <w:shd w:val="clear" w:color="auto" w:fill="auto"/>
            <w:vAlign w:val="center"/>
          </w:tcPr>
          <w:p w:rsidR="00B8359E" w:rsidRDefault="00B8359E" w:rsidP="008B4B29">
            <w:pPr>
              <w:pStyle w:val="Tabletext"/>
              <w:keepNext/>
              <w:rPr>
                <w:lang w:val="en-US"/>
              </w:rPr>
            </w:pPr>
            <w:r>
              <w:rPr>
                <w:lang w:val="en-US"/>
              </w:rPr>
              <w:t>Definition of rapid disease progression</w:t>
            </w:r>
          </w:p>
        </w:tc>
        <w:tc>
          <w:tcPr>
            <w:tcW w:w="3213" w:type="pct"/>
            <w:shd w:val="clear" w:color="auto" w:fill="auto"/>
            <w:vAlign w:val="center"/>
          </w:tcPr>
          <w:p w:rsidR="00B8359E" w:rsidRPr="00F563B9" w:rsidRDefault="001B0553" w:rsidP="008B4B29">
            <w:pPr>
              <w:pStyle w:val="Tabletext"/>
              <w:keepNext/>
              <w:rPr>
                <w:lang w:val="en-US"/>
              </w:rPr>
            </w:pPr>
            <w:r w:rsidRPr="00F563B9">
              <w:rPr>
                <w:lang w:val="en-US"/>
              </w:rPr>
              <w:t xml:space="preserve">The </w:t>
            </w:r>
            <w:r w:rsidR="008158E2" w:rsidRPr="00F563B9">
              <w:rPr>
                <w:lang w:val="en-US"/>
              </w:rPr>
              <w:t>resubmission applies a strict</w:t>
            </w:r>
            <w:r w:rsidRPr="00F563B9">
              <w:rPr>
                <w:lang w:val="en-US"/>
              </w:rPr>
              <w:t xml:space="preserve"> definition of rapid disease progression in the model (annualised eGFR decline of ≥2.5 mL/min/1.73 m</w:t>
            </w:r>
            <w:r w:rsidRPr="00F563B9">
              <w:rPr>
                <w:vertAlign w:val="superscript"/>
                <w:lang w:val="en-US"/>
              </w:rPr>
              <w:t>2</w:t>
            </w:r>
            <w:r w:rsidRPr="00F563B9">
              <w:rPr>
                <w:lang w:val="en-US"/>
              </w:rPr>
              <w:t>/year over the maximum period of available data for each patient)</w:t>
            </w:r>
            <w:r w:rsidR="008158E2" w:rsidRPr="00F563B9">
              <w:rPr>
                <w:lang w:val="en-US"/>
              </w:rPr>
              <w:t>. This is li</w:t>
            </w:r>
            <w:r w:rsidRPr="00F563B9">
              <w:rPr>
                <w:lang w:val="en-US"/>
              </w:rPr>
              <w:t>kely to exclude patients who would qualify for treatment under the requested restriction based on annualised eGFR decline measured over shorter periods.</w:t>
            </w:r>
          </w:p>
        </w:tc>
        <w:tc>
          <w:tcPr>
            <w:tcW w:w="837" w:type="pct"/>
            <w:shd w:val="clear" w:color="auto" w:fill="auto"/>
            <w:vAlign w:val="center"/>
          </w:tcPr>
          <w:p w:rsidR="00AC182C" w:rsidRPr="00F563B9" w:rsidRDefault="00B8359E" w:rsidP="008B4B29">
            <w:pPr>
              <w:pStyle w:val="Tabletext"/>
              <w:keepNext/>
              <w:rPr>
                <w:lang w:val="en-US"/>
              </w:rPr>
            </w:pPr>
            <w:r w:rsidRPr="00F563B9">
              <w:rPr>
                <w:lang w:val="en-US"/>
              </w:rPr>
              <w:t>High,</w:t>
            </w:r>
          </w:p>
          <w:p w:rsidR="00B8359E" w:rsidRPr="00F563B9" w:rsidRDefault="00B8359E" w:rsidP="008B4B29">
            <w:pPr>
              <w:pStyle w:val="Tabletext"/>
              <w:keepNext/>
              <w:rPr>
                <w:lang w:val="en-US"/>
              </w:rPr>
            </w:pPr>
            <w:r w:rsidRPr="00F563B9">
              <w:rPr>
                <w:lang w:val="en-US"/>
              </w:rPr>
              <w:t>favours tolvaptan</w:t>
            </w:r>
          </w:p>
        </w:tc>
      </w:tr>
      <w:tr w:rsidR="00B8359E" w:rsidRPr="00E2771E" w:rsidTr="009E698C">
        <w:tc>
          <w:tcPr>
            <w:tcW w:w="950" w:type="pct"/>
            <w:shd w:val="clear" w:color="auto" w:fill="auto"/>
            <w:vAlign w:val="center"/>
          </w:tcPr>
          <w:p w:rsidR="00B8359E" w:rsidRDefault="00B8359E" w:rsidP="008B4B29">
            <w:pPr>
              <w:pStyle w:val="Tabletext"/>
              <w:keepNext/>
              <w:rPr>
                <w:lang w:val="en-US"/>
              </w:rPr>
            </w:pPr>
            <w:r>
              <w:rPr>
                <w:lang w:val="en-US"/>
              </w:rPr>
              <w:t xml:space="preserve">PBS </w:t>
            </w:r>
            <w:r w:rsidR="001B0553">
              <w:rPr>
                <w:lang w:val="en-US"/>
              </w:rPr>
              <w:t>subpopulations</w:t>
            </w:r>
          </w:p>
        </w:tc>
        <w:tc>
          <w:tcPr>
            <w:tcW w:w="3213" w:type="pct"/>
            <w:shd w:val="clear" w:color="auto" w:fill="auto"/>
            <w:vAlign w:val="center"/>
          </w:tcPr>
          <w:p w:rsidR="00B8359E" w:rsidRPr="00F563B9" w:rsidRDefault="008158E2" w:rsidP="008B4B29">
            <w:pPr>
              <w:pStyle w:val="Tabletext"/>
              <w:keepNext/>
              <w:rPr>
                <w:lang w:val="en-US"/>
              </w:rPr>
            </w:pPr>
            <w:r w:rsidRPr="00F563B9">
              <w:rPr>
                <w:lang w:val="en-US"/>
              </w:rPr>
              <w:t>There is substantial overlap between TEMPO 3:4 and REPRISE modelled populations in terms of PBS subpopulation 1. However, t</w:t>
            </w:r>
            <w:r w:rsidR="00B8359E" w:rsidRPr="00F563B9">
              <w:rPr>
                <w:lang w:val="en-US"/>
              </w:rPr>
              <w:t>here are limited data to support PBS subpopulations 2 and 3</w:t>
            </w:r>
            <w:r w:rsidRPr="00F563B9">
              <w:rPr>
                <w:lang w:val="en-US"/>
              </w:rPr>
              <w:t xml:space="preserve"> from the REPRISE trial only.</w:t>
            </w:r>
          </w:p>
        </w:tc>
        <w:tc>
          <w:tcPr>
            <w:tcW w:w="837" w:type="pct"/>
            <w:shd w:val="clear" w:color="auto" w:fill="auto"/>
            <w:vAlign w:val="center"/>
          </w:tcPr>
          <w:p w:rsidR="00B8359E" w:rsidRPr="00F563B9" w:rsidRDefault="00B8359E" w:rsidP="008B4B29">
            <w:pPr>
              <w:pStyle w:val="Tabletext"/>
              <w:keepNext/>
              <w:rPr>
                <w:lang w:val="en-US"/>
              </w:rPr>
            </w:pPr>
            <w:r w:rsidRPr="00F563B9">
              <w:rPr>
                <w:lang w:val="en-US"/>
              </w:rPr>
              <w:t>Uncertain impact</w:t>
            </w:r>
          </w:p>
        </w:tc>
      </w:tr>
      <w:tr w:rsidR="001B0553" w:rsidRPr="00E2771E" w:rsidTr="009E698C">
        <w:tc>
          <w:tcPr>
            <w:tcW w:w="5000" w:type="pct"/>
            <w:gridSpan w:val="3"/>
            <w:shd w:val="clear" w:color="auto" w:fill="auto"/>
            <w:vAlign w:val="center"/>
          </w:tcPr>
          <w:p w:rsidR="001B0553" w:rsidRPr="00F563B9" w:rsidRDefault="001B0553" w:rsidP="008B4B29">
            <w:pPr>
              <w:pStyle w:val="Tabletext"/>
              <w:keepNext/>
              <w:rPr>
                <w:b/>
                <w:lang w:val="en-US"/>
              </w:rPr>
            </w:pPr>
            <w:r w:rsidRPr="00F563B9">
              <w:rPr>
                <w:b/>
                <w:lang w:val="en-US"/>
              </w:rPr>
              <w:t>Treatment efficacy</w:t>
            </w:r>
          </w:p>
        </w:tc>
      </w:tr>
      <w:tr w:rsidR="00B8359E" w:rsidRPr="00E2771E" w:rsidTr="009E698C">
        <w:tc>
          <w:tcPr>
            <w:tcW w:w="950" w:type="pct"/>
            <w:shd w:val="clear" w:color="auto" w:fill="auto"/>
            <w:vAlign w:val="center"/>
          </w:tcPr>
          <w:p w:rsidR="00B8359E" w:rsidRDefault="001B0553" w:rsidP="008B4B29">
            <w:pPr>
              <w:pStyle w:val="Tabletext"/>
              <w:keepNext/>
              <w:rPr>
                <w:lang w:val="en-US"/>
              </w:rPr>
            </w:pPr>
            <w:r>
              <w:rPr>
                <w:lang w:val="en-US"/>
              </w:rPr>
              <w:t>Tolvaptan treatment effect</w:t>
            </w:r>
          </w:p>
        </w:tc>
        <w:tc>
          <w:tcPr>
            <w:tcW w:w="3213" w:type="pct"/>
            <w:shd w:val="clear" w:color="auto" w:fill="auto"/>
            <w:vAlign w:val="center"/>
          </w:tcPr>
          <w:p w:rsidR="003D559E" w:rsidRPr="00F563B9" w:rsidRDefault="003D559E" w:rsidP="008B4B29">
            <w:pPr>
              <w:pStyle w:val="Tabletext"/>
              <w:keepNext/>
              <w:rPr>
                <w:lang w:val="en-US"/>
              </w:rPr>
            </w:pPr>
            <w:r w:rsidRPr="00F563B9">
              <w:rPr>
                <w:lang w:val="en-US"/>
              </w:rPr>
              <w:t xml:space="preserve">The PBAC considered that TEMPO 3:4 did not provide data to support a conclusion of superiority for tolvaptan over </w:t>
            </w:r>
            <w:r w:rsidR="00B8359E" w:rsidRPr="00F563B9">
              <w:rPr>
                <w:lang w:val="en-US"/>
              </w:rPr>
              <w:t>placebo</w:t>
            </w:r>
            <w:r w:rsidRPr="00F563B9">
              <w:rPr>
                <w:lang w:val="en-US"/>
              </w:rPr>
              <w:t xml:space="preserve"> (Tolvaptan PSD March 2017</w:t>
            </w:r>
            <w:r w:rsidR="00860B93" w:rsidRPr="00F563B9">
              <w:rPr>
                <w:lang w:val="en-US"/>
              </w:rPr>
              <w:t>, para 6.45</w:t>
            </w:r>
            <w:r w:rsidRPr="00F563B9">
              <w:rPr>
                <w:lang w:val="en-US"/>
              </w:rPr>
              <w:t xml:space="preserve">). </w:t>
            </w:r>
            <w:r w:rsidR="00CC71B7" w:rsidRPr="00F563B9">
              <w:rPr>
                <w:lang w:val="en-US"/>
              </w:rPr>
              <w:t>It is unclear whether the results from REPRISE are applicable to clinical practice, and results unadjusted for the acute hemodynamic effect of tolvaptan appeared less favourable to tolvaptan, and in some analyses favoured placebo.</w:t>
            </w:r>
          </w:p>
        </w:tc>
        <w:tc>
          <w:tcPr>
            <w:tcW w:w="837" w:type="pct"/>
            <w:shd w:val="clear" w:color="auto" w:fill="auto"/>
            <w:vAlign w:val="center"/>
          </w:tcPr>
          <w:p w:rsidR="00AC182C" w:rsidRPr="00F563B9" w:rsidRDefault="00CC71B7" w:rsidP="008B4B29">
            <w:pPr>
              <w:pStyle w:val="Tabletext"/>
              <w:keepNext/>
              <w:rPr>
                <w:lang w:val="en-US"/>
              </w:rPr>
            </w:pPr>
            <w:r w:rsidRPr="00F563B9">
              <w:rPr>
                <w:lang w:val="en-US"/>
              </w:rPr>
              <w:t>High,</w:t>
            </w:r>
          </w:p>
          <w:p w:rsidR="00B8359E" w:rsidRPr="00F563B9" w:rsidRDefault="00CC71B7" w:rsidP="008B4B29">
            <w:pPr>
              <w:pStyle w:val="Tabletext"/>
              <w:keepNext/>
              <w:rPr>
                <w:lang w:val="en-US"/>
              </w:rPr>
            </w:pPr>
            <w:r w:rsidRPr="00F563B9">
              <w:rPr>
                <w:lang w:val="en-US"/>
              </w:rPr>
              <w:t>favours tolvaptan</w:t>
            </w:r>
          </w:p>
        </w:tc>
      </w:tr>
      <w:tr w:rsidR="00B8359E" w:rsidRPr="00E2771E" w:rsidTr="009E698C">
        <w:tc>
          <w:tcPr>
            <w:tcW w:w="950" w:type="pct"/>
            <w:shd w:val="clear" w:color="auto" w:fill="auto"/>
            <w:vAlign w:val="center"/>
          </w:tcPr>
          <w:p w:rsidR="00B8359E" w:rsidRDefault="001B0553" w:rsidP="008B4B29">
            <w:pPr>
              <w:pStyle w:val="Tabletext"/>
              <w:keepNext/>
              <w:rPr>
                <w:lang w:val="en-US"/>
              </w:rPr>
            </w:pPr>
            <w:r>
              <w:rPr>
                <w:lang w:val="en-US"/>
              </w:rPr>
              <w:t>Application of t</w:t>
            </w:r>
            <w:r w:rsidR="00B8359E">
              <w:rPr>
                <w:lang w:val="en-US"/>
              </w:rPr>
              <w:t>olvaptan treatment effect</w:t>
            </w:r>
          </w:p>
        </w:tc>
        <w:tc>
          <w:tcPr>
            <w:tcW w:w="3213" w:type="pct"/>
            <w:shd w:val="clear" w:color="auto" w:fill="auto"/>
            <w:vAlign w:val="center"/>
          </w:tcPr>
          <w:p w:rsidR="00B8359E" w:rsidRPr="00F563B9" w:rsidRDefault="001B0553" w:rsidP="008B4B29">
            <w:pPr>
              <w:pStyle w:val="Tabletext"/>
              <w:keepNext/>
              <w:rPr>
                <w:lang w:val="en-US"/>
              </w:rPr>
            </w:pPr>
            <w:r w:rsidRPr="00F563B9">
              <w:rPr>
                <w:lang w:val="en-US"/>
              </w:rPr>
              <w:t xml:space="preserve">Tolvaptan treatment effect is applied as a </w:t>
            </w:r>
            <w:r w:rsidR="00B8359E" w:rsidRPr="00F563B9">
              <w:rPr>
                <w:lang w:val="en-US"/>
              </w:rPr>
              <w:t>relative reduction in slope to annualised eGFR change</w:t>
            </w:r>
            <w:r w:rsidRPr="00F563B9">
              <w:rPr>
                <w:lang w:val="en-US"/>
              </w:rPr>
              <w:t xml:space="preserve"> in patients from the placebo arm</w:t>
            </w:r>
            <w:r w:rsidR="00B8359E" w:rsidRPr="00F563B9">
              <w:rPr>
                <w:lang w:val="en-US"/>
              </w:rPr>
              <w:t>.</w:t>
            </w:r>
            <w:r w:rsidRPr="00F563B9">
              <w:rPr>
                <w:lang w:val="en-US"/>
              </w:rPr>
              <w:t xml:space="preserve"> This d</w:t>
            </w:r>
            <w:r w:rsidR="00B8359E" w:rsidRPr="00F563B9">
              <w:rPr>
                <w:lang w:val="en-US"/>
              </w:rPr>
              <w:t>oes not account for the acute hemodynamic effects associated with tolvaptan treatment (5-10% reduction in eGFR).</w:t>
            </w:r>
          </w:p>
        </w:tc>
        <w:tc>
          <w:tcPr>
            <w:tcW w:w="837" w:type="pct"/>
            <w:shd w:val="clear" w:color="auto" w:fill="auto"/>
            <w:vAlign w:val="center"/>
          </w:tcPr>
          <w:p w:rsidR="00AC182C" w:rsidRPr="00F563B9" w:rsidRDefault="00B8359E" w:rsidP="008B4B29">
            <w:pPr>
              <w:pStyle w:val="Tabletext"/>
              <w:keepNext/>
              <w:rPr>
                <w:lang w:val="en-US"/>
              </w:rPr>
            </w:pPr>
            <w:r w:rsidRPr="00F563B9">
              <w:rPr>
                <w:lang w:val="en-US"/>
              </w:rPr>
              <w:t>High,</w:t>
            </w:r>
          </w:p>
          <w:p w:rsidR="00B8359E" w:rsidRPr="00F563B9" w:rsidRDefault="00B8359E" w:rsidP="008B4B29">
            <w:pPr>
              <w:pStyle w:val="Tabletext"/>
              <w:keepNext/>
              <w:rPr>
                <w:lang w:val="en-US"/>
              </w:rPr>
            </w:pPr>
            <w:r w:rsidRPr="00F563B9">
              <w:rPr>
                <w:lang w:val="en-US"/>
              </w:rPr>
              <w:t>favours tolvaptan</w:t>
            </w:r>
          </w:p>
        </w:tc>
      </w:tr>
      <w:tr w:rsidR="00B8359E" w:rsidRPr="00E2771E" w:rsidTr="009E698C">
        <w:tc>
          <w:tcPr>
            <w:tcW w:w="950" w:type="pct"/>
            <w:shd w:val="clear" w:color="auto" w:fill="auto"/>
            <w:vAlign w:val="center"/>
          </w:tcPr>
          <w:p w:rsidR="00B8359E" w:rsidRDefault="00B8359E" w:rsidP="008B4B29">
            <w:pPr>
              <w:pStyle w:val="Tabletext"/>
              <w:keepNext/>
              <w:rPr>
                <w:lang w:val="en-US"/>
              </w:rPr>
            </w:pPr>
            <w:r w:rsidRPr="00D50B7A">
              <w:rPr>
                <w:lang w:val="en-US"/>
              </w:rPr>
              <w:t>Extrapolation of treatment effect</w:t>
            </w:r>
          </w:p>
        </w:tc>
        <w:tc>
          <w:tcPr>
            <w:tcW w:w="3213" w:type="pct"/>
            <w:shd w:val="clear" w:color="auto" w:fill="auto"/>
            <w:vAlign w:val="center"/>
          </w:tcPr>
          <w:p w:rsidR="00B8359E" w:rsidRPr="00F563B9" w:rsidRDefault="00B8359E" w:rsidP="008B4B29">
            <w:pPr>
              <w:pStyle w:val="Tabletext"/>
              <w:keepNext/>
              <w:rPr>
                <w:highlight w:val="yellow"/>
                <w:lang w:val="en-US"/>
              </w:rPr>
            </w:pPr>
            <w:r w:rsidRPr="00F563B9">
              <w:t>The model extrapolates tolvaptan treatment effects from 1-3 years in the clinical trials to a maximum of 26 years for some individuals in the REPRISE base case microsimulation and 40 years for some individuals in the TEMPO base case microsimulation. There are limited long term data to support continuing treatment effect over time.</w:t>
            </w:r>
          </w:p>
        </w:tc>
        <w:tc>
          <w:tcPr>
            <w:tcW w:w="837" w:type="pct"/>
            <w:shd w:val="clear" w:color="auto" w:fill="auto"/>
            <w:vAlign w:val="center"/>
          </w:tcPr>
          <w:p w:rsidR="00B8359E" w:rsidRPr="009D5D92" w:rsidRDefault="001B1822" w:rsidP="008B4B29">
            <w:pPr>
              <w:pStyle w:val="Tabletext"/>
              <w:keepNext/>
              <w:rPr>
                <w:lang w:val="en-US"/>
              </w:rPr>
            </w:pPr>
            <w:r w:rsidRPr="009D5D92">
              <w:rPr>
                <w:lang w:val="en-US"/>
              </w:rPr>
              <w:t>High favours tolvaptan</w:t>
            </w:r>
          </w:p>
        </w:tc>
      </w:tr>
      <w:tr w:rsidR="007B2B11" w:rsidRPr="00E2771E" w:rsidTr="009E698C">
        <w:tc>
          <w:tcPr>
            <w:tcW w:w="950" w:type="pct"/>
            <w:shd w:val="clear" w:color="auto" w:fill="auto"/>
            <w:vAlign w:val="center"/>
          </w:tcPr>
          <w:p w:rsidR="007B2B11" w:rsidRDefault="007B2B11" w:rsidP="008B4B29">
            <w:pPr>
              <w:pStyle w:val="Tabletext"/>
              <w:keepNext/>
              <w:rPr>
                <w:lang w:val="en-US"/>
              </w:rPr>
            </w:pPr>
            <w:r>
              <w:rPr>
                <w:lang w:val="en-US"/>
              </w:rPr>
              <w:t>Adverse event disutility</w:t>
            </w:r>
          </w:p>
        </w:tc>
        <w:tc>
          <w:tcPr>
            <w:tcW w:w="3213" w:type="pct"/>
            <w:shd w:val="clear" w:color="auto" w:fill="auto"/>
            <w:vAlign w:val="center"/>
          </w:tcPr>
          <w:p w:rsidR="007B2B11" w:rsidRPr="00F563B9" w:rsidRDefault="007B2B11" w:rsidP="008B4B29">
            <w:pPr>
              <w:keepNext/>
              <w:widowControl/>
              <w:rPr>
                <w:rFonts w:ascii="Arial Narrow" w:hAnsi="Arial Narrow"/>
                <w:sz w:val="20"/>
                <w:szCs w:val="20"/>
              </w:rPr>
            </w:pPr>
            <w:r w:rsidRPr="00F563B9">
              <w:rPr>
                <w:rFonts w:ascii="Arial Narrow" w:hAnsi="Arial Narrow"/>
                <w:sz w:val="20"/>
                <w:szCs w:val="20"/>
              </w:rPr>
              <w:t xml:space="preserve">No utility decrement was included to account for the adverse events associated with tolvaptan treatment. </w:t>
            </w:r>
            <w:r w:rsidR="001B0553" w:rsidRPr="00F563B9">
              <w:rPr>
                <w:rFonts w:ascii="Arial Narrow" w:hAnsi="Arial Narrow"/>
                <w:sz w:val="20"/>
                <w:szCs w:val="20"/>
              </w:rPr>
              <w:t>This is inappropriate g</w:t>
            </w:r>
            <w:r w:rsidRPr="00F563B9">
              <w:rPr>
                <w:rFonts w:ascii="Arial Narrow" w:hAnsi="Arial Narrow"/>
                <w:sz w:val="20"/>
                <w:szCs w:val="20"/>
              </w:rPr>
              <w:t>iven the adverse event profile and tolerability issues associated with tolvaptan treatment</w:t>
            </w:r>
            <w:r w:rsidR="001B0553" w:rsidRPr="00F563B9">
              <w:rPr>
                <w:rFonts w:ascii="Arial Narrow" w:hAnsi="Arial Narrow"/>
                <w:sz w:val="20"/>
                <w:szCs w:val="20"/>
              </w:rPr>
              <w:t>.</w:t>
            </w:r>
          </w:p>
        </w:tc>
        <w:tc>
          <w:tcPr>
            <w:tcW w:w="837" w:type="pct"/>
            <w:shd w:val="clear" w:color="auto" w:fill="auto"/>
            <w:vAlign w:val="center"/>
          </w:tcPr>
          <w:p w:rsidR="00AC182C" w:rsidRPr="00F563B9" w:rsidRDefault="007B2B11" w:rsidP="008B4B29">
            <w:pPr>
              <w:pStyle w:val="Tabletext"/>
              <w:keepNext/>
              <w:rPr>
                <w:lang w:val="en-US"/>
              </w:rPr>
            </w:pPr>
            <w:r w:rsidRPr="00F563B9">
              <w:rPr>
                <w:lang w:val="en-US"/>
              </w:rPr>
              <w:t>Uncertain,</w:t>
            </w:r>
          </w:p>
          <w:p w:rsidR="007B2B11" w:rsidRPr="00F563B9" w:rsidRDefault="007B2B11" w:rsidP="008B4B29">
            <w:pPr>
              <w:pStyle w:val="Tabletext"/>
              <w:keepNext/>
              <w:rPr>
                <w:lang w:val="en-US"/>
              </w:rPr>
            </w:pPr>
            <w:r w:rsidRPr="00F563B9">
              <w:rPr>
                <w:lang w:val="en-US"/>
              </w:rPr>
              <w:t>favours tolvaptan</w:t>
            </w:r>
          </w:p>
        </w:tc>
      </w:tr>
      <w:tr w:rsidR="001B1822" w:rsidRPr="001B1822" w:rsidTr="00271E7E">
        <w:tc>
          <w:tcPr>
            <w:tcW w:w="5000" w:type="pct"/>
            <w:gridSpan w:val="3"/>
            <w:shd w:val="clear" w:color="auto" w:fill="auto"/>
            <w:vAlign w:val="center"/>
          </w:tcPr>
          <w:p w:rsidR="001B1822" w:rsidRPr="009D5D92" w:rsidRDefault="001B1822" w:rsidP="008B4B29">
            <w:pPr>
              <w:keepNext/>
              <w:widowControl/>
              <w:jc w:val="left"/>
              <w:rPr>
                <w:rFonts w:ascii="Arial Narrow" w:hAnsi="Arial Narrow" w:cs="Times New Roman"/>
                <w:b/>
                <w:snapToGrid/>
                <w:sz w:val="20"/>
                <w:lang w:val="en-US"/>
              </w:rPr>
            </w:pPr>
            <w:r w:rsidRPr="009D5D92">
              <w:rPr>
                <w:rFonts w:ascii="Arial Narrow" w:hAnsi="Arial Narrow" w:cs="Times New Roman"/>
                <w:b/>
                <w:snapToGrid/>
                <w:sz w:val="20"/>
                <w:lang w:val="en-US"/>
              </w:rPr>
              <w:t>Costs</w:t>
            </w:r>
          </w:p>
        </w:tc>
      </w:tr>
      <w:tr w:rsidR="001B1822" w:rsidRPr="009D5D92" w:rsidTr="00271E7E">
        <w:tc>
          <w:tcPr>
            <w:tcW w:w="950" w:type="pct"/>
            <w:shd w:val="clear" w:color="auto" w:fill="auto"/>
            <w:vAlign w:val="center"/>
          </w:tcPr>
          <w:p w:rsidR="001B1822" w:rsidRPr="009D5D92" w:rsidRDefault="001B1822" w:rsidP="008B4B29">
            <w:pPr>
              <w:keepNext/>
              <w:widowControl/>
              <w:jc w:val="left"/>
              <w:rPr>
                <w:rFonts w:ascii="Arial Narrow" w:hAnsi="Arial Narrow" w:cs="Times New Roman"/>
                <w:snapToGrid/>
                <w:sz w:val="20"/>
                <w:lang w:val="en-US"/>
              </w:rPr>
            </w:pPr>
            <w:r w:rsidRPr="009D5D92">
              <w:rPr>
                <w:rFonts w:ascii="Arial Narrow" w:hAnsi="Arial Narrow" w:cs="Times New Roman"/>
                <w:snapToGrid/>
                <w:sz w:val="20"/>
                <w:lang w:val="en-US"/>
              </w:rPr>
              <w:t xml:space="preserve">Omission of administration oversight costs </w:t>
            </w:r>
          </w:p>
        </w:tc>
        <w:tc>
          <w:tcPr>
            <w:tcW w:w="3213" w:type="pct"/>
            <w:shd w:val="clear" w:color="auto" w:fill="auto"/>
            <w:vAlign w:val="center"/>
          </w:tcPr>
          <w:p w:rsidR="001B1822" w:rsidRPr="009D5D92" w:rsidRDefault="001B1822" w:rsidP="008B4B29">
            <w:pPr>
              <w:keepNext/>
              <w:widowControl/>
              <w:rPr>
                <w:rFonts w:ascii="Arial Narrow" w:hAnsi="Arial Narrow"/>
                <w:sz w:val="20"/>
                <w:szCs w:val="20"/>
              </w:rPr>
            </w:pPr>
            <w:r w:rsidRPr="009D5D92">
              <w:rPr>
                <w:rFonts w:ascii="Arial Narrow" w:hAnsi="Arial Narrow"/>
                <w:sz w:val="20"/>
                <w:szCs w:val="20"/>
              </w:rPr>
              <w:t xml:space="preserve">No costs for specialist oversight of drug admission. Unreasonable given high side-effect rate, and up-titration. </w:t>
            </w:r>
          </w:p>
        </w:tc>
        <w:tc>
          <w:tcPr>
            <w:tcW w:w="837" w:type="pct"/>
            <w:shd w:val="clear" w:color="auto" w:fill="auto"/>
            <w:vAlign w:val="center"/>
          </w:tcPr>
          <w:p w:rsidR="001B1822" w:rsidRPr="009D5D92" w:rsidRDefault="001B1822" w:rsidP="008B4B29">
            <w:pPr>
              <w:keepNext/>
              <w:widowControl/>
              <w:jc w:val="left"/>
              <w:rPr>
                <w:rFonts w:ascii="Arial Narrow" w:hAnsi="Arial Narrow" w:cs="Times New Roman"/>
                <w:snapToGrid/>
                <w:sz w:val="20"/>
                <w:lang w:val="en-US"/>
              </w:rPr>
            </w:pPr>
            <w:r w:rsidRPr="009D5D92">
              <w:rPr>
                <w:rFonts w:ascii="Arial Narrow" w:hAnsi="Arial Narrow" w:cs="Times New Roman"/>
                <w:snapToGrid/>
                <w:sz w:val="20"/>
                <w:lang w:val="en-US"/>
              </w:rPr>
              <w:t>High, favours to</w:t>
            </w:r>
            <w:r w:rsidR="00747ADC" w:rsidRPr="009D5D92">
              <w:rPr>
                <w:rFonts w:ascii="Arial Narrow" w:hAnsi="Arial Narrow" w:cs="Times New Roman"/>
                <w:snapToGrid/>
                <w:sz w:val="20"/>
                <w:lang w:val="en-US"/>
              </w:rPr>
              <w:t>l</w:t>
            </w:r>
            <w:r w:rsidRPr="009D5D92">
              <w:rPr>
                <w:rFonts w:ascii="Arial Narrow" w:hAnsi="Arial Narrow" w:cs="Times New Roman"/>
                <w:snapToGrid/>
                <w:sz w:val="20"/>
                <w:lang w:val="en-US"/>
              </w:rPr>
              <w:t>vaptan</w:t>
            </w:r>
          </w:p>
        </w:tc>
      </w:tr>
      <w:tr w:rsidR="001B1822" w:rsidRPr="009D5D92" w:rsidTr="00271E7E">
        <w:tc>
          <w:tcPr>
            <w:tcW w:w="5000" w:type="pct"/>
            <w:gridSpan w:val="3"/>
            <w:shd w:val="clear" w:color="auto" w:fill="auto"/>
            <w:vAlign w:val="center"/>
          </w:tcPr>
          <w:p w:rsidR="001B1822" w:rsidRPr="009D5D92" w:rsidRDefault="001B1822" w:rsidP="008B4B29">
            <w:pPr>
              <w:keepNext/>
              <w:widowControl/>
              <w:jc w:val="left"/>
              <w:rPr>
                <w:rFonts w:ascii="Arial Narrow" w:hAnsi="Arial Narrow" w:cs="Times New Roman"/>
                <w:b/>
                <w:snapToGrid/>
                <w:sz w:val="20"/>
                <w:lang w:val="en-US"/>
              </w:rPr>
            </w:pPr>
            <w:r w:rsidRPr="009D5D92">
              <w:rPr>
                <w:rFonts w:ascii="Arial Narrow" w:hAnsi="Arial Narrow" w:cs="Times New Roman"/>
                <w:b/>
                <w:snapToGrid/>
                <w:sz w:val="20"/>
                <w:lang w:val="en-US"/>
              </w:rPr>
              <w:t>ICER</w:t>
            </w:r>
          </w:p>
        </w:tc>
      </w:tr>
      <w:tr w:rsidR="001B1822" w:rsidRPr="009D5D92" w:rsidTr="00271E7E">
        <w:tc>
          <w:tcPr>
            <w:tcW w:w="950" w:type="pct"/>
            <w:shd w:val="clear" w:color="auto" w:fill="auto"/>
            <w:vAlign w:val="center"/>
          </w:tcPr>
          <w:p w:rsidR="001B1822" w:rsidRPr="009D5D92" w:rsidRDefault="00824669" w:rsidP="008B4B29">
            <w:pPr>
              <w:keepNext/>
              <w:widowControl/>
              <w:jc w:val="left"/>
              <w:rPr>
                <w:rFonts w:ascii="Arial Narrow" w:hAnsi="Arial Narrow" w:cs="Times New Roman"/>
                <w:snapToGrid/>
                <w:sz w:val="20"/>
                <w:lang w:val="en-US"/>
              </w:rPr>
            </w:pPr>
            <w:r w:rsidRPr="009D5D92">
              <w:rPr>
                <w:rFonts w:ascii="Arial Narrow" w:hAnsi="Arial Narrow" w:cs="Times New Roman"/>
                <w:snapToGrid/>
                <w:kern w:val="24"/>
                <w:sz w:val="20"/>
                <w:szCs w:val="28"/>
                <w:lang w:val="en-US"/>
              </w:rPr>
              <w:t xml:space="preserve">Efficacy </w:t>
            </w:r>
            <w:r w:rsidR="005B2D45" w:rsidRPr="009D5D92">
              <w:rPr>
                <w:rFonts w:ascii="Arial Narrow" w:hAnsi="Arial Narrow" w:cs="Times New Roman"/>
                <w:snapToGrid/>
                <w:kern w:val="24"/>
                <w:sz w:val="20"/>
                <w:szCs w:val="28"/>
                <w:lang w:val="en-US"/>
              </w:rPr>
              <w:t>data</w:t>
            </w:r>
            <w:r w:rsidRPr="009D5D92">
              <w:rPr>
                <w:rFonts w:ascii="Arial Narrow" w:hAnsi="Arial Narrow" w:cs="Times New Roman"/>
                <w:snapToGrid/>
                <w:kern w:val="24"/>
                <w:sz w:val="20"/>
                <w:szCs w:val="28"/>
                <w:lang w:val="en-US"/>
              </w:rPr>
              <w:t xml:space="preserve"> selection</w:t>
            </w:r>
          </w:p>
        </w:tc>
        <w:tc>
          <w:tcPr>
            <w:tcW w:w="3213" w:type="pct"/>
            <w:shd w:val="clear" w:color="auto" w:fill="auto"/>
            <w:vAlign w:val="center"/>
          </w:tcPr>
          <w:p w:rsidR="001B1822" w:rsidRPr="009D5D92" w:rsidRDefault="001B1822" w:rsidP="008B4B29">
            <w:pPr>
              <w:keepNext/>
              <w:widowControl/>
              <w:rPr>
                <w:rFonts w:ascii="Arial Narrow" w:hAnsi="Arial Narrow"/>
                <w:sz w:val="20"/>
                <w:szCs w:val="20"/>
              </w:rPr>
            </w:pPr>
            <w:r w:rsidRPr="009D5D92">
              <w:rPr>
                <w:rFonts w:ascii="Arial Narrow" w:hAnsi="Arial Narrow"/>
                <w:kern w:val="24"/>
                <w:sz w:val="20"/>
                <w:szCs w:val="28"/>
              </w:rPr>
              <w:t xml:space="preserve">Base case ICERs from Tempo 3:4 and REPRISE </w:t>
            </w:r>
            <w:r w:rsidR="00824669" w:rsidRPr="009D5D92">
              <w:rPr>
                <w:rFonts w:ascii="Arial Narrow" w:hAnsi="Arial Narrow"/>
                <w:kern w:val="24"/>
                <w:sz w:val="20"/>
                <w:szCs w:val="28"/>
              </w:rPr>
              <w:t xml:space="preserve">based upon efficacy from </w:t>
            </w:r>
            <w:r w:rsidR="005B2D45" w:rsidRPr="009D5D92">
              <w:rPr>
                <w:rFonts w:ascii="Arial Narrow" w:hAnsi="Arial Narrow"/>
                <w:kern w:val="24"/>
                <w:sz w:val="20"/>
                <w:szCs w:val="28"/>
              </w:rPr>
              <w:t xml:space="preserve">a </w:t>
            </w:r>
            <w:r w:rsidR="00824669" w:rsidRPr="009D5D92">
              <w:rPr>
                <w:rFonts w:ascii="Arial Narrow" w:hAnsi="Arial Narrow"/>
                <w:kern w:val="24"/>
                <w:sz w:val="20"/>
                <w:szCs w:val="28"/>
              </w:rPr>
              <w:t xml:space="preserve">sub-population in the trial, as opposed to the ITT </w:t>
            </w:r>
            <w:r w:rsidR="005B2D45" w:rsidRPr="009D5D92">
              <w:rPr>
                <w:rFonts w:ascii="Arial Narrow" w:hAnsi="Arial Narrow"/>
                <w:kern w:val="24"/>
                <w:sz w:val="20"/>
                <w:szCs w:val="28"/>
              </w:rPr>
              <w:t>efficacy</w:t>
            </w:r>
          </w:p>
        </w:tc>
        <w:tc>
          <w:tcPr>
            <w:tcW w:w="837" w:type="pct"/>
            <w:shd w:val="clear" w:color="auto" w:fill="auto"/>
            <w:vAlign w:val="center"/>
          </w:tcPr>
          <w:p w:rsidR="001B1822" w:rsidRPr="009D5D92" w:rsidRDefault="001B1822" w:rsidP="008B4B29">
            <w:pPr>
              <w:keepNext/>
              <w:widowControl/>
              <w:jc w:val="left"/>
              <w:rPr>
                <w:rFonts w:ascii="Arial Narrow" w:hAnsi="Arial Narrow" w:cs="Times New Roman"/>
                <w:snapToGrid/>
                <w:sz w:val="20"/>
                <w:lang w:val="en-US"/>
              </w:rPr>
            </w:pPr>
            <w:r w:rsidRPr="009D5D92">
              <w:rPr>
                <w:rFonts w:ascii="Arial Narrow" w:hAnsi="Arial Narrow" w:cs="Times New Roman"/>
                <w:snapToGrid/>
                <w:kern w:val="24"/>
                <w:sz w:val="20"/>
                <w:szCs w:val="28"/>
                <w:lang w:val="en-US"/>
              </w:rPr>
              <w:t>High, favours tolvaptan</w:t>
            </w:r>
          </w:p>
        </w:tc>
      </w:tr>
    </w:tbl>
    <w:p w:rsidR="008F5F59" w:rsidRPr="009D5D92" w:rsidRDefault="001B1822" w:rsidP="008B4B29">
      <w:pPr>
        <w:pStyle w:val="TableFooter"/>
        <w:keepNext/>
        <w:widowControl/>
      </w:pPr>
      <w:r w:rsidRPr="009D5D92">
        <w:t>Source: compiled during the evaluation.</w:t>
      </w:r>
    </w:p>
    <w:p w:rsidR="008F5F59" w:rsidRDefault="008F5F59" w:rsidP="0086251F">
      <w:pPr>
        <w:pStyle w:val="ListParagraph"/>
        <w:widowControl/>
        <w:numPr>
          <w:ilvl w:val="1"/>
          <w:numId w:val="3"/>
        </w:numPr>
        <w:spacing w:before="120" w:after="120"/>
        <w:ind w:left="720"/>
      </w:pPr>
      <w:r w:rsidRPr="00995D69">
        <w:t>The table below</w:t>
      </w:r>
      <w:r w:rsidRPr="007F03CB">
        <w:t xml:space="preserve"> summarise</w:t>
      </w:r>
      <w:r w:rsidR="0086251F">
        <w:t>s</w:t>
      </w:r>
      <w:r w:rsidRPr="00995D69">
        <w:t xml:space="preserve"> the results of the modelled economic evaluation for the analyses based on TEMPO 3:4 and REPRISE ITT populations and efficacy; </w:t>
      </w:r>
      <w:r w:rsidR="00995D69" w:rsidRPr="00995D69">
        <w:t xml:space="preserve">and </w:t>
      </w:r>
      <w:r w:rsidRPr="00995D69">
        <w:t>the analyses based on TEMPO 3:4 and REPRISE populations selected for PBS eligibility and efficacy based on CKD 2-3</w:t>
      </w:r>
      <w:r w:rsidR="000E267A">
        <w:t xml:space="preserve"> (resubmission’s base case)</w:t>
      </w:r>
      <w:r w:rsidRPr="00995D69">
        <w:t>.</w:t>
      </w:r>
    </w:p>
    <w:p w:rsidR="009C6646" w:rsidRPr="00995D69" w:rsidRDefault="009C6646" w:rsidP="008B4B29">
      <w:pPr>
        <w:widowControl/>
      </w:pPr>
    </w:p>
    <w:p w:rsidR="008F5F59" w:rsidRDefault="008F5F59" w:rsidP="008B4B29">
      <w:pPr>
        <w:keepNext/>
        <w:widowControl/>
      </w:pPr>
      <w:r>
        <w:rPr>
          <w:rStyle w:val="CommentReference"/>
        </w:rPr>
        <w:lastRenderedPageBreak/>
        <w:t xml:space="preserve">Table </w:t>
      </w:r>
      <w:r w:rsidR="00D320B2">
        <w:rPr>
          <w:rStyle w:val="CommentReference"/>
        </w:rPr>
        <w:t>12</w:t>
      </w:r>
      <w:r w:rsidRPr="001222FC">
        <w:rPr>
          <w:rStyle w:val="CommentReference"/>
        </w:rPr>
        <w:t xml:space="preserve">: Results of the </w:t>
      </w:r>
      <w:r>
        <w:rPr>
          <w:rStyle w:val="CommentReference"/>
        </w:rPr>
        <w:t>modelled</w:t>
      </w:r>
      <w:r w:rsidRPr="001222FC">
        <w:rPr>
          <w:rStyle w:val="CommentReference"/>
        </w:rPr>
        <w:t xml:space="preserv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77"/>
        <w:gridCol w:w="2102"/>
        <w:gridCol w:w="2102"/>
        <w:gridCol w:w="2102"/>
      </w:tblGrid>
      <w:tr w:rsidR="008F5F59" w:rsidRPr="00597BF9" w:rsidTr="009E698C">
        <w:trPr>
          <w:tblHeader/>
        </w:trPr>
        <w:tc>
          <w:tcPr>
            <w:tcW w:w="1529" w:type="pct"/>
            <w:vAlign w:val="center"/>
          </w:tcPr>
          <w:p w:rsidR="008F5F59" w:rsidRPr="00597BF9" w:rsidRDefault="008F5F59" w:rsidP="008B4B29">
            <w:pPr>
              <w:pStyle w:val="Tabletext"/>
              <w:keepNext/>
              <w:rPr>
                <w:b/>
              </w:rPr>
            </w:pPr>
            <w:r>
              <w:rPr>
                <w:b/>
              </w:rPr>
              <w:t>Analysis</w:t>
            </w:r>
          </w:p>
        </w:tc>
        <w:tc>
          <w:tcPr>
            <w:tcW w:w="1157" w:type="pct"/>
            <w:vAlign w:val="center"/>
          </w:tcPr>
          <w:p w:rsidR="008F5F59" w:rsidRPr="00597BF9" w:rsidRDefault="008F5F59" w:rsidP="008B4B29">
            <w:pPr>
              <w:pStyle w:val="Tabletext"/>
              <w:keepNext/>
              <w:jc w:val="center"/>
              <w:rPr>
                <w:b/>
              </w:rPr>
            </w:pPr>
            <w:r>
              <w:rPr>
                <w:b/>
              </w:rPr>
              <w:t>Tolvaptan</w:t>
            </w:r>
          </w:p>
        </w:tc>
        <w:tc>
          <w:tcPr>
            <w:tcW w:w="1157" w:type="pct"/>
            <w:vAlign w:val="center"/>
          </w:tcPr>
          <w:p w:rsidR="008F5F59" w:rsidRPr="00597BF9" w:rsidRDefault="008F5F59" w:rsidP="008B4B29">
            <w:pPr>
              <w:pStyle w:val="Tabletext"/>
              <w:keepNext/>
              <w:jc w:val="center"/>
              <w:rPr>
                <w:b/>
              </w:rPr>
            </w:pPr>
            <w:r>
              <w:rPr>
                <w:b/>
              </w:rPr>
              <w:t>Placebo</w:t>
            </w:r>
          </w:p>
        </w:tc>
        <w:tc>
          <w:tcPr>
            <w:tcW w:w="1157" w:type="pct"/>
            <w:vAlign w:val="center"/>
          </w:tcPr>
          <w:p w:rsidR="008F5F59" w:rsidRPr="00597BF9" w:rsidRDefault="008F5F59" w:rsidP="008B4B29">
            <w:pPr>
              <w:pStyle w:val="Tabletext"/>
              <w:keepNext/>
              <w:jc w:val="center"/>
              <w:rPr>
                <w:b/>
              </w:rPr>
            </w:pPr>
            <w:r w:rsidRPr="00597BF9">
              <w:rPr>
                <w:b/>
              </w:rPr>
              <w:t>Increment</w:t>
            </w:r>
          </w:p>
        </w:tc>
      </w:tr>
      <w:tr w:rsidR="008F5F59" w:rsidRPr="00D1078F" w:rsidTr="009E698C">
        <w:tc>
          <w:tcPr>
            <w:tcW w:w="5000" w:type="pct"/>
            <w:gridSpan w:val="4"/>
            <w:vAlign w:val="center"/>
          </w:tcPr>
          <w:p w:rsidR="008F5F59" w:rsidRPr="00597BF9" w:rsidRDefault="008F5F59" w:rsidP="008B4B29">
            <w:pPr>
              <w:pStyle w:val="Tabletext"/>
              <w:keepNext/>
              <w:rPr>
                <w:b/>
                <w:snapToGrid w:val="0"/>
              </w:rPr>
            </w:pPr>
            <w:r>
              <w:rPr>
                <w:b/>
                <w:snapToGrid w:val="0"/>
              </w:rPr>
              <w:t>TEMPO 3:4 ITT population and efficacy</w:t>
            </w:r>
          </w:p>
        </w:tc>
      </w:tr>
      <w:tr w:rsidR="008F5F59" w:rsidRPr="00E2771E" w:rsidTr="009E698C">
        <w:tc>
          <w:tcPr>
            <w:tcW w:w="1529" w:type="pct"/>
            <w:vAlign w:val="center"/>
          </w:tcPr>
          <w:p w:rsidR="008F5F59" w:rsidRPr="00E2771E" w:rsidRDefault="008F5F59" w:rsidP="008B4B29">
            <w:pPr>
              <w:pStyle w:val="Tabletext"/>
              <w:keepNext/>
              <w:rPr>
                <w:rFonts w:ascii="Times" w:hAnsi="Times"/>
              </w:rPr>
            </w:pPr>
            <w:r w:rsidRPr="00E2771E">
              <w:t>Costs</w:t>
            </w:r>
          </w:p>
        </w:tc>
        <w:tc>
          <w:tcPr>
            <w:tcW w:w="1157" w:type="pct"/>
            <w:vAlign w:val="center"/>
          </w:tcPr>
          <w:p w:rsidR="008F5F59" w:rsidRPr="00E2771E" w:rsidRDefault="008F5F59" w:rsidP="008B4B29">
            <w:pPr>
              <w:pStyle w:val="Tabletext"/>
              <w:keepNext/>
              <w:jc w:val="center"/>
              <w:rPr>
                <w:rFonts w:ascii="Times" w:hAnsi="Times"/>
              </w:rPr>
            </w:pPr>
            <w:r w:rsidRPr="000A4817">
              <w:rPr>
                <w:szCs w:val="20"/>
              </w:rPr>
              <w:t>$</w:t>
            </w:r>
            <w:r w:rsidR="00A00758">
              <w:rPr>
                <w:noProof/>
                <w:color w:val="000000"/>
                <w:szCs w:val="20"/>
                <w:highlight w:val="black"/>
              </w:rPr>
              <w:t>''''''''''''''''''</w:t>
            </w:r>
          </w:p>
        </w:tc>
        <w:tc>
          <w:tcPr>
            <w:tcW w:w="1157" w:type="pct"/>
            <w:vAlign w:val="center"/>
          </w:tcPr>
          <w:p w:rsidR="008F5F59" w:rsidRPr="00E2771E" w:rsidRDefault="008F5F59" w:rsidP="008B4B29">
            <w:pPr>
              <w:pStyle w:val="Tabletext"/>
              <w:keepNext/>
              <w:jc w:val="center"/>
              <w:rPr>
                <w:rFonts w:ascii="Times" w:hAnsi="Times"/>
              </w:rPr>
            </w:pPr>
            <w:r w:rsidRPr="000A4817">
              <w:rPr>
                <w:szCs w:val="20"/>
              </w:rPr>
              <w:t>$</w:t>
            </w:r>
            <w:r w:rsidR="00A00758">
              <w:rPr>
                <w:noProof/>
                <w:color w:val="000000"/>
                <w:szCs w:val="20"/>
                <w:highlight w:val="black"/>
              </w:rPr>
              <w:t>'''''''''''''''''''''</w:t>
            </w:r>
          </w:p>
        </w:tc>
        <w:tc>
          <w:tcPr>
            <w:tcW w:w="1157" w:type="pct"/>
            <w:vAlign w:val="center"/>
          </w:tcPr>
          <w:p w:rsidR="008F5F59" w:rsidRPr="00E2771E" w:rsidRDefault="008F5F59" w:rsidP="008B4B29">
            <w:pPr>
              <w:pStyle w:val="Tabletext"/>
              <w:keepNext/>
              <w:jc w:val="center"/>
              <w:rPr>
                <w:rFonts w:ascii="Times" w:hAnsi="Times"/>
              </w:rPr>
            </w:pPr>
            <w:r w:rsidRPr="000A4817">
              <w:rPr>
                <w:szCs w:val="20"/>
              </w:rPr>
              <w:t>$</w:t>
            </w:r>
            <w:r w:rsidR="00A00758">
              <w:rPr>
                <w:noProof/>
                <w:color w:val="000000"/>
                <w:szCs w:val="20"/>
                <w:highlight w:val="black"/>
              </w:rPr>
              <w:t>'''''''''''''''''</w:t>
            </w:r>
          </w:p>
        </w:tc>
      </w:tr>
      <w:tr w:rsidR="008F5F59" w:rsidRPr="00E2771E" w:rsidTr="009E698C">
        <w:tc>
          <w:tcPr>
            <w:tcW w:w="1529" w:type="pct"/>
            <w:vAlign w:val="center"/>
          </w:tcPr>
          <w:p w:rsidR="008F5F59" w:rsidRPr="00E2771E" w:rsidRDefault="008F5F59" w:rsidP="008B4B29">
            <w:pPr>
              <w:pStyle w:val="Tabletext"/>
              <w:keepNext/>
              <w:rPr>
                <w:rFonts w:ascii="Times" w:hAnsi="Times"/>
              </w:rPr>
            </w:pPr>
            <w:r>
              <w:t>QALYs</w:t>
            </w:r>
          </w:p>
        </w:tc>
        <w:tc>
          <w:tcPr>
            <w:tcW w:w="1157" w:type="pct"/>
            <w:vAlign w:val="center"/>
          </w:tcPr>
          <w:p w:rsidR="008F5F59" w:rsidRPr="00E2771E" w:rsidRDefault="008F5F59" w:rsidP="008B4B29">
            <w:pPr>
              <w:pStyle w:val="Tabletext"/>
              <w:keepNext/>
              <w:jc w:val="center"/>
              <w:rPr>
                <w:rFonts w:ascii="Times" w:hAnsi="Times"/>
              </w:rPr>
            </w:pPr>
            <w:r w:rsidRPr="000A4817">
              <w:rPr>
                <w:szCs w:val="20"/>
              </w:rPr>
              <w:t>13.3259</w:t>
            </w:r>
          </w:p>
        </w:tc>
        <w:tc>
          <w:tcPr>
            <w:tcW w:w="1157" w:type="pct"/>
            <w:vAlign w:val="center"/>
          </w:tcPr>
          <w:p w:rsidR="008F5F59" w:rsidRPr="00E2771E" w:rsidRDefault="008F5F59" w:rsidP="008B4B29">
            <w:pPr>
              <w:pStyle w:val="Tabletext"/>
              <w:keepNext/>
              <w:jc w:val="center"/>
              <w:rPr>
                <w:rFonts w:ascii="Times" w:hAnsi="Times"/>
              </w:rPr>
            </w:pPr>
            <w:r w:rsidRPr="000A4817">
              <w:rPr>
                <w:szCs w:val="20"/>
              </w:rPr>
              <w:t>12.9842</w:t>
            </w:r>
          </w:p>
        </w:tc>
        <w:tc>
          <w:tcPr>
            <w:tcW w:w="1157" w:type="pct"/>
            <w:vAlign w:val="center"/>
          </w:tcPr>
          <w:p w:rsidR="008F5F59" w:rsidRPr="00E2771E" w:rsidRDefault="008F5F59" w:rsidP="008B4B29">
            <w:pPr>
              <w:pStyle w:val="Tabletext"/>
              <w:keepNext/>
              <w:jc w:val="center"/>
            </w:pPr>
            <w:r w:rsidRPr="000A4817">
              <w:rPr>
                <w:szCs w:val="20"/>
              </w:rPr>
              <w:t>0.3417</w:t>
            </w:r>
          </w:p>
        </w:tc>
      </w:tr>
      <w:tr w:rsidR="008F5F59" w:rsidRPr="00E2771E" w:rsidTr="009E698C">
        <w:tc>
          <w:tcPr>
            <w:tcW w:w="3843" w:type="pct"/>
            <w:gridSpan w:val="3"/>
            <w:vAlign w:val="center"/>
          </w:tcPr>
          <w:p w:rsidR="008F5F59" w:rsidRPr="00E2771E" w:rsidRDefault="008F5F59" w:rsidP="008B4B29">
            <w:pPr>
              <w:pStyle w:val="Tabletext"/>
              <w:keepNext/>
              <w:rPr>
                <w:rFonts w:ascii="Times" w:hAnsi="Times"/>
                <w:snapToGrid w:val="0"/>
              </w:rPr>
            </w:pPr>
            <w:r w:rsidRPr="00E2771E">
              <w:t>Incremental cost/</w:t>
            </w:r>
            <w:r>
              <w:t>QALY gained</w:t>
            </w:r>
          </w:p>
        </w:tc>
        <w:tc>
          <w:tcPr>
            <w:tcW w:w="1157" w:type="pct"/>
            <w:vAlign w:val="center"/>
          </w:tcPr>
          <w:p w:rsidR="008F5F59" w:rsidRPr="00E2771E" w:rsidRDefault="008F5F59" w:rsidP="008B4B29">
            <w:pPr>
              <w:pStyle w:val="Tabletext"/>
              <w:keepNext/>
              <w:jc w:val="center"/>
              <w:rPr>
                <w:rFonts w:ascii="Times" w:hAnsi="Times"/>
              </w:rPr>
            </w:pPr>
            <w:r w:rsidRPr="000A4817">
              <w:rPr>
                <w:szCs w:val="20"/>
              </w:rPr>
              <w:t>$</w:t>
            </w:r>
            <w:r w:rsidR="00A00758">
              <w:rPr>
                <w:noProof/>
                <w:color w:val="000000"/>
                <w:szCs w:val="20"/>
                <w:highlight w:val="black"/>
              </w:rPr>
              <w:t>'''''''''''''''''''</w:t>
            </w:r>
          </w:p>
        </w:tc>
      </w:tr>
      <w:tr w:rsidR="008F5F59" w:rsidRPr="00D1078F" w:rsidTr="009E698C">
        <w:tc>
          <w:tcPr>
            <w:tcW w:w="5000" w:type="pct"/>
            <w:gridSpan w:val="4"/>
            <w:vAlign w:val="center"/>
          </w:tcPr>
          <w:p w:rsidR="008F5F59" w:rsidRPr="00597BF9" w:rsidRDefault="008F5F59" w:rsidP="008B4B29">
            <w:pPr>
              <w:pStyle w:val="Tabletext"/>
              <w:keepNext/>
              <w:rPr>
                <w:b/>
                <w:snapToGrid w:val="0"/>
              </w:rPr>
            </w:pPr>
            <w:r>
              <w:rPr>
                <w:b/>
                <w:snapToGrid w:val="0"/>
              </w:rPr>
              <w:t>REPRISE ITT population and efficacy</w:t>
            </w:r>
          </w:p>
        </w:tc>
      </w:tr>
      <w:tr w:rsidR="008F5F59" w:rsidRPr="00E2771E" w:rsidTr="009E698C">
        <w:tc>
          <w:tcPr>
            <w:tcW w:w="1529" w:type="pct"/>
            <w:vAlign w:val="center"/>
          </w:tcPr>
          <w:p w:rsidR="008F5F59" w:rsidRPr="00E2771E" w:rsidRDefault="008F5F59" w:rsidP="008B4B29">
            <w:pPr>
              <w:pStyle w:val="Tabletext"/>
              <w:keepNext/>
              <w:rPr>
                <w:rFonts w:ascii="Times" w:hAnsi="Times"/>
              </w:rPr>
            </w:pPr>
            <w:r w:rsidRPr="00E2771E">
              <w:t>Costs</w:t>
            </w:r>
          </w:p>
        </w:tc>
        <w:tc>
          <w:tcPr>
            <w:tcW w:w="1157" w:type="pct"/>
            <w:vAlign w:val="center"/>
          </w:tcPr>
          <w:p w:rsidR="008F5F59" w:rsidRPr="00E2771E" w:rsidRDefault="008F5F59" w:rsidP="008B4B29">
            <w:pPr>
              <w:pStyle w:val="Tabletext"/>
              <w:keepNext/>
              <w:jc w:val="center"/>
              <w:rPr>
                <w:rFonts w:ascii="Times" w:hAnsi="Times"/>
              </w:rPr>
            </w:pPr>
            <w:r>
              <w:rPr>
                <w:szCs w:val="20"/>
              </w:rPr>
              <w:t>$</w:t>
            </w:r>
            <w:r w:rsidR="00A00758">
              <w:rPr>
                <w:noProof/>
                <w:color w:val="000000"/>
                <w:szCs w:val="20"/>
                <w:highlight w:val="black"/>
              </w:rPr>
              <w:t>'''''''''''''''''''</w:t>
            </w:r>
          </w:p>
        </w:tc>
        <w:tc>
          <w:tcPr>
            <w:tcW w:w="1157" w:type="pct"/>
            <w:vAlign w:val="center"/>
          </w:tcPr>
          <w:p w:rsidR="008F5F59" w:rsidRPr="00E2771E" w:rsidRDefault="008F5F59" w:rsidP="008B4B29">
            <w:pPr>
              <w:pStyle w:val="Tabletext"/>
              <w:keepNext/>
              <w:jc w:val="center"/>
              <w:rPr>
                <w:rFonts w:ascii="Times" w:hAnsi="Times"/>
              </w:rPr>
            </w:pPr>
            <w:r>
              <w:rPr>
                <w:szCs w:val="20"/>
              </w:rPr>
              <w:t>$</w:t>
            </w:r>
            <w:r w:rsidR="00A00758">
              <w:rPr>
                <w:noProof/>
                <w:color w:val="000000"/>
                <w:szCs w:val="20"/>
                <w:highlight w:val="black"/>
              </w:rPr>
              <w:t>''''''''''''''''''''</w:t>
            </w:r>
          </w:p>
        </w:tc>
        <w:tc>
          <w:tcPr>
            <w:tcW w:w="1157" w:type="pct"/>
            <w:vAlign w:val="center"/>
          </w:tcPr>
          <w:p w:rsidR="008F5F59" w:rsidRPr="00E2771E" w:rsidRDefault="008F5F59" w:rsidP="008B4B29">
            <w:pPr>
              <w:pStyle w:val="Tabletext"/>
              <w:keepNext/>
              <w:jc w:val="center"/>
              <w:rPr>
                <w:rFonts w:ascii="Times" w:hAnsi="Times"/>
              </w:rPr>
            </w:pPr>
            <w:r>
              <w:rPr>
                <w:szCs w:val="20"/>
              </w:rPr>
              <w:t>$</w:t>
            </w:r>
            <w:r w:rsidR="00A00758">
              <w:rPr>
                <w:noProof/>
                <w:color w:val="000000"/>
                <w:szCs w:val="20"/>
                <w:highlight w:val="black"/>
              </w:rPr>
              <w:t>'''''''''''''''''</w:t>
            </w:r>
          </w:p>
        </w:tc>
      </w:tr>
      <w:tr w:rsidR="008F5F59" w:rsidRPr="00E2771E" w:rsidTr="009E698C">
        <w:tc>
          <w:tcPr>
            <w:tcW w:w="1529" w:type="pct"/>
            <w:vAlign w:val="center"/>
          </w:tcPr>
          <w:p w:rsidR="008F5F59" w:rsidRPr="00E2771E" w:rsidRDefault="008F5F59" w:rsidP="008B4B29">
            <w:pPr>
              <w:pStyle w:val="Tabletext"/>
              <w:keepNext/>
              <w:rPr>
                <w:rFonts w:ascii="Times" w:hAnsi="Times"/>
              </w:rPr>
            </w:pPr>
            <w:r>
              <w:t>QALYs</w:t>
            </w:r>
          </w:p>
        </w:tc>
        <w:tc>
          <w:tcPr>
            <w:tcW w:w="1157" w:type="pct"/>
            <w:vAlign w:val="center"/>
          </w:tcPr>
          <w:p w:rsidR="008F5F59" w:rsidRPr="00E2771E" w:rsidRDefault="008F5F59" w:rsidP="008B4B29">
            <w:pPr>
              <w:pStyle w:val="Tabletext"/>
              <w:keepNext/>
              <w:jc w:val="center"/>
              <w:rPr>
                <w:rFonts w:ascii="Times" w:hAnsi="Times"/>
              </w:rPr>
            </w:pPr>
            <w:r>
              <w:rPr>
                <w:szCs w:val="20"/>
              </w:rPr>
              <w:t>10.3675</w:t>
            </w:r>
          </w:p>
        </w:tc>
        <w:tc>
          <w:tcPr>
            <w:tcW w:w="1157" w:type="pct"/>
            <w:vAlign w:val="center"/>
          </w:tcPr>
          <w:p w:rsidR="008F5F59" w:rsidRPr="00E2771E" w:rsidRDefault="008F5F59" w:rsidP="008B4B29">
            <w:pPr>
              <w:pStyle w:val="Tabletext"/>
              <w:keepNext/>
              <w:jc w:val="center"/>
              <w:rPr>
                <w:rFonts w:ascii="Times" w:hAnsi="Times"/>
              </w:rPr>
            </w:pPr>
            <w:r>
              <w:rPr>
                <w:szCs w:val="20"/>
              </w:rPr>
              <w:t>9.9737</w:t>
            </w:r>
          </w:p>
        </w:tc>
        <w:tc>
          <w:tcPr>
            <w:tcW w:w="1157" w:type="pct"/>
            <w:vAlign w:val="center"/>
          </w:tcPr>
          <w:p w:rsidR="008F5F59" w:rsidRPr="00E2771E" w:rsidRDefault="008F5F59" w:rsidP="008B4B29">
            <w:pPr>
              <w:pStyle w:val="Tabletext"/>
              <w:keepNext/>
              <w:jc w:val="center"/>
            </w:pPr>
            <w:r>
              <w:rPr>
                <w:szCs w:val="20"/>
              </w:rPr>
              <w:t>0.3939</w:t>
            </w:r>
          </w:p>
        </w:tc>
      </w:tr>
      <w:tr w:rsidR="008F5F59" w:rsidRPr="00EE64D8" w:rsidTr="009E698C">
        <w:tc>
          <w:tcPr>
            <w:tcW w:w="3843" w:type="pct"/>
            <w:gridSpan w:val="3"/>
            <w:vAlign w:val="center"/>
          </w:tcPr>
          <w:p w:rsidR="008F5F59" w:rsidRPr="00EE64D8" w:rsidRDefault="008F5F59" w:rsidP="008B4B29">
            <w:pPr>
              <w:pStyle w:val="Tabletext"/>
              <w:keepNext/>
              <w:rPr>
                <w:rFonts w:ascii="Times" w:hAnsi="Times"/>
                <w:snapToGrid w:val="0"/>
              </w:rPr>
            </w:pPr>
            <w:r w:rsidRPr="00E2771E">
              <w:t>Incremental cost/</w:t>
            </w:r>
            <w:r>
              <w:t>QALY gained</w:t>
            </w:r>
          </w:p>
        </w:tc>
        <w:tc>
          <w:tcPr>
            <w:tcW w:w="1157" w:type="pct"/>
          </w:tcPr>
          <w:p w:rsidR="008F5F59" w:rsidRPr="00EE64D8" w:rsidRDefault="008F5F59" w:rsidP="008B4B29">
            <w:pPr>
              <w:pStyle w:val="Tabletext"/>
              <w:keepNext/>
              <w:jc w:val="center"/>
              <w:rPr>
                <w:rFonts w:ascii="Times" w:hAnsi="Times"/>
              </w:rPr>
            </w:pPr>
            <w:r>
              <w:rPr>
                <w:szCs w:val="20"/>
              </w:rPr>
              <w:t>$</w:t>
            </w:r>
            <w:r w:rsidR="00A00758">
              <w:rPr>
                <w:noProof/>
                <w:color w:val="000000"/>
                <w:szCs w:val="20"/>
                <w:highlight w:val="black"/>
              </w:rPr>
              <w:t>''''''''''''''''</w:t>
            </w:r>
          </w:p>
        </w:tc>
      </w:tr>
      <w:tr w:rsidR="008F5F59" w:rsidRPr="00D1078F" w:rsidTr="009E698C">
        <w:tc>
          <w:tcPr>
            <w:tcW w:w="5000" w:type="pct"/>
            <w:gridSpan w:val="4"/>
            <w:vAlign w:val="center"/>
          </w:tcPr>
          <w:p w:rsidR="008F5F59" w:rsidRPr="00645853" w:rsidRDefault="008F5F59" w:rsidP="008B4B29">
            <w:pPr>
              <w:pStyle w:val="Tabletext"/>
              <w:keepNext/>
              <w:rPr>
                <w:b/>
                <w:snapToGrid w:val="0"/>
              </w:rPr>
            </w:pPr>
            <w:r>
              <w:rPr>
                <w:b/>
                <w:snapToGrid w:val="0"/>
              </w:rPr>
              <w:t>TEMPO 3:4 PBS eligibility population and C</w:t>
            </w:r>
            <w:r w:rsidR="0006266B">
              <w:rPr>
                <w:b/>
                <w:snapToGrid w:val="0"/>
              </w:rPr>
              <w:t>KD</w:t>
            </w:r>
            <w:r>
              <w:rPr>
                <w:b/>
                <w:snapToGrid w:val="0"/>
              </w:rPr>
              <w:t xml:space="preserve"> stage 2-3 efficacy</w:t>
            </w:r>
          </w:p>
        </w:tc>
      </w:tr>
      <w:tr w:rsidR="008F5F59" w:rsidRPr="00E2771E" w:rsidTr="009E698C">
        <w:tc>
          <w:tcPr>
            <w:tcW w:w="1529" w:type="pct"/>
            <w:vAlign w:val="center"/>
          </w:tcPr>
          <w:p w:rsidR="008F5F59" w:rsidRPr="00E2771E" w:rsidRDefault="008F5F59" w:rsidP="008B4B29">
            <w:pPr>
              <w:pStyle w:val="Tabletext"/>
              <w:keepNext/>
              <w:rPr>
                <w:rFonts w:ascii="Times" w:hAnsi="Times"/>
              </w:rPr>
            </w:pPr>
            <w:r w:rsidRPr="00E2771E">
              <w:t>Costs</w:t>
            </w:r>
          </w:p>
        </w:tc>
        <w:tc>
          <w:tcPr>
            <w:tcW w:w="1157" w:type="pct"/>
            <w:vAlign w:val="center"/>
          </w:tcPr>
          <w:p w:rsidR="008F5F59" w:rsidRPr="00E2771E" w:rsidRDefault="008F5F59" w:rsidP="008B4B29">
            <w:pPr>
              <w:pStyle w:val="Tabletext"/>
              <w:keepNext/>
              <w:jc w:val="center"/>
              <w:rPr>
                <w:rFonts w:ascii="Times" w:hAnsi="Times"/>
              </w:rPr>
            </w:pPr>
            <w:r>
              <w:t>$</w:t>
            </w:r>
            <w:r w:rsidR="00A00758">
              <w:rPr>
                <w:noProof/>
                <w:color w:val="000000"/>
                <w:highlight w:val="black"/>
              </w:rPr>
              <w:t>''''''''''''''''''</w:t>
            </w:r>
          </w:p>
        </w:tc>
        <w:tc>
          <w:tcPr>
            <w:tcW w:w="1157" w:type="pct"/>
            <w:vAlign w:val="center"/>
          </w:tcPr>
          <w:p w:rsidR="008F5F59" w:rsidRPr="00E2771E" w:rsidRDefault="008F5F59" w:rsidP="008B4B29">
            <w:pPr>
              <w:pStyle w:val="Tabletext"/>
              <w:keepNext/>
              <w:jc w:val="center"/>
              <w:rPr>
                <w:rFonts w:ascii="Times" w:hAnsi="Times"/>
              </w:rPr>
            </w:pPr>
            <w:r>
              <w:t>$</w:t>
            </w:r>
            <w:r w:rsidR="00A00758">
              <w:rPr>
                <w:noProof/>
                <w:color w:val="000000"/>
                <w:highlight w:val="black"/>
              </w:rPr>
              <w:t>'''''''''''''''''</w:t>
            </w:r>
          </w:p>
        </w:tc>
        <w:tc>
          <w:tcPr>
            <w:tcW w:w="1157" w:type="pct"/>
            <w:vAlign w:val="center"/>
          </w:tcPr>
          <w:p w:rsidR="008F5F59" w:rsidRPr="00E2771E" w:rsidRDefault="008F5F59" w:rsidP="008B4B29">
            <w:pPr>
              <w:pStyle w:val="Tabletext"/>
              <w:keepNext/>
              <w:jc w:val="center"/>
              <w:rPr>
                <w:rFonts w:ascii="Times" w:hAnsi="Times"/>
              </w:rPr>
            </w:pPr>
            <w:r w:rsidRPr="00940E48">
              <w:t>$</w:t>
            </w:r>
            <w:r w:rsidR="00A00758">
              <w:rPr>
                <w:noProof/>
                <w:color w:val="000000"/>
                <w:highlight w:val="black"/>
              </w:rPr>
              <w:t>'''''''''''''''''</w:t>
            </w:r>
          </w:p>
        </w:tc>
      </w:tr>
      <w:tr w:rsidR="008F5F59" w:rsidRPr="00E2771E" w:rsidTr="009E698C">
        <w:tc>
          <w:tcPr>
            <w:tcW w:w="1529" w:type="pct"/>
            <w:vAlign w:val="center"/>
          </w:tcPr>
          <w:p w:rsidR="008F5F59" w:rsidRPr="00E2771E" w:rsidRDefault="008F5F59" w:rsidP="008B4B29">
            <w:pPr>
              <w:pStyle w:val="Tabletext"/>
              <w:keepNext/>
              <w:rPr>
                <w:rFonts w:ascii="Times" w:hAnsi="Times"/>
              </w:rPr>
            </w:pPr>
            <w:r>
              <w:t>QALYs</w:t>
            </w:r>
          </w:p>
        </w:tc>
        <w:tc>
          <w:tcPr>
            <w:tcW w:w="1157" w:type="pct"/>
            <w:vAlign w:val="center"/>
          </w:tcPr>
          <w:p w:rsidR="008F5F59" w:rsidRPr="00E2771E" w:rsidRDefault="008F5F59" w:rsidP="008B4B29">
            <w:pPr>
              <w:pStyle w:val="Tabletext"/>
              <w:keepNext/>
              <w:jc w:val="center"/>
              <w:rPr>
                <w:rFonts w:ascii="Times" w:hAnsi="Times"/>
              </w:rPr>
            </w:pPr>
            <w:r w:rsidRPr="00940E48">
              <w:t>11.533</w:t>
            </w:r>
            <w:r>
              <w:t>2</w:t>
            </w:r>
          </w:p>
        </w:tc>
        <w:tc>
          <w:tcPr>
            <w:tcW w:w="1157" w:type="pct"/>
            <w:vAlign w:val="center"/>
          </w:tcPr>
          <w:p w:rsidR="008F5F59" w:rsidRPr="00E2771E" w:rsidRDefault="008F5F59" w:rsidP="008B4B29">
            <w:pPr>
              <w:pStyle w:val="Tabletext"/>
              <w:keepNext/>
              <w:jc w:val="center"/>
              <w:rPr>
                <w:rFonts w:ascii="Times" w:hAnsi="Times"/>
              </w:rPr>
            </w:pPr>
            <w:r>
              <w:t>10.9566</w:t>
            </w:r>
          </w:p>
        </w:tc>
        <w:tc>
          <w:tcPr>
            <w:tcW w:w="1157" w:type="pct"/>
            <w:vAlign w:val="center"/>
          </w:tcPr>
          <w:p w:rsidR="008F5F59" w:rsidRPr="00E2771E" w:rsidRDefault="008F5F59" w:rsidP="008B4B29">
            <w:pPr>
              <w:pStyle w:val="Tabletext"/>
              <w:keepNext/>
              <w:jc w:val="center"/>
            </w:pPr>
            <w:r w:rsidRPr="00940E48">
              <w:t>0.5766</w:t>
            </w:r>
          </w:p>
        </w:tc>
      </w:tr>
      <w:tr w:rsidR="008F5F59" w:rsidRPr="00E2771E" w:rsidTr="009E698C">
        <w:tc>
          <w:tcPr>
            <w:tcW w:w="3843" w:type="pct"/>
            <w:gridSpan w:val="3"/>
            <w:vAlign w:val="center"/>
          </w:tcPr>
          <w:p w:rsidR="008F5F59" w:rsidRPr="00E2771E" w:rsidRDefault="008F5F59" w:rsidP="008B4B29">
            <w:pPr>
              <w:pStyle w:val="Tabletext"/>
              <w:keepNext/>
              <w:rPr>
                <w:rFonts w:ascii="Times" w:hAnsi="Times"/>
              </w:rPr>
            </w:pPr>
            <w:r w:rsidRPr="00E2771E">
              <w:t>Incremental cost/</w:t>
            </w:r>
            <w:r>
              <w:t>QALY gained</w:t>
            </w:r>
          </w:p>
        </w:tc>
        <w:tc>
          <w:tcPr>
            <w:tcW w:w="1157" w:type="pct"/>
          </w:tcPr>
          <w:p w:rsidR="008F5F59" w:rsidRPr="00E2771E" w:rsidRDefault="008F5F59" w:rsidP="008B4B29">
            <w:pPr>
              <w:pStyle w:val="Tabletext"/>
              <w:keepNext/>
              <w:jc w:val="center"/>
              <w:rPr>
                <w:rFonts w:ascii="Times" w:hAnsi="Times"/>
              </w:rPr>
            </w:pPr>
            <w:r w:rsidRPr="00940E48">
              <w:t>$</w:t>
            </w:r>
            <w:r w:rsidR="00A00758">
              <w:rPr>
                <w:noProof/>
                <w:color w:val="000000"/>
                <w:highlight w:val="black"/>
              </w:rPr>
              <w:t>''''''''''''''''</w:t>
            </w:r>
          </w:p>
        </w:tc>
      </w:tr>
      <w:tr w:rsidR="008F5F59" w:rsidRPr="00D1078F" w:rsidTr="009E698C">
        <w:tc>
          <w:tcPr>
            <w:tcW w:w="5000" w:type="pct"/>
            <w:gridSpan w:val="4"/>
            <w:vAlign w:val="center"/>
          </w:tcPr>
          <w:p w:rsidR="008F5F59" w:rsidRPr="00597BF9" w:rsidRDefault="008F5F59" w:rsidP="008B4B29">
            <w:pPr>
              <w:pStyle w:val="Tabletext"/>
              <w:keepNext/>
              <w:rPr>
                <w:b/>
                <w:snapToGrid w:val="0"/>
              </w:rPr>
            </w:pPr>
            <w:r>
              <w:rPr>
                <w:b/>
                <w:snapToGrid w:val="0"/>
              </w:rPr>
              <w:t>REPRISE PBS eligibility population and C</w:t>
            </w:r>
            <w:r w:rsidR="0006266B">
              <w:rPr>
                <w:b/>
                <w:snapToGrid w:val="0"/>
              </w:rPr>
              <w:t>K</w:t>
            </w:r>
            <w:r>
              <w:rPr>
                <w:b/>
                <w:snapToGrid w:val="0"/>
              </w:rPr>
              <w:t>D stage 2-3 efficacy</w:t>
            </w:r>
          </w:p>
        </w:tc>
      </w:tr>
      <w:tr w:rsidR="008F5F59" w:rsidRPr="00E2771E" w:rsidTr="009E698C">
        <w:tc>
          <w:tcPr>
            <w:tcW w:w="1529" w:type="pct"/>
            <w:vAlign w:val="center"/>
          </w:tcPr>
          <w:p w:rsidR="008F5F59" w:rsidRPr="00E2771E" w:rsidRDefault="008F5F59" w:rsidP="008B4B29">
            <w:pPr>
              <w:pStyle w:val="Tabletext"/>
              <w:keepNext/>
              <w:rPr>
                <w:rFonts w:ascii="Times" w:hAnsi="Times"/>
              </w:rPr>
            </w:pPr>
            <w:r w:rsidRPr="00E2771E">
              <w:t>Costs</w:t>
            </w:r>
          </w:p>
        </w:tc>
        <w:tc>
          <w:tcPr>
            <w:tcW w:w="1157" w:type="pct"/>
            <w:vAlign w:val="center"/>
          </w:tcPr>
          <w:p w:rsidR="008F5F59" w:rsidRPr="00E2771E" w:rsidRDefault="008F5F59" w:rsidP="008B4B29">
            <w:pPr>
              <w:pStyle w:val="Tabletext"/>
              <w:keepNext/>
              <w:jc w:val="center"/>
              <w:rPr>
                <w:rFonts w:ascii="Times" w:hAnsi="Times"/>
              </w:rPr>
            </w:pPr>
            <w:r w:rsidRPr="00940E48">
              <w:t>$</w:t>
            </w:r>
            <w:r w:rsidR="00A00758">
              <w:rPr>
                <w:noProof/>
                <w:color w:val="000000"/>
                <w:highlight w:val="black"/>
              </w:rPr>
              <w:t>''''''''''''''''''</w:t>
            </w:r>
          </w:p>
        </w:tc>
        <w:tc>
          <w:tcPr>
            <w:tcW w:w="1157" w:type="pct"/>
            <w:vAlign w:val="center"/>
          </w:tcPr>
          <w:p w:rsidR="008F5F59" w:rsidRPr="00E2771E" w:rsidRDefault="008F5F59" w:rsidP="008B4B29">
            <w:pPr>
              <w:pStyle w:val="Tabletext"/>
              <w:keepNext/>
              <w:jc w:val="center"/>
              <w:rPr>
                <w:rFonts w:ascii="Times" w:hAnsi="Times"/>
              </w:rPr>
            </w:pPr>
            <w:r>
              <w:t>$</w:t>
            </w:r>
            <w:r w:rsidR="00A00758">
              <w:rPr>
                <w:noProof/>
                <w:color w:val="000000"/>
                <w:highlight w:val="black"/>
              </w:rPr>
              <w:t>'''''''''''''''''</w:t>
            </w:r>
          </w:p>
        </w:tc>
        <w:tc>
          <w:tcPr>
            <w:tcW w:w="1157" w:type="pct"/>
            <w:vAlign w:val="center"/>
          </w:tcPr>
          <w:p w:rsidR="008F5F59" w:rsidRPr="00E2771E" w:rsidRDefault="008F5F59" w:rsidP="008B4B29">
            <w:pPr>
              <w:pStyle w:val="Tabletext"/>
              <w:keepNext/>
              <w:jc w:val="center"/>
              <w:rPr>
                <w:rFonts w:ascii="Times" w:hAnsi="Times"/>
              </w:rPr>
            </w:pPr>
            <w:r>
              <w:t>-$</w:t>
            </w:r>
            <w:r w:rsidR="00A00758">
              <w:rPr>
                <w:noProof/>
                <w:color w:val="000000"/>
                <w:highlight w:val="black"/>
              </w:rPr>
              <w:t>''''''''''</w:t>
            </w:r>
          </w:p>
        </w:tc>
      </w:tr>
      <w:tr w:rsidR="008F5F59" w:rsidRPr="00E2771E" w:rsidTr="009E698C">
        <w:tc>
          <w:tcPr>
            <w:tcW w:w="1529" w:type="pct"/>
            <w:vAlign w:val="center"/>
          </w:tcPr>
          <w:p w:rsidR="008F5F59" w:rsidRPr="00E2771E" w:rsidRDefault="008F5F59" w:rsidP="008B4B29">
            <w:pPr>
              <w:pStyle w:val="Tabletext"/>
              <w:keepNext/>
              <w:rPr>
                <w:rFonts w:ascii="Times" w:hAnsi="Times"/>
              </w:rPr>
            </w:pPr>
            <w:r>
              <w:t>QALYs</w:t>
            </w:r>
          </w:p>
        </w:tc>
        <w:tc>
          <w:tcPr>
            <w:tcW w:w="1157" w:type="pct"/>
            <w:vAlign w:val="center"/>
          </w:tcPr>
          <w:p w:rsidR="008F5F59" w:rsidRPr="00E2771E" w:rsidRDefault="008F5F59" w:rsidP="008B4B29">
            <w:pPr>
              <w:pStyle w:val="Tabletext"/>
              <w:keepNext/>
              <w:jc w:val="center"/>
              <w:rPr>
                <w:rFonts w:ascii="Times" w:hAnsi="Times"/>
              </w:rPr>
            </w:pPr>
            <w:r w:rsidRPr="00940E48">
              <w:t>9.6281</w:t>
            </w:r>
          </w:p>
        </w:tc>
        <w:tc>
          <w:tcPr>
            <w:tcW w:w="1157" w:type="pct"/>
            <w:vAlign w:val="center"/>
          </w:tcPr>
          <w:p w:rsidR="008F5F59" w:rsidRPr="00E2771E" w:rsidRDefault="008F5F59" w:rsidP="008B4B29">
            <w:pPr>
              <w:pStyle w:val="Tabletext"/>
              <w:keepNext/>
              <w:jc w:val="center"/>
              <w:rPr>
                <w:rFonts w:ascii="Times" w:hAnsi="Times"/>
              </w:rPr>
            </w:pPr>
            <w:r w:rsidRPr="00940E48">
              <w:t>9.0478</w:t>
            </w:r>
          </w:p>
        </w:tc>
        <w:tc>
          <w:tcPr>
            <w:tcW w:w="1157" w:type="pct"/>
            <w:vAlign w:val="center"/>
          </w:tcPr>
          <w:p w:rsidR="008F5F59" w:rsidRPr="00E2771E" w:rsidRDefault="008F5F59" w:rsidP="008B4B29">
            <w:pPr>
              <w:pStyle w:val="Tabletext"/>
              <w:keepNext/>
              <w:jc w:val="center"/>
            </w:pPr>
            <w:r>
              <w:t>0.5803</w:t>
            </w:r>
          </w:p>
        </w:tc>
      </w:tr>
      <w:tr w:rsidR="008F5F59" w:rsidRPr="00E2771E" w:rsidTr="009E698C">
        <w:tc>
          <w:tcPr>
            <w:tcW w:w="3843" w:type="pct"/>
            <w:gridSpan w:val="3"/>
            <w:vAlign w:val="center"/>
          </w:tcPr>
          <w:p w:rsidR="008F5F59" w:rsidRPr="00E2771E" w:rsidRDefault="008F5F59" w:rsidP="008B4B29">
            <w:pPr>
              <w:pStyle w:val="Tabletext"/>
              <w:keepNext/>
              <w:rPr>
                <w:rFonts w:ascii="Times" w:hAnsi="Times"/>
              </w:rPr>
            </w:pPr>
            <w:r w:rsidRPr="00E2771E">
              <w:t>Incremental cost/</w:t>
            </w:r>
            <w:r>
              <w:t>QALY gained</w:t>
            </w:r>
          </w:p>
        </w:tc>
        <w:tc>
          <w:tcPr>
            <w:tcW w:w="1157" w:type="pct"/>
            <w:vAlign w:val="center"/>
          </w:tcPr>
          <w:p w:rsidR="008F5F59" w:rsidRPr="00A00758" w:rsidRDefault="00A00758" w:rsidP="008B4B29">
            <w:pPr>
              <w:pStyle w:val="Tabletext"/>
              <w:keepNext/>
              <w:jc w:val="center"/>
              <w:rPr>
                <w:rFonts w:ascii="Times" w:hAnsi="Times"/>
                <w:highlight w:val="black"/>
              </w:rPr>
            </w:pPr>
            <w:r>
              <w:rPr>
                <w:noProof/>
                <w:color w:val="000000"/>
                <w:highlight w:val="black"/>
              </w:rPr>
              <w:t>''''''''''''''''''''''' '''''''''''''''''''''''</w:t>
            </w:r>
          </w:p>
        </w:tc>
      </w:tr>
    </w:tbl>
    <w:p w:rsidR="008F5F59" w:rsidRDefault="008F5F59" w:rsidP="008B4B29">
      <w:pPr>
        <w:pStyle w:val="TableFooter"/>
        <w:keepNext/>
        <w:widowControl/>
      </w:pPr>
      <w:r>
        <w:t>Abbreviations: CK</w:t>
      </w:r>
      <w:r w:rsidR="0006266B">
        <w:t>D</w:t>
      </w:r>
      <w:r>
        <w:t>, chronic kidney disease; ITT, intention-to-treat; QALY, quality-adjusted life year</w:t>
      </w:r>
    </w:p>
    <w:p w:rsidR="00091C7A" w:rsidRDefault="00091C7A" w:rsidP="008B4B29">
      <w:pPr>
        <w:keepNext/>
        <w:widowControl/>
        <w:rPr>
          <w:rFonts w:ascii="Arial Narrow" w:hAnsi="Arial Narrow"/>
          <w:sz w:val="18"/>
          <w:szCs w:val="18"/>
        </w:rPr>
      </w:pPr>
      <w:r w:rsidRPr="003A2F6A">
        <w:rPr>
          <w:rFonts w:ascii="Arial Narrow" w:hAnsi="Arial Narrow"/>
          <w:sz w:val="18"/>
          <w:szCs w:val="18"/>
        </w:rPr>
        <w:t>Source: constructed during the evaluation using Tolvaptan November 2017 PBAC Section 3 TreeAge model</w:t>
      </w:r>
      <w:r>
        <w:rPr>
          <w:rFonts w:ascii="Arial Narrow" w:hAnsi="Arial Narrow"/>
          <w:sz w:val="18"/>
          <w:szCs w:val="18"/>
        </w:rPr>
        <w:t>.</w:t>
      </w:r>
    </w:p>
    <w:p w:rsidR="00F971B2" w:rsidRDefault="00F971B2" w:rsidP="008B4B29">
      <w:pPr>
        <w:keepNext/>
        <w:widowControl/>
        <w:rPr>
          <w:rFonts w:ascii="Arial Narrow" w:hAnsi="Arial Narrow"/>
          <w:sz w:val="18"/>
          <w:szCs w:val="18"/>
        </w:rPr>
      </w:pPr>
    </w:p>
    <w:p w:rsidR="008F5F59" w:rsidRDefault="00F971B2" w:rsidP="008B4B29">
      <w:pPr>
        <w:widowControl/>
      </w:pPr>
      <w:r w:rsidRPr="00F971B2">
        <w:t xml:space="preserve">The redacted table shows ICERs in the range </w:t>
      </w:r>
      <w:r w:rsidR="00EA27BB" w:rsidRPr="00EA27BB">
        <w:t>of</w:t>
      </w:r>
      <w:r w:rsidR="00EA27BB">
        <w:t xml:space="preserve"> less than $15,000/QALY</w:t>
      </w:r>
      <w:r w:rsidRPr="00F971B2">
        <w:t>– $200,000/QALY.</w:t>
      </w:r>
    </w:p>
    <w:p w:rsidR="008E2629" w:rsidRPr="007F03CB" w:rsidRDefault="008E2629" w:rsidP="0086251F">
      <w:pPr>
        <w:pStyle w:val="ListParagraph"/>
        <w:widowControl/>
        <w:numPr>
          <w:ilvl w:val="1"/>
          <w:numId w:val="3"/>
        </w:numPr>
        <w:spacing w:before="120" w:after="120"/>
        <w:ind w:left="720"/>
      </w:pPr>
      <w:r w:rsidRPr="007F03CB">
        <w:t xml:space="preserve">In the resubmission’s base case, using the TEMPO 3:4 </w:t>
      </w:r>
      <w:proofErr w:type="gramStart"/>
      <w:r w:rsidRPr="007F03CB">
        <w:t>population</w:t>
      </w:r>
      <w:proofErr w:type="gramEnd"/>
      <w:r w:rsidRPr="007F03CB">
        <w:t xml:space="preserve"> selected for PBS eligibility, tolvaptan was associated with an incremental cost per QALY gained of $</w:t>
      </w:r>
      <w:r w:rsidR="00F971B2">
        <w:t>15,000-$45,000</w:t>
      </w:r>
      <w:r w:rsidRPr="007F03CB">
        <w:t xml:space="preserve"> compared to placebo</w:t>
      </w:r>
      <w:r w:rsidR="001B1822" w:rsidRPr="007F03CB">
        <w:t>.</w:t>
      </w:r>
      <w:r w:rsidRPr="007F03CB">
        <w:t xml:space="preserve"> The incremental cost per QALY gained was $</w:t>
      </w:r>
      <w:r w:rsidR="00F971B2">
        <w:t>105,000-$200,000</w:t>
      </w:r>
      <w:r w:rsidRPr="007F03CB">
        <w:t xml:space="preserve"> in the broader trial population. </w:t>
      </w:r>
      <w:r w:rsidR="001B1822" w:rsidRPr="007F03CB">
        <w:t>The incremental cost per QALY gained was $</w:t>
      </w:r>
      <w:r w:rsidR="00F971B2">
        <w:t>45,000-$75,000</w:t>
      </w:r>
      <w:r w:rsidR="001B1822" w:rsidRPr="007F03CB">
        <w:t xml:space="preserve"> when </w:t>
      </w:r>
      <w:r w:rsidR="00E330CC" w:rsidRPr="007F03CB">
        <w:t xml:space="preserve">using ITT efficacy </w:t>
      </w:r>
      <w:r w:rsidR="001B1822" w:rsidRPr="007F03CB">
        <w:t>limited to PBS population 1 (see Table 14).</w:t>
      </w:r>
    </w:p>
    <w:p w:rsidR="009C6646" w:rsidRPr="007F03CB" w:rsidRDefault="006C2577" w:rsidP="0086251F">
      <w:pPr>
        <w:pStyle w:val="ListParagraph"/>
        <w:widowControl/>
        <w:numPr>
          <w:ilvl w:val="1"/>
          <w:numId w:val="3"/>
        </w:numPr>
        <w:spacing w:before="120" w:after="120"/>
        <w:ind w:left="720"/>
      </w:pPr>
      <w:r w:rsidRPr="007F03CB">
        <w:t xml:space="preserve">In the resubmission’s base case, using the REPRISE population selected for PBS eligibility, </w:t>
      </w:r>
      <w:r w:rsidR="008C2746" w:rsidRPr="008C2746">
        <w:t>tolvaptan</w:t>
      </w:r>
      <w:r w:rsidRPr="008C2746">
        <w:t xml:space="preserve"> was dominant (i.e. cheaper and more effective)</w:t>
      </w:r>
      <w:r w:rsidRPr="007F03CB">
        <w:t xml:space="preserve"> compared to placebo. The incremental cost per QALY gained was $</w:t>
      </w:r>
      <w:r w:rsidR="00F971B2">
        <w:t>45,000-$75,000</w:t>
      </w:r>
      <w:r w:rsidRPr="007F03CB">
        <w:t xml:space="preserve"> in the broader trial populati</w:t>
      </w:r>
      <w:r w:rsidR="008E2629" w:rsidRPr="007F03CB">
        <w:t>on</w:t>
      </w:r>
      <w:r w:rsidR="001B1822" w:rsidRPr="007F03CB">
        <w:t xml:space="preserve">. </w:t>
      </w:r>
      <w:r w:rsidR="00B84EFF" w:rsidRPr="007F03CB">
        <w:t>With ITT efficacy, t</w:t>
      </w:r>
      <w:r w:rsidR="001B1822" w:rsidRPr="007F03CB">
        <w:t>he incremental cost per QALY gained was $</w:t>
      </w:r>
      <w:r w:rsidR="00F971B2">
        <w:t>15,000-$45,000</w:t>
      </w:r>
      <w:r w:rsidR="001B1822" w:rsidRPr="007F03CB">
        <w:t xml:space="preserve"> when limited to PBS population 1, </w:t>
      </w:r>
      <w:r w:rsidR="00F971B2">
        <w:t>less than</w:t>
      </w:r>
      <w:r w:rsidR="001B1822" w:rsidRPr="007F03CB">
        <w:t>$</w:t>
      </w:r>
      <w:r w:rsidR="00F971B2">
        <w:t>15,000</w:t>
      </w:r>
      <w:r w:rsidR="001B1822" w:rsidRPr="007F03CB">
        <w:t xml:space="preserve"> when limited to PBS population 2, and $</w:t>
      </w:r>
      <w:r w:rsidR="00F971B2">
        <w:t>15,000-$45,000</w:t>
      </w:r>
      <w:r w:rsidR="001B1822" w:rsidRPr="007F03CB">
        <w:t xml:space="preserve"> when limited to PBS population 3 (see Table 15). </w:t>
      </w:r>
    </w:p>
    <w:p w:rsidR="009C6646" w:rsidRPr="007F03CB" w:rsidRDefault="006C2577" w:rsidP="0086251F">
      <w:pPr>
        <w:pStyle w:val="ListParagraph"/>
        <w:widowControl/>
        <w:numPr>
          <w:ilvl w:val="1"/>
          <w:numId w:val="3"/>
        </w:numPr>
        <w:spacing w:before="120" w:after="120"/>
        <w:ind w:left="709"/>
      </w:pPr>
      <w:r w:rsidRPr="007F03CB">
        <w:t>The main driver of the difference</w:t>
      </w:r>
      <w:r w:rsidR="008E2629" w:rsidRPr="007F03CB">
        <w:t>s</w:t>
      </w:r>
      <w:r w:rsidRPr="007F03CB">
        <w:t xml:space="preserve"> in cost-effectiveness </w:t>
      </w:r>
      <w:r w:rsidR="008E2629" w:rsidRPr="007F03CB">
        <w:t xml:space="preserve">between the whole trial population and the PBS eligibility population </w:t>
      </w:r>
      <w:r w:rsidRPr="007F03CB">
        <w:t>is the application of the definition of rapidly progressing disease. The strict definition of rapid disease progression applied in the model (annualised eGFR decline of ≥2.5 mL/min/1.73 m</w:t>
      </w:r>
      <w:r w:rsidRPr="0086251F">
        <w:rPr>
          <w:vertAlign w:val="superscript"/>
        </w:rPr>
        <w:t>2</w:t>
      </w:r>
      <w:r w:rsidRPr="007F03CB">
        <w:t>/year over the maximum period of available data for each patient) is likely to exclude patients who would qualify for treatment under the requested restriction based on annualised eGFR decline measured over shorter periods and favours tolvaptan.</w:t>
      </w:r>
      <w:r w:rsidR="006F3A0E" w:rsidRPr="006F3A0E">
        <w:t xml:space="preserve"> </w:t>
      </w:r>
      <w:r w:rsidR="006F3A0E">
        <w:t xml:space="preserve">The Pre-PBAC response stated </w:t>
      </w:r>
      <w:r w:rsidR="006F3A0E" w:rsidRPr="006F3A0E">
        <w:t>the requested listing selectively targets patien</w:t>
      </w:r>
      <w:r w:rsidR="007D13F3">
        <w:t xml:space="preserve">ts with an established disease who have a more stable </w:t>
      </w:r>
      <w:r w:rsidR="006F3A0E" w:rsidRPr="006F3A0E">
        <w:t xml:space="preserve">rate of eGFR </w:t>
      </w:r>
      <w:r w:rsidR="007D13F3">
        <w:t xml:space="preserve">loss. However </w:t>
      </w:r>
      <w:r w:rsidR="000E58B7">
        <w:t xml:space="preserve">the response </w:t>
      </w:r>
      <w:r w:rsidR="006F3A0E" w:rsidRPr="006F3A0E">
        <w:t>acknowledge</w:t>
      </w:r>
      <w:r w:rsidR="000E58B7">
        <w:t>d</w:t>
      </w:r>
      <w:r w:rsidR="006F3A0E" w:rsidRPr="006F3A0E">
        <w:t xml:space="preserve"> that some patients may have to wait till they have sufficient eGFR s</w:t>
      </w:r>
      <w:r w:rsidR="007D13F3">
        <w:t xml:space="preserve">amples to determine annualised </w:t>
      </w:r>
      <w:r w:rsidR="006F3A0E" w:rsidRPr="006F3A0E">
        <w:t>eGFR</w:t>
      </w:r>
      <w:r w:rsidR="007D13F3">
        <w:t>.</w:t>
      </w:r>
    </w:p>
    <w:p w:rsidR="009C6646" w:rsidRPr="00645853" w:rsidRDefault="008F5F59" w:rsidP="008B4B29">
      <w:pPr>
        <w:pStyle w:val="ListParagraph"/>
        <w:widowControl/>
        <w:numPr>
          <w:ilvl w:val="1"/>
          <w:numId w:val="3"/>
        </w:numPr>
        <w:spacing w:before="120" w:after="120"/>
        <w:ind w:left="720"/>
      </w:pPr>
      <w:r w:rsidRPr="007F03CB">
        <w:lastRenderedPageBreak/>
        <w:t>The resubmission calculated a weighted incremental cost per QALY gained, based on the extent of overlap between the TEMPO 3:4 and REPRISE PBS eligibility populations observed in the UK THIN database.</w:t>
      </w:r>
    </w:p>
    <w:p w:rsidR="008F5F59" w:rsidRPr="003E2B30" w:rsidRDefault="008F5F59" w:rsidP="008B4B29">
      <w:pPr>
        <w:keepNext/>
        <w:widowControl/>
        <w:rPr>
          <w:rFonts w:ascii="Arial Narrow" w:hAnsi="Arial Narrow"/>
          <w:b/>
          <w:sz w:val="20"/>
          <w:szCs w:val="16"/>
        </w:rPr>
      </w:pPr>
      <w:r w:rsidRPr="00B41614">
        <w:rPr>
          <w:rStyle w:val="CommentReference"/>
        </w:rPr>
        <w:t xml:space="preserve">Table </w:t>
      </w:r>
      <w:r w:rsidR="000A7796">
        <w:rPr>
          <w:rStyle w:val="CommentReference"/>
        </w:rPr>
        <w:t>13</w:t>
      </w:r>
      <w:r w:rsidRPr="00B41614">
        <w:rPr>
          <w:rStyle w:val="CommentReference"/>
        </w:rPr>
        <w:t>: Results of the economic evaluation</w:t>
      </w:r>
      <w:r>
        <w:rPr>
          <w:rStyle w:val="CommentReference"/>
        </w:rPr>
        <w:t xml:space="preserve"> based on TEMPO 3:4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679"/>
        <w:gridCol w:w="2458"/>
        <w:gridCol w:w="2457"/>
        <w:gridCol w:w="1547"/>
      </w:tblGrid>
      <w:tr w:rsidR="008F5F59" w:rsidRPr="005E4B9D" w:rsidTr="009E698C">
        <w:tc>
          <w:tcPr>
            <w:tcW w:w="1465" w:type="pct"/>
            <w:shd w:val="clear" w:color="auto" w:fill="auto"/>
            <w:noWrap/>
            <w:vAlign w:val="center"/>
            <w:hideMark/>
          </w:tcPr>
          <w:p w:rsidR="008F5F59" w:rsidRPr="005E4B9D" w:rsidRDefault="008F5F59" w:rsidP="008B4B29">
            <w:pPr>
              <w:keepNext/>
              <w:widowControl/>
              <w:jc w:val="left"/>
              <w:rPr>
                <w:rFonts w:ascii="Arial Narrow" w:hAnsi="Arial Narrow"/>
                <w:b/>
                <w:snapToGrid/>
                <w:sz w:val="20"/>
                <w:szCs w:val="20"/>
                <w:lang w:eastAsia="en-AU"/>
              </w:rPr>
            </w:pPr>
            <w:r w:rsidRPr="005E4B9D">
              <w:rPr>
                <w:rFonts w:ascii="Arial Narrow" w:hAnsi="Arial Narrow"/>
                <w:b/>
                <w:snapToGrid/>
                <w:sz w:val="20"/>
                <w:szCs w:val="20"/>
                <w:lang w:eastAsia="en-AU"/>
              </w:rPr>
              <w:t>PBS population</w:t>
            </w:r>
          </w:p>
        </w:tc>
        <w:tc>
          <w:tcPr>
            <w:tcW w:w="1344" w:type="pct"/>
            <w:shd w:val="clear" w:color="auto" w:fill="auto"/>
            <w:vAlign w:val="center"/>
            <w:hideMark/>
          </w:tcPr>
          <w:p w:rsidR="008F5F59" w:rsidRPr="005E4B9D" w:rsidRDefault="008F5F59" w:rsidP="008B4B29">
            <w:pPr>
              <w:keepNext/>
              <w:widowControl/>
              <w:jc w:val="center"/>
              <w:rPr>
                <w:rFonts w:ascii="Arial Narrow" w:hAnsi="Arial Narrow"/>
                <w:b/>
                <w:snapToGrid/>
                <w:sz w:val="20"/>
                <w:szCs w:val="20"/>
                <w:lang w:eastAsia="en-AU"/>
              </w:rPr>
            </w:pPr>
            <w:r w:rsidRPr="005E4B9D">
              <w:rPr>
                <w:rFonts w:ascii="Arial Narrow" w:hAnsi="Arial Narrow"/>
                <w:b/>
                <w:snapToGrid/>
                <w:sz w:val="20"/>
                <w:szCs w:val="20"/>
                <w:lang w:eastAsia="en-AU"/>
              </w:rPr>
              <w:t>Incremental cost</w:t>
            </w:r>
          </w:p>
        </w:tc>
        <w:tc>
          <w:tcPr>
            <w:tcW w:w="1344" w:type="pct"/>
            <w:shd w:val="clear" w:color="auto" w:fill="auto"/>
            <w:vAlign w:val="center"/>
            <w:hideMark/>
          </w:tcPr>
          <w:p w:rsidR="008F5F59" w:rsidRPr="005E4B9D" w:rsidRDefault="008F5F59" w:rsidP="008B4B29">
            <w:pPr>
              <w:keepNext/>
              <w:widowControl/>
              <w:jc w:val="center"/>
              <w:rPr>
                <w:rFonts w:ascii="Arial Narrow" w:hAnsi="Arial Narrow"/>
                <w:b/>
                <w:snapToGrid/>
                <w:sz w:val="20"/>
                <w:szCs w:val="20"/>
                <w:lang w:eastAsia="en-AU"/>
              </w:rPr>
            </w:pPr>
            <w:r w:rsidRPr="005E4B9D">
              <w:rPr>
                <w:rFonts w:ascii="Arial Narrow" w:hAnsi="Arial Narrow"/>
                <w:b/>
                <w:snapToGrid/>
                <w:sz w:val="20"/>
                <w:szCs w:val="20"/>
                <w:lang w:eastAsia="en-AU"/>
              </w:rPr>
              <w:t>Incremental QALYs</w:t>
            </w:r>
          </w:p>
        </w:tc>
        <w:tc>
          <w:tcPr>
            <w:tcW w:w="846" w:type="pct"/>
            <w:shd w:val="clear" w:color="auto" w:fill="auto"/>
            <w:vAlign w:val="center"/>
            <w:hideMark/>
          </w:tcPr>
          <w:p w:rsidR="008F5F59" w:rsidRPr="005E4B9D" w:rsidRDefault="008F5F59" w:rsidP="008B4B29">
            <w:pPr>
              <w:keepNext/>
              <w:widowControl/>
              <w:jc w:val="center"/>
              <w:rPr>
                <w:rFonts w:ascii="Arial Narrow" w:hAnsi="Arial Narrow"/>
                <w:b/>
                <w:snapToGrid/>
                <w:sz w:val="20"/>
                <w:szCs w:val="20"/>
                <w:lang w:eastAsia="en-AU"/>
              </w:rPr>
            </w:pPr>
            <w:r w:rsidRPr="005E4B9D">
              <w:rPr>
                <w:rFonts w:ascii="Arial Narrow" w:hAnsi="Arial Narrow"/>
                <w:b/>
                <w:snapToGrid/>
                <w:sz w:val="20"/>
                <w:szCs w:val="20"/>
                <w:lang w:eastAsia="en-AU"/>
              </w:rPr>
              <w:t>Weighting</w:t>
            </w:r>
            <w:r w:rsidRPr="00454926">
              <w:rPr>
                <w:rFonts w:ascii="Arial Narrow" w:hAnsi="Arial Narrow"/>
                <w:b/>
                <w:snapToGrid/>
                <w:sz w:val="20"/>
                <w:szCs w:val="20"/>
                <w:vertAlign w:val="superscript"/>
                <w:lang w:eastAsia="en-AU"/>
              </w:rPr>
              <w:t>a</w:t>
            </w:r>
          </w:p>
        </w:tc>
      </w:tr>
      <w:tr w:rsidR="008F5F59" w:rsidRPr="005E4B9D" w:rsidTr="009E698C">
        <w:tc>
          <w:tcPr>
            <w:tcW w:w="1465" w:type="pct"/>
            <w:shd w:val="clear" w:color="auto" w:fill="auto"/>
            <w:noWrap/>
            <w:vAlign w:val="center"/>
            <w:hideMark/>
          </w:tcPr>
          <w:p w:rsidR="008F5F59" w:rsidRPr="005E4B9D" w:rsidRDefault="000E267A" w:rsidP="008B4B29">
            <w:pPr>
              <w:keepNext/>
              <w:widowControl/>
              <w:jc w:val="left"/>
              <w:rPr>
                <w:rFonts w:ascii="Arial Narrow" w:hAnsi="Arial Narrow"/>
                <w:snapToGrid/>
                <w:sz w:val="20"/>
                <w:szCs w:val="20"/>
                <w:lang w:eastAsia="en-AU"/>
              </w:rPr>
            </w:pPr>
            <w:r>
              <w:rPr>
                <w:rFonts w:ascii="Arial Narrow" w:hAnsi="Arial Narrow"/>
                <w:snapToGrid/>
                <w:sz w:val="20"/>
                <w:szCs w:val="20"/>
                <w:lang w:eastAsia="en-AU"/>
              </w:rPr>
              <w:t>TEMPO 3:4</w:t>
            </w:r>
            <w:r w:rsidR="008F5F59">
              <w:rPr>
                <w:rFonts w:ascii="Arial Narrow" w:hAnsi="Arial Narrow"/>
                <w:snapToGrid/>
                <w:sz w:val="20"/>
                <w:szCs w:val="20"/>
                <w:lang w:eastAsia="en-AU"/>
              </w:rPr>
              <w:t xml:space="preserve"> and </w:t>
            </w:r>
            <w:r>
              <w:rPr>
                <w:rFonts w:ascii="Arial Narrow" w:hAnsi="Arial Narrow"/>
                <w:snapToGrid/>
                <w:sz w:val="20"/>
                <w:szCs w:val="20"/>
                <w:lang w:eastAsia="en-AU"/>
              </w:rPr>
              <w:t>REPRISE</w:t>
            </w:r>
            <w:r w:rsidR="008F5F59">
              <w:rPr>
                <w:rFonts w:ascii="Arial Narrow" w:hAnsi="Arial Narrow"/>
                <w:snapToGrid/>
                <w:sz w:val="20"/>
                <w:szCs w:val="20"/>
                <w:lang w:eastAsia="en-AU"/>
              </w:rPr>
              <w:t xml:space="preserve"> overlap</w:t>
            </w:r>
          </w:p>
        </w:tc>
        <w:tc>
          <w:tcPr>
            <w:tcW w:w="1344" w:type="pct"/>
            <w:shd w:val="clear" w:color="auto" w:fill="auto"/>
            <w:noWrap/>
            <w:vAlign w:val="center"/>
            <w:hideMark/>
          </w:tcPr>
          <w:p w:rsidR="008F5F59" w:rsidRDefault="008F5F59" w:rsidP="008B4B29">
            <w:pPr>
              <w:keepNext/>
              <w:widowControl/>
              <w:jc w:val="center"/>
              <w:rPr>
                <w:rFonts w:ascii="Arial Narrow" w:hAnsi="Arial Narrow"/>
                <w:snapToGrid/>
                <w:sz w:val="20"/>
                <w:szCs w:val="20"/>
                <w:lang w:eastAsia="en-AU"/>
              </w:rPr>
            </w:pPr>
            <w:r w:rsidRPr="005E4B9D">
              <w:rPr>
                <w:rFonts w:ascii="Arial Narrow" w:hAnsi="Arial Narrow"/>
                <w:snapToGrid/>
                <w:sz w:val="20"/>
                <w:szCs w:val="20"/>
                <w:lang w:eastAsia="en-AU"/>
              </w:rPr>
              <w:t>$</w:t>
            </w:r>
            <w:r w:rsidR="00A00758">
              <w:rPr>
                <w:rFonts w:ascii="Arial Narrow" w:hAnsi="Arial Narrow"/>
                <w:noProof/>
                <w:snapToGrid/>
                <w:color w:val="000000"/>
                <w:sz w:val="20"/>
                <w:szCs w:val="20"/>
                <w:highlight w:val="black"/>
                <w:lang w:eastAsia="en-AU"/>
              </w:rPr>
              <w:t>'''''''''''''''''</w:t>
            </w:r>
          </w:p>
          <w:p w:rsidR="008F5F59" w:rsidRPr="005E4B9D" w:rsidRDefault="008F5F59" w:rsidP="008B4B29">
            <w:pPr>
              <w:keepNext/>
              <w:widowControl/>
              <w:jc w:val="center"/>
              <w:rPr>
                <w:rFonts w:ascii="Arial Narrow" w:hAnsi="Arial Narrow"/>
                <w:snapToGrid/>
                <w:sz w:val="20"/>
                <w:szCs w:val="20"/>
                <w:lang w:eastAsia="en-AU"/>
              </w:rPr>
            </w:pPr>
            <w:r>
              <w:rPr>
                <w:rFonts w:ascii="Arial Narrow" w:hAnsi="Arial Narrow"/>
                <w:snapToGrid/>
                <w:sz w:val="20"/>
                <w:szCs w:val="20"/>
                <w:lang w:eastAsia="en-AU"/>
              </w:rPr>
              <w:t>(average -$</w:t>
            </w:r>
            <w:r w:rsidR="00A00758">
              <w:rPr>
                <w:rFonts w:ascii="Arial Narrow" w:hAnsi="Arial Narrow"/>
                <w:noProof/>
                <w:snapToGrid/>
                <w:color w:val="000000"/>
                <w:sz w:val="20"/>
                <w:szCs w:val="20"/>
                <w:highlight w:val="black"/>
                <w:lang w:eastAsia="en-AU"/>
              </w:rPr>
              <w:t>''''''''''</w:t>
            </w:r>
            <w:r>
              <w:rPr>
                <w:rFonts w:ascii="Arial Narrow" w:hAnsi="Arial Narrow"/>
                <w:snapToGrid/>
                <w:sz w:val="20"/>
                <w:szCs w:val="20"/>
                <w:lang w:eastAsia="en-AU"/>
              </w:rPr>
              <w:t xml:space="preserve"> and $</w:t>
            </w:r>
            <w:r w:rsidR="00A00758">
              <w:rPr>
                <w:rFonts w:ascii="Arial Narrow" w:hAnsi="Arial Narrow"/>
                <w:noProof/>
                <w:snapToGrid/>
                <w:color w:val="000000"/>
                <w:sz w:val="20"/>
                <w:szCs w:val="20"/>
                <w:highlight w:val="black"/>
                <w:lang w:eastAsia="en-AU"/>
              </w:rPr>
              <w:t>'''''''''''''''</w:t>
            </w:r>
            <w:r>
              <w:rPr>
                <w:rFonts w:ascii="Arial Narrow" w:hAnsi="Arial Narrow"/>
                <w:snapToGrid/>
                <w:sz w:val="20"/>
                <w:szCs w:val="20"/>
                <w:lang w:eastAsia="en-AU"/>
              </w:rPr>
              <w:t>)</w:t>
            </w:r>
          </w:p>
        </w:tc>
        <w:tc>
          <w:tcPr>
            <w:tcW w:w="1344" w:type="pct"/>
            <w:shd w:val="clear" w:color="auto" w:fill="auto"/>
            <w:noWrap/>
            <w:vAlign w:val="center"/>
            <w:hideMark/>
          </w:tcPr>
          <w:p w:rsidR="008F5F59" w:rsidRDefault="008F5F59" w:rsidP="008B4B29">
            <w:pPr>
              <w:keepNext/>
              <w:widowControl/>
              <w:jc w:val="center"/>
              <w:rPr>
                <w:rFonts w:ascii="Arial Narrow" w:hAnsi="Arial Narrow"/>
                <w:snapToGrid/>
                <w:sz w:val="20"/>
                <w:szCs w:val="20"/>
                <w:lang w:eastAsia="en-AU"/>
              </w:rPr>
            </w:pPr>
            <w:r w:rsidRPr="005E4B9D">
              <w:rPr>
                <w:rFonts w:ascii="Arial Narrow" w:hAnsi="Arial Narrow"/>
                <w:snapToGrid/>
                <w:sz w:val="20"/>
                <w:szCs w:val="20"/>
                <w:lang w:eastAsia="en-AU"/>
              </w:rPr>
              <w:t>0.5785</w:t>
            </w:r>
          </w:p>
          <w:p w:rsidR="008F5F59" w:rsidRPr="005E4B9D" w:rsidRDefault="008F5F59" w:rsidP="008B4B29">
            <w:pPr>
              <w:keepNext/>
              <w:widowControl/>
              <w:jc w:val="center"/>
              <w:rPr>
                <w:rFonts w:ascii="Arial Narrow" w:hAnsi="Arial Narrow"/>
                <w:snapToGrid/>
                <w:sz w:val="20"/>
                <w:szCs w:val="20"/>
                <w:lang w:eastAsia="en-AU"/>
              </w:rPr>
            </w:pPr>
            <w:r>
              <w:rPr>
                <w:rFonts w:ascii="Arial Narrow" w:hAnsi="Arial Narrow"/>
                <w:snapToGrid/>
                <w:sz w:val="20"/>
                <w:szCs w:val="20"/>
                <w:lang w:eastAsia="en-AU"/>
              </w:rPr>
              <w:t>(average 0.5803 and 0.5766)</w:t>
            </w:r>
          </w:p>
        </w:tc>
        <w:tc>
          <w:tcPr>
            <w:tcW w:w="846" w:type="pct"/>
            <w:shd w:val="clear" w:color="auto" w:fill="auto"/>
            <w:noWrap/>
            <w:vAlign w:val="center"/>
            <w:hideMark/>
          </w:tcPr>
          <w:p w:rsidR="008F5F59" w:rsidRPr="005E4B9D" w:rsidRDefault="00A00758" w:rsidP="008B4B29">
            <w:pPr>
              <w:keepNext/>
              <w:widowControl/>
              <w:jc w:val="center"/>
              <w:rPr>
                <w:rFonts w:ascii="Arial Narrow" w:hAnsi="Arial Narrow"/>
                <w:snapToGrid/>
                <w:sz w:val="20"/>
                <w:szCs w:val="20"/>
                <w:lang w:eastAsia="en-AU"/>
              </w:rPr>
            </w:pPr>
            <w:r>
              <w:rPr>
                <w:rFonts w:ascii="Arial Narrow" w:hAnsi="Arial Narrow"/>
                <w:noProof/>
                <w:snapToGrid/>
                <w:color w:val="000000"/>
                <w:sz w:val="20"/>
                <w:szCs w:val="20"/>
                <w:highlight w:val="black"/>
                <w:lang w:eastAsia="en-AU"/>
              </w:rPr>
              <w:t>''''''''''</w:t>
            </w:r>
            <w:r w:rsidR="008F5F59" w:rsidRPr="005E4B9D">
              <w:rPr>
                <w:rFonts w:ascii="Arial Narrow" w:hAnsi="Arial Narrow"/>
                <w:snapToGrid/>
                <w:sz w:val="20"/>
                <w:szCs w:val="20"/>
                <w:lang w:eastAsia="en-AU"/>
              </w:rPr>
              <w:t>%</w:t>
            </w:r>
          </w:p>
        </w:tc>
      </w:tr>
      <w:tr w:rsidR="008F5F59" w:rsidRPr="005E4B9D" w:rsidTr="009E698C">
        <w:tc>
          <w:tcPr>
            <w:tcW w:w="1465" w:type="pct"/>
            <w:shd w:val="clear" w:color="auto" w:fill="auto"/>
            <w:noWrap/>
            <w:vAlign w:val="center"/>
            <w:hideMark/>
          </w:tcPr>
          <w:p w:rsidR="008F5F59" w:rsidRPr="005E4B9D" w:rsidRDefault="000E267A" w:rsidP="008B4B29">
            <w:pPr>
              <w:keepNext/>
              <w:widowControl/>
              <w:jc w:val="left"/>
              <w:rPr>
                <w:rFonts w:ascii="Arial Narrow" w:hAnsi="Arial Narrow"/>
                <w:snapToGrid/>
                <w:sz w:val="20"/>
                <w:szCs w:val="20"/>
                <w:lang w:eastAsia="en-AU"/>
              </w:rPr>
            </w:pPr>
            <w:r>
              <w:rPr>
                <w:rFonts w:ascii="Arial Narrow" w:hAnsi="Arial Narrow"/>
                <w:snapToGrid/>
                <w:sz w:val="20"/>
                <w:szCs w:val="20"/>
                <w:lang w:eastAsia="en-AU"/>
              </w:rPr>
              <w:t>TEMPO 3:4</w:t>
            </w:r>
            <w:r w:rsidR="008F5F59">
              <w:rPr>
                <w:rFonts w:ascii="Arial Narrow" w:hAnsi="Arial Narrow"/>
                <w:snapToGrid/>
                <w:sz w:val="20"/>
                <w:szCs w:val="20"/>
                <w:lang w:eastAsia="en-AU"/>
              </w:rPr>
              <w:t xml:space="preserve"> minus overlap</w:t>
            </w:r>
          </w:p>
        </w:tc>
        <w:tc>
          <w:tcPr>
            <w:tcW w:w="1344" w:type="pct"/>
            <w:shd w:val="clear" w:color="auto" w:fill="auto"/>
            <w:noWrap/>
            <w:vAlign w:val="center"/>
            <w:hideMark/>
          </w:tcPr>
          <w:p w:rsidR="008F5F59" w:rsidRPr="005E4B9D" w:rsidRDefault="008F5F59" w:rsidP="008B4B29">
            <w:pPr>
              <w:keepNext/>
              <w:widowControl/>
              <w:jc w:val="center"/>
              <w:rPr>
                <w:rFonts w:ascii="Arial Narrow" w:hAnsi="Arial Narrow"/>
                <w:snapToGrid/>
                <w:sz w:val="20"/>
                <w:szCs w:val="20"/>
                <w:lang w:eastAsia="en-AU"/>
              </w:rPr>
            </w:pPr>
            <w:r w:rsidRPr="005E4B9D">
              <w:rPr>
                <w:rFonts w:ascii="Arial Narrow" w:hAnsi="Arial Narrow"/>
                <w:snapToGrid/>
                <w:sz w:val="20"/>
                <w:szCs w:val="20"/>
                <w:lang w:eastAsia="en-AU"/>
              </w:rPr>
              <w:t>$</w:t>
            </w:r>
            <w:r w:rsidR="00A00758">
              <w:rPr>
                <w:rFonts w:ascii="Arial Narrow" w:hAnsi="Arial Narrow"/>
                <w:noProof/>
                <w:snapToGrid/>
                <w:color w:val="000000"/>
                <w:sz w:val="20"/>
                <w:szCs w:val="20"/>
                <w:highlight w:val="black"/>
                <w:lang w:eastAsia="en-AU"/>
              </w:rPr>
              <w:t>'''''''''''''''''</w:t>
            </w:r>
          </w:p>
        </w:tc>
        <w:tc>
          <w:tcPr>
            <w:tcW w:w="1344" w:type="pct"/>
            <w:shd w:val="clear" w:color="auto" w:fill="auto"/>
            <w:noWrap/>
            <w:vAlign w:val="center"/>
            <w:hideMark/>
          </w:tcPr>
          <w:p w:rsidR="008F5F59" w:rsidRPr="005E4B9D" w:rsidRDefault="008F5F59" w:rsidP="008B4B29">
            <w:pPr>
              <w:keepNext/>
              <w:widowControl/>
              <w:jc w:val="center"/>
              <w:rPr>
                <w:rFonts w:ascii="Arial Narrow" w:hAnsi="Arial Narrow"/>
                <w:snapToGrid/>
                <w:sz w:val="20"/>
                <w:szCs w:val="20"/>
                <w:lang w:eastAsia="en-AU"/>
              </w:rPr>
            </w:pPr>
            <w:r w:rsidRPr="005E4B9D">
              <w:rPr>
                <w:rFonts w:ascii="Arial Narrow" w:hAnsi="Arial Narrow"/>
                <w:snapToGrid/>
                <w:sz w:val="20"/>
                <w:szCs w:val="20"/>
                <w:lang w:eastAsia="en-AU"/>
              </w:rPr>
              <w:t>0.5766</w:t>
            </w:r>
          </w:p>
        </w:tc>
        <w:tc>
          <w:tcPr>
            <w:tcW w:w="846" w:type="pct"/>
            <w:shd w:val="clear" w:color="auto" w:fill="auto"/>
            <w:noWrap/>
            <w:vAlign w:val="center"/>
            <w:hideMark/>
          </w:tcPr>
          <w:p w:rsidR="008F5F59" w:rsidRPr="005E4B9D" w:rsidRDefault="00A00758" w:rsidP="008B4B29">
            <w:pPr>
              <w:keepNext/>
              <w:widowControl/>
              <w:jc w:val="center"/>
              <w:rPr>
                <w:rFonts w:ascii="Arial Narrow" w:hAnsi="Arial Narrow"/>
                <w:snapToGrid/>
                <w:sz w:val="20"/>
                <w:szCs w:val="20"/>
                <w:lang w:eastAsia="en-AU"/>
              </w:rPr>
            </w:pPr>
            <w:r>
              <w:rPr>
                <w:rFonts w:ascii="Arial Narrow" w:hAnsi="Arial Narrow"/>
                <w:noProof/>
                <w:snapToGrid/>
                <w:color w:val="000000"/>
                <w:sz w:val="20"/>
                <w:szCs w:val="20"/>
                <w:highlight w:val="black"/>
                <w:lang w:eastAsia="en-AU"/>
              </w:rPr>
              <w:t>''''''''''</w:t>
            </w:r>
            <w:r w:rsidR="008F5F59" w:rsidRPr="005E4B9D">
              <w:rPr>
                <w:rFonts w:ascii="Arial Narrow" w:hAnsi="Arial Narrow"/>
                <w:snapToGrid/>
                <w:sz w:val="20"/>
                <w:szCs w:val="20"/>
                <w:lang w:eastAsia="en-AU"/>
              </w:rPr>
              <w:t>%</w:t>
            </w:r>
          </w:p>
        </w:tc>
      </w:tr>
      <w:tr w:rsidR="008F5F59" w:rsidRPr="005E4B9D" w:rsidTr="009E698C">
        <w:tc>
          <w:tcPr>
            <w:tcW w:w="1465" w:type="pct"/>
            <w:tcBorders>
              <w:bottom w:val="double" w:sz="4" w:space="0" w:color="auto"/>
            </w:tcBorders>
            <w:shd w:val="clear" w:color="auto" w:fill="auto"/>
            <w:noWrap/>
            <w:vAlign w:val="center"/>
            <w:hideMark/>
          </w:tcPr>
          <w:p w:rsidR="008F5F59" w:rsidRPr="005E4B9D" w:rsidRDefault="000E267A" w:rsidP="008B4B29">
            <w:pPr>
              <w:keepNext/>
              <w:widowControl/>
              <w:jc w:val="left"/>
              <w:rPr>
                <w:rFonts w:ascii="Arial Narrow" w:hAnsi="Arial Narrow"/>
                <w:snapToGrid/>
                <w:sz w:val="20"/>
                <w:szCs w:val="20"/>
                <w:lang w:eastAsia="en-AU"/>
              </w:rPr>
            </w:pPr>
            <w:r>
              <w:rPr>
                <w:rFonts w:ascii="Arial Narrow" w:hAnsi="Arial Narrow"/>
                <w:snapToGrid/>
                <w:sz w:val="20"/>
                <w:szCs w:val="20"/>
                <w:lang w:eastAsia="en-AU"/>
              </w:rPr>
              <w:t>REPRISE</w:t>
            </w:r>
            <w:r w:rsidR="008F5F59">
              <w:rPr>
                <w:rFonts w:ascii="Arial Narrow" w:hAnsi="Arial Narrow"/>
                <w:snapToGrid/>
                <w:sz w:val="20"/>
                <w:szCs w:val="20"/>
                <w:lang w:eastAsia="en-AU"/>
              </w:rPr>
              <w:t xml:space="preserve"> minus overlap</w:t>
            </w:r>
          </w:p>
        </w:tc>
        <w:tc>
          <w:tcPr>
            <w:tcW w:w="1344" w:type="pct"/>
            <w:tcBorders>
              <w:bottom w:val="double" w:sz="4" w:space="0" w:color="auto"/>
            </w:tcBorders>
            <w:shd w:val="clear" w:color="auto" w:fill="auto"/>
            <w:noWrap/>
            <w:vAlign w:val="center"/>
            <w:hideMark/>
          </w:tcPr>
          <w:p w:rsidR="008F5F59" w:rsidRPr="005E4B9D" w:rsidRDefault="008F5F59" w:rsidP="008B4B29">
            <w:pPr>
              <w:keepNext/>
              <w:widowControl/>
              <w:jc w:val="center"/>
              <w:rPr>
                <w:rFonts w:ascii="Arial Narrow" w:hAnsi="Arial Narrow"/>
                <w:snapToGrid/>
                <w:sz w:val="20"/>
                <w:szCs w:val="20"/>
                <w:lang w:eastAsia="en-AU"/>
              </w:rPr>
            </w:pPr>
            <w:r w:rsidRPr="005E4B9D">
              <w:rPr>
                <w:rFonts w:ascii="Arial Narrow" w:hAnsi="Arial Narrow"/>
                <w:snapToGrid/>
                <w:sz w:val="20"/>
                <w:szCs w:val="20"/>
                <w:lang w:eastAsia="en-AU"/>
              </w:rPr>
              <w:t>-$</w:t>
            </w:r>
            <w:r w:rsidR="00A00758">
              <w:rPr>
                <w:rFonts w:ascii="Arial Narrow" w:hAnsi="Arial Narrow"/>
                <w:noProof/>
                <w:snapToGrid/>
                <w:color w:val="000000"/>
                <w:sz w:val="20"/>
                <w:szCs w:val="20"/>
                <w:highlight w:val="black"/>
                <w:lang w:eastAsia="en-AU"/>
              </w:rPr>
              <w:t>'''''''''</w:t>
            </w:r>
          </w:p>
        </w:tc>
        <w:tc>
          <w:tcPr>
            <w:tcW w:w="1344" w:type="pct"/>
            <w:tcBorders>
              <w:bottom w:val="double" w:sz="4" w:space="0" w:color="auto"/>
            </w:tcBorders>
            <w:shd w:val="clear" w:color="auto" w:fill="auto"/>
            <w:noWrap/>
            <w:vAlign w:val="center"/>
            <w:hideMark/>
          </w:tcPr>
          <w:p w:rsidR="008F5F59" w:rsidRPr="005E4B9D" w:rsidRDefault="008F5F59" w:rsidP="008B4B29">
            <w:pPr>
              <w:keepNext/>
              <w:widowControl/>
              <w:jc w:val="center"/>
              <w:rPr>
                <w:rFonts w:ascii="Arial Narrow" w:hAnsi="Arial Narrow"/>
                <w:snapToGrid/>
                <w:sz w:val="20"/>
                <w:szCs w:val="20"/>
                <w:lang w:eastAsia="en-AU"/>
              </w:rPr>
            </w:pPr>
            <w:r w:rsidRPr="005E4B9D">
              <w:rPr>
                <w:rFonts w:ascii="Arial Narrow" w:hAnsi="Arial Narrow"/>
                <w:snapToGrid/>
                <w:sz w:val="20"/>
                <w:szCs w:val="20"/>
                <w:lang w:eastAsia="en-AU"/>
              </w:rPr>
              <w:t>0.5803</w:t>
            </w:r>
          </w:p>
        </w:tc>
        <w:tc>
          <w:tcPr>
            <w:tcW w:w="846" w:type="pct"/>
            <w:tcBorders>
              <w:bottom w:val="double" w:sz="4" w:space="0" w:color="auto"/>
            </w:tcBorders>
            <w:shd w:val="clear" w:color="auto" w:fill="auto"/>
            <w:noWrap/>
            <w:vAlign w:val="center"/>
            <w:hideMark/>
          </w:tcPr>
          <w:p w:rsidR="008F5F59" w:rsidRPr="005E4B9D" w:rsidRDefault="00A00758" w:rsidP="008B4B29">
            <w:pPr>
              <w:keepNext/>
              <w:widowControl/>
              <w:jc w:val="center"/>
              <w:rPr>
                <w:rFonts w:ascii="Arial Narrow" w:hAnsi="Arial Narrow"/>
                <w:snapToGrid/>
                <w:sz w:val="20"/>
                <w:szCs w:val="20"/>
                <w:lang w:eastAsia="en-AU"/>
              </w:rPr>
            </w:pPr>
            <w:r>
              <w:rPr>
                <w:rFonts w:ascii="Arial Narrow" w:hAnsi="Arial Narrow"/>
                <w:noProof/>
                <w:snapToGrid/>
                <w:color w:val="000000"/>
                <w:sz w:val="20"/>
                <w:szCs w:val="20"/>
                <w:highlight w:val="black"/>
                <w:lang w:eastAsia="en-AU"/>
              </w:rPr>
              <w:t>''''''''''''</w:t>
            </w:r>
            <w:r w:rsidR="008F5F59" w:rsidRPr="005E4B9D">
              <w:rPr>
                <w:rFonts w:ascii="Arial Narrow" w:hAnsi="Arial Narrow"/>
                <w:snapToGrid/>
                <w:sz w:val="20"/>
                <w:szCs w:val="20"/>
                <w:lang w:eastAsia="en-AU"/>
              </w:rPr>
              <w:t>%</w:t>
            </w:r>
          </w:p>
        </w:tc>
      </w:tr>
      <w:tr w:rsidR="008F5F59" w:rsidRPr="005E4B9D" w:rsidTr="009E698C">
        <w:tc>
          <w:tcPr>
            <w:tcW w:w="1465" w:type="pct"/>
            <w:tcBorders>
              <w:top w:val="double" w:sz="4" w:space="0" w:color="auto"/>
            </w:tcBorders>
            <w:shd w:val="clear" w:color="auto" w:fill="auto"/>
            <w:noWrap/>
            <w:vAlign w:val="center"/>
            <w:hideMark/>
          </w:tcPr>
          <w:p w:rsidR="008F5F59" w:rsidRPr="005E4B9D" w:rsidRDefault="008F5F59" w:rsidP="008B4B29">
            <w:pPr>
              <w:keepNext/>
              <w:widowControl/>
              <w:jc w:val="left"/>
              <w:rPr>
                <w:rFonts w:ascii="Arial Narrow" w:hAnsi="Arial Narrow"/>
                <w:snapToGrid/>
                <w:sz w:val="20"/>
                <w:szCs w:val="20"/>
                <w:lang w:eastAsia="en-AU"/>
              </w:rPr>
            </w:pPr>
            <w:r w:rsidRPr="005E4B9D">
              <w:rPr>
                <w:rFonts w:ascii="Arial Narrow" w:hAnsi="Arial Narrow"/>
                <w:snapToGrid/>
                <w:sz w:val="20"/>
                <w:szCs w:val="20"/>
                <w:lang w:eastAsia="en-AU"/>
              </w:rPr>
              <w:t>Weighted ICER</w:t>
            </w:r>
          </w:p>
        </w:tc>
        <w:tc>
          <w:tcPr>
            <w:tcW w:w="1344" w:type="pct"/>
            <w:tcBorders>
              <w:top w:val="double" w:sz="4" w:space="0" w:color="auto"/>
            </w:tcBorders>
            <w:shd w:val="clear" w:color="auto" w:fill="auto"/>
            <w:noWrap/>
            <w:vAlign w:val="center"/>
            <w:hideMark/>
          </w:tcPr>
          <w:p w:rsidR="008F5F59" w:rsidRPr="005E4B9D" w:rsidRDefault="008F5F59" w:rsidP="008B4B29">
            <w:pPr>
              <w:keepNext/>
              <w:widowControl/>
              <w:jc w:val="center"/>
              <w:rPr>
                <w:rFonts w:ascii="Arial Narrow" w:hAnsi="Arial Narrow"/>
                <w:snapToGrid/>
                <w:sz w:val="20"/>
                <w:szCs w:val="20"/>
                <w:lang w:eastAsia="en-AU"/>
              </w:rPr>
            </w:pPr>
            <w:r w:rsidRPr="005E4B9D">
              <w:rPr>
                <w:rFonts w:ascii="Arial Narrow" w:hAnsi="Arial Narrow"/>
                <w:snapToGrid/>
                <w:sz w:val="20"/>
                <w:szCs w:val="20"/>
                <w:lang w:eastAsia="en-AU"/>
              </w:rPr>
              <w:t>$</w:t>
            </w:r>
            <w:r w:rsidR="00A00758">
              <w:rPr>
                <w:rFonts w:ascii="Arial Narrow" w:hAnsi="Arial Narrow"/>
                <w:noProof/>
                <w:snapToGrid/>
                <w:color w:val="000000"/>
                <w:sz w:val="20"/>
                <w:szCs w:val="20"/>
                <w:highlight w:val="black"/>
                <w:lang w:eastAsia="en-AU"/>
              </w:rPr>
              <w:t>'''''''''''''''''</w:t>
            </w:r>
          </w:p>
        </w:tc>
        <w:tc>
          <w:tcPr>
            <w:tcW w:w="1344" w:type="pct"/>
            <w:tcBorders>
              <w:top w:val="double" w:sz="4" w:space="0" w:color="auto"/>
            </w:tcBorders>
            <w:shd w:val="clear" w:color="auto" w:fill="auto"/>
            <w:noWrap/>
            <w:vAlign w:val="center"/>
            <w:hideMark/>
          </w:tcPr>
          <w:p w:rsidR="008F5F59" w:rsidRPr="005E4B9D" w:rsidRDefault="008F5F59" w:rsidP="008B4B29">
            <w:pPr>
              <w:keepNext/>
              <w:widowControl/>
              <w:jc w:val="center"/>
              <w:rPr>
                <w:rFonts w:ascii="Arial Narrow" w:hAnsi="Arial Narrow"/>
                <w:snapToGrid/>
                <w:sz w:val="20"/>
                <w:szCs w:val="20"/>
                <w:lang w:eastAsia="en-AU"/>
              </w:rPr>
            </w:pPr>
            <w:r w:rsidRPr="005E4B9D">
              <w:rPr>
                <w:rFonts w:ascii="Arial Narrow" w:hAnsi="Arial Narrow"/>
                <w:snapToGrid/>
                <w:sz w:val="20"/>
                <w:szCs w:val="20"/>
                <w:lang w:eastAsia="en-AU"/>
              </w:rPr>
              <w:t>0.5783</w:t>
            </w:r>
          </w:p>
        </w:tc>
        <w:tc>
          <w:tcPr>
            <w:tcW w:w="846" w:type="pct"/>
            <w:tcBorders>
              <w:top w:val="double" w:sz="4" w:space="0" w:color="auto"/>
            </w:tcBorders>
            <w:shd w:val="clear" w:color="auto" w:fill="auto"/>
            <w:noWrap/>
            <w:vAlign w:val="center"/>
            <w:hideMark/>
          </w:tcPr>
          <w:p w:rsidR="008F5F59" w:rsidRPr="005E4B9D" w:rsidRDefault="008F5F59" w:rsidP="008B4B29">
            <w:pPr>
              <w:keepNext/>
              <w:widowControl/>
              <w:jc w:val="center"/>
              <w:rPr>
                <w:rFonts w:ascii="Arial Narrow" w:hAnsi="Arial Narrow"/>
                <w:snapToGrid/>
                <w:sz w:val="20"/>
                <w:szCs w:val="20"/>
                <w:lang w:eastAsia="en-AU"/>
              </w:rPr>
            </w:pPr>
            <w:r w:rsidRPr="005E4B9D">
              <w:rPr>
                <w:rFonts w:ascii="Arial Narrow" w:hAnsi="Arial Narrow"/>
                <w:snapToGrid/>
                <w:sz w:val="20"/>
                <w:szCs w:val="20"/>
                <w:lang w:eastAsia="en-AU"/>
              </w:rPr>
              <w:t>$</w:t>
            </w:r>
            <w:r w:rsidR="00A00758">
              <w:rPr>
                <w:rFonts w:ascii="Arial Narrow" w:hAnsi="Arial Narrow"/>
                <w:noProof/>
                <w:snapToGrid/>
                <w:color w:val="000000"/>
                <w:sz w:val="20"/>
                <w:szCs w:val="20"/>
                <w:highlight w:val="black"/>
                <w:lang w:eastAsia="en-AU"/>
              </w:rPr>
              <w:t>''''''''''''''''</w:t>
            </w:r>
          </w:p>
        </w:tc>
      </w:tr>
    </w:tbl>
    <w:p w:rsidR="008F5F59" w:rsidRPr="000B3FDC" w:rsidRDefault="008F5F59" w:rsidP="008B4B29">
      <w:pPr>
        <w:keepNext/>
        <w:widowControl/>
        <w:rPr>
          <w:rFonts w:ascii="Arial Narrow" w:hAnsi="Arial Narrow"/>
          <w:sz w:val="18"/>
        </w:rPr>
      </w:pPr>
      <w:r>
        <w:rPr>
          <w:rFonts w:ascii="Arial Narrow" w:hAnsi="Arial Narrow"/>
          <w:sz w:val="18"/>
        </w:rPr>
        <w:t>Abbreviations: ICER, incremental cost effectiveness ratio; QALYs, quality adjusted life years</w:t>
      </w:r>
    </w:p>
    <w:p w:rsidR="008F5F59" w:rsidRDefault="008F5F59" w:rsidP="008B4B29">
      <w:pPr>
        <w:keepNext/>
        <w:widowControl/>
        <w:rPr>
          <w:rFonts w:ascii="Arial Narrow" w:hAnsi="Arial Narrow"/>
          <w:sz w:val="18"/>
        </w:rPr>
      </w:pPr>
      <w:r w:rsidRPr="000B3FDC">
        <w:rPr>
          <w:rFonts w:ascii="Arial Narrow" w:hAnsi="Arial Narrow"/>
          <w:sz w:val="18"/>
        </w:rPr>
        <w:t>Source: Tolvaptan November 2017 PBAC Section 3 Model Outputs Excel spreadsheet</w:t>
      </w:r>
      <w:r w:rsidR="009C6646">
        <w:rPr>
          <w:rFonts w:ascii="Arial Narrow" w:hAnsi="Arial Narrow"/>
          <w:sz w:val="18"/>
        </w:rPr>
        <w:t>.</w:t>
      </w:r>
    </w:p>
    <w:p w:rsidR="008A4BB4" w:rsidRPr="00F563B9" w:rsidRDefault="008A4BB4" w:rsidP="0086251F">
      <w:pPr>
        <w:pStyle w:val="ListParagraph"/>
        <w:widowControl/>
        <w:numPr>
          <w:ilvl w:val="1"/>
          <w:numId w:val="3"/>
        </w:numPr>
        <w:spacing w:before="120" w:after="120"/>
        <w:ind w:left="720"/>
      </w:pPr>
      <w:r w:rsidRPr="00F563B9">
        <w:t>It is unclear whether the weightings from the THIN database reflect the extent of overlap between the REPRISE and TEMPO 3:4 populations given the uncertain applicability of the UK THIN database.</w:t>
      </w:r>
    </w:p>
    <w:p w:rsidR="000E267A" w:rsidRPr="00F563B9" w:rsidRDefault="008A4BB4" w:rsidP="0086251F">
      <w:pPr>
        <w:pStyle w:val="ListParagraph"/>
        <w:widowControl/>
        <w:numPr>
          <w:ilvl w:val="1"/>
          <w:numId w:val="3"/>
        </w:numPr>
        <w:spacing w:before="120" w:after="120"/>
        <w:ind w:left="720"/>
      </w:pPr>
      <w:r w:rsidRPr="00F563B9">
        <w:t>Further, it is unclear whether the distribution of patients across PBS restriction subpopulations 1, 2 and 3 in TEMPO 3:4 and REPRISE reflect the distribution of patients in clinical practice. There were limited individual patient data from the trials representative of PBS subpopulations 2 and 3 to inform the economi</w:t>
      </w:r>
      <w:r w:rsidR="000E267A" w:rsidRPr="00F563B9">
        <w:t>c analysis.</w:t>
      </w:r>
    </w:p>
    <w:p w:rsidR="00F9533C" w:rsidRPr="00F563B9" w:rsidRDefault="008A4BB4" w:rsidP="0086251F">
      <w:pPr>
        <w:pStyle w:val="ListParagraph"/>
        <w:widowControl/>
        <w:numPr>
          <w:ilvl w:val="1"/>
          <w:numId w:val="3"/>
        </w:numPr>
        <w:spacing w:before="120" w:after="120"/>
        <w:ind w:left="720"/>
      </w:pPr>
      <w:r w:rsidRPr="00F563B9">
        <w:t>Despite substantial overlap in terms of PBS subpopulation 1 in the TEMPO 3:4 and REPRISE modelled populations, the economic analyses based on each of these trials result in substantially different estimates of cost-effectiveness for tolvaptan, due to the more rapid disease progression and larger treatment effect in the REPRISE analysis.</w:t>
      </w:r>
      <w:r w:rsidR="00F9533C">
        <w:t xml:space="preserve"> </w:t>
      </w:r>
      <w:r w:rsidR="00694F19">
        <w:t xml:space="preserve">The Pre-PBAC response considered these differences due to an artefact </w:t>
      </w:r>
      <w:r w:rsidR="00F9533C">
        <w:t>of baseline age</w:t>
      </w:r>
      <w:r w:rsidR="00694F19">
        <w:t xml:space="preserve"> and l</w:t>
      </w:r>
      <w:r w:rsidR="00694F19" w:rsidRPr="00694F19">
        <w:t>ess about uncertainty around tolvaptan’s efficacy</w:t>
      </w:r>
      <w:r w:rsidR="00694F19">
        <w:t xml:space="preserve">. </w:t>
      </w:r>
    </w:p>
    <w:p w:rsidR="009C6646" w:rsidRPr="008A4BB4" w:rsidRDefault="008A4BB4" w:rsidP="0086251F">
      <w:pPr>
        <w:pStyle w:val="ListParagraph"/>
        <w:widowControl/>
        <w:numPr>
          <w:ilvl w:val="1"/>
          <w:numId w:val="3"/>
        </w:numPr>
        <w:spacing w:before="120" w:after="120"/>
        <w:ind w:left="720"/>
      </w:pPr>
      <w:r w:rsidRPr="008A4BB4">
        <w:t xml:space="preserve">Table </w:t>
      </w:r>
      <w:r w:rsidR="009E698C">
        <w:t>14</w:t>
      </w:r>
      <w:r w:rsidR="002D1FB0">
        <w:t xml:space="preserve"> </w:t>
      </w:r>
      <w:r w:rsidRPr="008A4BB4">
        <w:t>summarises the key sensitivity analyses for TEMPO 3:4, based on the overall trial population to enable assessment of the impact of different populations and efficacy estimates.</w:t>
      </w:r>
    </w:p>
    <w:p w:rsidR="000E165C" w:rsidRPr="000E165C" w:rsidRDefault="000E165C" w:rsidP="008B4B29">
      <w:pPr>
        <w:keepNext/>
        <w:widowControl/>
        <w:rPr>
          <w:rStyle w:val="CommentReference"/>
        </w:rPr>
      </w:pPr>
      <w:r w:rsidRPr="000E165C">
        <w:rPr>
          <w:rStyle w:val="CommentReference"/>
        </w:rPr>
        <w:lastRenderedPageBreak/>
        <w:t xml:space="preserve">Table </w:t>
      </w:r>
      <w:r w:rsidR="009E698C">
        <w:rPr>
          <w:rStyle w:val="CommentReference"/>
        </w:rPr>
        <w:t>14</w:t>
      </w:r>
      <w:r w:rsidRPr="000E165C">
        <w:rPr>
          <w:rStyle w:val="CommentReference"/>
        </w:rPr>
        <w:t>: Sensitivity analyses using TEMPO 3:4 overall trial population and efficacy as base case</w:t>
      </w:r>
    </w:p>
    <w:tbl>
      <w:tblPr>
        <w:tblStyle w:val="TableGrid"/>
        <w:tblW w:w="5000" w:type="pct"/>
        <w:tblLook w:val="04A0" w:firstRow="1" w:lastRow="0" w:firstColumn="1" w:lastColumn="0" w:noHBand="0" w:noVBand="1"/>
        <w:tblCaption w:val="Table 14: Sensitivity analyses using TEMPO 3:4 overall trial population and efficacy as base case"/>
      </w:tblPr>
      <w:tblGrid>
        <w:gridCol w:w="4935"/>
        <w:gridCol w:w="1436"/>
        <w:gridCol w:w="1436"/>
        <w:gridCol w:w="1436"/>
      </w:tblGrid>
      <w:tr w:rsidR="000E165C" w:rsidRPr="00D548AF" w:rsidTr="009E698C">
        <w:trPr>
          <w:tblHeader/>
        </w:trPr>
        <w:tc>
          <w:tcPr>
            <w:tcW w:w="2669" w:type="pct"/>
            <w:vAlign w:val="center"/>
          </w:tcPr>
          <w:p w:rsidR="000E165C" w:rsidRPr="00D548AF" w:rsidRDefault="000E165C" w:rsidP="008B4B29">
            <w:pPr>
              <w:keepNext/>
              <w:widowControl/>
              <w:jc w:val="left"/>
              <w:rPr>
                <w:rFonts w:ascii="Arial Narrow" w:hAnsi="Arial Narrow"/>
                <w:b/>
                <w:sz w:val="20"/>
                <w:szCs w:val="20"/>
              </w:rPr>
            </w:pPr>
            <w:r w:rsidRPr="00D548AF">
              <w:rPr>
                <w:rFonts w:ascii="Arial Narrow" w:hAnsi="Arial Narrow"/>
                <w:b/>
                <w:sz w:val="20"/>
                <w:szCs w:val="20"/>
              </w:rPr>
              <w:t>Analysis</w:t>
            </w:r>
          </w:p>
          <w:p w:rsidR="000E165C" w:rsidRPr="00D548AF" w:rsidRDefault="000E165C" w:rsidP="008B4B29">
            <w:pPr>
              <w:keepNext/>
              <w:widowControl/>
              <w:rPr>
                <w:rFonts w:ascii="Arial Narrow" w:hAnsi="Arial Narrow"/>
                <w:b/>
                <w:sz w:val="20"/>
                <w:szCs w:val="20"/>
              </w:rPr>
            </w:pPr>
            <w:r w:rsidRPr="00D548AF">
              <w:rPr>
                <w:rFonts w:ascii="Arial Narrow" w:hAnsi="Arial Narrow"/>
                <w:b/>
                <w:sz w:val="20"/>
                <w:szCs w:val="20"/>
              </w:rPr>
              <w:t>[number of patients on which analysis was based]</w:t>
            </w:r>
          </w:p>
        </w:tc>
        <w:tc>
          <w:tcPr>
            <w:tcW w:w="777" w:type="pct"/>
            <w:vAlign w:val="center"/>
          </w:tcPr>
          <w:p w:rsidR="000E165C" w:rsidRPr="00D548AF" w:rsidRDefault="000E165C" w:rsidP="008B4B29">
            <w:pPr>
              <w:keepNext/>
              <w:widowControl/>
              <w:jc w:val="center"/>
              <w:rPr>
                <w:rFonts w:ascii="Arial Narrow" w:hAnsi="Arial Narrow"/>
                <w:b/>
                <w:sz w:val="20"/>
                <w:szCs w:val="20"/>
              </w:rPr>
            </w:pPr>
            <w:r w:rsidRPr="00D548AF">
              <w:rPr>
                <w:rFonts w:ascii="Arial Narrow" w:hAnsi="Arial Narrow"/>
                <w:b/>
                <w:sz w:val="20"/>
                <w:szCs w:val="20"/>
              </w:rPr>
              <w:t>Incremental cost</w:t>
            </w:r>
          </w:p>
        </w:tc>
        <w:tc>
          <w:tcPr>
            <w:tcW w:w="777" w:type="pct"/>
            <w:vAlign w:val="center"/>
          </w:tcPr>
          <w:p w:rsidR="000E165C" w:rsidRPr="00D548AF" w:rsidRDefault="000E165C" w:rsidP="008B4B29">
            <w:pPr>
              <w:keepNext/>
              <w:widowControl/>
              <w:jc w:val="center"/>
              <w:rPr>
                <w:rFonts w:ascii="Arial Narrow" w:hAnsi="Arial Narrow"/>
                <w:b/>
                <w:sz w:val="20"/>
                <w:szCs w:val="20"/>
              </w:rPr>
            </w:pPr>
            <w:r w:rsidRPr="00D548AF">
              <w:rPr>
                <w:rFonts w:ascii="Arial Narrow" w:hAnsi="Arial Narrow"/>
                <w:b/>
                <w:sz w:val="20"/>
                <w:szCs w:val="20"/>
              </w:rPr>
              <w:t>Incremental QALYs</w:t>
            </w:r>
          </w:p>
        </w:tc>
        <w:tc>
          <w:tcPr>
            <w:tcW w:w="777" w:type="pct"/>
            <w:vAlign w:val="center"/>
          </w:tcPr>
          <w:p w:rsidR="000E165C" w:rsidRPr="00D548AF" w:rsidRDefault="000E165C" w:rsidP="008B4B29">
            <w:pPr>
              <w:keepNext/>
              <w:widowControl/>
              <w:jc w:val="center"/>
              <w:rPr>
                <w:rFonts w:ascii="Arial Narrow" w:hAnsi="Arial Narrow"/>
                <w:b/>
                <w:sz w:val="20"/>
                <w:szCs w:val="20"/>
              </w:rPr>
            </w:pPr>
            <w:r w:rsidRPr="00D548AF">
              <w:rPr>
                <w:rFonts w:ascii="Arial Narrow" w:hAnsi="Arial Narrow"/>
                <w:b/>
                <w:sz w:val="20"/>
                <w:szCs w:val="20"/>
              </w:rPr>
              <w:t>ICER</w:t>
            </w:r>
          </w:p>
        </w:tc>
      </w:tr>
      <w:tr w:rsidR="000E165C" w:rsidRPr="00D548AF" w:rsidTr="009E698C">
        <w:tc>
          <w:tcPr>
            <w:tcW w:w="2669" w:type="pct"/>
          </w:tcPr>
          <w:p w:rsidR="000E165C" w:rsidRPr="00D548AF" w:rsidRDefault="000E165C" w:rsidP="008B4B29">
            <w:pPr>
              <w:keepNext/>
              <w:widowControl/>
              <w:rPr>
                <w:rFonts w:ascii="Arial Narrow" w:hAnsi="Arial Narrow"/>
                <w:sz w:val="20"/>
                <w:szCs w:val="20"/>
              </w:rPr>
            </w:pPr>
            <w:r w:rsidRPr="00D548AF">
              <w:rPr>
                <w:rFonts w:ascii="Arial Narrow" w:hAnsi="Arial Narrow"/>
                <w:sz w:val="20"/>
                <w:szCs w:val="20"/>
              </w:rPr>
              <w:t>TEMPO 3:4 overall trial population and efficacy [N=474]</w:t>
            </w:r>
          </w:p>
        </w:tc>
        <w:tc>
          <w:tcPr>
            <w:tcW w:w="777" w:type="pct"/>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c>
          <w:tcPr>
            <w:tcW w:w="777" w:type="pct"/>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0.3417</w:t>
            </w:r>
          </w:p>
        </w:tc>
        <w:tc>
          <w:tcPr>
            <w:tcW w:w="777" w:type="pct"/>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r>
      <w:tr w:rsidR="000E165C" w:rsidRPr="00D548AF" w:rsidTr="009E698C">
        <w:tc>
          <w:tcPr>
            <w:tcW w:w="2669" w:type="pct"/>
          </w:tcPr>
          <w:p w:rsidR="000E165C" w:rsidRPr="00D548AF" w:rsidRDefault="000E165C" w:rsidP="008B4B29">
            <w:pPr>
              <w:keepNext/>
              <w:widowControl/>
              <w:rPr>
                <w:rFonts w:ascii="Arial Narrow" w:hAnsi="Arial Narrow"/>
                <w:b/>
                <w:sz w:val="20"/>
                <w:szCs w:val="20"/>
              </w:rPr>
            </w:pPr>
            <w:r w:rsidRPr="00D548AF">
              <w:rPr>
                <w:rFonts w:ascii="Arial Narrow" w:hAnsi="Arial Narrow"/>
                <w:b/>
                <w:sz w:val="20"/>
                <w:szCs w:val="20"/>
              </w:rPr>
              <w:t>Alternative populations</w:t>
            </w:r>
          </w:p>
        </w:tc>
        <w:tc>
          <w:tcPr>
            <w:tcW w:w="777" w:type="pct"/>
            <w:vAlign w:val="center"/>
          </w:tcPr>
          <w:p w:rsidR="000E165C" w:rsidRPr="00D548AF" w:rsidRDefault="000E165C" w:rsidP="008B4B29">
            <w:pPr>
              <w:keepNext/>
              <w:widowControl/>
              <w:jc w:val="center"/>
              <w:rPr>
                <w:rFonts w:ascii="Arial Narrow" w:hAnsi="Arial Narrow"/>
                <w:sz w:val="20"/>
                <w:szCs w:val="20"/>
              </w:rPr>
            </w:pPr>
          </w:p>
        </w:tc>
        <w:tc>
          <w:tcPr>
            <w:tcW w:w="777" w:type="pct"/>
            <w:vAlign w:val="center"/>
          </w:tcPr>
          <w:p w:rsidR="000E165C" w:rsidRPr="00D548AF" w:rsidRDefault="000E165C" w:rsidP="008B4B29">
            <w:pPr>
              <w:keepNext/>
              <w:widowControl/>
              <w:jc w:val="center"/>
              <w:rPr>
                <w:rFonts w:ascii="Arial Narrow" w:hAnsi="Arial Narrow"/>
                <w:sz w:val="20"/>
                <w:szCs w:val="20"/>
              </w:rPr>
            </w:pPr>
          </w:p>
        </w:tc>
        <w:tc>
          <w:tcPr>
            <w:tcW w:w="777" w:type="pct"/>
            <w:vAlign w:val="center"/>
          </w:tcPr>
          <w:p w:rsidR="000E165C" w:rsidRPr="00D548AF" w:rsidRDefault="000E165C" w:rsidP="008B4B29">
            <w:pPr>
              <w:keepNext/>
              <w:widowControl/>
              <w:jc w:val="center"/>
              <w:rPr>
                <w:rFonts w:ascii="Arial Narrow" w:hAnsi="Arial Narrow"/>
                <w:sz w:val="20"/>
                <w:szCs w:val="20"/>
              </w:rPr>
            </w:pPr>
          </w:p>
        </w:tc>
      </w:tr>
      <w:tr w:rsidR="000E165C" w:rsidRPr="00D548AF" w:rsidTr="009E698C">
        <w:tc>
          <w:tcPr>
            <w:tcW w:w="2669" w:type="pct"/>
          </w:tcPr>
          <w:p w:rsidR="000E165C" w:rsidRPr="00D548AF" w:rsidRDefault="000E165C" w:rsidP="008B4B29">
            <w:pPr>
              <w:keepNext/>
              <w:widowControl/>
              <w:rPr>
                <w:rFonts w:ascii="Arial Narrow" w:hAnsi="Arial Narrow"/>
                <w:sz w:val="20"/>
                <w:szCs w:val="20"/>
              </w:rPr>
            </w:pPr>
            <w:r w:rsidRPr="00D548AF">
              <w:rPr>
                <w:rFonts w:ascii="Arial Narrow" w:hAnsi="Arial Narrow"/>
                <w:sz w:val="20"/>
                <w:szCs w:val="20"/>
              </w:rPr>
              <w:t>TEMPO 3:4 trial population minus CKD 1 [N=302]</w:t>
            </w:r>
          </w:p>
        </w:tc>
        <w:tc>
          <w:tcPr>
            <w:tcW w:w="777" w:type="pct"/>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c>
          <w:tcPr>
            <w:tcW w:w="777" w:type="pct"/>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0.3663</w:t>
            </w:r>
          </w:p>
        </w:tc>
        <w:tc>
          <w:tcPr>
            <w:tcW w:w="777" w:type="pct"/>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r>
      <w:tr w:rsidR="000E165C" w:rsidRPr="00D548AF" w:rsidTr="009E698C">
        <w:tc>
          <w:tcPr>
            <w:tcW w:w="2669" w:type="pct"/>
          </w:tcPr>
          <w:p w:rsidR="000E165C" w:rsidRPr="00D548AF" w:rsidRDefault="000E165C" w:rsidP="008B4B29">
            <w:pPr>
              <w:keepNext/>
              <w:widowControl/>
              <w:rPr>
                <w:rFonts w:ascii="Arial Narrow" w:hAnsi="Arial Narrow"/>
                <w:sz w:val="20"/>
                <w:szCs w:val="20"/>
              </w:rPr>
            </w:pPr>
            <w:r w:rsidRPr="00D548AF">
              <w:rPr>
                <w:rFonts w:ascii="Arial Narrow" w:hAnsi="Arial Narrow"/>
                <w:sz w:val="20"/>
                <w:szCs w:val="20"/>
              </w:rPr>
              <w:t>PBS population 1 (CKD 2-3; eGFR decline ≥2.5; age 18-50 years; eGFR &lt;90) [N=197]</w:t>
            </w:r>
          </w:p>
        </w:tc>
        <w:tc>
          <w:tcPr>
            <w:tcW w:w="777" w:type="pct"/>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c>
          <w:tcPr>
            <w:tcW w:w="777" w:type="pct"/>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0.5033</w:t>
            </w:r>
          </w:p>
        </w:tc>
        <w:tc>
          <w:tcPr>
            <w:tcW w:w="777" w:type="pct"/>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r>
      <w:tr w:rsidR="000E165C" w:rsidRPr="00D548AF" w:rsidTr="009E698C">
        <w:tc>
          <w:tcPr>
            <w:tcW w:w="2669" w:type="pct"/>
          </w:tcPr>
          <w:p w:rsidR="000E165C" w:rsidRPr="00D548AF" w:rsidRDefault="000E165C" w:rsidP="008B4B29">
            <w:pPr>
              <w:keepNext/>
              <w:widowControl/>
              <w:rPr>
                <w:rFonts w:ascii="Arial Narrow" w:hAnsi="Arial Narrow"/>
                <w:sz w:val="20"/>
                <w:szCs w:val="20"/>
              </w:rPr>
            </w:pPr>
            <w:r w:rsidRPr="00D548AF">
              <w:rPr>
                <w:rFonts w:ascii="Arial Narrow" w:hAnsi="Arial Narrow"/>
                <w:sz w:val="20"/>
                <w:szCs w:val="20"/>
              </w:rPr>
              <w:t>TEMPO 3:4 CKD stage 1 [N=169]</w:t>
            </w:r>
          </w:p>
        </w:tc>
        <w:tc>
          <w:tcPr>
            <w:tcW w:w="777" w:type="pct"/>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c>
          <w:tcPr>
            <w:tcW w:w="777" w:type="pct"/>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0.3123</w:t>
            </w:r>
          </w:p>
        </w:tc>
        <w:tc>
          <w:tcPr>
            <w:tcW w:w="777" w:type="pct"/>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r>
      <w:tr w:rsidR="000E165C" w:rsidRPr="00D548AF" w:rsidTr="009E698C">
        <w:tc>
          <w:tcPr>
            <w:tcW w:w="2669" w:type="pct"/>
          </w:tcPr>
          <w:p w:rsidR="000E165C" w:rsidRPr="00D548AF" w:rsidRDefault="000E165C" w:rsidP="008B4B29">
            <w:pPr>
              <w:keepNext/>
              <w:widowControl/>
              <w:rPr>
                <w:rFonts w:ascii="Arial Narrow" w:hAnsi="Arial Narrow"/>
                <w:sz w:val="20"/>
                <w:szCs w:val="20"/>
              </w:rPr>
            </w:pPr>
            <w:r w:rsidRPr="00D548AF">
              <w:rPr>
                <w:rFonts w:ascii="Arial Narrow" w:hAnsi="Arial Narrow"/>
                <w:sz w:val="20"/>
                <w:szCs w:val="20"/>
              </w:rPr>
              <w:t>TEMPO 3:4 CKD stage 2 [N=221]</w:t>
            </w:r>
          </w:p>
        </w:tc>
        <w:tc>
          <w:tcPr>
            <w:tcW w:w="777" w:type="pct"/>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c>
          <w:tcPr>
            <w:tcW w:w="777" w:type="pct"/>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0.3916</w:t>
            </w:r>
          </w:p>
        </w:tc>
        <w:tc>
          <w:tcPr>
            <w:tcW w:w="777" w:type="pct"/>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r>
      <w:tr w:rsidR="000E165C" w:rsidRPr="00D548AF" w:rsidTr="009E698C">
        <w:tc>
          <w:tcPr>
            <w:tcW w:w="2669" w:type="pct"/>
          </w:tcPr>
          <w:p w:rsidR="000E165C" w:rsidRPr="00D548AF" w:rsidRDefault="000E165C" w:rsidP="008B4B29">
            <w:pPr>
              <w:keepNext/>
              <w:widowControl/>
              <w:rPr>
                <w:rFonts w:ascii="Arial Narrow" w:hAnsi="Arial Narrow"/>
                <w:sz w:val="20"/>
                <w:szCs w:val="20"/>
              </w:rPr>
            </w:pPr>
            <w:r w:rsidRPr="00D548AF">
              <w:rPr>
                <w:rFonts w:ascii="Arial Narrow" w:hAnsi="Arial Narrow"/>
                <w:sz w:val="20"/>
                <w:szCs w:val="20"/>
              </w:rPr>
              <w:t>TEMPO 3:4 CKD stage 3 [N=81]</w:t>
            </w:r>
          </w:p>
        </w:tc>
        <w:tc>
          <w:tcPr>
            <w:tcW w:w="777" w:type="pct"/>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c>
          <w:tcPr>
            <w:tcW w:w="777" w:type="pct"/>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0.3284</w:t>
            </w:r>
          </w:p>
        </w:tc>
        <w:tc>
          <w:tcPr>
            <w:tcW w:w="777" w:type="pct"/>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r>
      <w:tr w:rsidR="000E165C" w:rsidRPr="00D548AF" w:rsidTr="009E698C">
        <w:tc>
          <w:tcPr>
            <w:tcW w:w="2669" w:type="pct"/>
          </w:tcPr>
          <w:p w:rsidR="000E165C" w:rsidRPr="00D548AF" w:rsidRDefault="000E165C" w:rsidP="008B4B29">
            <w:pPr>
              <w:keepNext/>
              <w:widowControl/>
              <w:rPr>
                <w:rFonts w:ascii="Arial Narrow" w:hAnsi="Arial Narrow"/>
                <w:sz w:val="20"/>
                <w:szCs w:val="20"/>
              </w:rPr>
            </w:pPr>
            <w:r w:rsidRPr="00D548AF">
              <w:rPr>
                <w:rFonts w:ascii="Arial Narrow" w:hAnsi="Arial Narrow"/>
                <w:sz w:val="20"/>
                <w:szCs w:val="20"/>
              </w:rPr>
              <w:t>TEMPO 3:4 CKD stage 1 and eGFR decline ≥2.5 [N=89]</w:t>
            </w:r>
          </w:p>
        </w:tc>
        <w:tc>
          <w:tcPr>
            <w:tcW w:w="777" w:type="pct"/>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c>
          <w:tcPr>
            <w:tcW w:w="777" w:type="pct"/>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0.5339</w:t>
            </w:r>
          </w:p>
        </w:tc>
        <w:tc>
          <w:tcPr>
            <w:tcW w:w="777" w:type="pct"/>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r>
      <w:tr w:rsidR="000E165C" w:rsidRPr="00D548AF" w:rsidTr="009E698C">
        <w:tc>
          <w:tcPr>
            <w:tcW w:w="2669" w:type="pct"/>
          </w:tcPr>
          <w:p w:rsidR="000E165C" w:rsidRPr="00D548AF" w:rsidRDefault="000E165C" w:rsidP="008B4B29">
            <w:pPr>
              <w:keepNext/>
              <w:widowControl/>
              <w:rPr>
                <w:rFonts w:ascii="Arial Narrow" w:hAnsi="Arial Narrow"/>
                <w:sz w:val="20"/>
                <w:szCs w:val="20"/>
              </w:rPr>
            </w:pPr>
            <w:r w:rsidRPr="00D548AF">
              <w:rPr>
                <w:rFonts w:ascii="Arial Narrow" w:hAnsi="Arial Narrow"/>
                <w:sz w:val="20"/>
                <w:szCs w:val="20"/>
              </w:rPr>
              <w:t>TEMPO 3:4 CKD stage 2 and eGFR decline ≥2.5 [N=144]</w:t>
            </w:r>
          </w:p>
        </w:tc>
        <w:tc>
          <w:tcPr>
            <w:tcW w:w="777" w:type="pct"/>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c>
          <w:tcPr>
            <w:tcW w:w="777" w:type="pct"/>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0.5388</w:t>
            </w:r>
          </w:p>
        </w:tc>
        <w:tc>
          <w:tcPr>
            <w:tcW w:w="777" w:type="pct"/>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r>
      <w:tr w:rsidR="000E165C" w:rsidRPr="00D548AF" w:rsidTr="009E698C">
        <w:tc>
          <w:tcPr>
            <w:tcW w:w="2669" w:type="pct"/>
          </w:tcPr>
          <w:p w:rsidR="000E165C" w:rsidRPr="00D548AF" w:rsidRDefault="000E165C" w:rsidP="008B4B29">
            <w:pPr>
              <w:keepNext/>
              <w:widowControl/>
              <w:rPr>
                <w:rFonts w:ascii="Arial Narrow" w:hAnsi="Arial Narrow"/>
                <w:sz w:val="20"/>
                <w:szCs w:val="20"/>
              </w:rPr>
            </w:pPr>
            <w:r w:rsidRPr="00D548AF">
              <w:rPr>
                <w:rFonts w:ascii="Arial Narrow" w:hAnsi="Arial Narrow"/>
                <w:sz w:val="20"/>
                <w:szCs w:val="20"/>
              </w:rPr>
              <w:t>TEMPO 3:4 CKD stage 3 and eGFR decline ≥2.5 [N=53]</w:t>
            </w:r>
          </w:p>
        </w:tc>
        <w:tc>
          <w:tcPr>
            <w:tcW w:w="777" w:type="pct"/>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c>
          <w:tcPr>
            <w:tcW w:w="777" w:type="pct"/>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0.3657</w:t>
            </w:r>
          </w:p>
        </w:tc>
        <w:tc>
          <w:tcPr>
            <w:tcW w:w="777" w:type="pct"/>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r>
      <w:tr w:rsidR="000E165C" w:rsidRPr="00D548AF" w:rsidTr="009E698C">
        <w:tc>
          <w:tcPr>
            <w:tcW w:w="5000" w:type="pct"/>
            <w:gridSpan w:val="4"/>
          </w:tcPr>
          <w:p w:rsidR="000E165C" w:rsidRPr="00D548AF" w:rsidRDefault="000E165C" w:rsidP="008B4B29">
            <w:pPr>
              <w:keepNext/>
              <w:widowControl/>
              <w:jc w:val="left"/>
              <w:rPr>
                <w:rFonts w:ascii="Arial Narrow" w:hAnsi="Arial Narrow"/>
                <w:sz w:val="20"/>
                <w:szCs w:val="20"/>
              </w:rPr>
            </w:pPr>
            <w:r w:rsidRPr="00D548AF">
              <w:rPr>
                <w:rFonts w:ascii="Arial Narrow" w:hAnsi="Arial Narrow"/>
                <w:b/>
                <w:sz w:val="20"/>
                <w:szCs w:val="20"/>
              </w:rPr>
              <w:t>Alternative tolvaptan efficacy estimates (relative reduction; base case 0.264)</w:t>
            </w:r>
          </w:p>
        </w:tc>
      </w:tr>
      <w:tr w:rsidR="000E165C" w:rsidRPr="00D548AF" w:rsidTr="009E698C">
        <w:tc>
          <w:tcPr>
            <w:tcW w:w="2669" w:type="pct"/>
          </w:tcPr>
          <w:p w:rsidR="000E165C" w:rsidRPr="00D548AF" w:rsidRDefault="000E165C" w:rsidP="008B4B29">
            <w:pPr>
              <w:keepNext/>
              <w:widowControl/>
              <w:rPr>
                <w:rFonts w:ascii="Arial Narrow" w:hAnsi="Arial Narrow"/>
                <w:sz w:val="20"/>
                <w:szCs w:val="20"/>
              </w:rPr>
            </w:pPr>
            <w:r w:rsidRPr="00D548AF">
              <w:rPr>
                <w:rFonts w:ascii="Arial Narrow" w:hAnsi="Arial Narrow"/>
                <w:sz w:val="20"/>
                <w:szCs w:val="20"/>
              </w:rPr>
              <w:t>TEMPO 3:4 ITT minus CKD stage 1 (0.296)</w:t>
            </w:r>
          </w:p>
        </w:tc>
        <w:tc>
          <w:tcPr>
            <w:tcW w:w="777" w:type="pct"/>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c>
          <w:tcPr>
            <w:tcW w:w="777" w:type="pct"/>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0.3916</w:t>
            </w:r>
          </w:p>
        </w:tc>
        <w:tc>
          <w:tcPr>
            <w:tcW w:w="777" w:type="pct"/>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r>
      <w:tr w:rsidR="000E165C" w:rsidRPr="00D548AF" w:rsidTr="009E698C">
        <w:tc>
          <w:tcPr>
            <w:tcW w:w="2669" w:type="pct"/>
          </w:tcPr>
          <w:p w:rsidR="000E165C" w:rsidRPr="00D548AF" w:rsidRDefault="000E165C" w:rsidP="008B4B29">
            <w:pPr>
              <w:keepNext/>
              <w:widowControl/>
              <w:rPr>
                <w:rFonts w:ascii="Arial Narrow" w:hAnsi="Arial Narrow"/>
                <w:sz w:val="20"/>
                <w:szCs w:val="20"/>
              </w:rPr>
            </w:pPr>
            <w:r w:rsidRPr="00D548AF">
              <w:rPr>
                <w:rFonts w:ascii="Arial Narrow" w:hAnsi="Arial Narrow"/>
                <w:sz w:val="20"/>
                <w:szCs w:val="20"/>
              </w:rPr>
              <w:t>TEMPO 3:4 by CKD stage</w:t>
            </w:r>
          </w:p>
          <w:p w:rsidR="000E165C" w:rsidRPr="00D548AF" w:rsidRDefault="000E165C" w:rsidP="008B4B29">
            <w:pPr>
              <w:keepNext/>
              <w:widowControl/>
              <w:rPr>
                <w:rFonts w:ascii="Arial Narrow" w:hAnsi="Arial Narrow"/>
                <w:sz w:val="20"/>
                <w:szCs w:val="20"/>
              </w:rPr>
            </w:pPr>
            <w:r w:rsidRPr="00D548AF">
              <w:rPr>
                <w:rFonts w:ascii="Arial Narrow" w:hAnsi="Arial Narrow"/>
                <w:sz w:val="20"/>
                <w:szCs w:val="20"/>
              </w:rPr>
              <w:t>(CKD 1: 0.155; CKD 2: 0.291; CKD 3: 0.310; CKD 4: 0.310)</w:t>
            </w:r>
          </w:p>
        </w:tc>
        <w:tc>
          <w:tcPr>
            <w:tcW w:w="777" w:type="pct"/>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c>
          <w:tcPr>
            <w:tcW w:w="777" w:type="pct"/>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0.3886</w:t>
            </w:r>
          </w:p>
        </w:tc>
        <w:tc>
          <w:tcPr>
            <w:tcW w:w="777" w:type="pct"/>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r>
      <w:tr w:rsidR="002B5A4C" w:rsidRPr="00D548AF" w:rsidTr="009E698C">
        <w:tc>
          <w:tcPr>
            <w:tcW w:w="5000" w:type="pct"/>
            <w:gridSpan w:val="4"/>
          </w:tcPr>
          <w:p w:rsidR="002B5A4C" w:rsidRPr="00D548AF" w:rsidRDefault="002B5A4C" w:rsidP="008B4B29">
            <w:pPr>
              <w:keepNext/>
              <w:widowControl/>
              <w:jc w:val="left"/>
              <w:rPr>
                <w:rFonts w:ascii="Arial Narrow" w:hAnsi="Arial Narrow"/>
                <w:b/>
                <w:sz w:val="20"/>
                <w:szCs w:val="20"/>
              </w:rPr>
            </w:pPr>
            <w:r w:rsidRPr="00D548AF">
              <w:rPr>
                <w:rFonts w:ascii="Arial Narrow" w:hAnsi="Arial Narrow"/>
                <w:b/>
                <w:sz w:val="20"/>
                <w:szCs w:val="20"/>
              </w:rPr>
              <w:t>Alternative population and efficacy</w:t>
            </w:r>
          </w:p>
        </w:tc>
      </w:tr>
      <w:tr w:rsidR="009E70D7" w:rsidRPr="00D548AF" w:rsidTr="009E698C">
        <w:tc>
          <w:tcPr>
            <w:tcW w:w="2669" w:type="pct"/>
          </w:tcPr>
          <w:p w:rsidR="009E70D7" w:rsidRPr="00D548AF" w:rsidRDefault="002B5A4C" w:rsidP="008B4B29">
            <w:pPr>
              <w:keepNext/>
              <w:widowControl/>
              <w:rPr>
                <w:rFonts w:ascii="Arial Narrow" w:hAnsi="Arial Narrow"/>
                <w:sz w:val="20"/>
                <w:szCs w:val="20"/>
              </w:rPr>
            </w:pPr>
            <w:r w:rsidRPr="00D548AF">
              <w:rPr>
                <w:rFonts w:ascii="Arial Narrow" w:hAnsi="Arial Narrow"/>
                <w:sz w:val="20"/>
                <w:szCs w:val="20"/>
              </w:rPr>
              <w:t>Resubmission’s base case (TEMPO 3:4 PBS population 1; efficacy based on TEMPO 3:4 minus CKD stage 1)</w:t>
            </w:r>
          </w:p>
        </w:tc>
        <w:tc>
          <w:tcPr>
            <w:tcW w:w="777" w:type="pct"/>
            <w:vAlign w:val="center"/>
          </w:tcPr>
          <w:p w:rsidR="009E70D7" w:rsidRPr="00D548AF" w:rsidRDefault="002B5A4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c>
          <w:tcPr>
            <w:tcW w:w="777" w:type="pct"/>
            <w:vAlign w:val="center"/>
          </w:tcPr>
          <w:p w:rsidR="009E70D7" w:rsidRPr="00D548AF" w:rsidRDefault="002B5A4C" w:rsidP="008B4B29">
            <w:pPr>
              <w:keepNext/>
              <w:widowControl/>
              <w:jc w:val="center"/>
              <w:rPr>
                <w:rFonts w:ascii="Arial Narrow" w:hAnsi="Arial Narrow"/>
                <w:sz w:val="20"/>
                <w:szCs w:val="20"/>
              </w:rPr>
            </w:pPr>
            <w:r w:rsidRPr="00D548AF">
              <w:rPr>
                <w:rFonts w:ascii="Arial Narrow" w:hAnsi="Arial Narrow"/>
                <w:sz w:val="20"/>
                <w:szCs w:val="20"/>
              </w:rPr>
              <w:t>0.5766</w:t>
            </w:r>
          </w:p>
        </w:tc>
        <w:tc>
          <w:tcPr>
            <w:tcW w:w="777" w:type="pct"/>
            <w:vAlign w:val="center"/>
          </w:tcPr>
          <w:p w:rsidR="009E70D7" w:rsidRPr="00D548AF" w:rsidRDefault="002B5A4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r>
      <w:tr w:rsidR="000E165C" w:rsidRPr="00D548AF" w:rsidTr="009E698C">
        <w:tc>
          <w:tcPr>
            <w:tcW w:w="5000" w:type="pct"/>
            <w:gridSpan w:val="4"/>
          </w:tcPr>
          <w:p w:rsidR="000E165C" w:rsidRPr="00D548AF" w:rsidRDefault="000E165C" w:rsidP="008B4B29">
            <w:pPr>
              <w:keepNext/>
              <w:widowControl/>
              <w:jc w:val="left"/>
              <w:rPr>
                <w:rFonts w:ascii="Arial Narrow" w:hAnsi="Arial Narrow"/>
                <w:sz w:val="20"/>
                <w:szCs w:val="20"/>
              </w:rPr>
            </w:pPr>
            <w:r w:rsidRPr="00D548AF">
              <w:rPr>
                <w:rFonts w:ascii="Arial Narrow" w:hAnsi="Arial Narrow"/>
                <w:b/>
                <w:sz w:val="20"/>
                <w:szCs w:val="20"/>
              </w:rPr>
              <w:t>Definition of eGFR rapid progression  (base case not limited to rapid progression)</w:t>
            </w:r>
          </w:p>
        </w:tc>
      </w:tr>
      <w:tr w:rsidR="000E165C" w:rsidRPr="00D548AF" w:rsidTr="009E698C">
        <w:trPr>
          <w:trHeight w:val="60"/>
        </w:trPr>
        <w:tc>
          <w:tcPr>
            <w:tcW w:w="2669" w:type="pct"/>
          </w:tcPr>
          <w:p w:rsidR="000E165C" w:rsidRPr="00D548AF" w:rsidRDefault="000E165C" w:rsidP="008B4B29">
            <w:pPr>
              <w:keepNext/>
              <w:widowControl/>
              <w:rPr>
                <w:rFonts w:ascii="Arial Narrow" w:hAnsi="Arial Narrow"/>
                <w:sz w:val="20"/>
                <w:szCs w:val="20"/>
              </w:rPr>
            </w:pPr>
            <w:r w:rsidRPr="00D548AF">
              <w:rPr>
                <w:rFonts w:ascii="Arial Narrow" w:hAnsi="Arial Narrow"/>
                <w:sz w:val="20"/>
                <w:szCs w:val="20"/>
              </w:rPr>
              <w:t>Average eGFR decline ≥2.5 [N=288]</w:t>
            </w:r>
          </w:p>
        </w:tc>
        <w:tc>
          <w:tcPr>
            <w:tcW w:w="777" w:type="pct"/>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c>
          <w:tcPr>
            <w:tcW w:w="777" w:type="pct"/>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0.4933</w:t>
            </w:r>
          </w:p>
        </w:tc>
        <w:tc>
          <w:tcPr>
            <w:tcW w:w="777" w:type="pct"/>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r>
      <w:tr w:rsidR="000E165C" w:rsidRPr="00D548AF" w:rsidTr="009E698C">
        <w:tc>
          <w:tcPr>
            <w:tcW w:w="2669" w:type="pct"/>
          </w:tcPr>
          <w:p w:rsidR="000E165C" w:rsidRPr="00D548AF" w:rsidRDefault="000E165C" w:rsidP="008B4B29">
            <w:pPr>
              <w:keepNext/>
              <w:widowControl/>
              <w:rPr>
                <w:rFonts w:ascii="Arial Narrow" w:hAnsi="Arial Narrow"/>
                <w:sz w:val="20"/>
                <w:szCs w:val="20"/>
              </w:rPr>
            </w:pPr>
            <w:r w:rsidRPr="00D548AF">
              <w:rPr>
                <w:rFonts w:ascii="Arial Narrow" w:hAnsi="Arial Narrow"/>
                <w:sz w:val="20"/>
                <w:szCs w:val="20"/>
              </w:rPr>
              <w:t>eGFR decline ≥2.5 in any year (0-12 months or 12-24 months or 24-36 months) [N=426]</w:t>
            </w:r>
          </w:p>
        </w:tc>
        <w:tc>
          <w:tcPr>
            <w:tcW w:w="777" w:type="pct"/>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c>
          <w:tcPr>
            <w:tcW w:w="777" w:type="pct"/>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0.3711</w:t>
            </w:r>
          </w:p>
        </w:tc>
        <w:tc>
          <w:tcPr>
            <w:tcW w:w="777" w:type="pct"/>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r>
      <w:tr w:rsidR="000E165C" w:rsidRPr="00D548AF" w:rsidTr="009E698C">
        <w:tc>
          <w:tcPr>
            <w:tcW w:w="5000" w:type="pct"/>
            <w:gridSpan w:val="4"/>
          </w:tcPr>
          <w:p w:rsidR="000E165C" w:rsidRPr="00D548AF" w:rsidRDefault="000E165C" w:rsidP="008B4B29">
            <w:pPr>
              <w:keepNext/>
              <w:widowControl/>
              <w:jc w:val="left"/>
              <w:rPr>
                <w:rFonts w:ascii="Arial Narrow" w:hAnsi="Arial Narrow"/>
                <w:b/>
                <w:sz w:val="20"/>
                <w:szCs w:val="20"/>
              </w:rPr>
            </w:pPr>
            <w:r w:rsidRPr="00D548AF">
              <w:rPr>
                <w:rFonts w:ascii="Arial Narrow" w:hAnsi="Arial Narrow"/>
                <w:b/>
                <w:sz w:val="20"/>
                <w:szCs w:val="20"/>
              </w:rPr>
              <w:t>Treatment cost (base case $</w:t>
            </w:r>
            <w:r w:rsidR="00A00758">
              <w:rPr>
                <w:rFonts w:ascii="Arial Narrow" w:hAnsi="Arial Narrow"/>
                <w:b/>
                <w:noProof/>
                <w:color w:val="000000"/>
                <w:sz w:val="20"/>
                <w:szCs w:val="20"/>
                <w:highlight w:val="black"/>
              </w:rPr>
              <w:t>''''''''''''''''''</w:t>
            </w:r>
            <w:r w:rsidRPr="00D548AF">
              <w:rPr>
                <w:rFonts w:ascii="Arial Narrow" w:hAnsi="Arial Narrow"/>
                <w:b/>
                <w:sz w:val="20"/>
                <w:szCs w:val="20"/>
              </w:rPr>
              <w:t xml:space="preserve"> including 0.95 compliance)</w:t>
            </w:r>
          </w:p>
        </w:tc>
      </w:tr>
      <w:tr w:rsidR="000E165C" w:rsidRPr="00D548AF" w:rsidTr="009E698C">
        <w:tc>
          <w:tcPr>
            <w:tcW w:w="2669" w:type="pct"/>
          </w:tcPr>
          <w:p w:rsidR="000E165C" w:rsidRPr="00D548AF" w:rsidRDefault="000E165C" w:rsidP="008B4B29">
            <w:pPr>
              <w:keepNext/>
              <w:widowControl/>
              <w:rPr>
                <w:rFonts w:ascii="Arial Narrow" w:hAnsi="Arial Narrow"/>
                <w:sz w:val="20"/>
                <w:szCs w:val="20"/>
              </w:rPr>
            </w:pPr>
            <w:r w:rsidRPr="00D548AF">
              <w:rPr>
                <w:rFonts w:ascii="Arial Narrow" w:hAnsi="Arial Narrow"/>
                <w:sz w:val="20"/>
                <w:szCs w:val="20"/>
              </w:rPr>
              <w:t>10% reduction tolvaptan price</w:t>
            </w:r>
          </w:p>
        </w:tc>
        <w:tc>
          <w:tcPr>
            <w:tcW w:w="777" w:type="pct"/>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c>
          <w:tcPr>
            <w:tcW w:w="777" w:type="pct"/>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0.3417</w:t>
            </w:r>
          </w:p>
        </w:tc>
        <w:tc>
          <w:tcPr>
            <w:tcW w:w="777" w:type="pct"/>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r>
      <w:tr w:rsidR="000E165C" w:rsidRPr="00D548AF" w:rsidTr="009E698C">
        <w:tc>
          <w:tcPr>
            <w:tcW w:w="2669" w:type="pct"/>
          </w:tcPr>
          <w:p w:rsidR="000E165C" w:rsidRPr="00D548AF" w:rsidRDefault="000E165C" w:rsidP="008B4B29">
            <w:pPr>
              <w:keepNext/>
              <w:widowControl/>
              <w:rPr>
                <w:rFonts w:ascii="Arial Narrow" w:hAnsi="Arial Narrow"/>
                <w:sz w:val="20"/>
                <w:szCs w:val="20"/>
              </w:rPr>
            </w:pPr>
            <w:r w:rsidRPr="00D548AF">
              <w:rPr>
                <w:rFonts w:ascii="Arial Narrow" w:hAnsi="Arial Narrow"/>
                <w:sz w:val="20"/>
                <w:szCs w:val="20"/>
              </w:rPr>
              <w:t>20% reduction tolvaptan price</w:t>
            </w:r>
          </w:p>
        </w:tc>
        <w:tc>
          <w:tcPr>
            <w:tcW w:w="777" w:type="pct"/>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c>
          <w:tcPr>
            <w:tcW w:w="777" w:type="pct"/>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0.3417</w:t>
            </w:r>
          </w:p>
        </w:tc>
        <w:tc>
          <w:tcPr>
            <w:tcW w:w="777" w:type="pct"/>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r>
      <w:tr w:rsidR="000E165C" w:rsidRPr="00D548AF" w:rsidTr="009E698C">
        <w:tc>
          <w:tcPr>
            <w:tcW w:w="5000" w:type="pct"/>
            <w:gridSpan w:val="4"/>
          </w:tcPr>
          <w:p w:rsidR="000E165C" w:rsidRPr="00D548AF" w:rsidRDefault="000E165C" w:rsidP="008B4B29">
            <w:pPr>
              <w:keepNext/>
              <w:widowControl/>
              <w:jc w:val="left"/>
              <w:rPr>
                <w:rFonts w:ascii="Arial Narrow" w:hAnsi="Arial Narrow"/>
                <w:b/>
                <w:sz w:val="20"/>
                <w:szCs w:val="20"/>
              </w:rPr>
            </w:pPr>
            <w:r w:rsidRPr="00D548AF">
              <w:rPr>
                <w:rFonts w:ascii="Arial Narrow" w:hAnsi="Arial Narrow"/>
                <w:b/>
                <w:sz w:val="20"/>
                <w:szCs w:val="20"/>
              </w:rPr>
              <w:t>Dialysis cost (base case: initial $23,307; ongoing $107,667/year)</w:t>
            </w:r>
          </w:p>
        </w:tc>
      </w:tr>
      <w:tr w:rsidR="000E165C" w:rsidRPr="00D548AF" w:rsidTr="009E698C">
        <w:tc>
          <w:tcPr>
            <w:tcW w:w="2669" w:type="pct"/>
          </w:tcPr>
          <w:p w:rsidR="000E165C" w:rsidRPr="00D548AF" w:rsidRDefault="000E165C" w:rsidP="008B4B29">
            <w:pPr>
              <w:keepNext/>
              <w:widowControl/>
              <w:rPr>
                <w:rFonts w:ascii="Arial Narrow" w:hAnsi="Arial Narrow"/>
                <w:sz w:val="20"/>
                <w:szCs w:val="20"/>
              </w:rPr>
            </w:pPr>
            <w:r w:rsidRPr="00D548AF">
              <w:rPr>
                <w:rFonts w:ascii="Arial Narrow" w:hAnsi="Arial Narrow"/>
                <w:sz w:val="20"/>
                <w:szCs w:val="20"/>
              </w:rPr>
              <w:t>×1.5</w:t>
            </w:r>
          </w:p>
        </w:tc>
        <w:tc>
          <w:tcPr>
            <w:tcW w:w="777" w:type="pct"/>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c>
          <w:tcPr>
            <w:tcW w:w="777" w:type="pct"/>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0.3417</w:t>
            </w:r>
          </w:p>
        </w:tc>
        <w:tc>
          <w:tcPr>
            <w:tcW w:w="777" w:type="pct"/>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r>
      <w:tr w:rsidR="000E165C" w:rsidRPr="00D548AF" w:rsidTr="009E698C">
        <w:tc>
          <w:tcPr>
            <w:tcW w:w="2669" w:type="pct"/>
          </w:tcPr>
          <w:p w:rsidR="000E165C" w:rsidRPr="00D548AF" w:rsidRDefault="000E165C" w:rsidP="008B4B29">
            <w:pPr>
              <w:keepNext/>
              <w:widowControl/>
              <w:rPr>
                <w:rFonts w:ascii="Arial Narrow" w:hAnsi="Arial Narrow"/>
                <w:sz w:val="20"/>
                <w:szCs w:val="20"/>
              </w:rPr>
            </w:pPr>
            <w:r w:rsidRPr="00D548AF">
              <w:rPr>
                <w:rFonts w:ascii="Arial Narrow" w:hAnsi="Arial Narrow"/>
                <w:sz w:val="20"/>
                <w:szCs w:val="20"/>
              </w:rPr>
              <w:t>×0.5</w:t>
            </w:r>
          </w:p>
        </w:tc>
        <w:tc>
          <w:tcPr>
            <w:tcW w:w="777" w:type="pct"/>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c>
          <w:tcPr>
            <w:tcW w:w="777" w:type="pct"/>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0.3417</w:t>
            </w:r>
          </w:p>
        </w:tc>
        <w:tc>
          <w:tcPr>
            <w:tcW w:w="777" w:type="pct"/>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r>
      <w:tr w:rsidR="00B83014" w:rsidRPr="00D548AF" w:rsidTr="009E698C">
        <w:tc>
          <w:tcPr>
            <w:tcW w:w="5000" w:type="pct"/>
            <w:gridSpan w:val="4"/>
          </w:tcPr>
          <w:p w:rsidR="00B83014" w:rsidRPr="00D548AF" w:rsidRDefault="00B83014" w:rsidP="008B4B29">
            <w:pPr>
              <w:keepNext/>
              <w:widowControl/>
              <w:jc w:val="left"/>
              <w:rPr>
                <w:rFonts w:ascii="Arial Narrow" w:hAnsi="Arial Narrow"/>
                <w:sz w:val="20"/>
                <w:szCs w:val="20"/>
              </w:rPr>
            </w:pPr>
            <w:r w:rsidRPr="00D548AF">
              <w:rPr>
                <w:rFonts w:ascii="Arial Narrow" w:hAnsi="Arial Narrow"/>
                <w:b/>
                <w:sz w:val="20"/>
                <w:szCs w:val="20"/>
              </w:rPr>
              <w:t>Time horizon (base case: lifetime; maximum 100 years)</w:t>
            </w:r>
          </w:p>
        </w:tc>
      </w:tr>
      <w:tr w:rsidR="00B83014" w:rsidRPr="00D548AF" w:rsidTr="009E698C">
        <w:tc>
          <w:tcPr>
            <w:tcW w:w="2669" w:type="pct"/>
            <w:vAlign w:val="bottom"/>
          </w:tcPr>
          <w:p w:rsidR="00B83014" w:rsidRPr="00D548AF" w:rsidRDefault="00B83014" w:rsidP="008B4B29">
            <w:pPr>
              <w:keepNext/>
              <w:widowControl/>
              <w:rPr>
                <w:rFonts w:ascii="Arial Narrow" w:hAnsi="Arial Narrow"/>
                <w:sz w:val="20"/>
                <w:szCs w:val="20"/>
              </w:rPr>
            </w:pPr>
            <w:r w:rsidRPr="00D548AF">
              <w:rPr>
                <w:rFonts w:ascii="Arial Narrow" w:hAnsi="Arial Narrow"/>
                <w:color w:val="000000"/>
                <w:sz w:val="20"/>
                <w:szCs w:val="20"/>
              </w:rPr>
              <w:t>5 years</w:t>
            </w:r>
          </w:p>
        </w:tc>
        <w:tc>
          <w:tcPr>
            <w:tcW w:w="777" w:type="pct"/>
            <w:vAlign w:val="bottom"/>
          </w:tcPr>
          <w:p w:rsidR="00B83014" w:rsidRPr="00D548AF" w:rsidRDefault="00B83014" w:rsidP="008B4B29">
            <w:pPr>
              <w:keepNext/>
              <w:widowControl/>
              <w:jc w:val="center"/>
              <w:rPr>
                <w:rFonts w:ascii="Arial Narrow" w:hAnsi="Arial Narrow"/>
                <w:sz w:val="20"/>
                <w:szCs w:val="20"/>
              </w:rPr>
            </w:pPr>
            <w:r w:rsidRPr="00D548AF">
              <w:rPr>
                <w:rFonts w:ascii="Arial Narrow" w:hAnsi="Arial Narrow"/>
                <w:color w:val="000000"/>
                <w:sz w:val="20"/>
                <w:szCs w:val="20"/>
              </w:rPr>
              <w:t>$</w:t>
            </w:r>
            <w:r w:rsidR="00A00758">
              <w:rPr>
                <w:rFonts w:ascii="Arial Narrow" w:hAnsi="Arial Narrow"/>
                <w:noProof/>
                <w:color w:val="000000"/>
                <w:sz w:val="20"/>
                <w:szCs w:val="20"/>
                <w:highlight w:val="black"/>
              </w:rPr>
              <w:t>'''''''''''''''</w:t>
            </w:r>
          </w:p>
        </w:tc>
        <w:tc>
          <w:tcPr>
            <w:tcW w:w="777" w:type="pct"/>
            <w:vAlign w:val="bottom"/>
          </w:tcPr>
          <w:p w:rsidR="00B83014" w:rsidRPr="00D548AF" w:rsidRDefault="00B83014" w:rsidP="008B4B29">
            <w:pPr>
              <w:keepNext/>
              <w:widowControl/>
              <w:jc w:val="center"/>
              <w:rPr>
                <w:rFonts w:ascii="Arial Narrow" w:hAnsi="Arial Narrow"/>
                <w:sz w:val="20"/>
                <w:szCs w:val="20"/>
              </w:rPr>
            </w:pPr>
            <w:r w:rsidRPr="00D548AF">
              <w:rPr>
                <w:rFonts w:ascii="Arial Narrow" w:hAnsi="Arial Narrow"/>
                <w:color w:val="000000"/>
                <w:sz w:val="20"/>
                <w:szCs w:val="20"/>
              </w:rPr>
              <w:t>0.0127</w:t>
            </w:r>
          </w:p>
        </w:tc>
        <w:tc>
          <w:tcPr>
            <w:tcW w:w="777" w:type="pct"/>
            <w:vAlign w:val="bottom"/>
          </w:tcPr>
          <w:p w:rsidR="00B83014" w:rsidRPr="00D548AF" w:rsidRDefault="00B83014" w:rsidP="008B4B29">
            <w:pPr>
              <w:keepNext/>
              <w:widowControl/>
              <w:jc w:val="center"/>
              <w:rPr>
                <w:rFonts w:ascii="Arial Narrow" w:hAnsi="Arial Narrow"/>
                <w:sz w:val="20"/>
                <w:szCs w:val="20"/>
              </w:rPr>
            </w:pPr>
            <w:r w:rsidRPr="00D548AF">
              <w:rPr>
                <w:rFonts w:ascii="Arial Narrow" w:hAnsi="Arial Narrow"/>
                <w:color w:val="000000"/>
                <w:sz w:val="20"/>
                <w:szCs w:val="20"/>
              </w:rPr>
              <w:t>$</w:t>
            </w:r>
            <w:r w:rsidR="00A00758">
              <w:rPr>
                <w:rFonts w:ascii="Arial Narrow" w:hAnsi="Arial Narrow"/>
                <w:noProof/>
                <w:color w:val="000000"/>
                <w:sz w:val="20"/>
                <w:szCs w:val="20"/>
                <w:highlight w:val="black"/>
              </w:rPr>
              <w:t>''''''''''''''''''''''</w:t>
            </w:r>
          </w:p>
        </w:tc>
      </w:tr>
      <w:tr w:rsidR="00B83014" w:rsidRPr="00D548AF" w:rsidTr="009E698C">
        <w:tc>
          <w:tcPr>
            <w:tcW w:w="2669" w:type="pct"/>
            <w:vAlign w:val="bottom"/>
          </w:tcPr>
          <w:p w:rsidR="00B83014" w:rsidRPr="00D548AF" w:rsidRDefault="00B83014" w:rsidP="008B4B29">
            <w:pPr>
              <w:keepNext/>
              <w:widowControl/>
              <w:rPr>
                <w:rFonts w:ascii="Arial Narrow" w:hAnsi="Arial Narrow"/>
                <w:sz w:val="20"/>
                <w:szCs w:val="20"/>
              </w:rPr>
            </w:pPr>
            <w:r w:rsidRPr="00D548AF">
              <w:rPr>
                <w:rFonts w:ascii="Arial Narrow" w:hAnsi="Arial Narrow"/>
                <w:color w:val="000000"/>
                <w:sz w:val="20"/>
                <w:szCs w:val="20"/>
              </w:rPr>
              <w:t>10 years</w:t>
            </w:r>
          </w:p>
        </w:tc>
        <w:tc>
          <w:tcPr>
            <w:tcW w:w="777" w:type="pct"/>
            <w:vAlign w:val="bottom"/>
          </w:tcPr>
          <w:p w:rsidR="00B83014" w:rsidRPr="00D548AF" w:rsidRDefault="00B83014" w:rsidP="008B4B29">
            <w:pPr>
              <w:keepNext/>
              <w:widowControl/>
              <w:jc w:val="center"/>
              <w:rPr>
                <w:rFonts w:ascii="Arial Narrow" w:hAnsi="Arial Narrow"/>
                <w:sz w:val="20"/>
                <w:szCs w:val="20"/>
              </w:rPr>
            </w:pPr>
            <w:r w:rsidRPr="00D548AF">
              <w:rPr>
                <w:rFonts w:ascii="Arial Narrow" w:hAnsi="Arial Narrow"/>
                <w:color w:val="000000"/>
                <w:sz w:val="20"/>
                <w:szCs w:val="20"/>
              </w:rPr>
              <w:t>$</w:t>
            </w:r>
            <w:r w:rsidR="00A00758">
              <w:rPr>
                <w:rFonts w:ascii="Arial Narrow" w:hAnsi="Arial Narrow"/>
                <w:noProof/>
                <w:color w:val="000000"/>
                <w:sz w:val="20"/>
                <w:szCs w:val="20"/>
                <w:highlight w:val="black"/>
              </w:rPr>
              <w:t>''''''''''''''''</w:t>
            </w:r>
          </w:p>
        </w:tc>
        <w:tc>
          <w:tcPr>
            <w:tcW w:w="777" w:type="pct"/>
            <w:vAlign w:val="bottom"/>
          </w:tcPr>
          <w:p w:rsidR="00B83014" w:rsidRPr="00D548AF" w:rsidRDefault="00B83014" w:rsidP="008B4B29">
            <w:pPr>
              <w:keepNext/>
              <w:widowControl/>
              <w:jc w:val="center"/>
              <w:rPr>
                <w:rFonts w:ascii="Arial Narrow" w:hAnsi="Arial Narrow"/>
                <w:sz w:val="20"/>
                <w:szCs w:val="20"/>
              </w:rPr>
            </w:pPr>
            <w:r w:rsidRPr="00D548AF">
              <w:rPr>
                <w:rFonts w:ascii="Arial Narrow" w:hAnsi="Arial Narrow"/>
                <w:color w:val="000000"/>
                <w:sz w:val="20"/>
                <w:szCs w:val="20"/>
              </w:rPr>
              <w:t>0.0572</w:t>
            </w:r>
          </w:p>
        </w:tc>
        <w:tc>
          <w:tcPr>
            <w:tcW w:w="777" w:type="pct"/>
            <w:vAlign w:val="bottom"/>
          </w:tcPr>
          <w:p w:rsidR="00B83014" w:rsidRPr="00D548AF" w:rsidRDefault="00B83014" w:rsidP="008B4B29">
            <w:pPr>
              <w:keepNext/>
              <w:widowControl/>
              <w:jc w:val="center"/>
              <w:rPr>
                <w:rFonts w:ascii="Arial Narrow" w:hAnsi="Arial Narrow"/>
                <w:sz w:val="20"/>
                <w:szCs w:val="20"/>
              </w:rPr>
            </w:pPr>
            <w:r w:rsidRPr="00D548AF">
              <w:rPr>
                <w:rFonts w:ascii="Arial Narrow" w:hAnsi="Arial Narrow"/>
                <w:color w:val="000000"/>
                <w:sz w:val="20"/>
                <w:szCs w:val="20"/>
              </w:rPr>
              <w:t>$</w:t>
            </w:r>
            <w:r w:rsidR="00A00758">
              <w:rPr>
                <w:rFonts w:ascii="Arial Narrow" w:hAnsi="Arial Narrow"/>
                <w:noProof/>
                <w:color w:val="000000"/>
                <w:sz w:val="20"/>
                <w:szCs w:val="20"/>
                <w:highlight w:val="black"/>
              </w:rPr>
              <w:t>''''''''''''''''''</w:t>
            </w:r>
          </w:p>
        </w:tc>
      </w:tr>
      <w:tr w:rsidR="00B83014" w:rsidRPr="00D548AF" w:rsidTr="009E698C">
        <w:tc>
          <w:tcPr>
            <w:tcW w:w="2669" w:type="pct"/>
            <w:vAlign w:val="bottom"/>
          </w:tcPr>
          <w:p w:rsidR="00B83014" w:rsidRPr="00D548AF" w:rsidRDefault="00B83014" w:rsidP="008B4B29">
            <w:pPr>
              <w:keepNext/>
              <w:widowControl/>
              <w:rPr>
                <w:rFonts w:ascii="Arial Narrow" w:hAnsi="Arial Narrow"/>
                <w:sz w:val="20"/>
                <w:szCs w:val="20"/>
              </w:rPr>
            </w:pPr>
            <w:r w:rsidRPr="00D548AF">
              <w:rPr>
                <w:rFonts w:ascii="Arial Narrow" w:hAnsi="Arial Narrow"/>
                <w:color w:val="000000"/>
                <w:sz w:val="20"/>
                <w:szCs w:val="20"/>
              </w:rPr>
              <w:t>20 years</w:t>
            </w:r>
          </w:p>
        </w:tc>
        <w:tc>
          <w:tcPr>
            <w:tcW w:w="777" w:type="pct"/>
            <w:vAlign w:val="bottom"/>
          </w:tcPr>
          <w:p w:rsidR="00B83014" w:rsidRPr="00D548AF" w:rsidRDefault="00B83014" w:rsidP="008B4B29">
            <w:pPr>
              <w:keepNext/>
              <w:widowControl/>
              <w:jc w:val="center"/>
              <w:rPr>
                <w:rFonts w:ascii="Arial Narrow" w:hAnsi="Arial Narrow"/>
                <w:sz w:val="20"/>
                <w:szCs w:val="20"/>
              </w:rPr>
            </w:pPr>
            <w:r w:rsidRPr="00D548AF">
              <w:rPr>
                <w:rFonts w:ascii="Arial Narrow" w:hAnsi="Arial Narrow"/>
                <w:color w:val="000000"/>
                <w:sz w:val="20"/>
                <w:szCs w:val="20"/>
              </w:rPr>
              <w:t>$</w:t>
            </w:r>
            <w:r w:rsidR="00A00758">
              <w:rPr>
                <w:rFonts w:ascii="Arial Narrow" w:hAnsi="Arial Narrow"/>
                <w:noProof/>
                <w:color w:val="000000"/>
                <w:sz w:val="20"/>
                <w:szCs w:val="20"/>
                <w:highlight w:val="black"/>
              </w:rPr>
              <w:t>''''''''''''''''</w:t>
            </w:r>
          </w:p>
        </w:tc>
        <w:tc>
          <w:tcPr>
            <w:tcW w:w="777" w:type="pct"/>
            <w:vAlign w:val="bottom"/>
          </w:tcPr>
          <w:p w:rsidR="00B83014" w:rsidRPr="00D548AF" w:rsidRDefault="00B83014" w:rsidP="008B4B29">
            <w:pPr>
              <w:keepNext/>
              <w:widowControl/>
              <w:jc w:val="center"/>
              <w:rPr>
                <w:rFonts w:ascii="Arial Narrow" w:hAnsi="Arial Narrow"/>
                <w:sz w:val="20"/>
                <w:szCs w:val="20"/>
              </w:rPr>
            </w:pPr>
            <w:r w:rsidRPr="00D548AF">
              <w:rPr>
                <w:rFonts w:ascii="Arial Narrow" w:hAnsi="Arial Narrow"/>
                <w:color w:val="000000"/>
                <w:sz w:val="20"/>
                <w:szCs w:val="20"/>
              </w:rPr>
              <w:t>0.1918</w:t>
            </w:r>
          </w:p>
        </w:tc>
        <w:tc>
          <w:tcPr>
            <w:tcW w:w="777" w:type="pct"/>
            <w:vAlign w:val="bottom"/>
          </w:tcPr>
          <w:p w:rsidR="00B83014" w:rsidRPr="00D548AF" w:rsidRDefault="00B83014" w:rsidP="008B4B29">
            <w:pPr>
              <w:keepNext/>
              <w:widowControl/>
              <w:jc w:val="center"/>
              <w:rPr>
                <w:rFonts w:ascii="Arial Narrow" w:hAnsi="Arial Narrow"/>
                <w:sz w:val="20"/>
                <w:szCs w:val="20"/>
              </w:rPr>
            </w:pPr>
            <w:r w:rsidRPr="00D548AF">
              <w:rPr>
                <w:rFonts w:ascii="Arial Narrow" w:hAnsi="Arial Narrow"/>
                <w:color w:val="000000"/>
                <w:sz w:val="20"/>
                <w:szCs w:val="20"/>
              </w:rPr>
              <w:t>$</w:t>
            </w:r>
            <w:r w:rsidR="00A00758">
              <w:rPr>
                <w:rFonts w:ascii="Arial Narrow" w:hAnsi="Arial Narrow"/>
                <w:noProof/>
                <w:color w:val="000000"/>
                <w:sz w:val="20"/>
                <w:szCs w:val="20"/>
                <w:highlight w:val="black"/>
              </w:rPr>
              <w:t>'''''''''''''''''''</w:t>
            </w:r>
          </w:p>
        </w:tc>
      </w:tr>
      <w:tr w:rsidR="00B83014" w:rsidRPr="00D548AF" w:rsidTr="009E698C">
        <w:tc>
          <w:tcPr>
            <w:tcW w:w="2669" w:type="pct"/>
            <w:vAlign w:val="bottom"/>
          </w:tcPr>
          <w:p w:rsidR="00B83014" w:rsidRPr="00D548AF" w:rsidRDefault="00B83014" w:rsidP="008B4B29">
            <w:pPr>
              <w:keepNext/>
              <w:widowControl/>
              <w:rPr>
                <w:rFonts w:ascii="Arial Narrow" w:hAnsi="Arial Narrow"/>
                <w:sz w:val="20"/>
                <w:szCs w:val="20"/>
              </w:rPr>
            </w:pPr>
            <w:r w:rsidRPr="00D548AF">
              <w:rPr>
                <w:rFonts w:ascii="Arial Narrow" w:hAnsi="Arial Narrow"/>
                <w:color w:val="000000"/>
                <w:sz w:val="20"/>
                <w:szCs w:val="20"/>
              </w:rPr>
              <w:t>30 years</w:t>
            </w:r>
          </w:p>
        </w:tc>
        <w:tc>
          <w:tcPr>
            <w:tcW w:w="777" w:type="pct"/>
            <w:vAlign w:val="bottom"/>
          </w:tcPr>
          <w:p w:rsidR="00B83014" w:rsidRPr="00D548AF" w:rsidRDefault="00B83014" w:rsidP="008B4B29">
            <w:pPr>
              <w:keepNext/>
              <w:widowControl/>
              <w:jc w:val="center"/>
              <w:rPr>
                <w:rFonts w:ascii="Arial Narrow" w:hAnsi="Arial Narrow"/>
                <w:sz w:val="20"/>
                <w:szCs w:val="20"/>
              </w:rPr>
            </w:pPr>
            <w:r w:rsidRPr="00D548AF">
              <w:rPr>
                <w:rFonts w:ascii="Arial Narrow" w:hAnsi="Arial Narrow"/>
                <w:color w:val="000000"/>
                <w:sz w:val="20"/>
                <w:szCs w:val="20"/>
              </w:rPr>
              <w:t>$</w:t>
            </w:r>
            <w:r w:rsidR="00A00758">
              <w:rPr>
                <w:rFonts w:ascii="Arial Narrow" w:hAnsi="Arial Narrow"/>
                <w:noProof/>
                <w:color w:val="000000"/>
                <w:sz w:val="20"/>
                <w:szCs w:val="20"/>
                <w:highlight w:val="black"/>
              </w:rPr>
              <w:t>'''''''''''''''''</w:t>
            </w:r>
          </w:p>
        </w:tc>
        <w:tc>
          <w:tcPr>
            <w:tcW w:w="777" w:type="pct"/>
            <w:vAlign w:val="bottom"/>
          </w:tcPr>
          <w:p w:rsidR="00B83014" w:rsidRPr="00D548AF" w:rsidRDefault="00B83014" w:rsidP="008B4B29">
            <w:pPr>
              <w:keepNext/>
              <w:widowControl/>
              <w:jc w:val="center"/>
              <w:rPr>
                <w:rFonts w:ascii="Arial Narrow" w:hAnsi="Arial Narrow"/>
                <w:sz w:val="20"/>
                <w:szCs w:val="20"/>
              </w:rPr>
            </w:pPr>
            <w:r w:rsidRPr="00D548AF">
              <w:rPr>
                <w:rFonts w:ascii="Arial Narrow" w:hAnsi="Arial Narrow"/>
                <w:color w:val="000000"/>
                <w:sz w:val="20"/>
                <w:szCs w:val="20"/>
              </w:rPr>
              <w:t>0.2884</w:t>
            </w:r>
          </w:p>
        </w:tc>
        <w:tc>
          <w:tcPr>
            <w:tcW w:w="777" w:type="pct"/>
            <w:vAlign w:val="bottom"/>
          </w:tcPr>
          <w:p w:rsidR="00B83014" w:rsidRPr="00D548AF" w:rsidRDefault="00B83014" w:rsidP="008B4B29">
            <w:pPr>
              <w:keepNext/>
              <w:widowControl/>
              <w:jc w:val="center"/>
              <w:rPr>
                <w:rFonts w:ascii="Arial Narrow" w:hAnsi="Arial Narrow"/>
                <w:sz w:val="20"/>
                <w:szCs w:val="20"/>
              </w:rPr>
            </w:pPr>
            <w:r w:rsidRPr="00D548AF">
              <w:rPr>
                <w:rFonts w:ascii="Arial Narrow" w:hAnsi="Arial Narrow"/>
                <w:color w:val="000000"/>
                <w:sz w:val="20"/>
                <w:szCs w:val="20"/>
              </w:rPr>
              <w:t>$</w:t>
            </w:r>
            <w:r w:rsidR="00A00758">
              <w:rPr>
                <w:rFonts w:ascii="Arial Narrow" w:hAnsi="Arial Narrow"/>
                <w:noProof/>
                <w:color w:val="000000"/>
                <w:sz w:val="20"/>
                <w:szCs w:val="20"/>
                <w:highlight w:val="black"/>
              </w:rPr>
              <w:t>''''''''''''''''''''</w:t>
            </w:r>
          </w:p>
        </w:tc>
      </w:tr>
    </w:tbl>
    <w:p w:rsidR="000E165C" w:rsidRPr="000E165C" w:rsidRDefault="000E165C" w:rsidP="008B4B29">
      <w:pPr>
        <w:keepNext/>
        <w:widowControl/>
        <w:rPr>
          <w:rFonts w:ascii="Arial Narrow" w:hAnsi="Arial Narrow"/>
          <w:sz w:val="18"/>
        </w:rPr>
      </w:pPr>
      <w:r w:rsidRPr="000E165C">
        <w:rPr>
          <w:rFonts w:ascii="Arial Narrow" w:hAnsi="Arial Narrow"/>
          <w:sz w:val="18"/>
        </w:rPr>
        <w:t>Abbreviations: CK</w:t>
      </w:r>
      <w:r w:rsidR="0006266B">
        <w:rPr>
          <w:rFonts w:ascii="Arial Narrow" w:hAnsi="Arial Narrow"/>
          <w:sz w:val="18"/>
        </w:rPr>
        <w:t>D</w:t>
      </w:r>
      <w:r w:rsidRPr="000E165C">
        <w:rPr>
          <w:rFonts w:ascii="Arial Narrow" w:hAnsi="Arial Narrow"/>
          <w:sz w:val="18"/>
        </w:rPr>
        <w:t>: chronic kidney disease; ICER, incremental cost effectiveness ratio; QALYs: quality adjusted life years</w:t>
      </w:r>
    </w:p>
    <w:p w:rsidR="002B5A4C" w:rsidRPr="0014042C" w:rsidRDefault="002B5A4C" w:rsidP="008B4B29">
      <w:pPr>
        <w:keepNext/>
        <w:widowControl/>
        <w:rPr>
          <w:rFonts w:ascii="Arial Narrow" w:hAnsi="Arial Narrow"/>
          <w:i/>
          <w:sz w:val="18"/>
        </w:rPr>
      </w:pPr>
      <w:r w:rsidRPr="000E165C">
        <w:rPr>
          <w:rFonts w:ascii="Arial Narrow" w:hAnsi="Arial Narrow"/>
          <w:sz w:val="18"/>
        </w:rPr>
        <w:t>Source: constructed during the evaluation using Tolvaptan November 20</w:t>
      </w:r>
      <w:r>
        <w:rPr>
          <w:rFonts w:ascii="Arial Narrow" w:hAnsi="Arial Narrow"/>
          <w:sz w:val="18"/>
        </w:rPr>
        <w:t>17 PBAC Section 3 TreeAge model</w:t>
      </w:r>
      <w:r w:rsidR="00D548AF">
        <w:rPr>
          <w:rFonts w:ascii="Arial Narrow" w:hAnsi="Arial Narrow"/>
          <w:sz w:val="18"/>
        </w:rPr>
        <w:t>.</w:t>
      </w:r>
      <w:r>
        <w:rPr>
          <w:rFonts w:ascii="Arial Narrow" w:hAnsi="Arial Narrow"/>
          <w:sz w:val="18"/>
        </w:rPr>
        <w:t xml:space="preserve"> </w:t>
      </w:r>
    </w:p>
    <w:p w:rsidR="008F5F59" w:rsidRDefault="000771C9" w:rsidP="0086251F">
      <w:pPr>
        <w:pStyle w:val="ListParagraph"/>
        <w:widowControl/>
        <w:numPr>
          <w:ilvl w:val="1"/>
          <w:numId w:val="3"/>
        </w:numPr>
        <w:spacing w:before="120" w:after="120"/>
        <w:ind w:left="720"/>
      </w:pPr>
      <w:r w:rsidRPr="000771C9">
        <w:t xml:space="preserve">The model based on the TEMPO 3:4 </w:t>
      </w:r>
      <w:proofErr w:type="gramStart"/>
      <w:r w:rsidRPr="000771C9">
        <w:t>trial</w:t>
      </w:r>
      <w:proofErr w:type="gramEnd"/>
      <w:r w:rsidRPr="000771C9">
        <w:t xml:space="preserve"> was most sensitive to inclusion of patients with baseline CKD 1 disease progression, limiting patients to those with rapid eGFR decline (≥2.5 mL/min/1.73 m</w:t>
      </w:r>
      <w:r w:rsidRPr="000771C9">
        <w:rPr>
          <w:vertAlign w:val="superscript"/>
        </w:rPr>
        <w:t>2</w:t>
      </w:r>
      <w:r w:rsidRPr="000771C9">
        <w:t>/year), alternative definitions of rapid eGFR decline, the efficacy estimate selected, the price of tolvaptan, dialysis costs and model time horizon.</w:t>
      </w:r>
      <w:r w:rsidR="008F5F59" w:rsidRPr="000771C9">
        <w:t xml:space="preserve">  </w:t>
      </w:r>
    </w:p>
    <w:p w:rsidR="008A4BB4" w:rsidRDefault="008A4BB4" w:rsidP="0086251F">
      <w:pPr>
        <w:pStyle w:val="ListParagraph"/>
        <w:widowControl/>
        <w:numPr>
          <w:ilvl w:val="1"/>
          <w:numId w:val="3"/>
        </w:numPr>
        <w:spacing w:before="120" w:after="120"/>
        <w:ind w:left="720"/>
      </w:pPr>
      <w:r w:rsidRPr="008A4BB4">
        <w:t xml:space="preserve">The table below summarises the key sensitivity analyses for </w:t>
      </w:r>
      <w:r>
        <w:t>REPRISE</w:t>
      </w:r>
      <w:r w:rsidRPr="008A4BB4">
        <w:t>, based on the overall trial population to enable assessment of the impact of different populations and efficacy estimates.</w:t>
      </w:r>
    </w:p>
    <w:p w:rsidR="000E165C" w:rsidRPr="000E165C" w:rsidRDefault="000E165C" w:rsidP="008B4B29">
      <w:pPr>
        <w:keepNext/>
        <w:widowControl/>
        <w:rPr>
          <w:rStyle w:val="CommentReference"/>
        </w:rPr>
      </w:pPr>
      <w:r w:rsidRPr="000E165C">
        <w:rPr>
          <w:rStyle w:val="CommentReference"/>
        </w:rPr>
        <w:lastRenderedPageBreak/>
        <w:t xml:space="preserve">Table </w:t>
      </w:r>
      <w:r w:rsidR="009E698C">
        <w:rPr>
          <w:rStyle w:val="CommentReference"/>
        </w:rPr>
        <w:t>15</w:t>
      </w:r>
      <w:r w:rsidRPr="000E165C">
        <w:rPr>
          <w:rStyle w:val="CommentReference"/>
        </w:rPr>
        <w:t>: Sensitivity analyses REPRISE overall trial population and efficacy as base case</w:t>
      </w:r>
    </w:p>
    <w:tbl>
      <w:tblPr>
        <w:tblStyle w:val="TableGrid"/>
        <w:tblW w:w="5000" w:type="pct"/>
        <w:tblLook w:val="04A0" w:firstRow="1" w:lastRow="0" w:firstColumn="1" w:lastColumn="0" w:noHBand="0" w:noVBand="1"/>
        <w:tblCaption w:val="Table 15: Sensitivity analyses REPRISE overall trial population and efficacy as base case"/>
      </w:tblPr>
      <w:tblGrid>
        <w:gridCol w:w="5450"/>
        <w:gridCol w:w="1267"/>
        <w:gridCol w:w="1267"/>
        <w:gridCol w:w="1259"/>
      </w:tblGrid>
      <w:tr w:rsidR="000E165C" w:rsidRPr="00D548AF" w:rsidTr="00B83014">
        <w:trPr>
          <w:tblHeader/>
        </w:trPr>
        <w:tc>
          <w:tcPr>
            <w:tcW w:w="5317" w:type="dxa"/>
            <w:vAlign w:val="center"/>
          </w:tcPr>
          <w:p w:rsidR="000E165C" w:rsidRPr="00D548AF" w:rsidRDefault="000E165C" w:rsidP="008B4B29">
            <w:pPr>
              <w:keepNext/>
              <w:widowControl/>
              <w:jc w:val="left"/>
              <w:rPr>
                <w:rFonts w:ascii="Arial Narrow" w:hAnsi="Arial Narrow"/>
                <w:b/>
                <w:sz w:val="20"/>
                <w:szCs w:val="20"/>
              </w:rPr>
            </w:pPr>
            <w:r w:rsidRPr="00D548AF">
              <w:rPr>
                <w:rFonts w:ascii="Arial Narrow" w:hAnsi="Arial Narrow"/>
                <w:b/>
                <w:sz w:val="20"/>
                <w:szCs w:val="20"/>
              </w:rPr>
              <w:t>Analysis</w:t>
            </w:r>
          </w:p>
          <w:p w:rsidR="000E165C" w:rsidRPr="00D548AF" w:rsidRDefault="000E165C" w:rsidP="008B4B29">
            <w:pPr>
              <w:keepNext/>
              <w:widowControl/>
              <w:jc w:val="left"/>
              <w:rPr>
                <w:rFonts w:ascii="Arial Narrow" w:hAnsi="Arial Narrow"/>
                <w:b/>
                <w:sz w:val="20"/>
                <w:szCs w:val="20"/>
              </w:rPr>
            </w:pPr>
            <w:r w:rsidRPr="00D548AF">
              <w:rPr>
                <w:rFonts w:ascii="Arial Narrow" w:hAnsi="Arial Narrow"/>
                <w:b/>
                <w:sz w:val="20"/>
                <w:szCs w:val="20"/>
              </w:rPr>
              <w:t>[number of patients on which analysis was based]</w:t>
            </w:r>
          </w:p>
        </w:tc>
        <w:tc>
          <w:tcPr>
            <w:tcW w:w="1236" w:type="dxa"/>
            <w:vAlign w:val="center"/>
          </w:tcPr>
          <w:p w:rsidR="000E165C" w:rsidRPr="00D548AF" w:rsidRDefault="000E165C" w:rsidP="008B4B29">
            <w:pPr>
              <w:keepNext/>
              <w:widowControl/>
              <w:jc w:val="center"/>
              <w:rPr>
                <w:rFonts w:ascii="Arial Narrow" w:hAnsi="Arial Narrow"/>
                <w:b/>
                <w:sz w:val="20"/>
                <w:szCs w:val="20"/>
              </w:rPr>
            </w:pPr>
            <w:r w:rsidRPr="00D548AF">
              <w:rPr>
                <w:rFonts w:ascii="Arial Narrow" w:hAnsi="Arial Narrow"/>
                <w:b/>
                <w:sz w:val="20"/>
                <w:szCs w:val="20"/>
              </w:rPr>
              <w:t>Incremental cost</w:t>
            </w:r>
          </w:p>
        </w:tc>
        <w:tc>
          <w:tcPr>
            <w:tcW w:w="1236" w:type="dxa"/>
            <w:vAlign w:val="center"/>
          </w:tcPr>
          <w:p w:rsidR="000E165C" w:rsidRPr="00D548AF" w:rsidRDefault="000E165C" w:rsidP="008B4B29">
            <w:pPr>
              <w:keepNext/>
              <w:widowControl/>
              <w:jc w:val="center"/>
              <w:rPr>
                <w:rFonts w:ascii="Arial Narrow" w:hAnsi="Arial Narrow"/>
                <w:b/>
                <w:sz w:val="20"/>
                <w:szCs w:val="20"/>
              </w:rPr>
            </w:pPr>
            <w:r w:rsidRPr="00D548AF">
              <w:rPr>
                <w:rFonts w:ascii="Arial Narrow" w:hAnsi="Arial Narrow"/>
                <w:b/>
                <w:sz w:val="20"/>
                <w:szCs w:val="20"/>
              </w:rPr>
              <w:t>Incremental QALYs</w:t>
            </w:r>
          </w:p>
        </w:tc>
        <w:tc>
          <w:tcPr>
            <w:tcW w:w="1228" w:type="dxa"/>
            <w:vAlign w:val="center"/>
          </w:tcPr>
          <w:p w:rsidR="000E165C" w:rsidRPr="00D548AF" w:rsidRDefault="000E165C" w:rsidP="008B4B29">
            <w:pPr>
              <w:keepNext/>
              <w:widowControl/>
              <w:jc w:val="center"/>
              <w:rPr>
                <w:rFonts w:ascii="Arial Narrow" w:hAnsi="Arial Narrow"/>
                <w:b/>
                <w:sz w:val="20"/>
                <w:szCs w:val="20"/>
              </w:rPr>
            </w:pPr>
            <w:r w:rsidRPr="00D548AF">
              <w:rPr>
                <w:rFonts w:ascii="Arial Narrow" w:hAnsi="Arial Narrow"/>
                <w:b/>
                <w:sz w:val="20"/>
                <w:szCs w:val="20"/>
              </w:rPr>
              <w:t>ICER</w:t>
            </w:r>
          </w:p>
        </w:tc>
      </w:tr>
      <w:tr w:rsidR="000E165C" w:rsidRPr="00D548AF" w:rsidTr="00B83014">
        <w:tc>
          <w:tcPr>
            <w:tcW w:w="5317" w:type="dxa"/>
          </w:tcPr>
          <w:p w:rsidR="000E165C" w:rsidRPr="00D548AF" w:rsidRDefault="000E165C" w:rsidP="008B4B29">
            <w:pPr>
              <w:keepNext/>
              <w:widowControl/>
              <w:jc w:val="left"/>
              <w:rPr>
                <w:rFonts w:ascii="Arial Narrow" w:hAnsi="Arial Narrow"/>
                <w:sz w:val="20"/>
                <w:szCs w:val="20"/>
              </w:rPr>
            </w:pPr>
            <w:r w:rsidRPr="00D548AF">
              <w:rPr>
                <w:rFonts w:ascii="Arial Narrow" w:hAnsi="Arial Narrow"/>
                <w:sz w:val="20"/>
                <w:szCs w:val="20"/>
              </w:rPr>
              <w:t>REPRISE overall trial population and efficacy [N=663]</w:t>
            </w:r>
          </w:p>
        </w:tc>
        <w:tc>
          <w:tcPr>
            <w:tcW w:w="1236" w:type="dxa"/>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c>
          <w:tcPr>
            <w:tcW w:w="1236" w:type="dxa"/>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0.3939</w:t>
            </w:r>
          </w:p>
        </w:tc>
        <w:tc>
          <w:tcPr>
            <w:tcW w:w="1228" w:type="dxa"/>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r>
      <w:tr w:rsidR="000E165C" w:rsidRPr="00D548AF" w:rsidTr="00B83014">
        <w:tc>
          <w:tcPr>
            <w:tcW w:w="9017" w:type="dxa"/>
            <w:gridSpan w:val="4"/>
          </w:tcPr>
          <w:p w:rsidR="000E165C" w:rsidRPr="00D548AF" w:rsidRDefault="000E165C" w:rsidP="008B4B29">
            <w:pPr>
              <w:keepNext/>
              <w:widowControl/>
              <w:jc w:val="left"/>
              <w:rPr>
                <w:rFonts w:ascii="Arial Narrow" w:hAnsi="Arial Narrow"/>
                <w:sz w:val="20"/>
                <w:szCs w:val="20"/>
              </w:rPr>
            </w:pPr>
            <w:r w:rsidRPr="00D548AF">
              <w:rPr>
                <w:rFonts w:ascii="Arial Narrow" w:hAnsi="Arial Narrow"/>
                <w:b/>
                <w:sz w:val="20"/>
                <w:szCs w:val="20"/>
              </w:rPr>
              <w:t>Alternative populations (base case REPRISE ITT population)</w:t>
            </w:r>
          </w:p>
        </w:tc>
      </w:tr>
      <w:tr w:rsidR="000E165C" w:rsidRPr="00D548AF" w:rsidTr="00B83014">
        <w:tc>
          <w:tcPr>
            <w:tcW w:w="5317" w:type="dxa"/>
          </w:tcPr>
          <w:p w:rsidR="000E165C" w:rsidRPr="00D548AF" w:rsidRDefault="000E165C" w:rsidP="008B4B29">
            <w:pPr>
              <w:keepNext/>
              <w:widowControl/>
              <w:jc w:val="left"/>
              <w:rPr>
                <w:rFonts w:ascii="Arial Narrow" w:hAnsi="Arial Narrow"/>
                <w:sz w:val="20"/>
                <w:szCs w:val="20"/>
              </w:rPr>
            </w:pPr>
            <w:r w:rsidRPr="00D548AF">
              <w:rPr>
                <w:rFonts w:ascii="Arial Narrow" w:hAnsi="Arial Narrow"/>
                <w:sz w:val="20"/>
                <w:szCs w:val="20"/>
              </w:rPr>
              <w:t>REPRISE trial population minus CKD 4 [N=537]</w:t>
            </w:r>
          </w:p>
        </w:tc>
        <w:tc>
          <w:tcPr>
            <w:tcW w:w="1236" w:type="dxa"/>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c>
          <w:tcPr>
            <w:tcW w:w="1236" w:type="dxa"/>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0.4146</w:t>
            </w:r>
          </w:p>
        </w:tc>
        <w:tc>
          <w:tcPr>
            <w:tcW w:w="1228" w:type="dxa"/>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r>
      <w:tr w:rsidR="000E165C" w:rsidRPr="00D548AF" w:rsidTr="00B83014">
        <w:tc>
          <w:tcPr>
            <w:tcW w:w="5317" w:type="dxa"/>
          </w:tcPr>
          <w:p w:rsidR="000E165C" w:rsidRPr="00D548AF" w:rsidRDefault="000E165C" w:rsidP="008B4B29">
            <w:pPr>
              <w:keepNext/>
              <w:widowControl/>
              <w:jc w:val="left"/>
              <w:rPr>
                <w:rFonts w:ascii="Arial Narrow" w:hAnsi="Arial Narrow"/>
                <w:sz w:val="20"/>
                <w:szCs w:val="20"/>
              </w:rPr>
            </w:pPr>
            <w:r w:rsidRPr="00D548AF">
              <w:rPr>
                <w:rFonts w:ascii="Arial Narrow" w:hAnsi="Arial Narrow"/>
                <w:sz w:val="20"/>
                <w:szCs w:val="20"/>
              </w:rPr>
              <w:t>REPRISE trial population minus CKD 4; average eGFR decline ≥2.5 [N=359]</w:t>
            </w:r>
          </w:p>
        </w:tc>
        <w:tc>
          <w:tcPr>
            <w:tcW w:w="1236" w:type="dxa"/>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c>
          <w:tcPr>
            <w:tcW w:w="1236" w:type="dxa"/>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0.4829</w:t>
            </w:r>
          </w:p>
        </w:tc>
        <w:tc>
          <w:tcPr>
            <w:tcW w:w="1228" w:type="dxa"/>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r>
      <w:tr w:rsidR="000E165C" w:rsidRPr="00D548AF" w:rsidTr="00B83014">
        <w:tc>
          <w:tcPr>
            <w:tcW w:w="5317" w:type="dxa"/>
          </w:tcPr>
          <w:p w:rsidR="000E165C" w:rsidRPr="00D548AF" w:rsidRDefault="000E165C" w:rsidP="008B4B29">
            <w:pPr>
              <w:keepNext/>
              <w:widowControl/>
              <w:jc w:val="left"/>
              <w:rPr>
                <w:rFonts w:ascii="Arial Narrow" w:hAnsi="Arial Narrow"/>
                <w:sz w:val="20"/>
                <w:szCs w:val="20"/>
              </w:rPr>
            </w:pPr>
            <w:r w:rsidRPr="00D548AF">
              <w:rPr>
                <w:rFonts w:ascii="Arial Narrow" w:hAnsi="Arial Narrow"/>
                <w:sz w:val="20"/>
                <w:szCs w:val="20"/>
              </w:rPr>
              <w:t>REPRISE PBS population 1 (CKD 2-3; eGFR decline ≥2.5; age 18-50 years; eGFR &lt;90) [N=261]</w:t>
            </w:r>
          </w:p>
        </w:tc>
        <w:tc>
          <w:tcPr>
            <w:tcW w:w="1236" w:type="dxa"/>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c>
          <w:tcPr>
            <w:tcW w:w="1236" w:type="dxa"/>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0.4714</w:t>
            </w:r>
          </w:p>
        </w:tc>
        <w:tc>
          <w:tcPr>
            <w:tcW w:w="1228" w:type="dxa"/>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r>
      <w:tr w:rsidR="000E165C" w:rsidRPr="00D548AF" w:rsidTr="00B83014">
        <w:tc>
          <w:tcPr>
            <w:tcW w:w="5317" w:type="dxa"/>
          </w:tcPr>
          <w:p w:rsidR="000E165C" w:rsidRPr="00D548AF" w:rsidRDefault="000E165C" w:rsidP="008B4B29">
            <w:pPr>
              <w:keepNext/>
              <w:widowControl/>
              <w:jc w:val="left"/>
              <w:rPr>
                <w:rFonts w:ascii="Arial Narrow" w:hAnsi="Arial Narrow"/>
                <w:sz w:val="20"/>
                <w:szCs w:val="20"/>
              </w:rPr>
            </w:pPr>
            <w:r w:rsidRPr="00D548AF">
              <w:rPr>
                <w:rFonts w:ascii="Arial Narrow" w:hAnsi="Arial Narrow"/>
                <w:sz w:val="20"/>
                <w:szCs w:val="20"/>
              </w:rPr>
              <w:t>REPRISE PBS population 2 (CKD 2-3; eGFR decline ≥2.5; age 51-55 years; eGFR &lt;65) [N=71]</w:t>
            </w:r>
          </w:p>
        </w:tc>
        <w:tc>
          <w:tcPr>
            <w:tcW w:w="1236" w:type="dxa"/>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c>
          <w:tcPr>
            <w:tcW w:w="1236" w:type="dxa"/>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0.5528</w:t>
            </w:r>
          </w:p>
        </w:tc>
        <w:tc>
          <w:tcPr>
            <w:tcW w:w="1228" w:type="dxa"/>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r>
      <w:tr w:rsidR="000E165C" w:rsidRPr="00D548AF" w:rsidTr="00B83014">
        <w:tc>
          <w:tcPr>
            <w:tcW w:w="5317" w:type="dxa"/>
          </w:tcPr>
          <w:p w:rsidR="000E165C" w:rsidRPr="00D548AF" w:rsidRDefault="000E165C" w:rsidP="008B4B29">
            <w:pPr>
              <w:keepNext/>
              <w:widowControl/>
              <w:jc w:val="left"/>
              <w:rPr>
                <w:rFonts w:ascii="Arial Narrow" w:hAnsi="Arial Narrow"/>
                <w:sz w:val="20"/>
                <w:szCs w:val="20"/>
              </w:rPr>
            </w:pPr>
            <w:r w:rsidRPr="00D548AF">
              <w:rPr>
                <w:rFonts w:ascii="Arial Narrow" w:hAnsi="Arial Narrow"/>
                <w:sz w:val="20"/>
                <w:szCs w:val="20"/>
              </w:rPr>
              <w:t>REPRISE PBS population 3 (CKD 2-3; eGFR decline ≥2.5; age 56-65 years; eGFR &lt;45) [N=32]</w:t>
            </w:r>
          </w:p>
        </w:tc>
        <w:tc>
          <w:tcPr>
            <w:tcW w:w="1236" w:type="dxa"/>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c>
          <w:tcPr>
            <w:tcW w:w="1236" w:type="dxa"/>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0.6022</w:t>
            </w:r>
          </w:p>
        </w:tc>
        <w:tc>
          <w:tcPr>
            <w:tcW w:w="1228" w:type="dxa"/>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r>
      <w:tr w:rsidR="000E165C" w:rsidRPr="00D548AF" w:rsidTr="00B83014">
        <w:tc>
          <w:tcPr>
            <w:tcW w:w="5317" w:type="dxa"/>
          </w:tcPr>
          <w:p w:rsidR="000E165C" w:rsidRPr="00D548AF" w:rsidRDefault="000E165C" w:rsidP="008B4B29">
            <w:pPr>
              <w:keepNext/>
              <w:widowControl/>
              <w:jc w:val="left"/>
              <w:rPr>
                <w:rFonts w:ascii="Arial Narrow" w:hAnsi="Arial Narrow"/>
                <w:sz w:val="20"/>
                <w:szCs w:val="20"/>
              </w:rPr>
            </w:pPr>
            <w:r w:rsidRPr="00D548AF">
              <w:rPr>
                <w:rFonts w:ascii="Arial Narrow" w:hAnsi="Arial Narrow"/>
                <w:sz w:val="20"/>
                <w:szCs w:val="20"/>
              </w:rPr>
              <w:t>REPRISE CKD 2 (eGFR 60-89) [N=43]</w:t>
            </w:r>
          </w:p>
        </w:tc>
        <w:tc>
          <w:tcPr>
            <w:tcW w:w="1236" w:type="dxa"/>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c>
          <w:tcPr>
            <w:tcW w:w="1236" w:type="dxa"/>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0.3944</w:t>
            </w:r>
          </w:p>
        </w:tc>
        <w:tc>
          <w:tcPr>
            <w:tcW w:w="1228" w:type="dxa"/>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r>
      <w:tr w:rsidR="000E165C" w:rsidRPr="00D548AF" w:rsidTr="00B83014">
        <w:tc>
          <w:tcPr>
            <w:tcW w:w="5317" w:type="dxa"/>
          </w:tcPr>
          <w:p w:rsidR="000E165C" w:rsidRPr="00D548AF" w:rsidRDefault="000E165C" w:rsidP="008B4B29">
            <w:pPr>
              <w:keepNext/>
              <w:widowControl/>
              <w:jc w:val="left"/>
              <w:rPr>
                <w:rFonts w:ascii="Arial Narrow" w:hAnsi="Arial Narrow"/>
                <w:sz w:val="20"/>
                <w:szCs w:val="20"/>
              </w:rPr>
            </w:pPr>
            <w:r w:rsidRPr="00D548AF">
              <w:rPr>
                <w:rFonts w:ascii="Arial Narrow" w:hAnsi="Arial Narrow"/>
                <w:sz w:val="20"/>
                <w:szCs w:val="20"/>
              </w:rPr>
              <w:t>REPRISE CKD 3 (eGFR 30-59) [N=500]</w:t>
            </w:r>
          </w:p>
        </w:tc>
        <w:tc>
          <w:tcPr>
            <w:tcW w:w="1236" w:type="dxa"/>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c>
          <w:tcPr>
            <w:tcW w:w="1236" w:type="dxa"/>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0.4095</w:t>
            </w:r>
          </w:p>
        </w:tc>
        <w:tc>
          <w:tcPr>
            <w:tcW w:w="1228" w:type="dxa"/>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r>
      <w:tr w:rsidR="000E165C" w:rsidRPr="00D548AF" w:rsidTr="00B83014">
        <w:tc>
          <w:tcPr>
            <w:tcW w:w="5317" w:type="dxa"/>
          </w:tcPr>
          <w:p w:rsidR="000E165C" w:rsidRPr="00D548AF" w:rsidRDefault="000E165C" w:rsidP="008B4B29">
            <w:pPr>
              <w:keepNext/>
              <w:widowControl/>
              <w:jc w:val="left"/>
              <w:rPr>
                <w:rFonts w:ascii="Arial Narrow" w:hAnsi="Arial Narrow"/>
                <w:sz w:val="20"/>
                <w:szCs w:val="20"/>
              </w:rPr>
            </w:pPr>
            <w:r w:rsidRPr="00D548AF">
              <w:rPr>
                <w:rFonts w:ascii="Arial Narrow" w:hAnsi="Arial Narrow"/>
                <w:sz w:val="20"/>
                <w:szCs w:val="20"/>
              </w:rPr>
              <w:t>REPRISE CKD 4 (eGFR 15-29) [N=120]</w:t>
            </w:r>
          </w:p>
        </w:tc>
        <w:tc>
          <w:tcPr>
            <w:tcW w:w="1236" w:type="dxa"/>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c>
          <w:tcPr>
            <w:tcW w:w="1236" w:type="dxa"/>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0.3387</w:t>
            </w:r>
          </w:p>
        </w:tc>
        <w:tc>
          <w:tcPr>
            <w:tcW w:w="1228" w:type="dxa"/>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r>
      <w:tr w:rsidR="000E165C" w:rsidRPr="00D548AF" w:rsidTr="00B83014">
        <w:tc>
          <w:tcPr>
            <w:tcW w:w="5317" w:type="dxa"/>
          </w:tcPr>
          <w:p w:rsidR="000E165C" w:rsidRPr="00D548AF" w:rsidRDefault="000E165C" w:rsidP="008B4B29">
            <w:pPr>
              <w:keepNext/>
              <w:widowControl/>
              <w:jc w:val="left"/>
              <w:rPr>
                <w:rFonts w:ascii="Arial Narrow" w:hAnsi="Arial Narrow"/>
                <w:sz w:val="20"/>
                <w:szCs w:val="20"/>
              </w:rPr>
            </w:pPr>
            <w:r w:rsidRPr="00D548AF">
              <w:rPr>
                <w:rFonts w:ascii="Arial Narrow" w:hAnsi="Arial Narrow"/>
                <w:sz w:val="20"/>
                <w:szCs w:val="20"/>
              </w:rPr>
              <w:t>REPRISE CKD 2 and eGFR decline ≥2.5 [N=28]</w:t>
            </w:r>
          </w:p>
        </w:tc>
        <w:tc>
          <w:tcPr>
            <w:tcW w:w="1236" w:type="dxa"/>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c>
          <w:tcPr>
            <w:tcW w:w="1236" w:type="dxa"/>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0.5672</w:t>
            </w:r>
          </w:p>
        </w:tc>
        <w:tc>
          <w:tcPr>
            <w:tcW w:w="1228" w:type="dxa"/>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r>
      <w:tr w:rsidR="000E165C" w:rsidRPr="00D548AF" w:rsidTr="00B83014">
        <w:tc>
          <w:tcPr>
            <w:tcW w:w="5317" w:type="dxa"/>
          </w:tcPr>
          <w:p w:rsidR="000E165C" w:rsidRPr="00D548AF" w:rsidRDefault="000E165C" w:rsidP="008B4B29">
            <w:pPr>
              <w:keepNext/>
              <w:widowControl/>
              <w:jc w:val="left"/>
              <w:rPr>
                <w:rFonts w:ascii="Arial Narrow" w:hAnsi="Arial Narrow"/>
                <w:sz w:val="20"/>
                <w:szCs w:val="20"/>
              </w:rPr>
            </w:pPr>
            <w:r w:rsidRPr="00D548AF">
              <w:rPr>
                <w:rFonts w:ascii="Arial Narrow" w:hAnsi="Arial Narrow"/>
                <w:sz w:val="20"/>
                <w:szCs w:val="20"/>
              </w:rPr>
              <w:t>REPRISE CKD 3 and eGFR decline ≥2.5 [N=337]</w:t>
            </w:r>
          </w:p>
        </w:tc>
        <w:tc>
          <w:tcPr>
            <w:tcW w:w="1236" w:type="dxa"/>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c>
          <w:tcPr>
            <w:tcW w:w="1236" w:type="dxa"/>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0.4801</w:t>
            </w:r>
          </w:p>
        </w:tc>
        <w:tc>
          <w:tcPr>
            <w:tcW w:w="1228" w:type="dxa"/>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r>
      <w:tr w:rsidR="000E165C" w:rsidRPr="00D548AF" w:rsidTr="00B83014">
        <w:tc>
          <w:tcPr>
            <w:tcW w:w="5317" w:type="dxa"/>
          </w:tcPr>
          <w:p w:rsidR="000E165C" w:rsidRPr="00D548AF" w:rsidRDefault="000E165C" w:rsidP="008B4B29">
            <w:pPr>
              <w:keepNext/>
              <w:widowControl/>
              <w:jc w:val="left"/>
              <w:rPr>
                <w:rFonts w:ascii="Arial Narrow" w:hAnsi="Arial Narrow"/>
                <w:sz w:val="20"/>
                <w:szCs w:val="20"/>
              </w:rPr>
            </w:pPr>
            <w:r w:rsidRPr="00D548AF">
              <w:rPr>
                <w:rFonts w:ascii="Arial Narrow" w:hAnsi="Arial Narrow"/>
                <w:sz w:val="20"/>
                <w:szCs w:val="20"/>
              </w:rPr>
              <w:t>REPRISE CKD 4 and eGFR decline ≥2.5 [N=96]</w:t>
            </w:r>
          </w:p>
        </w:tc>
        <w:tc>
          <w:tcPr>
            <w:tcW w:w="1236" w:type="dxa"/>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c>
          <w:tcPr>
            <w:tcW w:w="1236" w:type="dxa"/>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0.3301</w:t>
            </w:r>
          </w:p>
        </w:tc>
        <w:tc>
          <w:tcPr>
            <w:tcW w:w="1228" w:type="dxa"/>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r>
      <w:tr w:rsidR="000E165C" w:rsidRPr="00D548AF" w:rsidTr="00B83014">
        <w:tc>
          <w:tcPr>
            <w:tcW w:w="5317" w:type="dxa"/>
          </w:tcPr>
          <w:p w:rsidR="000E165C" w:rsidRPr="00D548AF" w:rsidRDefault="000E165C" w:rsidP="008B4B29">
            <w:pPr>
              <w:keepNext/>
              <w:widowControl/>
              <w:jc w:val="left"/>
              <w:rPr>
                <w:rFonts w:ascii="Arial Narrow" w:hAnsi="Arial Narrow"/>
                <w:sz w:val="20"/>
                <w:szCs w:val="20"/>
              </w:rPr>
            </w:pPr>
            <w:r w:rsidRPr="00D548AF">
              <w:rPr>
                <w:rFonts w:ascii="Arial Narrow" w:hAnsi="Arial Narrow"/>
                <w:sz w:val="20"/>
                <w:szCs w:val="20"/>
              </w:rPr>
              <w:t>REPRISE Age 18-50 [N=432]</w:t>
            </w:r>
          </w:p>
        </w:tc>
        <w:tc>
          <w:tcPr>
            <w:tcW w:w="1236" w:type="dxa"/>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c>
          <w:tcPr>
            <w:tcW w:w="1236" w:type="dxa"/>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0.3816</w:t>
            </w:r>
          </w:p>
        </w:tc>
        <w:tc>
          <w:tcPr>
            <w:tcW w:w="1228" w:type="dxa"/>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r>
      <w:tr w:rsidR="000E165C" w:rsidRPr="00D548AF" w:rsidTr="00B83014">
        <w:tc>
          <w:tcPr>
            <w:tcW w:w="5317" w:type="dxa"/>
          </w:tcPr>
          <w:p w:rsidR="000E165C" w:rsidRPr="00D548AF" w:rsidRDefault="000E165C" w:rsidP="008B4B29">
            <w:pPr>
              <w:keepNext/>
              <w:widowControl/>
              <w:jc w:val="left"/>
              <w:rPr>
                <w:rFonts w:ascii="Arial Narrow" w:hAnsi="Arial Narrow"/>
                <w:sz w:val="20"/>
                <w:szCs w:val="20"/>
              </w:rPr>
            </w:pPr>
            <w:r w:rsidRPr="00D548AF">
              <w:rPr>
                <w:rFonts w:ascii="Arial Narrow" w:hAnsi="Arial Narrow"/>
                <w:sz w:val="20"/>
                <w:szCs w:val="20"/>
              </w:rPr>
              <w:t>REPRISE Age 51-55 [N=138]</w:t>
            </w:r>
          </w:p>
        </w:tc>
        <w:tc>
          <w:tcPr>
            <w:tcW w:w="1236" w:type="dxa"/>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c>
          <w:tcPr>
            <w:tcW w:w="1236" w:type="dxa"/>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0.4419</w:t>
            </w:r>
          </w:p>
        </w:tc>
        <w:tc>
          <w:tcPr>
            <w:tcW w:w="1228" w:type="dxa"/>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r>
      <w:tr w:rsidR="000E165C" w:rsidRPr="00D548AF" w:rsidTr="00B83014">
        <w:tc>
          <w:tcPr>
            <w:tcW w:w="5317" w:type="dxa"/>
          </w:tcPr>
          <w:p w:rsidR="000E165C" w:rsidRPr="00D548AF" w:rsidRDefault="000E165C" w:rsidP="008B4B29">
            <w:pPr>
              <w:keepNext/>
              <w:widowControl/>
              <w:jc w:val="left"/>
              <w:rPr>
                <w:rFonts w:ascii="Arial Narrow" w:hAnsi="Arial Narrow"/>
                <w:sz w:val="20"/>
                <w:szCs w:val="20"/>
              </w:rPr>
            </w:pPr>
            <w:r w:rsidRPr="00D548AF">
              <w:rPr>
                <w:rFonts w:ascii="Arial Narrow" w:hAnsi="Arial Narrow"/>
                <w:sz w:val="20"/>
                <w:szCs w:val="20"/>
              </w:rPr>
              <w:t>REPRISE Age 56-65 [N=93]</w:t>
            </w:r>
          </w:p>
        </w:tc>
        <w:tc>
          <w:tcPr>
            <w:tcW w:w="1236" w:type="dxa"/>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c>
          <w:tcPr>
            <w:tcW w:w="1236" w:type="dxa"/>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0.3831</w:t>
            </w:r>
          </w:p>
        </w:tc>
        <w:tc>
          <w:tcPr>
            <w:tcW w:w="1228" w:type="dxa"/>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r>
      <w:tr w:rsidR="000E165C" w:rsidRPr="00D548AF" w:rsidTr="00B83014">
        <w:tc>
          <w:tcPr>
            <w:tcW w:w="9017" w:type="dxa"/>
            <w:gridSpan w:val="4"/>
          </w:tcPr>
          <w:p w:rsidR="000E165C" w:rsidRPr="00D548AF" w:rsidRDefault="000E165C" w:rsidP="008B4B29">
            <w:pPr>
              <w:keepNext/>
              <w:widowControl/>
              <w:jc w:val="left"/>
              <w:rPr>
                <w:rFonts w:ascii="Arial Narrow" w:hAnsi="Arial Narrow"/>
                <w:sz w:val="20"/>
                <w:szCs w:val="20"/>
              </w:rPr>
            </w:pPr>
            <w:r w:rsidRPr="00D548AF">
              <w:rPr>
                <w:rFonts w:ascii="Arial Narrow" w:hAnsi="Arial Narrow"/>
                <w:b/>
                <w:sz w:val="20"/>
                <w:szCs w:val="20"/>
              </w:rPr>
              <w:t>Alternative tolvaptan efficacy (relative reduction; base case 0.303 based on change in eGFR, ANCOVA)</w:t>
            </w:r>
          </w:p>
        </w:tc>
      </w:tr>
      <w:tr w:rsidR="000E165C" w:rsidRPr="00D548AF" w:rsidTr="00B83014">
        <w:tc>
          <w:tcPr>
            <w:tcW w:w="5317" w:type="dxa"/>
          </w:tcPr>
          <w:p w:rsidR="000E165C" w:rsidRPr="00D548AF" w:rsidRDefault="000E165C" w:rsidP="008B4B29">
            <w:pPr>
              <w:keepNext/>
              <w:widowControl/>
              <w:jc w:val="left"/>
              <w:rPr>
                <w:rFonts w:ascii="Arial Narrow" w:hAnsi="Arial Narrow"/>
                <w:sz w:val="20"/>
                <w:szCs w:val="20"/>
              </w:rPr>
            </w:pPr>
            <w:r w:rsidRPr="00D548AF">
              <w:rPr>
                <w:rFonts w:ascii="Arial Narrow" w:hAnsi="Arial Narrow"/>
                <w:sz w:val="20"/>
                <w:szCs w:val="20"/>
              </w:rPr>
              <w:t>REPRISE ITT based on change in slope linear mixed model (0.243)</w:t>
            </w:r>
          </w:p>
        </w:tc>
        <w:tc>
          <w:tcPr>
            <w:tcW w:w="1236" w:type="dxa"/>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c>
          <w:tcPr>
            <w:tcW w:w="1236" w:type="dxa"/>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0.2984</w:t>
            </w:r>
          </w:p>
        </w:tc>
        <w:tc>
          <w:tcPr>
            <w:tcW w:w="1228" w:type="dxa"/>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r>
      <w:tr w:rsidR="000E165C" w:rsidRPr="00D548AF" w:rsidTr="00B83014">
        <w:tc>
          <w:tcPr>
            <w:tcW w:w="5317" w:type="dxa"/>
          </w:tcPr>
          <w:p w:rsidR="000E165C" w:rsidRPr="00D548AF" w:rsidRDefault="000E165C" w:rsidP="008B4B29">
            <w:pPr>
              <w:keepNext/>
              <w:widowControl/>
              <w:jc w:val="left"/>
              <w:rPr>
                <w:rFonts w:ascii="Arial Narrow" w:hAnsi="Arial Narrow"/>
                <w:sz w:val="20"/>
                <w:szCs w:val="20"/>
              </w:rPr>
            </w:pPr>
            <w:r w:rsidRPr="00D548AF">
              <w:rPr>
                <w:rFonts w:ascii="Arial Narrow" w:hAnsi="Arial Narrow"/>
                <w:sz w:val="20"/>
                <w:szCs w:val="20"/>
              </w:rPr>
              <w:t>REPRISE ITT minus CKD stage 4 (0.346)</w:t>
            </w:r>
          </w:p>
        </w:tc>
        <w:tc>
          <w:tcPr>
            <w:tcW w:w="1236" w:type="dxa"/>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c>
          <w:tcPr>
            <w:tcW w:w="1236" w:type="dxa"/>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0.4691</w:t>
            </w:r>
          </w:p>
        </w:tc>
        <w:tc>
          <w:tcPr>
            <w:tcW w:w="1228" w:type="dxa"/>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r>
      <w:tr w:rsidR="000E165C" w:rsidRPr="00D548AF" w:rsidTr="00B83014">
        <w:tc>
          <w:tcPr>
            <w:tcW w:w="5317" w:type="dxa"/>
          </w:tcPr>
          <w:p w:rsidR="000E165C" w:rsidRPr="00D548AF" w:rsidRDefault="000E165C" w:rsidP="008B4B29">
            <w:pPr>
              <w:keepNext/>
              <w:widowControl/>
              <w:jc w:val="left"/>
              <w:rPr>
                <w:rFonts w:ascii="Arial Narrow" w:hAnsi="Arial Narrow"/>
                <w:sz w:val="20"/>
                <w:szCs w:val="20"/>
              </w:rPr>
            </w:pPr>
            <w:r w:rsidRPr="00D548AF">
              <w:rPr>
                <w:rFonts w:ascii="Arial Narrow" w:hAnsi="Arial Narrow"/>
                <w:sz w:val="20"/>
                <w:szCs w:val="20"/>
              </w:rPr>
              <w:t>REPRISE by CKD stage</w:t>
            </w:r>
          </w:p>
          <w:p w:rsidR="000E165C" w:rsidRPr="00D548AF" w:rsidRDefault="000E165C" w:rsidP="008B4B29">
            <w:pPr>
              <w:keepNext/>
              <w:widowControl/>
              <w:jc w:val="left"/>
              <w:rPr>
                <w:rFonts w:ascii="Arial Narrow" w:hAnsi="Arial Narrow"/>
                <w:sz w:val="20"/>
                <w:szCs w:val="20"/>
              </w:rPr>
            </w:pPr>
            <w:r w:rsidRPr="00D548AF">
              <w:rPr>
                <w:rFonts w:ascii="Arial Narrow" w:hAnsi="Arial Narrow"/>
                <w:sz w:val="20"/>
                <w:szCs w:val="20"/>
              </w:rPr>
              <w:t>(CKD 1: 0.882; CKD 2: 0.882; CKD 3: 0.309; CKD 4: 0.120)</w:t>
            </w:r>
          </w:p>
        </w:tc>
        <w:tc>
          <w:tcPr>
            <w:tcW w:w="1236" w:type="dxa"/>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c>
          <w:tcPr>
            <w:tcW w:w="1236" w:type="dxa"/>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0.2823</w:t>
            </w:r>
          </w:p>
        </w:tc>
        <w:tc>
          <w:tcPr>
            <w:tcW w:w="1228" w:type="dxa"/>
            <w:vAlign w:val="center"/>
          </w:tcPr>
          <w:p w:rsidR="000E165C" w:rsidRPr="00D548AF" w:rsidRDefault="000E165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r>
      <w:tr w:rsidR="002B5A4C" w:rsidRPr="00D548AF" w:rsidTr="002B5A4C">
        <w:tc>
          <w:tcPr>
            <w:tcW w:w="9017" w:type="dxa"/>
            <w:gridSpan w:val="4"/>
          </w:tcPr>
          <w:p w:rsidR="002B5A4C" w:rsidRPr="00D548AF" w:rsidRDefault="002B5A4C" w:rsidP="008B4B29">
            <w:pPr>
              <w:keepNext/>
              <w:widowControl/>
              <w:jc w:val="left"/>
              <w:rPr>
                <w:rFonts w:ascii="Arial Narrow" w:hAnsi="Arial Narrow"/>
                <w:sz w:val="20"/>
                <w:szCs w:val="20"/>
              </w:rPr>
            </w:pPr>
            <w:r w:rsidRPr="00D548AF">
              <w:rPr>
                <w:rFonts w:ascii="Arial Narrow" w:hAnsi="Arial Narrow"/>
                <w:b/>
                <w:sz w:val="20"/>
                <w:szCs w:val="20"/>
              </w:rPr>
              <w:t>Alternative population and efficacy</w:t>
            </w:r>
          </w:p>
        </w:tc>
      </w:tr>
      <w:tr w:rsidR="002B5A4C" w:rsidRPr="00D548AF" w:rsidTr="00B83014">
        <w:tc>
          <w:tcPr>
            <w:tcW w:w="5317" w:type="dxa"/>
          </w:tcPr>
          <w:p w:rsidR="002B5A4C" w:rsidRPr="00D548AF" w:rsidRDefault="002B5A4C" w:rsidP="008B4B29">
            <w:pPr>
              <w:keepNext/>
              <w:widowControl/>
              <w:jc w:val="left"/>
              <w:rPr>
                <w:rFonts w:ascii="Arial Narrow" w:hAnsi="Arial Narrow"/>
                <w:sz w:val="20"/>
                <w:szCs w:val="20"/>
              </w:rPr>
            </w:pPr>
            <w:r w:rsidRPr="00D548AF">
              <w:rPr>
                <w:rFonts w:ascii="Arial Narrow" w:hAnsi="Arial Narrow"/>
                <w:sz w:val="20"/>
                <w:szCs w:val="20"/>
              </w:rPr>
              <w:t>Resubmission’s base case (REPRISE PBS populations 1-3; efficacy based on REPRISE minus CKD stage 4)</w:t>
            </w:r>
          </w:p>
        </w:tc>
        <w:tc>
          <w:tcPr>
            <w:tcW w:w="1236" w:type="dxa"/>
            <w:vAlign w:val="center"/>
          </w:tcPr>
          <w:p w:rsidR="002B5A4C" w:rsidRPr="00D548AF" w:rsidRDefault="002B5A4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c>
          <w:tcPr>
            <w:tcW w:w="1236" w:type="dxa"/>
            <w:vAlign w:val="center"/>
          </w:tcPr>
          <w:p w:rsidR="002B5A4C" w:rsidRPr="00D548AF" w:rsidRDefault="002B5A4C" w:rsidP="008B4B29">
            <w:pPr>
              <w:keepNext/>
              <w:widowControl/>
              <w:jc w:val="center"/>
              <w:rPr>
                <w:rFonts w:ascii="Arial Narrow" w:hAnsi="Arial Narrow"/>
                <w:sz w:val="20"/>
                <w:szCs w:val="20"/>
              </w:rPr>
            </w:pPr>
            <w:r w:rsidRPr="00D548AF">
              <w:rPr>
                <w:rFonts w:ascii="Arial Narrow" w:hAnsi="Arial Narrow"/>
                <w:sz w:val="20"/>
                <w:szCs w:val="20"/>
              </w:rPr>
              <w:t>0.5803</w:t>
            </w:r>
          </w:p>
        </w:tc>
        <w:tc>
          <w:tcPr>
            <w:tcW w:w="1228" w:type="dxa"/>
            <w:vAlign w:val="center"/>
          </w:tcPr>
          <w:p w:rsidR="002B5A4C" w:rsidRPr="00A00758" w:rsidRDefault="00A00758" w:rsidP="008B4B29">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r>
      <w:tr w:rsidR="002B5A4C" w:rsidRPr="00D548AF" w:rsidTr="00B83014">
        <w:tc>
          <w:tcPr>
            <w:tcW w:w="9017" w:type="dxa"/>
            <w:gridSpan w:val="4"/>
          </w:tcPr>
          <w:p w:rsidR="002B5A4C" w:rsidRPr="00D548AF" w:rsidRDefault="002B5A4C" w:rsidP="008B4B29">
            <w:pPr>
              <w:keepNext/>
              <w:widowControl/>
              <w:jc w:val="left"/>
              <w:rPr>
                <w:rFonts w:ascii="Arial Narrow" w:hAnsi="Arial Narrow"/>
                <w:b/>
                <w:sz w:val="20"/>
                <w:szCs w:val="20"/>
              </w:rPr>
            </w:pPr>
            <w:r w:rsidRPr="00D548AF">
              <w:rPr>
                <w:rFonts w:ascii="Arial Narrow" w:hAnsi="Arial Narrow"/>
                <w:b/>
                <w:sz w:val="20"/>
                <w:szCs w:val="20"/>
              </w:rPr>
              <w:t>Treatment cost (base case $</w:t>
            </w:r>
            <w:r w:rsidR="00A00758">
              <w:rPr>
                <w:rFonts w:ascii="Arial Narrow" w:hAnsi="Arial Narrow"/>
                <w:b/>
                <w:noProof/>
                <w:color w:val="000000"/>
                <w:sz w:val="20"/>
                <w:szCs w:val="20"/>
                <w:highlight w:val="black"/>
              </w:rPr>
              <w:t>''''''''''''''''''''</w:t>
            </w:r>
            <w:r w:rsidRPr="00D548AF">
              <w:rPr>
                <w:rFonts w:ascii="Arial Narrow" w:hAnsi="Arial Narrow"/>
                <w:b/>
                <w:sz w:val="20"/>
                <w:szCs w:val="20"/>
              </w:rPr>
              <w:t>/year including 0.95 compliance)</w:t>
            </w:r>
          </w:p>
        </w:tc>
      </w:tr>
      <w:tr w:rsidR="002B5A4C" w:rsidRPr="00D548AF" w:rsidTr="00B83014">
        <w:tc>
          <w:tcPr>
            <w:tcW w:w="5317" w:type="dxa"/>
          </w:tcPr>
          <w:p w:rsidR="002B5A4C" w:rsidRPr="00D548AF" w:rsidRDefault="002B5A4C" w:rsidP="008B4B29">
            <w:pPr>
              <w:keepNext/>
              <w:widowControl/>
              <w:jc w:val="left"/>
              <w:rPr>
                <w:rFonts w:ascii="Arial Narrow" w:hAnsi="Arial Narrow"/>
                <w:sz w:val="20"/>
                <w:szCs w:val="20"/>
              </w:rPr>
            </w:pPr>
            <w:r w:rsidRPr="00D548AF">
              <w:rPr>
                <w:rFonts w:ascii="Arial Narrow" w:hAnsi="Arial Narrow"/>
                <w:sz w:val="20"/>
                <w:szCs w:val="20"/>
              </w:rPr>
              <w:t>10% reduction tolvaptan price</w:t>
            </w:r>
          </w:p>
        </w:tc>
        <w:tc>
          <w:tcPr>
            <w:tcW w:w="1236" w:type="dxa"/>
            <w:vAlign w:val="center"/>
          </w:tcPr>
          <w:p w:rsidR="002B5A4C" w:rsidRPr="00D548AF" w:rsidRDefault="002B5A4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c>
          <w:tcPr>
            <w:tcW w:w="1236" w:type="dxa"/>
            <w:vAlign w:val="center"/>
          </w:tcPr>
          <w:p w:rsidR="002B5A4C" w:rsidRPr="00D548AF" w:rsidRDefault="002B5A4C" w:rsidP="008B4B29">
            <w:pPr>
              <w:keepNext/>
              <w:widowControl/>
              <w:jc w:val="center"/>
              <w:rPr>
                <w:rFonts w:ascii="Arial Narrow" w:hAnsi="Arial Narrow"/>
                <w:sz w:val="20"/>
                <w:szCs w:val="20"/>
              </w:rPr>
            </w:pPr>
            <w:r w:rsidRPr="00D548AF">
              <w:rPr>
                <w:rFonts w:ascii="Arial Narrow" w:hAnsi="Arial Narrow"/>
                <w:sz w:val="20"/>
                <w:szCs w:val="20"/>
              </w:rPr>
              <w:t>0.3939</w:t>
            </w:r>
          </w:p>
        </w:tc>
        <w:tc>
          <w:tcPr>
            <w:tcW w:w="1228" w:type="dxa"/>
            <w:vAlign w:val="center"/>
          </w:tcPr>
          <w:p w:rsidR="002B5A4C" w:rsidRPr="00D548AF" w:rsidRDefault="002B5A4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r>
      <w:tr w:rsidR="002B5A4C" w:rsidRPr="00D548AF" w:rsidTr="00B83014">
        <w:tc>
          <w:tcPr>
            <w:tcW w:w="5317" w:type="dxa"/>
          </w:tcPr>
          <w:p w:rsidR="002B5A4C" w:rsidRPr="00D548AF" w:rsidRDefault="002B5A4C" w:rsidP="008B4B29">
            <w:pPr>
              <w:keepNext/>
              <w:widowControl/>
              <w:jc w:val="left"/>
              <w:rPr>
                <w:rFonts w:ascii="Arial Narrow" w:hAnsi="Arial Narrow"/>
                <w:sz w:val="20"/>
                <w:szCs w:val="20"/>
              </w:rPr>
            </w:pPr>
            <w:r w:rsidRPr="00D548AF">
              <w:rPr>
                <w:rFonts w:ascii="Arial Narrow" w:hAnsi="Arial Narrow"/>
                <w:sz w:val="20"/>
                <w:szCs w:val="20"/>
              </w:rPr>
              <w:t>20% reduction tolvaptan price</w:t>
            </w:r>
          </w:p>
        </w:tc>
        <w:tc>
          <w:tcPr>
            <w:tcW w:w="1236" w:type="dxa"/>
            <w:vAlign w:val="center"/>
          </w:tcPr>
          <w:p w:rsidR="002B5A4C" w:rsidRPr="00D548AF" w:rsidRDefault="002B5A4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c>
          <w:tcPr>
            <w:tcW w:w="1236" w:type="dxa"/>
            <w:vAlign w:val="center"/>
          </w:tcPr>
          <w:p w:rsidR="002B5A4C" w:rsidRPr="00D548AF" w:rsidRDefault="002B5A4C" w:rsidP="008B4B29">
            <w:pPr>
              <w:keepNext/>
              <w:widowControl/>
              <w:jc w:val="center"/>
              <w:rPr>
                <w:rFonts w:ascii="Arial Narrow" w:hAnsi="Arial Narrow"/>
                <w:sz w:val="20"/>
                <w:szCs w:val="20"/>
              </w:rPr>
            </w:pPr>
            <w:r w:rsidRPr="00D548AF">
              <w:rPr>
                <w:rFonts w:ascii="Arial Narrow" w:hAnsi="Arial Narrow"/>
                <w:sz w:val="20"/>
                <w:szCs w:val="20"/>
              </w:rPr>
              <w:t>0.3939</w:t>
            </w:r>
          </w:p>
        </w:tc>
        <w:tc>
          <w:tcPr>
            <w:tcW w:w="1228" w:type="dxa"/>
            <w:vAlign w:val="center"/>
          </w:tcPr>
          <w:p w:rsidR="002B5A4C" w:rsidRPr="00D548AF" w:rsidRDefault="002B5A4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r>
      <w:tr w:rsidR="002B5A4C" w:rsidRPr="00D548AF" w:rsidTr="00B83014">
        <w:tc>
          <w:tcPr>
            <w:tcW w:w="9017" w:type="dxa"/>
            <w:gridSpan w:val="4"/>
          </w:tcPr>
          <w:p w:rsidR="002B5A4C" w:rsidRPr="00D548AF" w:rsidRDefault="002B5A4C" w:rsidP="008B4B29">
            <w:pPr>
              <w:keepNext/>
              <w:widowControl/>
              <w:jc w:val="left"/>
              <w:rPr>
                <w:rFonts w:ascii="Arial Narrow" w:hAnsi="Arial Narrow"/>
                <w:b/>
                <w:sz w:val="20"/>
                <w:szCs w:val="20"/>
              </w:rPr>
            </w:pPr>
            <w:r w:rsidRPr="00D548AF">
              <w:rPr>
                <w:rFonts w:ascii="Arial Narrow" w:hAnsi="Arial Narrow"/>
                <w:b/>
                <w:sz w:val="20"/>
                <w:szCs w:val="20"/>
              </w:rPr>
              <w:t>Dialysis cost (base case: initial $23,307; ongoing $107,667/year)</w:t>
            </w:r>
          </w:p>
        </w:tc>
      </w:tr>
      <w:tr w:rsidR="002B5A4C" w:rsidRPr="00D548AF" w:rsidTr="00B83014">
        <w:tc>
          <w:tcPr>
            <w:tcW w:w="5317" w:type="dxa"/>
          </w:tcPr>
          <w:p w:rsidR="002B5A4C" w:rsidRPr="00D548AF" w:rsidRDefault="002B5A4C" w:rsidP="008B4B29">
            <w:pPr>
              <w:keepNext/>
              <w:widowControl/>
              <w:jc w:val="left"/>
              <w:rPr>
                <w:rFonts w:ascii="Arial Narrow" w:hAnsi="Arial Narrow"/>
                <w:sz w:val="20"/>
                <w:szCs w:val="20"/>
              </w:rPr>
            </w:pPr>
            <w:r w:rsidRPr="00D548AF">
              <w:rPr>
                <w:rFonts w:ascii="Arial Narrow" w:hAnsi="Arial Narrow"/>
                <w:sz w:val="20"/>
                <w:szCs w:val="20"/>
              </w:rPr>
              <w:t>× 1.5</w:t>
            </w:r>
          </w:p>
        </w:tc>
        <w:tc>
          <w:tcPr>
            <w:tcW w:w="1236" w:type="dxa"/>
            <w:vAlign w:val="center"/>
          </w:tcPr>
          <w:p w:rsidR="002B5A4C" w:rsidRPr="00D548AF" w:rsidRDefault="002B5A4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c>
          <w:tcPr>
            <w:tcW w:w="1236" w:type="dxa"/>
            <w:vAlign w:val="center"/>
          </w:tcPr>
          <w:p w:rsidR="002B5A4C" w:rsidRPr="00D548AF" w:rsidRDefault="002B5A4C" w:rsidP="008B4B29">
            <w:pPr>
              <w:keepNext/>
              <w:widowControl/>
              <w:jc w:val="center"/>
              <w:rPr>
                <w:rFonts w:ascii="Arial Narrow" w:hAnsi="Arial Narrow"/>
                <w:sz w:val="20"/>
                <w:szCs w:val="20"/>
              </w:rPr>
            </w:pPr>
            <w:r w:rsidRPr="00D548AF">
              <w:rPr>
                <w:rFonts w:ascii="Arial Narrow" w:hAnsi="Arial Narrow"/>
                <w:sz w:val="20"/>
                <w:szCs w:val="20"/>
              </w:rPr>
              <w:t>0.3939</w:t>
            </w:r>
          </w:p>
        </w:tc>
        <w:tc>
          <w:tcPr>
            <w:tcW w:w="1228" w:type="dxa"/>
            <w:vAlign w:val="center"/>
          </w:tcPr>
          <w:p w:rsidR="002B5A4C" w:rsidRPr="00D548AF" w:rsidRDefault="002B5A4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r>
      <w:tr w:rsidR="002B5A4C" w:rsidRPr="00D548AF" w:rsidTr="00B83014">
        <w:tc>
          <w:tcPr>
            <w:tcW w:w="5317" w:type="dxa"/>
          </w:tcPr>
          <w:p w:rsidR="002B5A4C" w:rsidRPr="00D548AF" w:rsidRDefault="002B5A4C" w:rsidP="008B4B29">
            <w:pPr>
              <w:keepNext/>
              <w:widowControl/>
              <w:jc w:val="left"/>
              <w:rPr>
                <w:rFonts w:ascii="Arial Narrow" w:hAnsi="Arial Narrow"/>
                <w:sz w:val="20"/>
                <w:szCs w:val="20"/>
              </w:rPr>
            </w:pPr>
            <w:r w:rsidRPr="00D548AF">
              <w:rPr>
                <w:rFonts w:ascii="Arial Narrow" w:hAnsi="Arial Narrow"/>
                <w:sz w:val="20"/>
                <w:szCs w:val="20"/>
              </w:rPr>
              <w:t>× 0.5</w:t>
            </w:r>
          </w:p>
        </w:tc>
        <w:tc>
          <w:tcPr>
            <w:tcW w:w="1236" w:type="dxa"/>
            <w:vAlign w:val="center"/>
          </w:tcPr>
          <w:p w:rsidR="002B5A4C" w:rsidRPr="00D548AF" w:rsidRDefault="002B5A4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c>
          <w:tcPr>
            <w:tcW w:w="1236" w:type="dxa"/>
            <w:vAlign w:val="center"/>
          </w:tcPr>
          <w:p w:rsidR="002B5A4C" w:rsidRPr="00D548AF" w:rsidRDefault="002B5A4C" w:rsidP="008B4B29">
            <w:pPr>
              <w:keepNext/>
              <w:widowControl/>
              <w:jc w:val="center"/>
              <w:rPr>
                <w:rFonts w:ascii="Arial Narrow" w:hAnsi="Arial Narrow"/>
                <w:sz w:val="20"/>
                <w:szCs w:val="20"/>
              </w:rPr>
            </w:pPr>
            <w:r w:rsidRPr="00D548AF">
              <w:rPr>
                <w:rFonts w:ascii="Arial Narrow" w:hAnsi="Arial Narrow"/>
                <w:sz w:val="20"/>
                <w:szCs w:val="20"/>
              </w:rPr>
              <w:t>0.3939</w:t>
            </w:r>
          </w:p>
        </w:tc>
        <w:tc>
          <w:tcPr>
            <w:tcW w:w="1228" w:type="dxa"/>
            <w:vAlign w:val="center"/>
          </w:tcPr>
          <w:p w:rsidR="002B5A4C" w:rsidRPr="00D548AF" w:rsidRDefault="002B5A4C" w:rsidP="008B4B29">
            <w:pPr>
              <w:keepNext/>
              <w:widowControl/>
              <w:jc w:val="center"/>
              <w:rPr>
                <w:rFonts w:ascii="Arial Narrow" w:hAnsi="Arial Narrow"/>
                <w:sz w:val="20"/>
                <w:szCs w:val="20"/>
              </w:rPr>
            </w:pPr>
            <w:r w:rsidRPr="00D548AF">
              <w:rPr>
                <w:rFonts w:ascii="Arial Narrow" w:hAnsi="Arial Narrow"/>
                <w:sz w:val="20"/>
                <w:szCs w:val="20"/>
              </w:rPr>
              <w:t>$</w:t>
            </w:r>
            <w:r w:rsidR="00A00758">
              <w:rPr>
                <w:rFonts w:ascii="Arial Narrow" w:hAnsi="Arial Narrow"/>
                <w:noProof/>
                <w:color w:val="000000"/>
                <w:sz w:val="20"/>
                <w:szCs w:val="20"/>
                <w:highlight w:val="black"/>
              </w:rPr>
              <w:t>'''''''''''''''''''''</w:t>
            </w:r>
          </w:p>
        </w:tc>
      </w:tr>
      <w:tr w:rsidR="002B5A4C" w:rsidRPr="00D548AF" w:rsidTr="00B83014">
        <w:tc>
          <w:tcPr>
            <w:tcW w:w="9017" w:type="dxa"/>
            <w:gridSpan w:val="4"/>
          </w:tcPr>
          <w:p w:rsidR="002B5A4C" w:rsidRPr="00D548AF" w:rsidRDefault="002B5A4C" w:rsidP="008B4B29">
            <w:pPr>
              <w:keepNext/>
              <w:widowControl/>
              <w:jc w:val="left"/>
              <w:rPr>
                <w:rFonts w:ascii="Arial Narrow" w:hAnsi="Arial Narrow"/>
                <w:sz w:val="20"/>
                <w:szCs w:val="20"/>
              </w:rPr>
            </w:pPr>
            <w:r w:rsidRPr="00D548AF">
              <w:rPr>
                <w:rFonts w:ascii="Arial Narrow" w:hAnsi="Arial Narrow"/>
                <w:b/>
                <w:sz w:val="20"/>
                <w:szCs w:val="20"/>
              </w:rPr>
              <w:t>Time horizon (base case: lifetime; maximum 100 years)</w:t>
            </w:r>
          </w:p>
        </w:tc>
      </w:tr>
      <w:tr w:rsidR="002B5A4C" w:rsidRPr="00D548AF" w:rsidTr="00B83014">
        <w:tc>
          <w:tcPr>
            <w:tcW w:w="5317" w:type="dxa"/>
            <w:vAlign w:val="bottom"/>
          </w:tcPr>
          <w:p w:rsidR="002B5A4C" w:rsidRPr="00D548AF" w:rsidRDefault="002B5A4C" w:rsidP="008B4B29">
            <w:pPr>
              <w:keepNext/>
              <w:widowControl/>
              <w:jc w:val="left"/>
              <w:rPr>
                <w:rFonts w:ascii="Arial Narrow" w:hAnsi="Arial Narrow"/>
                <w:sz w:val="20"/>
                <w:szCs w:val="20"/>
              </w:rPr>
            </w:pPr>
            <w:r w:rsidRPr="00D548AF">
              <w:rPr>
                <w:rFonts w:ascii="Arial Narrow" w:hAnsi="Arial Narrow"/>
                <w:color w:val="000000"/>
                <w:sz w:val="20"/>
                <w:szCs w:val="20"/>
              </w:rPr>
              <w:t>5 years</w:t>
            </w:r>
          </w:p>
        </w:tc>
        <w:tc>
          <w:tcPr>
            <w:tcW w:w="1236" w:type="dxa"/>
            <w:tcBorders>
              <w:top w:val="single" w:sz="4" w:space="0" w:color="auto"/>
              <w:left w:val="nil"/>
              <w:bottom w:val="single" w:sz="4" w:space="0" w:color="auto"/>
              <w:right w:val="single" w:sz="4" w:space="0" w:color="auto"/>
            </w:tcBorders>
            <w:shd w:val="clear" w:color="auto" w:fill="auto"/>
            <w:vAlign w:val="bottom"/>
          </w:tcPr>
          <w:p w:rsidR="002B5A4C" w:rsidRPr="00D548AF" w:rsidRDefault="002B5A4C" w:rsidP="008B4B29">
            <w:pPr>
              <w:keepNext/>
              <w:widowControl/>
              <w:jc w:val="center"/>
              <w:rPr>
                <w:rFonts w:ascii="Arial Narrow" w:hAnsi="Arial Narrow"/>
                <w:sz w:val="20"/>
                <w:szCs w:val="20"/>
              </w:rPr>
            </w:pPr>
            <w:r w:rsidRPr="00D548AF">
              <w:rPr>
                <w:rFonts w:ascii="Arial Narrow" w:hAnsi="Arial Narrow"/>
                <w:color w:val="000000"/>
                <w:sz w:val="20"/>
                <w:szCs w:val="20"/>
              </w:rPr>
              <w:t>$</w:t>
            </w:r>
            <w:r w:rsidR="00A00758">
              <w:rPr>
                <w:rFonts w:ascii="Arial Narrow" w:hAnsi="Arial Narrow"/>
                <w:noProof/>
                <w:color w:val="000000"/>
                <w:sz w:val="20"/>
                <w:szCs w:val="20"/>
                <w:highlight w:val="black"/>
              </w:rPr>
              <w:t>'''''''''''''''''</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bottom"/>
          </w:tcPr>
          <w:p w:rsidR="002B5A4C" w:rsidRPr="00D548AF" w:rsidRDefault="002B5A4C" w:rsidP="008B4B29">
            <w:pPr>
              <w:keepNext/>
              <w:widowControl/>
              <w:jc w:val="center"/>
              <w:rPr>
                <w:rFonts w:ascii="Arial Narrow" w:hAnsi="Arial Narrow"/>
                <w:sz w:val="20"/>
                <w:szCs w:val="20"/>
              </w:rPr>
            </w:pPr>
            <w:r w:rsidRPr="00D548AF">
              <w:rPr>
                <w:rFonts w:ascii="Arial Narrow" w:hAnsi="Arial Narrow"/>
                <w:color w:val="000000"/>
                <w:sz w:val="20"/>
                <w:szCs w:val="20"/>
              </w:rPr>
              <w:t>0.0352</w:t>
            </w:r>
          </w:p>
        </w:tc>
        <w:tc>
          <w:tcPr>
            <w:tcW w:w="1228" w:type="dxa"/>
            <w:tcBorders>
              <w:top w:val="single" w:sz="4" w:space="0" w:color="auto"/>
              <w:left w:val="single" w:sz="4" w:space="0" w:color="auto"/>
              <w:bottom w:val="single" w:sz="4" w:space="0" w:color="auto"/>
              <w:right w:val="single" w:sz="4" w:space="0" w:color="auto"/>
            </w:tcBorders>
            <w:shd w:val="clear" w:color="auto" w:fill="auto"/>
            <w:vAlign w:val="bottom"/>
          </w:tcPr>
          <w:p w:rsidR="002B5A4C" w:rsidRPr="00D548AF" w:rsidRDefault="002B5A4C" w:rsidP="008B4B29">
            <w:pPr>
              <w:keepNext/>
              <w:widowControl/>
              <w:jc w:val="center"/>
              <w:rPr>
                <w:rFonts w:ascii="Arial Narrow" w:hAnsi="Arial Narrow"/>
                <w:sz w:val="20"/>
                <w:szCs w:val="20"/>
              </w:rPr>
            </w:pPr>
            <w:r w:rsidRPr="00D548AF">
              <w:rPr>
                <w:rFonts w:ascii="Arial Narrow" w:hAnsi="Arial Narrow"/>
                <w:color w:val="000000"/>
                <w:sz w:val="20"/>
                <w:szCs w:val="20"/>
              </w:rPr>
              <w:t>$</w:t>
            </w:r>
            <w:r w:rsidR="00A00758">
              <w:rPr>
                <w:rFonts w:ascii="Arial Narrow" w:hAnsi="Arial Narrow"/>
                <w:noProof/>
                <w:color w:val="000000"/>
                <w:sz w:val="20"/>
                <w:szCs w:val="20"/>
                <w:highlight w:val="black"/>
              </w:rPr>
              <w:t>''''''''''''''''''</w:t>
            </w:r>
          </w:p>
        </w:tc>
      </w:tr>
      <w:tr w:rsidR="002B5A4C" w:rsidRPr="00D548AF" w:rsidTr="00B83014">
        <w:tc>
          <w:tcPr>
            <w:tcW w:w="5317" w:type="dxa"/>
            <w:vAlign w:val="bottom"/>
          </w:tcPr>
          <w:p w:rsidR="002B5A4C" w:rsidRPr="00D548AF" w:rsidRDefault="002B5A4C" w:rsidP="008B4B29">
            <w:pPr>
              <w:keepNext/>
              <w:widowControl/>
              <w:jc w:val="left"/>
              <w:rPr>
                <w:rFonts w:ascii="Arial Narrow" w:hAnsi="Arial Narrow"/>
                <w:sz w:val="20"/>
                <w:szCs w:val="20"/>
              </w:rPr>
            </w:pPr>
            <w:r w:rsidRPr="00D548AF">
              <w:rPr>
                <w:rFonts w:ascii="Arial Narrow" w:hAnsi="Arial Narrow"/>
                <w:color w:val="000000"/>
                <w:sz w:val="20"/>
                <w:szCs w:val="20"/>
              </w:rPr>
              <w:t>10 years</w:t>
            </w:r>
          </w:p>
        </w:tc>
        <w:tc>
          <w:tcPr>
            <w:tcW w:w="1236" w:type="dxa"/>
            <w:tcBorders>
              <w:top w:val="single" w:sz="4" w:space="0" w:color="auto"/>
              <w:left w:val="nil"/>
              <w:bottom w:val="single" w:sz="4" w:space="0" w:color="auto"/>
              <w:right w:val="single" w:sz="4" w:space="0" w:color="auto"/>
            </w:tcBorders>
            <w:shd w:val="clear" w:color="auto" w:fill="auto"/>
            <w:vAlign w:val="bottom"/>
          </w:tcPr>
          <w:p w:rsidR="002B5A4C" w:rsidRPr="00D548AF" w:rsidRDefault="002B5A4C" w:rsidP="008B4B29">
            <w:pPr>
              <w:keepNext/>
              <w:widowControl/>
              <w:jc w:val="center"/>
              <w:rPr>
                <w:rFonts w:ascii="Arial Narrow" w:hAnsi="Arial Narrow"/>
                <w:sz w:val="20"/>
                <w:szCs w:val="20"/>
              </w:rPr>
            </w:pPr>
            <w:r w:rsidRPr="00D548AF">
              <w:rPr>
                <w:rFonts w:ascii="Arial Narrow" w:hAnsi="Arial Narrow"/>
                <w:color w:val="000000"/>
                <w:sz w:val="20"/>
                <w:szCs w:val="20"/>
              </w:rPr>
              <w:t>$</w:t>
            </w:r>
            <w:r w:rsidR="00A00758">
              <w:rPr>
                <w:rFonts w:ascii="Arial Narrow" w:hAnsi="Arial Narrow"/>
                <w:noProof/>
                <w:color w:val="000000"/>
                <w:sz w:val="20"/>
                <w:szCs w:val="20"/>
                <w:highlight w:val="black"/>
              </w:rPr>
              <w:t>'''''''''''''''</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bottom"/>
          </w:tcPr>
          <w:p w:rsidR="002B5A4C" w:rsidRPr="00D548AF" w:rsidRDefault="002B5A4C" w:rsidP="008B4B29">
            <w:pPr>
              <w:keepNext/>
              <w:widowControl/>
              <w:jc w:val="center"/>
              <w:rPr>
                <w:rFonts w:ascii="Arial Narrow" w:hAnsi="Arial Narrow"/>
                <w:sz w:val="20"/>
                <w:szCs w:val="20"/>
              </w:rPr>
            </w:pPr>
            <w:r w:rsidRPr="00D548AF">
              <w:rPr>
                <w:rFonts w:ascii="Arial Narrow" w:hAnsi="Arial Narrow"/>
                <w:color w:val="000000"/>
                <w:sz w:val="20"/>
                <w:szCs w:val="20"/>
              </w:rPr>
              <w:t>0.1540</w:t>
            </w:r>
          </w:p>
        </w:tc>
        <w:tc>
          <w:tcPr>
            <w:tcW w:w="1228" w:type="dxa"/>
            <w:tcBorders>
              <w:top w:val="single" w:sz="4" w:space="0" w:color="auto"/>
              <w:left w:val="single" w:sz="4" w:space="0" w:color="auto"/>
              <w:bottom w:val="single" w:sz="4" w:space="0" w:color="auto"/>
              <w:right w:val="single" w:sz="4" w:space="0" w:color="auto"/>
            </w:tcBorders>
            <w:shd w:val="clear" w:color="auto" w:fill="auto"/>
            <w:vAlign w:val="bottom"/>
          </w:tcPr>
          <w:p w:rsidR="002B5A4C" w:rsidRPr="00D548AF" w:rsidRDefault="002B5A4C" w:rsidP="008B4B29">
            <w:pPr>
              <w:keepNext/>
              <w:widowControl/>
              <w:jc w:val="center"/>
              <w:rPr>
                <w:rFonts w:ascii="Arial Narrow" w:hAnsi="Arial Narrow"/>
                <w:sz w:val="20"/>
                <w:szCs w:val="20"/>
              </w:rPr>
            </w:pPr>
            <w:r w:rsidRPr="00D548AF">
              <w:rPr>
                <w:rFonts w:ascii="Arial Narrow" w:hAnsi="Arial Narrow"/>
                <w:color w:val="000000"/>
                <w:sz w:val="20"/>
                <w:szCs w:val="20"/>
              </w:rPr>
              <w:t>$</w:t>
            </w:r>
            <w:r w:rsidR="00A00758">
              <w:rPr>
                <w:rFonts w:ascii="Arial Narrow" w:hAnsi="Arial Narrow"/>
                <w:noProof/>
                <w:color w:val="000000"/>
                <w:sz w:val="20"/>
                <w:szCs w:val="20"/>
                <w:highlight w:val="black"/>
              </w:rPr>
              <w:t>''''''''''''''''</w:t>
            </w:r>
          </w:p>
        </w:tc>
      </w:tr>
      <w:tr w:rsidR="002B5A4C" w:rsidRPr="00D548AF" w:rsidTr="00B83014">
        <w:tc>
          <w:tcPr>
            <w:tcW w:w="5317" w:type="dxa"/>
            <w:vAlign w:val="bottom"/>
          </w:tcPr>
          <w:p w:rsidR="002B5A4C" w:rsidRPr="00D548AF" w:rsidRDefault="002B5A4C" w:rsidP="008B4B29">
            <w:pPr>
              <w:keepNext/>
              <w:widowControl/>
              <w:jc w:val="left"/>
              <w:rPr>
                <w:rFonts w:ascii="Arial Narrow" w:hAnsi="Arial Narrow"/>
                <w:sz w:val="20"/>
                <w:szCs w:val="20"/>
              </w:rPr>
            </w:pPr>
            <w:r w:rsidRPr="00D548AF">
              <w:rPr>
                <w:rFonts w:ascii="Arial Narrow" w:hAnsi="Arial Narrow"/>
                <w:color w:val="000000"/>
                <w:sz w:val="20"/>
                <w:szCs w:val="20"/>
              </w:rPr>
              <w:t>20 years</w:t>
            </w:r>
          </w:p>
        </w:tc>
        <w:tc>
          <w:tcPr>
            <w:tcW w:w="1236" w:type="dxa"/>
            <w:tcBorders>
              <w:top w:val="single" w:sz="4" w:space="0" w:color="auto"/>
              <w:left w:val="nil"/>
              <w:bottom w:val="single" w:sz="4" w:space="0" w:color="auto"/>
              <w:right w:val="single" w:sz="4" w:space="0" w:color="auto"/>
            </w:tcBorders>
            <w:shd w:val="clear" w:color="auto" w:fill="auto"/>
            <w:vAlign w:val="bottom"/>
          </w:tcPr>
          <w:p w:rsidR="002B5A4C" w:rsidRPr="00D548AF" w:rsidRDefault="002B5A4C" w:rsidP="008B4B29">
            <w:pPr>
              <w:keepNext/>
              <w:widowControl/>
              <w:jc w:val="center"/>
              <w:rPr>
                <w:rFonts w:ascii="Arial Narrow" w:hAnsi="Arial Narrow"/>
                <w:sz w:val="20"/>
                <w:szCs w:val="20"/>
              </w:rPr>
            </w:pPr>
            <w:r w:rsidRPr="00D548AF">
              <w:rPr>
                <w:rFonts w:ascii="Arial Narrow" w:hAnsi="Arial Narrow"/>
                <w:color w:val="000000"/>
                <w:sz w:val="20"/>
                <w:szCs w:val="20"/>
              </w:rPr>
              <w:t>$</w:t>
            </w:r>
            <w:r w:rsidR="00A00758">
              <w:rPr>
                <w:rFonts w:ascii="Arial Narrow" w:hAnsi="Arial Narrow"/>
                <w:noProof/>
                <w:color w:val="000000"/>
                <w:sz w:val="20"/>
                <w:szCs w:val="20"/>
                <w:highlight w:val="black"/>
              </w:rPr>
              <w:t>'''''''''''''''</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bottom"/>
          </w:tcPr>
          <w:p w:rsidR="002B5A4C" w:rsidRPr="00D548AF" w:rsidRDefault="002B5A4C" w:rsidP="008B4B29">
            <w:pPr>
              <w:keepNext/>
              <w:widowControl/>
              <w:jc w:val="center"/>
              <w:rPr>
                <w:rFonts w:ascii="Arial Narrow" w:hAnsi="Arial Narrow"/>
                <w:sz w:val="20"/>
                <w:szCs w:val="20"/>
              </w:rPr>
            </w:pPr>
            <w:r w:rsidRPr="00D548AF">
              <w:rPr>
                <w:rFonts w:ascii="Arial Narrow" w:hAnsi="Arial Narrow"/>
                <w:color w:val="000000"/>
                <w:sz w:val="20"/>
                <w:szCs w:val="20"/>
              </w:rPr>
              <w:t>0.3239</w:t>
            </w:r>
          </w:p>
        </w:tc>
        <w:tc>
          <w:tcPr>
            <w:tcW w:w="1228" w:type="dxa"/>
            <w:tcBorders>
              <w:top w:val="single" w:sz="4" w:space="0" w:color="auto"/>
              <w:left w:val="single" w:sz="4" w:space="0" w:color="auto"/>
              <w:bottom w:val="single" w:sz="4" w:space="0" w:color="auto"/>
              <w:right w:val="single" w:sz="4" w:space="0" w:color="auto"/>
            </w:tcBorders>
            <w:shd w:val="clear" w:color="auto" w:fill="auto"/>
            <w:vAlign w:val="bottom"/>
          </w:tcPr>
          <w:p w:rsidR="002B5A4C" w:rsidRPr="00D548AF" w:rsidRDefault="002B5A4C" w:rsidP="008B4B29">
            <w:pPr>
              <w:keepNext/>
              <w:widowControl/>
              <w:jc w:val="center"/>
              <w:rPr>
                <w:rFonts w:ascii="Arial Narrow" w:hAnsi="Arial Narrow"/>
                <w:sz w:val="20"/>
                <w:szCs w:val="20"/>
              </w:rPr>
            </w:pPr>
            <w:r w:rsidRPr="00D548AF">
              <w:rPr>
                <w:rFonts w:ascii="Arial Narrow" w:hAnsi="Arial Narrow"/>
                <w:color w:val="000000"/>
                <w:sz w:val="20"/>
                <w:szCs w:val="20"/>
              </w:rPr>
              <w:t>$</w:t>
            </w:r>
            <w:r w:rsidR="00A00758">
              <w:rPr>
                <w:rFonts w:ascii="Arial Narrow" w:hAnsi="Arial Narrow"/>
                <w:noProof/>
                <w:color w:val="000000"/>
                <w:sz w:val="20"/>
                <w:szCs w:val="20"/>
                <w:highlight w:val="black"/>
              </w:rPr>
              <w:t>'''''''''''''''</w:t>
            </w:r>
          </w:p>
        </w:tc>
      </w:tr>
      <w:tr w:rsidR="002B5A4C" w:rsidRPr="00D548AF" w:rsidTr="00B83014">
        <w:tc>
          <w:tcPr>
            <w:tcW w:w="5317" w:type="dxa"/>
            <w:vAlign w:val="bottom"/>
          </w:tcPr>
          <w:p w:rsidR="002B5A4C" w:rsidRPr="00D548AF" w:rsidRDefault="002B5A4C" w:rsidP="008B4B29">
            <w:pPr>
              <w:keepNext/>
              <w:widowControl/>
              <w:jc w:val="left"/>
              <w:rPr>
                <w:rFonts w:ascii="Arial Narrow" w:hAnsi="Arial Narrow"/>
                <w:sz w:val="20"/>
                <w:szCs w:val="20"/>
              </w:rPr>
            </w:pPr>
            <w:r w:rsidRPr="00D548AF">
              <w:rPr>
                <w:rFonts w:ascii="Arial Narrow" w:hAnsi="Arial Narrow"/>
                <w:color w:val="000000"/>
                <w:sz w:val="20"/>
                <w:szCs w:val="20"/>
              </w:rPr>
              <w:t>30 years</w:t>
            </w:r>
          </w:p>
        </w:tc>
        <w:tc>
          <w:tcPr>
            <w:tcW w:w="1236" w:type="dxa"/>
            <w:tcBorders>
              <w:top w:val="single" w:sz="4" w:space="0" w:color="auto"/>
              <w:left w:val="nil"/>
              <w:bottom w:val="single" w:sz="4" w:space="0" w:color="auto"/>
              <w:right w:val="single" w:sz="4" w:space="0" w:color="auto"/>
            </w:tcBorders>
            <w:shd w:val="clear" w:color="auto" w:fill="auto"/>
            <w:vAlign w:val="bottom"/>
          </w:tcPr>
          <w:p w:rsidR="002B5A4C" w:rsidRPr="00D548AF" w:rsidRDefault="002B5A4C" w:rsidP="008B4B29">
            <w:pPr>
              <w:keepNext/>
              <w:widowControl/>
              <w:jc w:val="center"/>
              <w:rPr>
                <w:rFonts w:ascii="Arial Narrow" w:hAnsi="Arial Narrow"/>
                <w:sz w:val="20"/>
                <w:szCs w:val="20"/>
              </w:rPr>
            </w:pPr>
            <w:r w:rsidRPr="00D548AF">
              <w:rPr>
                <w:rFonts w:ascii="Arial Narrow" w:hAnsi="Arial Narrow"/>
                <w:color w:val="000000"/>
                <w:sz w:val="20"/>
                <w:szCs w:val="20"/>
              </w:rPr>
              <w:t>$</w:t>
            </w:r>
            <w:r w:rsidR="00A00758">
              <w:rPr>
                <w:rFonts w:ascii="Arial Narrow" w:hAnsi="Arial Narrow"/>
                <w:noProof/>
                <w:color w:val="000000"/>
                <w:sz w:val="20"/>
                <w:szCs w:val="20"/>
                <w:highlight w:val="black"/>
              </w:rPr>
              <w:t>'''''''''''''''''</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bottom"/>
          </w:tcPr>
          <w:p w:rsidR="002B5A4C" w:rsidRPr="00D548AF" w:rsidRDefault="002B5A4C" w:rsidP="008B4B29">
            <w:pPr>
              <w:keepNext/>
              <w:widowControl/>
              <w:jc w:val="center"/>
              <w:rPr>
                <w:rFonts w:ascii="Arial Narrow" w:hAnsi="Arial Narrow"/>
                <w:sz w:val="20"/>
                <w:szCs w:val="20"/>
              </w:rPr>
            </w:pPr>
            <w:r w:rsidRPr="00D548AF">
              <w:rPr>
                <w:rFonts w:ascii="Arial Narrow" w:hAnsi="Arial Narrow"/>
                <w:color w:val="000000"/>
                <w:sz w:val="20"/>
                <w:szCs w:val="20"/>
              </w:rPr>
              <w:t>0.3928</w:t>
            </w:r>
          </w:p>
        </w:tc>
        <w:tc>
          <w:tcPr>
            <w:tcW w:w="1228" w:type="dxa"/>
            <w:tcBorders>
              <w:top w:val="single" w:sz="4" w:space="0" w:color="auto"/>
              <w:left w:val="single" w:sz="4" w:space="0" w:color="auto"/>
              <w:bottom w:val="single" w:sz="4" w:space="0" w:color="auto"/>
              <w:right w:val="single" w:sz="4" w:space="0" w:color="auto"/>
            </w:tcBorders>
            <w:shd w:val="clear" w:color="auto" w:fill="auto"/>
            <w:vAlign w:val="bottom"/>
          </w:tcPr>
          <w:p w:rsidR="002B5A4C" w:rsidRPr="00D548AF" w:rsidRDefault="002B5A4C" w:rsidP="008B4B29">
            <w:pPr>
              <w:keepNext/>
              <w:widowControl/>
              <w:jc w:val="center"/>
              <w:rPr>
                <w:rFonts w:ascii="Arial Narrow" w:hAnsi="Arial Narrow"/>
                <w:sz w:val="20"/>
                <w:szCs w:val="20"/>
              </w:rPr>
            </w:pPr>
            <w:r w:rsidRPr="00D548AF">
              <w:rPr>
                <w:rFonts w:ascii="Arial Narrow" w:hAnsi="Arial Narrow"/>
                <w:color w:val="000000"/>
                <w:sz w:val="20"/>
                <w:szCs w:val="20"/>
              </w:rPr>
              <w:t>$</w:t>
            </w:r>
            <w:r w:rsidR="00A00758">
              <w:rPr>
                <w:rFonts w:ascii="Arial Narrow" w:hAnsi="Arial Narrow"/>
                <w:noProof/>
                <w:color w:val="000000"/>
                <w:sz w:val="20"/>
                <w:szCs w:val="20"/>
                <w:highlight w:val="black"/>
              </w:rPr>
              <w:t>''''''''''''''''</w:t>
            </w:r>
          </w:p>
        </w:tc>
      </w:tr>
    </w:tbl>
    <w:p w:rsidR="000E165C" w:rsidRPr="000E165C" w:rsidRDefault="000E165C" w:rsidP="008B4B29">
      <w:pPr>
        <w:keepNext/>
        <w:widowControl/>
        <w:rPr>
          <w:rFonts w:ascii="Arial Narrow" w:hAnsi="Arial Narrow"/>
          <w:sz w:val="18"/>
        </w:rPr>
      </w:pPr>
      <w:r w:rsidRPr="000E165C">
        <w:rPr>
          <w:rFonts w:ascii="Arial Narrow" w:hAnsi="Arial Narrow"/>
          <w:sz w:val="18"/>
        </w:rPr>
        <w:t>Abbreviations: CK</w:t>
      </w:r>
      <w:r w:rsidR="0006266B">
        <w:rPr>
          <w:rFonts w:ascii="Arial Narrow" w:hAnsi="Arial Narrow"/>
          <w:sz w:val="18"/>
        </w:rPr>
        <w:t>D</w:t>
      </w:r>
      <w:r w:rsidRPr="000E165C">
        <w:rPr>
          <w:rFonts w:ascii="Arial Narrow" w:hAnsi="Arial Narrow"/>
          <w:sz w:val="18"/>
        </w:rPr>
        <w:t>: chronic kidney disease; ICER, incremental cost effectiveness ratio; QALYs: quality adjusted life years; Yr, year.</w:t>
      </w:r>
    </w:p>
    <w:p w:rsidR="000E165C" w:rsidRPr="000E165C" w:rsidRDefault="000E165C" w:rsidP="008B4B29">
      <w:pPr>
        <w:keepNext/>
        <w:widowControl/>
        <w:rPr>
          <w:rFonts w:ascii="Arial Narrow" w:hAnsi="Arial Narrow"/>
          <w:sz w:val="18"/>
        </w:rPr>
      </w:pPr>
      <w:r w:rsidRPr="000E165C">
        <w:rPr>
          <w:rFonts w:ascii="Arial Narrow" w:hAnsi="Arial Narrow"/>
          <w:sz w:val="18"/>
        </w:rPr>
        <w:t>Source: constructed during the evaluation using Tolvaptan November 2017 PBAC Section 3 TreeAge model</w:t>
      </w:r>
      <w:r w:rsidR="00D548AF">
        <w:rPr>
          <w:rFonts w:ascii="Arial Narrow" w:hAnsi="Arial Narrow"/>
          <w:sz w:val="18"/>
        </w:rPr>
        <w:t>.</w:t>
      </w:r>
      <w:r w:rsidR="002B5A4C">
        <w:rPr>
          <w:rFonts w:ascii="Arial Narrow" w:hAnsi="Arial Narrow"/>
          <w:sz w:val="18"/>
        </w:rPr>
        <w:t xml:space="preserve"> </w:t>
      </w:r>
    </w:p>
    <w:p w:rsidR="008F5F59" w:rsidRPr="007F03CB" w:rsidRDefault="000771C9" w:rsidP="0086251F">
      <w:pPr>
        <w:pStyle w:val="ListParagraph"/>
        <w:widowControl/>
        <w:numPr>
          <w:ilvl w:val="1"/>
          <w:numId w:val="3"/>
        </w:numPr>
        <w:spacing w:before="120" w:after="120"/>
        <w:ind w:left="720"/>
      </w:pPr>
      <w:r w:rsidRPr="000771C9">
        <w:t xml:space="preserve">The </w:t>
      </w:r>
      <w:r w:rsidRPr="007F03CB">
        <w:t>model based on the REPRISE trial was most sensitive to whether the population was limited to patients with rapid eGFR decline (≥2.5 mL/min/1.73 m</w:t>
      </w:r>
      <w:r w:rsidRPr="007F03CB">
        <w:rPr>
          <w:vertAlign w:val="superscript"/>
        </w:rPr>
        <w:t>2</w:t>
      </w:r>
      <w:r w:rsidRPr="007F03CB">
        <w:t xml:space="preserve">/year), </w:t>
      </w:r>
      <w:r w:rsidR="00DB269A" w:rsidRPr="007F03CB">
        <w:t xml:space="preserve">population age, </w:t>
      </w:r>
      <w:r w:rsidRPr="007F03CB">
        <w:t>the efficacy estimate selected, the price of tolvaptan, dialysis costs and model time horizon.</w:t>
      </w:r>
    </w:p>
    <w:p w:rsidR="002E25D4" w:rsidRPr="007F03CB" w:rsidRDefault="002E25D4" w:rsidP="0086251F">
      <w:pPr>
        <w:pStyle w:val="ListParagraph"/>
        <w:widowControl/>
        <w:numPr>
          <w:ilvl w:val="1"/>
          <w:numId w:val="3"/>
        </w:numPr>
        <w:spacing w:before="120" w:after="120"/>
        <w:ind w:left="720"/>
      </w:pPr>
      <w:r w:rsidRPr="007F03CB">
        <w:t>There was high variability in the ICERs produced from both the TEMPO 3:4 and REPRISE trials based upon the population and the efficacy selected. When the ITT</w:t>
      </w:r>
      <w:r w:rsidRPr="0023376D">
        <w:rPr>
          <w:i/>
        </w:rPr>
        <w:t xml:space="preserve"> </w:t>
      </w:r>
      <w:r w:rsidRPr="007F03CB">
        <w:lastRenderedPageBreak/>
        <w:t xml:space="preserve">efficacy was applied to the PBS Subpopulations 1, 2 and 3 the ICERs were much higher than those used in the weighted base case. </w:t>
      </w:r>
    </w:p>
    <w:p w:rsidR="008F5F59" w:rsidRPr="00B82A6B" w:rsidRDefault="004B371E" w:rsidP="0086251F">
      <w:pPr>
        <w:pStyle w:val="Heading2"/>
        <w:spacing w:before="240" w:after="120"/>
      </w:pPr>
      <w:r w:rsidRPr="00B82A6B">
        <w:t>Drug cost/patient/year: $12,252</w:t>
      </w:r>
    </w:p>
    <w:p w:rsidR="008F5F59" w:rsidRDefault="008F5F59" w:rsidP="0086251F">
      <w:pPr>
        <w:pStyle w:val="ListParagraph"/>
        <w:widowControl/>
        <w:numPr>
          <w:ilvl w:val="1"/>
          <w:numId w:val="3"/>
        </w:numPr>
        <w:spacing w:before="120" w:after="120"/>
        <w:ind w:left="720"/>
      </w:pPr>
      <w:r w:rsidRPr="00645853">
        <w:t>The estimated annual cost for tolvaptan split dose packs is $</w:t>
      </w:r>
      <w:r w:rsidR="00A00758">
        <w:rPr>
          <w:noProof/>
          <w:color w:val="000000"/>
          <w:highlight w:val="black"/>
        </w:rPr>
        <w:t>''''''''''''</w:t>
      </w:r>
      <w:r w:rsidRPr="00645853">
        <w:t xml:space="preserve"> (effective price), based on 13.04 scripts per year (=365 days per year/28 days’ per pack), with an annual cost of $</w:t>
      </w:r>
      <w:r w:rsidR="00A00758">
        <w:rPr>
          <w:noProof/>
          <w:color w:val="000000"/>
          <w:highlight w:val="black"/>
        </w:rPr>
        <w:t>''''''''''''</w:t>
      </w:r>
      <w:r w:rsidRPr="00645853">
        <w:t xml:space="preserve"> based on the published price. A flat pricing structure applies over all three split dose combinations.</w:t>
      </w:r>
    </w:p>
    <w:p w:rsidR="008F5F59" w:rsidRPr="00A7114D" w:rsidRDefault="008F5F59" w:rsidP="0086251F">
      <w:pPr>
        <w:pStyle w:val="ListParagraph"/>
        <w:widowControl/>
        <w:numPr>
          <w:ilvl w:val="1"/>
          <w:numId w:val="3"/>
        </w:numPr>
        <w:spacing w:before="120" w:after="120"/>
        <w:ind w:left="720"/>
      </w:pPr>
      <w:r w:rsidRPr="00645853">
        <w:t>The estimated cost was lower than in the March 2017 submission ($</w:t>
      </w:r>
      <w:r w:rsidR="00A00758">
        <w:rPr>
          <w:noProof/>
          <w:color w:val="000000"/>
          <w:highlight w:val="black"/>
        </w:rPr>
        <w:t>''''''''''''''</w:t>
      </w:r>
      <w:r w:rsidR="00AA18A5">
        <w:t xml:space="preserve"> </w:t>
      </w:r>
      <w:r w:rsidRPr="00645853">
        <w:t>based on the effective price; $</w:t>
      </w:r>
      <w:r w:rsidR="00A00758">
        <w:rPr>
          <w:noProof/>
          <w:color w:val="000000"/>
          <w:highlight w:val="black"/>
        </w:rPr>
        <w:t>'''''''''''''</w:t>
      </w:r>
      <w:r w:rsidRPr="00645853">
        <w:t xml:space="preserve"> based on the published price) due to the price reduction</w:t>
      </w:r>
      <w:r w:rsidR="0014042C">
        <w:t xml:space="preserve"> offered in this resubmission</w:t>
      </w:r>
      <w:r w:rsidRPr="00645853">
        <w:t>.</w:t>
      </w:r>
      <w:r w:rsidRPr="00645853">
        <w:rPr>
          <w:rFonts w:cs="Calibri"/>
          <w:snapToGrid/>
          <w:szCs w:val="24"/>
          <w:lang w:val="en-US" w:eastAsia="en-AU"/>
        </w:rPr>
        <w:t xml:space="preserve"> </w:t>
      </w:r>
    </w:p>
    <w:p w:rsidR="008F5F59" w:rsidRPr="00B82A6B" w:rsidRDefault="004B371E" w:rsidP="0086251F">
      <w:pPr>
        <w:pStyle w:val="Heading2"/>
        <w:spacing w:before="240" w:after="120"/>
      </w:pPr>
      <w:r w:rsidRPr="00B82A6B">
        <w:t>Estimated PBS usage &amp; financial implications</w:t>
      </w:r>
    </w:p>
    <w:p w:rsidR="008F5F59" w:rsidRDefault="008F5F59" w:rsidP="0086251F">
      <w:pPr>
        <w:pStyle w:val="ListParagraph"/>
        <w:widowControl/>
        <w:numPr>
          <w:ilvl w:val="1"/>
          <w:numId w:val="3"/>
        </w:numPr>
        <w:spacing w:before="120" w:after="120"/>
        <w:ind w:left="720"/>
      </w:pPr>
      <w:r>
        <w:t xml:space="preserve">This </w:t>
      </w:r>
      <w:r w:rsidR="00091C7A">
        <w:t>re</w:t>
      </w:r>
      <w:r>
        <w:t xml:space="preserve">submission </w:t>
      </w:r>
      <w:r w:rsidR="001B6283">
        <w:t>was not</w:t>
      </w:r>
      <w:r>
        <w:t xml:space="preserve"> considered by DUSC</w:t>
      </w:r>
      <w:r w:rsidRPr="00B50DB8">
        <w:rPr>
          <w:color w:val="0070C0"/>
        </w:rPr>
        <w:t xml:space="preserve">. </w:t>
      </w:r>
      <w:r>
        <w:t>The</w:t>
      </w:r>
      <w:r w:rsidRPr="00AD44D7">
        <w:t xml:space="preserve"> resubmission used an epidemiological approach to estimat</w:t>
      </w:r>
      <w:r>
        <w:t>e the</w:t>
      </w:r>
      <w:r w:rsidRPr="00AD44D7">
        <w:t xml:space="preserve"> </w:t>
      </w:r>
      <w:r>
        <w:t>utilisation/financial implications associated with the PBS listing</w:t>
      </w:r>
      <w:r w:rsidRPr="00AD44D7">
        <w:t xml:space="preserve"> of tolvaptan</w:t>
      </w:r>
      <w:r>
        <w:t>, similar the approach used in the March 2017 submission</w:t>
      </w:r>
      <w:r w:rsidRPr="00AD44D7">
        <w:t>.</w:t>
      </w:r>
    </w:p>
    <w:p w:rsidR="00A7114D" w:rsidRPr="00B50DB8" w:rsidRDefault="00A7114D" w:rsidP="0086251F">
      <w:pPr>
        <w:widowControl/>
        <w:spacing w:before="120" w:after="120"/>
      </w:pPr>
    </w:p>
    <w:p w:rsidR="008F5F59" w:rsidRDefault="008F5F59" w:rsidP="008B4B29">
      <w:pPr>
        <w:keepNext/>
        <w:widowControl/>
        <w:rPr>
          <w:rStyle w:val="CommentReference"/>
        </w:rPr>
      </w:pPr>
      <w:r w:rsidRPr="001222FC">
        <w:rPr>
          <w:rStyle w:val="CommentReference"/>
        </w:rPr>
        <w:lastRenderedPageBreak/>
        <w:t xml:space="preserve">Table </w:t>
      </w:r>
      <w:r w:rsidR="009E698C">
        <w:rPr>
          <w:rStyle w:val="CommentReference"/>
        </w:rPr>
        <w:t>16</w:t>
      </w:r>
      <w:r w:rsidRPr="001222FC">
        <w:rPr>
          <w:rStyle w:val="CommentReference"/>
        </w:rPr>
        <w:t>: Estimated use and financial implications</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Caption w:val="Table 16: Estimated use and financial implications"/>
      </w:tblPr>
      <w:tblGrid>
        <w:gridCol w:w="2188"/>
        <w:gridCol w:w="1177"/>
        <w:gridCol w:w="1179"/>
        <w:gridCol w:w="1179"/>
        <w:gridCol w:w="1179"/>
        <w:gridCol w:w="1179"/>
        <w:gridCol w:w="1060"/>
      </w:tblGrid>
      <w:tr w:rsidR="008F5F59" w:rsidRPr="000D0439" w:rsidTr="001D22CA">
        <w:trPr>
          <w:tblHeader/>
        </w:trPr>
        <w:tc>
          <w:tcPr>
            <w:tcW w:w="1196" w:type="pct"/>
            <w:tcBorders>
              <w:top w:val="single" w:sz="4" w:space="0" w:color="auto"/>
              <w:left w:val="single" w:sz="4" w:space="0" w:color="auto"/>
              <w:bottom w:val="single" w:sz="4" w:space="0" w:color="auto"/>
              <w:right w:val="single" w:sz="4" w:space="0" w:color="auto"/>
            </w:tcBorders>
          </w:tcPr>
          <w:p w:rsidR="008F5F59" w:rsidRPr="000D0439" w:rsidRDefault="008F5F59" w:rsidP="008B4B29">
            <w:pPr>
              <w:keepNext/>
              <w:keepLines/>
              <w:widowControl/>
              <w:rPr>
                <w:rFonts w:ascii="Arial Narrow" w:hAnsi="Arial Narrow"/>
                <w:sz w:val="20"/>
              </w:rPr>
            </w:pPr>
          </w:p>
        </w:tc>
        <w:tc>
          <w:tcPr>
            <w:tcW w:w="644" w:type="pct"/>
            <w:tcBorders>
              <w:top w:val="single" w:sz="4" w:space="0" w:color="auto"/>
              <w:left w:val="single" w:sz="4" w:space="0" w:color="auto"/>
              <w:bottom w:val="single" w:sz="4" w:space="0" w:color="auto"/>
              <w:right w:val="single" w:sz="4" w:space="0" w:color="auto"/>
            </w:tcBorders>
          </w:tcPr>
          <w:p w:rsidR="008F5F59" w:rsidRPr="000D0439" w:rsidRDefault="008F5F59" w:rsidP="008B4B29">
            <w:pPr>
              <w:keepNext/>
              <w:keepLines/>
              <w:widowControl/>
              <w:jc w:val="center"/>
              <w:rPr>
                <w:rFonts w:ascii="Arial Narrow" w:hAnsi="Arial Narrow"/>
                <w:b/>
                <w:sz w:val="20"/>
              </w:rPr>
            </w:pPr>
            <w:r w:rsidRPr="000D0439">
              <w:rPr>
                <w:rFonts w:ascii="Arial Narrow" w:hAnsi="Arial Narrow"/>
                <w:b/>
                <w:sz w:val="20"/>
              </w:rPr>
              <w:t>Year 1 (201</w:t>
            </w:r>
            <w:r>
              <w:rPr>
                <w:rFonts w:ascii="Arial Narrow" w:hAnsi="Arial Narrow"/>
                <w:b/>
                <w:sz w:val="20"/>
              </w:rPr>
              <w:t>8</w:t>
            </w:r>
            <w:r w:rsidRPr="000D0439">
              <w:rPr>
                <w:rFonts w:ascii="Arial Narrow" w:hAnsi="Arial Narrow"/>
                <w:b/>
                <w:sz w:val="20"/>
              </w:rPr>
              <w:t>)</w:t>
            </w:r>
          </w:p>
        </w:tc>
        <w:tc>
          <w:tcPr>
            <w:tcW w:w="645" w:type="pct"/>
            <w:tcBorders>
              <w:top w:val="single" w:sz="4" w:space="0" w:color="auto"/>
              <w:left w:val="single" w:sz="4" w:space="0" w:color="auto"/>
              <w:bottom w:val="single" w:sz="4" w:space="0" w:color="auto"/>
              <w:right w:val="single" w:sz="4" w:space="0" w:color="auto"/>
            </w:tcBorders>
          </w:tcPr>
          <w:p w:rsidR="008F5F59" w:rsidRPr="000D0439" w:rsidRDefault="008F5F59" w:rsidP="008B4B29">
            <w:pPr>
              <w:keepNext/>
              <w:keepLines/>
              <w:widowControl/>
              <w:jc w:val="center"/>
              <w:rPr>
                <w:rFonts w:ascii="Arial Narrow" w:hAnsi="Arial Narrow"/>
                <w:b/>
                <w:sz w:val="20"/>
              </w:rPr>
            </w:pPr>
            <w:r w:rsidRPr="000D0439">
              <w:rPr>
                <w:rFonts w:ascii="Arial Narrow" w:hAnsi="Arial Narrow"/>
                <w:b/>
                <w:sz w:val="20"/>
              </w:rPr>
              <w:t>Year 2 (201</w:t>
            </w:r>
            <w:r>
              <w:rPr>
                <w:rFonts w:ascii="Arial Narrow" w:hAnsi="Arial Narrow"/>
                <w:b/>
                <w:sz w:val="20"/>
              </w:rPr>
              <w:t>9</w:t>
            </w:r>
            <w:r w:rsidRPr="000D0439">
              <w:rPr>
                <w:rFonts w:ascii="Arial Narrow" w:hAnsi="Arial Narrow"/>
                <w:b/>
                <w:sz w:val="20"/>
              </w:rPr>
              <w:t>)</w:t>
            </w:r>
          </w:p>
        </w:tc>
        <w:tc>
          <w:tcPr>
            <w:tcW w:w="645" w:type="pct"/>
            <w:tcBorders>
              <w:top w:val="single" w:sz="4" w:space="0" w:color="auto"/>
              <w:left w:val="single" w:sz="4" w:space="0" w:color="auto"/>
              <w:bottom w:val="single" w:sz="4" w:space="0" w:color="auto"/>
              <w:right w:val="single" w:sz="4" w:space="0" w:color="auto"/>
            </w:tcBorders>
          </w:tcPr>
          <w:p w:rsidR="008F5F59" w:rsidRPr="000D0439" w:rsidRDefault="008F5F59" w:rsidP="008B4B29">
            <w:pPr>
              <w:keepNext/>
              <w:keepLines/>
              <w:widowControl/>
              <w:jc w:val="center"/>
              <w:rPr>
                <w:rFonts w:ascii="Arial Narrow" w:hAnsi="Arial Narrow"/>
                <w:b/>
                <w:sz w:val="20"/>
              </w:rPr>
            </w:pPr>
            <w:r w:rsidRPr="000D0439">
              <w:rPr>
                <w:rFonts w:ascii="Arial Narrow" w:hAnsi="Arial Narrow"/>
                <w:b/>
                <w:sz w:val="20"/>
              </w:rPr>
              <w:t>Year 3 (20</w:t>
            </w:r>
            <w:r>
              <w:rPr>
                <w:rFonts w:ascii="Arial Narrow" w:hAnsi="Arial Narrow"/>
                <w:b/>
                <w:sz w:val="20"/>
              </w:rPr>
              <w:t>20</w:t>
            </w:r>
            <w:r w:rsidRPr="000D0439">
              <w:rPr>
                <w:rFonts w:ascii="Arial Narrow" w:hAnsi="Arial Narrow"/>
                <w:b/>
                <w:sz w:val="20"/>
              </w:rPr>
              <w:t>)</w:t>
            </w:r>
          </w:p>
        </w:tc>
        <w:tc>
          <w:tcPr>
            <w:tcW w:w="645" w:type="pct"/>
            <w:tcBorders>
              <w:top w:val="single" w:sz="4" w:space="0" w:color="auto"/>
              <w:left w:val="single" w:sz="4" w:space="0" w:color="auto"/>
              <w:bottom w:val="single" w:sz="4" w:space="0" w:color="auto"/>
              <w:right w:val="single" w:sz="4" w:space="0" w:color="auto"/>
            </w:tcBorders>
          </w:tcPr>
          <w:p w:rsidR="008F5F59" w:rsidRPr="000D0439" w:rsidRDefault="008F5F59" w:rsidP="008B4B29">
            <w:pPr>
              <w:keepNext/>
              <w:keepLines/>
              <w:widowControl/>
              <w:jc w:val="center"/>
              <w:rPr>
                <w:rFonts w:ascii="Arial Narrow" w:hAnsi="Arial Narrow"/>
                <w:b/>
                <w:sz w:val="20"/>
              </w:rPr>
            </w:pPr>
            <w:r w:rsidRPr="000D0439">
              <w:rPr>
                <w:rFonts w:ascii="Arial Narrow" w:hAnsi="Arial Narrow"/>
                <w:b/>
                <w:sz w:val="20"/>
              </w:rPr>
              <w:t>Year 4 (202</w:t>
            </w:r>
            <w:r>
              <w:rPr>
                <w:rFonts w:ascii="Arial Narrow" w:hAnsi="Arial Narrow"/>
                <w:b/>
                <w:sz w:val="20"/>
              </w:rPr>
              <w:t>1</w:t>
            </w:r>
            <w:r w:rsidRPr="000D0439">
              <w:rPr>
                <w:rFonts w:ascii="Arial Narrow" w:hAnsi="Arial Narrow"/>
                <w:b/>
                <w:sz w:val="20"/>
              </w:rPr>
              <w:t>)</w:t>
            </w:r>
          </w:p>
        </w:tc>
        <w:tc>
          <w:tcPr>
            <w:tcW w:w="645" w:type="pct"/>
            <w:tcBorders>
              <w:top w:val="single" w:sz="4" w:space="0" w:color="auto"/>
              <w:left w:val="single" w:sz="4" w:space="0" w:color="auto"/>
              <w:bottom w:val="single" w:sz="4" w:space="0" w:color="auto"/>
              <w:right w:val="single" w:sz="4" w:space="0" w:color="auto"/>
            </w:tcBorders>
          </w:tcPr>
          <w:p w:rsidR="008F5F59" w:rsidRPr="000D0439" w:rsidRDefault="008F5F59" w:rsidP="008B4B29">
            <w:pPr>
              <w:keepNext/>
              <w:keepLines/>
              <w:widowControl/>
              <w:jc w:val="center"/>
              <w:rPr>
                <w:rFonts w:ascii="Arial Narrow" w:hAnsi="Arial Narrow"/>
                <w:b/>
                <w:sz w:val="20"/>
              </w:rPr>
            </w:pPr>
            <w:r w:rsidRPr="000D0439">
              <w:rPr>
                <w:rFonts w:ascii="Arial Narrow" w:hAnsi="Arial Narrow"/>
                <w:b/>
                <w:sz w:val="20"/>
              </w:rPr>
              <w:t>Year 5 (202</w:t>
            </w:r>
            <w:r>
              <w:rPr>
                <w:rFonts w:ascii="Arial Narrow" w:hAnsi="Arial Narrow"/>
                <w:b/>
                <w:sz w:val="20"/>
              </w:rPr>
              <w:t>2</w:t>
            </w:r>
            <w:r w:rsidRPr="000D0439">
              <w:rPr>
                <w:rFonts w:ascii="Arial Narrow" w:hAnsi="Arial Narrow"/>
                <w:b/>
                <w:sz w:val="20"/>
              </w:rPr>
              <w:t>)</w:t>
            </w:r>
          </w:p>
        </w:tc>
        <w:tc>
          <w:tcPr>
            <w:tcW w:w="580" w:type="pct"/>
            <w:tcBorders>
              <w:top w:val="single" w:sz="4" w:space="0" w:color="auto"/>
              <w:left w:val="single" w:sz="4" w:space="0" w:color="auto"/>
              <w:bottom w:val="single" w:sz="4" w:space="0" w:color="auto"/>
              <w:right w:val="single" w:sz="4" w:space="0" w:color="auto"/>
            </w:tcBorders>
          </w:tcPr>
          <w:p w:rsidR="008F5F59" w:rsidRDefault="008F5F59" w:rsidP="008B4B29">
            <w:pPr>
              <w:keepNext/>
              <w:keepLines/>
              <w:widowControl/>
              <w:jc w:val="center"/>
              <w:rPr>
                <w:rFonts w:ascii="Arial Narrow" w:hAnsi="Arial Narrow"/>
                <w:b/>
                <w:sz w:val="20"/>
              </w:rPr>
            </w:pPr>
            <w:r>
              <w:rPr>
                <w:rFonts w:ascii="Arial Narrow" w:hAnsi="Arial Narrow"/>
                <w:b/>
                <w:sz w:val="20"/>
              </w:rPr>
              <w:t>Year 6</w:t>
            </w:r>
          </w:p>
          <w:p w:rsidR="008F5F59" w:rsidRPr="000D0439" w:rsidRDefault="008F5F59" w:rsidP="008B4B29">
            <w:pPr>
              <w:keepNext/>
              <w:keepLines/>
              <w:widowControl/>
              <w:jc w:val="center"/>
              <w:rPr>
                <w:rFonts w:ascii="Arial Narrow" w:hAnsi="Arial Narrow"/>
                <w:b/>
                <w:sz w:val="20"/>
              </w:rPr>
            </w:pPr>
            <w:r>
              <w:rPr>
                <w:rFonts w:ascii="Arial Narrow" w:hAnsi="Arial Narrow"/>
                <w:b/>
                <w:sz w:val="20"/>
              </w:rPr>
              <w:t>(2023)</w:t>
            </w:r>
          </w:p>
        </w:tc>
      </w:tr>
      <w:tr w:rsidR="008F5F59" w:rsidRPr="000D0439" w:rsidTr="009E698C">
        <w:tc>
          <w:tcPr>
            <w:tcW w:w="1196" w:type="pct"/>
            <w:tcBorders>
              <w:top w:val="single" w:sz="4" w:space="0" w:color="auto"/>
              <w:left w:val="single" w:sz="4" w:space="0" w:color="auto"/>
              <w:bottom w:val="single" w:sz="4" w:space="0" w:color="auto"/>
              <w:right w:val="single" w:sz="4" w:space="0" w:color="auto"/>
            </w:tcBorders>
            <w:vAlign w:val="center"/>
          </w:tcPr>
          <w:p w:rsidR="008F5F59" w:rsidRPr="000D0439" w:rsidRDefault="008F5F59" w:rsidP="008B4B29">
            <w:pPr>
              <w:keepNext/>
              <w:keepLines/>
              <w:widowControl/>
              <w:jc w:val="left"/>
              <w:rPr>
                <w:rFonts w:ascii="Arial Narrow" w:hAnsi="Arial Narrow"/>
                <w:sz w:val="20"/>
              </w:rPr>
            </w:pPr>
            <w:r w:rsidRPr="000D0439">
              <w:rPr>
                <w:rFonts w:ascii="Arial Narrow" w:hAnsi="Arial Narrow"/>
                <w:sz w:val="20"/>
              </w:rPr>
              <w:t>Australian population</w:t>
            </w:r>
          </w:p>
        </w:tc>
        <w:tc>
          <w:tcPr>
            <w:tcW w:w="644" w:type="pct"/>
            <w:tcBorders>
              <w:top w:val="single" w:sz="4" w:space="0" w:color="auto"/>
              <w:left w:val="single" w:sz="4" w:space="0" w:color="auto"/>
              <w:bottom w:val="single" w:sz="4" w:space="0" w:color="auto"/>
              <w:right w:val="single" w:sz="4" w:space="0" w:color="auto"/>
            </w:tcBorders>
            <w:vAlign w:val="center"/>
          </w:tcPr>
          <w:p w:rsidR="008F5F59" w:rsidRPr="007E1059" w:rsidRDefault="008F5F59" w:rsidP="008B4B29">
            <w:pPr>
              <w:keepNext/>
              <w:keepLines/>
              <w:widowControl/>
              <w:jc w:val="center"/>
              <w:rPr>
                <w:rFonts w:ascii="Arial Narrow" w:hAnsi="Arial Narrow"/>
                <w:sz w:val="20"/>
                <w:szCs w:val="20"/>
                <w:highlight w:val="yellow"/>
              </w:rPr>
            </w:pPr>
            <w:r w:rsidRPr="007E1059">
              <w:rPr>
                <w:rFonts w:ascii="Arial Narrow" w:hAnsi="Arial Narrow"/>
                <w:sz w:val="20"/>
                <w:szCs w:val="20"/>
              </w:rPr>
              <w:t>25,201,317</w:t>
            </w:r>
          </w:p>
        </w:tc>
        <w:tc>
          <w:tcPr>
            <w:tcW w:w="645" w:type="pct"/>
            <w:tcBorders>
              <w:top w:val="single" w:sz="4" w:space="0" w:color="auto"/>
              <w:left w:val="single" w:sz="4" w:space="0" w:color="auto"/>
              <w:bottom w:val="single" w:sz="4" w:space="0" w:color="auto"/>
              <w:right w:val="single" w:sz="4" w:space="0" w:color="auto"/>
            </w:tcBorders>
            <w:vAlign w:val="center"/>
          </w:tcPr>
          <w:p w:rsidR="008F5F59" w:rsidRPr="007E1059" w:rsidRDefault="008F5F59" w:rsidP="008B4B29">
            <w:pPr>
              <w:keepNext/>
              <w:keepLines/>
              <w:widowControl/>
              <w:jc w:val="center"/>
              <w:rPr>
                <w:rFonts w:ascii="Arial Narrow" w:hAnsi="Arial Narrow"/>
                <w:sz w:val="20"/>
                <w:szCs w:val="20"/>
                <w:highlight w:val="yellow"/>
              </w:rPr>
            </w:pPr>
            <w:r w:rsidRPr="007E1059">
              <w:rPr>
                <w:rFonts w:ascii="Arial Narrow" w:hAnsi="Arial Narrow"/>
                <w:sz w:val="20"/>
                <w:szCs w:val="20"/>
              </w:rPr>
              <w:t>25,619,895</w:t>
            </w:r>
          </w:p>
        </w:tc>
        <w:tc>
          <w:tcPr>
            <w:tcW w:w="645" w:type="pct"/>
            <w:tcBorders>
              <w:top w:val="single" w:sz="4" w:space="0" w:color="auto"/>
              <w:left w:val="single" w:sz="4" w:space="0" w:color="auto"/>
              <w:bottom w:val="single" w:sz="4" w:space="0" w:color="auto"/>
              <w:right w:val="single" w:sz="4" w:space="0" w:color="auto"/>
            </w:tcBorders>
            <w:vAlign w:val="center"/>
          </w:tcPr>
          <w:p w:rsidR="008F5F59" w:rsidRPr="007E1059" w:rsidRDefault="008F5F59" w:rsidP="008B4B29">
            <w:pPr>
              <w:keepNext/>
              <w:keepLines/>
              <w:widowControl/>
              <w:jc w:val="center"/>
              <w:rPr>
                <w:rFonts w:ascii="Arial Narrow" w:hAnsi="Arial Narrow"/>
                <w:sz w:val="20"/>
                <w:szCs w:val="20"/>
                <w:highlight w:val="yellow"/>
              </w:rPr>
            </w:pPr>
            <w:r w:rsidRPr="007E1059">
              <w:rPr>
                <w:rFonts w:ascii="Arial Narrow" w:hAnsi="Arial Narrow"/>
                <w:sz w:val="20"/>
                <w:szCs w:val="20"/>
              </w:rPr>
              <w:t>26,037,356</w:t>
            </w:r>
          </w:p>
        </w:tc>
        <w:tc>
          <w:tcPr>
            <w:tcW w:w="645" w:type="pct"/>
            <w:tcBorders>
              <w:top w:val="single" w:sz="4" w:space="0" w:color="auto"/>
              <w:left w:val="single" w:sz="4" w:space="0" w:color="auto"/>
              <w:bottom w:val="single" w:sz="4" w:space="0" w:color="auto"/>
              <w:right w:val="single" w:sz="4" w:space="0" w:color="auto"/>
            </w:tcBorders>
            <w:vAlign w:val="center"/>
          </w:tcPr>
          <w:p w:rsidR="008F5F59" w:rsidRPr="007E1059" w:rsidRDefault="008F5F59" w:rsidP="008B4B29">
            <w:pPr>
              <w:keepNext/>
              <w:keepLines/>
              <w:widowControl/>
              <w:jc w:val="center"/>
              <w:rPr>
                <w:rFonts w:ascii="Arial Narrow" w:hAnsi="Arial Narrow"/>
                <w:sz w:val="20"/>
                <w:szCs w:val="20"/>
                <w:highlight w:val="yellow"/>
              </w:rPr>
            </w:pPr>
            <w:r w:rsidRPr="007E1059">
              <w:rPr>
                <w:rFonts w:ascii="Arial Narrow" w:hAnsi="Arial Narrow"/>
                <w:sz w:val="20"/>
                <w:szCs w:val="20"/>
              </w:rPr>
              <w:t>26,452,147</w:t>
            </w:r>
          </w:p>
        </w:tc>
        <w:tc>
          <w:tcPr>
            <w:tcW w:w="645" w:type="pct"/>
            <w:tcBorders>
              <w:top w:val="single" w:sz="4" w:space="0" w:color="auto"/>
              <w:left w:val="single" w:sz="4" w:space="0" w:color="auto"/>
              <w:bottom w:val="single" w:sz="4" w:space="0" w:color="auto"/>
              <w:right w:val="single" w:sz="4" w:space="0" w:color="auto"/>
            </w:tcBorders>
            <w:vAlign w:val="center"/>
          </w:tcPr>
          <w:p w:rsidR="008F5F59" w:rsidRPr="007E1059" w:rsidRDefault="008F5F59" w:rsidP="008B4B29">
            <w:pPr>
              <w:keepNext/>
              <w:keepLines/>
              <w:widowControl/>
              <w:jc w:val="center"/>
              <w:rPr>
                <w:rFonts w:ascii="Arial Narrow" w:hAnsi="Arial Narrow"/>
                <w:sz w:val="20"/>
                <w:szCs w:val="20"/>
                <w:highlight w:val="yellow"/>
              </w:rPr>
            </w:pPr>
            <w:r w:rsidRPr="007E1059">
              <w:rPr>
                <w:rFonts w:ascii="Arial Narrow" w:hAnsi="Arial Narrow"/>
                <w:sz w:val="20"/>
                <w:szCs w:val="20"/>
              </w:rPr>
              <w:t>26,866,209</w:t>
            </w:r>
          </w:p>
        </w:tc>
        <w:tc>
          <w:tcPr>
            <w:tcW w:w="580" w:type="pct"/>
            <w:tcBorders>
              <w:top w:val="single" w:sz="4" w:space="0" w:color="auto"/>
              <w:left w:val="single" w:sz="4" w:space="0" w:color="auto"/>
              <w:bottom w:val="single" w:sz="4" w:space="0" w:color="auto"/>
              <w:right w:val="single" w:sz="4" w:space="0" w:color="auto"/>
            </w:tcBorders>
            <w:vAlign w:val="center"/>
          </w:tcPr>
          <w:p w:rsidR="008F5F59" w:rsidRPr="007E1059" w:rsidRDefault="008F5F59" w:rsidP="008B4B29">
            <w:pPr>
              <w:keepNext/>
              <w:keepLines/>
              <w:widowControl/>
              <w:jc w:val="center"/>
              <w:rPr>
                <w:rFonts w:ascii="Arial Narrow" w:hAnsi="Arial Narrow"/>
                <w:sz w:val="20"/>
                <w:szCs w:val="20"/>
                <w:highlight w:val="yellow"/>
              </w:rPr>
            </w:pPr>
            <w:r w:rsidRPr="007E1059">
              <w:rPr>
                <w:rFonts w:ascii="Arial Narrow" w:hAnsi="Arial Narrow"/>
                <w:sz w:val="20"/>
                <w:szCs w:val="20"/>
              </w:rPr>
              <w:t>27,279,046</w:t>
            </w:r>
          </w:p>
        </w:tc>
      </w:tr>
      <w:tr w:rsidR="008F5F59" w:rsidRPr="000D0439" w:rsidTr="009E698C">
        <w:tc>
          <w:tcPr>
            <w:tcW w:w="1196" w:type="pct"/>
            <w:tcBorders>
              <w:top w:val="single" w:sz="4" w:space="0" w:color="auto"/>
              <w:left w:val="single" w:sz="4" w:space="0" w:color="auto"/>
              <w:bottom w:val="single" w:sz="4" w:space="0" w:color="auto"/>
              <w:right w:val="single" w:sz="4" w:space="0" w:color="auto"/>
            </w:tcBorders>
            <w:vAlign w:val="center"/>
          </w:tcPr>
          <w:p w:rsidR="008F5F59" w:rsidRDefault="008F5F59" w:rsidP="008B4B29">
            <w:pPr>
              <w:keepNext/>
              <w:widowControl/>
              <w:jc w:val="left"/>
              <w:rPr>
                <w:rFonts w:ascii="Arial Narrow" w:hAnsi="Arial Narrow"/>
                <w:sz w:val="20"/>
              </w:rPr>
            </w:pPr>
            <w:r w:rsidRPr="000D0439">
              <w:rPr>
                <w:rFonts w:ascii="Arial Narrow" w:hAnsi="Arial Narrow"/>
                <w:sz w:val="20"/>
              </w:rPr>
              <w:t xml:space="preserve">Prevalent ADPKD </w:t>
            </w:r>
            <w:r>
              <w:rPr>
                <w:rFonts w:ascii="Arial Narrow" w:hAnsi="Arial Narrow"/>
                <w:sz w:val="20"/>
              </w:rPr>
              <w:t>pop’n</w:t>
            </w:r>
          </w:p>
          <w:p w:rsidR="008F5F59" w:rsidRPr="000D0439" w:rsidRDefault="008F5F59" w:rsidP="008B4B29">
            <w:pPr>
              <w:keepNext/>
              <w:widowControl/>
              <w:jc w:val="left"/>
              <w:rPr>
                <w:rFonts w:ascii="Arial Narrow" w:hAnsi="Arial Narrow"/>
                <w:sz w:val="20"/>
              </w:rPr>
            </w:pPr>
            <w:r w:rsidRPr="000D0439">
              <w:rPr>
                <w:rFonts w:ascii="Arial Narrow" w:hAnsi="Arial Narrow"/>
                <w:sz w:val="20"/>
              </w:rPr>
              <w:t>(356</w:t>
            </w:r>
            <w:r>
              <w:rPr>
                <w:rFonts w:ascii="Arial Narrow" w:hAnsi="Arial Narrow"/>
                <w:sz w:val="20"/>
              </w:rPr>
              <w:t xml:space="preserve"> per million</w:t>
            </w:r>
            <w:r w:rsidRPr="000D0439">
              <w:rPr>
                <w:rFonts w:ascii="Arial Narrow" w:hAnsi="Arial Narrow"/>
                <w:sz w:val="20"/>
              </w:rPr>
              <w:t>)</w:t>
            </w:r>
          </w:p>
        </w:tc>
        <w:tc>
          <w:tcPr>
            <w:tcW w:w="644" w:type="pct"/>
            <w:tcBorders>
              <w:top w:val="single" w:sz="4" w:space="0" w:color="auto"/>
              <w:left w:val="single" w:sz="4" w:space="0" w:color="auto"/>
              <w:bottom w:val="single" w:sz="4" w:space="0" w:color="auto"/>
              <w:right w:val="single" w:sz="4" w:space="0" w:color="auto"/>
            </w:tcBorders>
            <w:vAlign w:val="center"/>
          </w:tcPr>
          <w:p w:rsidR="008F5F59" w:rsidRPr="007E1059" w:rsidRDefault="008F5F59" w:rsidP="008B4B29">
            <w:pPr>
              <w:keepNext/>
              <w:keepLines/>
              <w:widowControl/>
              <w:jc w:val="center"/>
              <w:rPr>
                <w:rFonts w:ascii="Arial Narrow" w:hAnsi="Arial Narrow"/>
                <w:sz w:val="20"/>
                <w:szCs w:val="20"/>
              </w:rPr>
            </w:pPr>
            <w:r w:rsidRPr="007E1059">
              <w:rPr>
                <w:rFonts w:ascii="Arial Narrow" w:hAnsi="Arial Narrow"/>
                <w:sz w:val="20"/>
                <w:szCs w:val="20"/>
              </w:rPr>
              <w:t>8,972</w:t>
            </w:r>
          </w:p>
        </w:tc>
        <w:tc>
          <w:tcPr>
            <w:tcW w:w="645" w:type="pct"/>
            <w:tcBorders>
              <w:top w:val="single" w:sz="4" w:space="0" w:color="auto"/>
              <w:left w:val="single" w:sz="4" w:space="0" w:color="auto"/>
              <w:bottom w:val="single" w:sz="4" w:space="0" w:color="auto"/>
              <w:right w:val="single" w:sz="4" w:space="0" w:color="auto"/>
            </w:tcBorders>
            <w:vAlign w:val="center"/>
          </w:tcPr>
          <w:p w:rsidR="008F5F59" w:rsidRPr="007E1059" w:rsidRDefault="008F5F59" w:rsidP="008B4B29">
            <w:pPr>
              <w:keepNext/>
              <w:keepLines/>
              <w:widowControl/>
              <w:jc w:val="center"/>
              <w:rPr>
                <w:rFonts w:ascii="Arial Narrow" w:hAnsi="Arial Narrow"/>
                <w:sz w:val="20"/>
                <w:szCs w:val="20"/>
              </w:rPr>
            </w:pPr>
            <w:r w:rsidRPr="007E1059">
              <w:rPr>
                <w:rFonts w:ascii="Arial Narrow" w:hAnsi="Arial Narrow"/>
                <w:sz w:val="20"/>
                <w:szCs w:val="20"/>
              </w:rPr>
              <w:t>9,121</w:t>
            </w:r>
          </w:p>
        </w:tc>
        <w:tc>
          <w:tcPr>
            <w:tcW w:w="645" w:type="pct"/>
            <w:tcBorders>
              <w:top w:val="single" w:sz="4" w:space="0" w:color="auto"/>
              <w:left w:val="single" w:sz="4" w:space="0" w:color="auto"/>
              <w:bottom w:val="single" w:sz="4" w:space="0" w:color="auto"/>
              <w:right w:val="single" w:sz="4" w:space="0" w:color="auto"/>
            </w:tcBorders>
            <w:vAlign w:val="center"/>
          </w:tcPr>
          <w:p w:rsidR="008F5F59" w:rsidRPr="007E1059" w:rsidRDefault="008F5F59" w:rsidP="008B4B29">
            <w:pPr>
              <w:keepNext/>
              <w:keepLines/>
              <w:widowControl/>
              <w:jc w:val="center"/>
              <w:rPr>
                <w:rFonts w:ascii="Arial Narrow" w:hAnsi="Arial Narrow"/>
                <w:sz w:val="20"/>
                <w:szCs w:val="20"/>
              </w:rPr>
            </w:pPr>
            <w:r w:rsidRPr="007E1059">
              <w:rPr>
                <w:rFonts w:ascii="Arial Narrow" w:hAnsi="Arial Narrow"/>
                <w:sz w:val="20"/>
                <w:szCs w:val="20"/>
              </w:rPr>
              <w:t>9,269</w:t>
            </w:r>
          </w:p>
        </w:tc>
        <w:tc>
          <w:tcPr>
            <w:tcW w:w="645" w:type="pct"/>
            <w:tcBorders>
              <w:top w:val="single" w:sz="4" w:space="0" w:color="auto"/>
              <w:left w:val="single" w:sz="4" w:space="0" w:color="auto"/>
              <w:bottom w:val="single" w:sz="4" w:space="0" w:color="auto"/>
              <w:right w:val="single" w:sz="4" w:space="0" w:color="auto"/>
            </w:tcBorders>
            <w:vAlign w:val="center"/>
          </w:tcPr>
          <w:p w:rsidR="008F5F59" w:rsidRPr="007E1059" w:rsidRDefault="008F5F59" w:rsidP="008B4B29">
            <w:pPr>
              <w:keepNext/>
              <w:keepLines/>
              <w:widowControl/>
              <w:jc w:val="center"/>
              <w:rPr>
                <w:rFonts w:ascii="Arial Narrow" w:hAnsi="Arial Narrow"/>
                <w:sz w:val="20"/>
                <w:szCs w:val="20"/>
              </w:rPr>
            </w:pPr>
            <w:r w:rsidRPr="007E1059">
              <w:rPr>
                <w:rFonts w:ascii="Arial Narrow" w:hAnsi="Arial Narrow"/>
                <w:sz w:val="20"/>
                <w:szCs w:val="20"/>
              </w:rPr>
              <w:t>9,417</w:t>
            </w:r>
          </w:p>
        </w:tc>
        <w:tc>
          <w:tcPr>
            <w:tcW w:w="645" w:type="pct"/>
            <w:tcBorders>
              <w:top w:val="single" w:sz="4" w:space="0" w:color="auto"/>
              <w:left w:val="single" w:sz="4" w:space="0" w:color="auto"/>
              <w:bottom w:val="single" w:sz="4" w:space="0" w:color="auto"/>
              <w:right w:val="single" w:sz="4" w:space="0" w:color="auto"/>
            </w:tcBorders>
            <w:vAlign w:val="center"/>
          </w:tcPr>
          <w:p w:rsidR="008F5F59" w:rsidRPr="007E1059" w:rsidRDefault="008F5F59" w:rsidP="008B4B29">
            <w:pPr>
              <w:keepNext/>
              <w:keepLines/>
              <w:widowControl/>
              <w:jc w:val="center"/>
              <w:rPr>
                <w:rFonts w:ascii="Arial Narrow" w:hAnsi="Arial Narrow"/>
                <w:sz w:val="20"/>
                <w:szCs w:val="20"/>
              </w:rPr>
            </w:pPr>
            <w:r w:rsidRPr="007E1059">
              <w:rPr>
                <w:rFonts w:ascii="Arial Narrow" w:hAnsi="Arial Narrow"/>
                <w:sz w:val="20"/>
                <w:szCs w:val="20"/>
              </w:rPr>
              <w:t>9,564</w:t>
            </w:r>
          </w:p>
        </w:tc>
        <w:tc>
          <w:tcPr>
            <w:tcW w:w="580" w:type="pct"/>
            <w:tcBorders>
              <w:top w:val="single" w:sz="4" w:space="0" w:color="auto"/>
              <w:left w:val="single" w:sz="4" w:space="0" w:color="auto"/>
              <w:bottom w:val="single" w:sz="4" w:space="0" w:color="auto"/>
              <w:right w:val="single" w:sz="4" w:space="0" w:color="auto"/>
            </w:tcBorders>
            <w:vAlign w:val="center"/>
          </w:tcPr>
          <w:p w:rsidR="008F5F59" w:rsidRPr="007E1059" w:rsidRDefault="008F5F59" w:rsidP="008B4B29">
            <w:pPr>
              <w:keepNext/>
              <w:keepLines/>
              <w:widowControl/>
              <w:jc w:val="center"/>
              <w:rPr>
                <w:rFonts w:ascii="Arial Narrow" w:hAnsi="Arial Narrow"/>
                <w:sz w:val="20"/>
                <w:szCs w:val="20"/>
              </w:rPr>
            </w:pPr>
            <w:r w:rsidRPr="007E1059">
              <w:rPr>
                <w:rFonts w:ascii="Arial Narrow" w:hAnsi="Arial Narrow"/>
                <w:sz w:val="20"/>
                <w:szCs w:val="20"/>
              </w:rPr>
              <w:t>9,711</w:t>
            </w:r>
          </w:p>
        </w:tc>
      </w:tr>
      <w:tr w:rsidR="008F5F59" w:rsidRPr="000D0439" w:rsidTr="009E698C">
        <w:tc>
          <w:tcPr>
            <w:tcW w:w="1196" w:type="pct"/>
            <w:tcBorders>
              <w:top w:val="single" w:sz="4" w:space="0" w:color="auto"/>
              <w:left w:val="single" w:sz="4" w:space="0" w:color="auto"/>
              <w:bottom w:val="single" w:sz="4" w:space="0" w:color="auto"/>
              <w:right w:val="single" w:sz="4" w:space="0" w:color="auto"/>
            </w:tcBorders>
            <w:vAlign w:val="center"/>
          </w:tcPr>
          <w:p w:rsidR="008F5F59" w:rsidRPr="000D0439" w:rsidRDefault="008F5F59" w:rsidP="008B4B29">
            <w:pPr>
              <w:keepNext/>
              <w:widowControl/>
              <w:jc w:val="left"/>
              <w:rPr>
                <w:rFonts w:ascii="Arial Narrow" w:hAnsi="Arial Narrow"/>
                <w:sz w:val="20"/>
              </w:rPr>
            </w:pPr>
            <w:r>
              <w:rPr>
                <w:rFonts w:ascii="Arial Narrow" w:hAnsi="Arial Narrow"/>
                <w:sz w:val="20"/>
              </w:rPr>
              <w:t>Patients meeting PBS criteria (</w:t>
            </w:r>
            <w:r w:rsidR="00A00758">
              <w:rPr>
                <w:rFonts w:ascii="Arial Narrow" w:hAnsi="Arial Narrow"/>
                <w:noProof/>
                <w:color w:val="000000"/>
                <w:sz w:val="20"/>
                <w:highlight w:val="black"/>
              </w:rPr>
              <w:t>'''''''''''</w:t>
            </w:r>
            <w:r>
              <w:rPr>
                <w:rFonts w:ascii="Arial Narrow" w:hAnsi="Arial Narrow"/>
                <w:sz w:val="20"/>
              </w:rPr>
              <w:t>%)</w:t>
            </w:r>
          </w:p>
        </w:tc>
        <w:tc>
          <w:tcPr>
            <w:tcW w:w="644" w:type="pct"/>
            <w:tcBorders>
              <w:top w:val="single" w:sz="4" w:space="0" w:color="auto"/>
              <w:left w:val="single" w:sz="4" w:space="0" w:color="auto"/>
              <w:bottom w:val="single" w:sz="4" w:space="0" w:color="auto"/>
              <w:right w:val="single" w:sz="4" w:space="0" w:color="auto"/>
            </w:tcBorders>
            <w:vAlign w:val="center"/>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 xml:space="preserve"> '''''''''''''</w:t>
            </w:r>
          </w:p>
        </w:tc>
        <w:tc>
          <w:tcPr>
            <w:tcW w:w="645" w:type="pct"/>
            <w:tcBorders>
              <w:top w:val="single" w:sz="4" w:space="0" w:color="auto"/>
              <w:left w:val="single" w:sz="4" w:space="0" w:color="auto"/>
              <w:bottom w:val="single" w:sz="4" w:space="0" w:color="auto"/>
              <w:right w:val="single" w:sz="4" w:space="0" w:color="auto"/>
            </w:tcBorders>
            <w:vAlign w:val="center"/>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45" w:type="pct"/>
            <w:tcBorders>
              <w:top w:val="single" w:sz="4" w:space="0" w:color="auto"/>
              <w:left w:val="single" w:sz="4" w:space="0" w:color="auto"/>
              <w:bottom w:val="single" w:sz="4" w:space="0" w:color="auto"/>
              <w:right w:val="single" w:sz="4" w:space="0" w:color="auto"/>
            </w:tcBorders>
            <w:vAlign w:val="center"/>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45" w:type="pct"/>
            <w:tcBorders>
              <w:top w:val="single" w:sz="4" w:space="0" w:color="auto"/>
              <w:left w:val="single" w:sz="4" w:space="0" w:color="auto"/>
              <w:bottom w:val="single" w:sz="4" w:space="0" w:color="auto"/>
              <w:right w:val="single" w:sz="4" w:space="0" w:color="auto"/>
            </w:tcBorders>
            <w:vAlign w:val="center"/>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45" w:type="pct"/>
            <w:tcBorders>
              <w:top w:val="single" w:sz="4" w:space="0" w:color="auto"/>
              <w:left w:val="single" w:sz="4" w:space="0" w:color="auto"/>
              <w:bottom w:val="single" w:sz="4" w:space="0" w:color="auto"/>
              <w:right w:val="single" w:sz="4" w:space="0" w:color="auto"/>
            </w:tcBorders>
            <w:vAlign w:val="center"/>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580" w:type="pct"/>
            <w:tcBorders>
              <w:top w:val="single" w:sz="4" w:space="0" w:color="auto"/>
              <w:left w:val="single" w:sz="4" w:space="0" w:color="auto"/>
              <w:bottom w:val="single" w:sz="4" w:space="0" w:color="auto"/>
              <w:right w:val="single" w:sz="4" w:space="0" w:color="auto"/>
            </w:tcBorders>
            <w:vAlign w:val="center"/>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w:t>
            </w:r>
          </w:p>
        </w:tc>
      </w:tr>
      <w:tr w:rsidR="008F5F59" w:rsidRPr="000D0439" w:rsidTr="009E698C">
        <w:tc>
          <w:tcPr>
            <w:tcW w:w="1196" w:type="pct"/>
            <w:tcBorders>
              <w:top w:val="single" w:sz="4" w:space="0" w:color="auto"/>
              <w:left w:val="single" w:sz="4" w:space="0" w:color="auto"/>
              <w:bottom w:val="single" w:sz="4" w:space="0" w:color="auto"/>
              <w:right w:val="single" w:sz="4" w:space="0" w:color="auto"/>
            </w:tcBorders>
            <w:vAlign w:val="center"/>
          </w:tcPr>
          <w:p w:rsidR="008F5F59" w:rsidRPr="000D0439" w:rsidRDefault="008F5F59" w:rsidP="008B4B29">
            <w:pPr>
              <w:keepNext/>
              <w:widowControl/>
              <w:jc w:val="left"/>
              <w:rPr>
                <w:rFonts w:ascii="Arial Narrow" w:hAnsi="Arial Narrow"/>
                <w:sz w:val="20"/>
              </w:rPr>
            </w:pPr>
            <w:r w:rsidRPr="000D0439">
              <w:rPr>
                <w:rFonts w:ascii="Arial Narrow" w:hAnsi="Arial Narrow"/>
                <w:sz w:val="20"/>
              </w:rPr>
              <w:t>Tolvaptan estimated initiation rates</w:t>
            </w:r>
          </w:p>
        </w:tc>
        <w:tc>
          <w:tcPr>
            <w:tcW w:w="644" w:type="pct"/>
            <w:tcBorders>
              <w:top w:val="single" w:sz="4" w:space="0" w:color="auto"/>
              <w:left w:val="single" w:sz="4" w:space="0" w:color="auto"/>
              <w:bottom w:val="single" w:sz="4" w:space="0" w:color="auto"/>
              <w:right w:val="single" w:sz="4" w:space="0" w:color="auto"/>
            </w:tcBorders>
            <w:vAlign w:val="center"/>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45" w:type="pct"/>
            <w:tcBorders>
              <w:top w:val="single" w:sz="4" w:space="0" w:color="auto"/>
              <w:left w:val="single" w:sz="4" w:space="0" w:color="auto"/>
              <w:bottom w:val="single" w:sz="4" w:space="0" w:color="auto"/>
              <w:right w:val="single" w:sz="4" w:space="0" w:color="auto"/>
            </w:tcBorders>
            <w:vAlign w:val="center"/>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45" w:type="pct"/>
            <w:tcBorders>
              <w:top w:val="single" w:sz="4" w:space="0" w:color="auto"/>
              <w:left w:val="single" w:sz="4" w:space="0" w:color="auto"/>
              <w:bottom w:val="single" w:sz="4" w:space="0" w:color="auto"/>
              <w:right w:val="single" w:sz="4" w:space="0" w:color="auto"/>
            </w:tcBorders>
            <w:vAlign w:val="center"/>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45" w:type="pct"/>
            <w:tcBorders>
              <w:top w:val="single" w:sz="4" w:space="0" w:color="auto"/>
              <w:left w:val="single" w:sz="4" w:space="0" w:color="auto"/>
              <w:bottom w:val="single" w:sz="4" w:space="0" w:color="auto"/>
              <w:right w:val="single" w:sz="4" w:space="0" w:color="auto"/>
            </w:tcBorders>
            <w:vAlign w:val="center"/>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45" w:type="pct"/>
            <w:tcBorders>
              <w:top w:val="single" w:sz="4" w:space="0" w:color="auto"/>
              <w:left w:val="single" w:sz="4" w:space="0" w:color="auto"/>
              <w:bottom w:val="single" w:sz="4" w:space="0" w:color="auto"/>
              <w:right w:val="single" w:sz="4" w:space="0" w:color="auto"/>
            </w:tcBorders>
            <w:vAlign w:val="center"/>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580" w:type="pct"/>
            <w:tcBorders>
              <w:top w:val="single" w:sz="4" w:space="0" w:color="auto"/>
              <w:left w:val="single" w:sz="4" w:space="0" w:color="auto"/>
              <w:bottom w:val="single" w:sz="4" w:space="0" w:color="auto"/>
              <w:right w:val="single" w:sz="4" w:space="0" w:color="auto"/>
            </w:tcBorders>
            <w:vAlign w:val="center"/>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w:t>
            </w:r>
          </w:p>
        </w:tc>
      </w:tr>
      <w:tr w:rsidR="008F5F59" w:rsidRPr="000D0439" w:rsidTr="009E698C">
        <w:tc>
          <w:tcPr>
            <w:tcW w:w="1196" w:type="pct"/>
            <w:tcBorders>
              <w:top w:val="single" w:sz="4" w:space="0" w:color="auto"/>
              <w:left w:val="single" w:sz="4" w:space="0" w:color="auto"/>
              <w:bottom w:val="single" w:sz="4" w:space="0" w:color="auto"/>
              <w:right w:val="single" w:sz="4" w:space="0" w:color="auto"/>
            </w:tcBorders>
            <w:vAlign w:val="center"/>
          </w:tcPr>
          <w:p w:rsidR="008F5F59" w:rsidRPr="000D0439" w:rsidRDefault="008F5F59" w:rsidP="008B4B29">
            <w:pPr>
              <w:keepNext/>
              <w:widowControl/>
              <w:jc w:val="left"/>
              <w:rPr>
                <w:rFonts w:ascii="Arial Narrow" w:hAnsi="Arial Narrow"/>
                <w:sz w:val="20"/>
              </w:rPr>
            </w:pPr>
            <w:r w:rsidRPr="000D0439">
              <w:rPr>
                <w:rFonts w:ascii="Arial Narrow" w:hAnsi="Arial Narrow"/>
                <w:sz w:val="20"/>
              </w:rPr>
              <w:t xml:space="preserve">Patients initiating treatment </w:t>
            </w:r>
          </w:p>
        </w:tc>
        <w:tc>
          <w:tcPr>
            <w:tcW w:w="644" w:type="pct"/>
            <w:tcBorders>
              <w:top w:val="single" w:sz="4" w:space="0" w:color="auto"/>
              <w:left w:val="single" w:sz="4" w:space="0" w:color="auto"/>
              <w:bottom w:val="single" w:sz="4" w:space="0" w:color="auto"/>
              <w:right w:val="single" w:sz="4" w:space="0" w:color="auto"/>
            </w:tcBorders>
            <w:vAlign w:val="center"/>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45" w:type="pct"/>
            <w:tcBorders>
              <w:top w:val="single" w:sz="4" w:space="0" w:color="auto"/>
              <w:left w:val="single" w:sz="4" w:space="0" w:color="auto"/>
              <w:bottom w:val="single" w:sz="4" w:space="0" w:color="auto"/>
              <w:right w:val="single" w:sz="4" w:space="0" w:color="auto"/>
            </w:tcBorders>
            <w:vAlign w:val="center"/>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45" w:type="pct"/>
            <w:tcBorders>
              <w:top w:val="single" w:sz="4" w:space="0" w:color="auto"/>
              <w:left w:val="single" w:sz="4" w:space="0" w:color="auto"/>
              <w:bottom w:val="single" w:sz="4" w:space="0" w:color="auto"/>
              <w:right w:val="single" w:sz="4" w:space="0" w:color="auto"/>
            </w:tcBorders>
            <w:vAlign w:val="center"/>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45" w:type="pct"/>
            <w:tcBorders>
              <w:top w:val="single" w:sz="4" w:space="0" w:color="auto"/>
              <w:left w:val="single" w:sz="4" w:space="0" w:color="auto"/>
              <w:bottom w:val="single" w:sz="4" w:space="0" w:color="auto"/>
              <w:right w:val="single" w:sz="4" w:space="0" w:color="auto"/>
            </w:tcBorders>
            <w:vAlign w:val="center"/>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45" w:type="pct"/>
            <w:tcBorders>
              <w:top w:val="single" w:sz="4" w:space="0" w:color="auto"/>
              <w:left w:val="single" w:sz="4" w:space="0" w:color="auto"/>
              <w:bottom w:val="single" w:sz="4" w:space="0" w:color="auto"/>
              <w:right w:val="single" w:sz="4" w:space="0" w:color="auto"/>
            </w:tcBorders>
            <w:vAlign w:val="center"/>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580" w:type="pct"/>
            <w:tcBorders>
              <w:top w:val="single" w:sz="4" w:space="0" w:color="auto"/>
              <w:left w:val="single" w:sz="4" w:space="0" w:color="auto"/>
              <w:bottom w:val="single" w:sz="4" w:space="0" w:color="auto"/>
              <w:right w:val="single" w:sz="4" w:space="0" w:color="auto"/>
            </w:tcBorders>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w:t>
            </w:r>
          </w:p>
        </w:tc>
      </w:tr>
      <w:tr w:rsidR="008F5F59" w:rsidRPr="000D0439" w:rsidTr="009E69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96" w:type="pct"/>
            <w:tcBorders>
              <w:top w:val="single" w:sz="4" w:space="0" w:color="auto"/>
              <w:left w:val="single" w:sz="4" w:space="0" w:color="auto"/>
              <w:bottom w:val="single" w:sz="4" w:space="0" w:color="auto"/>
              <w:right w:val="single" w:sz="4" w:space="0" w:color="auto"/>
            </w:tcBorders>
            <w:vAlign w:val="center"/>
          </w:tcPr>
          <w:p w:rsidR="008F5F59" w:rsidRPr="000D0439" w:rsidRDefault="008F5F59" w:rsidP="008B4B29">
            <w:pPr>
              <w:keepNext/>
              <w:widowControl/>
              <w:jc w:val="left"/>
              <w:rPr>
                <w:rFonts w:ascii="Arial Narrow" w:hAnsi="Arial Narrow"/>
                <w:sz w:val="20"/>
              </w:rPr>
            </w:pPr>
            <w:r>
              <w:rPr>
                <w:rFonts w:ascii="Arial Narrow" w:hAnsi="Arial Narrow"/>
                <w:sz w:val="20"/>
              </w:rPr>
              <w:t>Treatment persistence for each year of therapy</w:t>
            </w:r>
          </w:p>
        </w:tc>
        <w:tc>
          <w:tcPr>
            <w:tcW w:w="644" w:type="pct"/>
            <w:tcBorders>
              <w:top w:val="single" w:sz="4" w:space="0" w:color="auto"/>
              <w:left w:val="single" w:sz="4" w:space="0" w:color="auto"/>
              <w:bottom w:val="single" w:sz="4" w:space="0" w:color="auto"/>
              <w:right w:val="single" w:sz="4" w:space="0" w:color="auto"/>
            </w:tcBorders>
            <w:vAlign w:val="center"/>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45" w:type="pct"/>
            <w:tcBorders>
              <w:top w:val="single" w:sz="4" w:space="0" w:color="auto"/>
              <w:left w:val="single" w:sz="4" w:space="0" w:color="auto"/>
              <w:bottom w:val="single" w:sz="4" w:space="0" w:color="auto"/>
              <w:right w:val="single" w:sz="4" w:space="0" w:color="auto"/>
            </w:tcBorders>
            <w:vAlign w:val="center"/>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45" w:type="pct"/>
            <w:tcBorders>
              <w:top w:val="single" w:sz="4" w:space="0" w:color="auto"/>
              <w:left w:val="single" w:sz="4" w:space="0" w:color="auto"/>
              <w:bottom w:val="single" w:sz="4" w:space="0" w:color="auto"/>
              <w:right w:val="single" w:sz="4" w:space="0" w:color="auto"/>
            </w:tcBorders>
            <w:vAlign w:val="center"/>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45" w:type="pct"/>
            <w:tcBorders>
              <w:top w:val="single" w:sz="4" w:space="0" w:color="auto"/>
              <w:left w:val="single" w:sz="4" w:space="0" w:color="auto"/>
              <w:bottom w:val="single" w:sz="4" w:space="0" w:color="auto"/>
              <w:right w:val="single" w:sz="4" w:space="0" w:color="auto"/>
            </w:tcBorders>
            <w:vAlign w:val="center"/>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45" w:type="pct"/>
            <w:tcBorders>
              <w:top w:val="single" w:sz="4" w:space="0" w:color="auto"/>
              <w:left w:val="single" w:sz="4" w:space="0" w:color="auto"/>
              <w:bottom w:val="single" w:sz="4" w:space="0" w:color="auto"/>
              <w:right w:val="single" w:sz="4" w:space="0" w:color="auto"/>
            </w:tcBorders>
            <w:vAlign w:val="center"/>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580" w:type="pct"/>
            <w:tcBorders>
              <w:top w:val="single" w:sz="4" w:space="0" w:color="auto"/>
              <w:left w:val="single" w:sz="4" w:space="0" w:color="auto"/>
              <w:bottom w:val="single" w:sz="4" w:space="0" w:color="auto"/>
              <w:right w:val="single" w:sz="4" w:space="0" w:color="auto"/>
            </w:tcBorders>
            <w:vAlign w:val="center"/>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w:t>
            </w:r>
          </w:p>
        </w:tc>
      </w:tr>
      <w:tr w:rsidR="008F5F59" w:rsidRPr="000D0439" w:rsidTr="009E698C">
        <w:tc>
          <w:tcPr>
            <w:tcW w:w="5000" w:type="pct"/>
            <w:gridSpan w:val="7"/>
            <w:tcBorders>
              <w:top w:val="single" w:sz="4" w:space="0" w:color="auto"/>
              <w:left w:val="single" w:sz="4" w:space="0" w:color="auto"/>
              <w:bottom w:val="single" w:sz="4" w:space="0" w:color="auto"/>
              <w:right w:val="single" w:sz="4" w:space="0" w:color="auto"/>
            </w:tcBorders>
            <w:vAlign w:val="center"/>
          </w:tcPr>
          <w:p w:rsidR="008F5F59" w:rsidRPr="00AB3EF6" w:rsidRDefault="008F5F59" w:rsidP="008B4B29">
            <w:pPr>
              <w:keepNext/>
              <w:widowControl/>
              <w:jc w:val="left"/>
              <w:rPr>
                <w:rFonts w:ascii="Arial Narrow" w:hAnsi="Arial Narrow"/>
                <w:sz w:val="20"/>
              </w:rPr>
            </w:pPr>
            <w:r w:rsidRPr="00AB3EF6">
              <w:rPr>
                <w:rFonts w:ascii="Arial Narrow" w:hAnsi="Arial Narrow"/>
                <w:sz w:val="20"/>
              </w:rPr>
              <w:t>Number of patients remaining on tolvaptan at the beginning of each year among those initiated in:</w:t>
            </w:r>
          </w:p>
        </w:tc>
      </w:tr>
      <w:tr w:rsidR="008F5F59" w:rsidRPr="000D0439" w:rsidTr="009E698C">
        <w:tc>
          <w:tcPr>
            <w:tcW w:w="1196" w:type="pct"/>
            <w:tcBorders>
              <w:top w:val="single" w:sz="4" w:space="0" w:color="auto"/>
              <w:left w:val="single" w:sz="4" w:space="0" w:color="auto"/>
              <w:bottom w:val="single" w:sz="4" w:space="0" w:color="auto"/>
              <w:right w:val="single" w:sz="4" w:space="0" w:color="auto"/>
            </w:tcBorders>
            <w:vAlign w:val="center"/>
          </w:tcPr>
          <w:p w:rsidR="008F5F59" w:rsidRDefault="008F5F59" w:rsidP="008B4B29">
            <w:pPr>
              <w:keepNext/>
              <w:widowControl/>
              <w:jc w:val="left"/>
              <w:rPr>
                <w:rFonts w:ascii="Arial Narrow" w:hAnsi="Arial Narrow"/>
                <w:sz w:val="20"/>
              </w:rPr>
            </w:pPr>
            <w:r>
              <w:rPr>
                <w:rFonts w:ascii="Arial Narrow" w:hAnsi="Arial Narrow"/>
                <w:sz w:val="20"/>
              </w:rPr>
              <w:t>Year 1</w:t>
            </w:r>
          </w:p>
        </w:tc>
        <w:tc>
          <w:tcPr>
            <w:tcW w:w="644" w:type="pct"/>
            <w:tcBorders>
              <w:top w:val="single" w:sz="4" w:space="0" w:color="auto"/>
              <w:left w:val="single" w:sz="4" w:space="0" w:color="auto"/>
              <w:bottom w:val="single" w:sz="4" w:space="0" w:color="auto"/>
              <w:right w:val="single" w:sz="4" w:space="0" w:color="auto"/>
            </w:tcBorders>
            <w:vAlign w:val="center"/>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45" w:type="pct"/>
            <w:tcBorders>
              <w:top w:val="single" w:sz="4" w:space="0" w:color="auto"/>
              <w:left w:val="single" w:sz="4" w:space="0" w:color="auto"/>
              <w:bottom w:val="single" w:sz="4" w:space="0" w:color="auto"/>
              <w:right w:val="single" w:sz="4" w:space="0" w:color="auto"/>
            </w:tcBorders>
            <w:vAlign w:val="center"/>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45" w:type="pct"/>
            <w:tcBorders>
              <w:top w:val="single" w:sz="4" w:space="0" w:color="auto"/>
              <w:left w:val="single" w:sz="4" w:space="0" w:color="auto"/>
              <w:bottom w:val="single" w:sz="4" w:space="0" w:color="auto"/>
              <w:right w:val="single" w:sz="4" w:space="0" w:color="auto"/>
            </w:tcBorders>
            <w:vAlign w:val="center"/>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45" w:type="pct"/>
            <w:tcBorders>
              <w:top w:val="single" w:sz="4" w:space="0" w:color="auto"/>
              <w:left w:val="single" w:sz="4" w:space="0" w:color="auto"/>
              <w:bottom w:val="single" w:sz="4" w:space="0" w:color="auto"/>
              <w:right w:val="single" w:sz="4" w:space="0" w:color="auto"/>
            </w:tcBorders>
            <w:vAlign w:val="center"/>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45" w:type="pct"/>
            <w:tcBorders>
              <w:top w:val="single" w:sz="4" w:space="0" w:color="auto"/>
              <w:left w:val="single" w:sz="4" w:space="0" w:color="auto"/>
              <w:bottom w:val="single" w:sz="4" w:space="0" w:color="auto"/>
              <w:right w:val="single" w:sz="4" w:space="0" w:color="auto"/>
            </w:tcBorders>
            <w:vAlign w:val="center"/>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580" w:type="pct"/>
            <w:tcBorders>
              <w:top w:val="single" w:sz="4" w:space="0" w:color="auto"/>
              <w:left w:val="single" w:sz="4" w:space="0" w:color="auto"/>
              <w:bottom w:val="single" w:sz="4" w:space="0" w:color="auto"/>
              <w:right w:val="single" w:sz="4" w:space="0" w:color="auto"/>
            </w:tcBorders>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w:t>
            </w:r>
          </w:p>
        </w:tc>
      </w:tr>
      <w:tr w:rsidR="008F5F59" w:rsidRPr="000D0439" w:rsidTr="009E698C">
        <w:tc>
          <w:tcPr>
            <w:tcW w:w="1196" w:type="pct"/>
            <w:tcBorders>
              <w:top w:val="single" w:sz="4" w:space="0" w:color="auto"/>
              <w:left w:val="single" w:sz="4" w:space="0" w:color="auto"/>
              <w:bottom w:val="single" w:sz="4" w:space="0" w:color="auto"/>
              <w:right w:val="single" w:sz="4" w:space="0" w:color="auto"/>
            </w:tcBorders>
            <w:vAlign w:val="center"/>
          </w:tcPr>
          <w:p w:rsidR="008F5F59" w:rsidRPr="000D0439" w:rsidRDefault="008F5F59" w:rsidP="008B4B29">
            <w:pPr>
              <w:keepNext/>
              <w:widowControl/>
              <w:jc w:val="left"/>
              <w:rPr>
                <w:rFonts w:ascii="Arial Narrow" w:hAnsi="Arial Narrow"/>
                <w:sz w:val="20"/>
              </w:rPr>
            </w:pPr>
            <w:r>
              <w:rPr>
                <w:rFonts w:ascii="Arial Narrow" w:hAnsi="Arial Narrow"/>
                <w:sz w:val="20"/>
              </w:rPr>
              <w:t>Year 2</w:t>
            </w:r>
          </w:p>
        </w:tc>
        <w:tc>
          <w:tcPr>
            <w:tcW w:w="644" w:type="pct"/>
            <w:tcBorders>
              <w:top w:val="single" w:sz="4" w:space="0" w:color="auto"/>
              <w:left w:val="single" w:sz="4" w:space="0" w:color="auto"/>
              <w:bottom w:val="single" w:sz="4" w:space="0" w:color="auto"/>
              <w:right w:val="single" w:sz="4" w:space="0" w:color="auto"/>
            </w:tcBorders>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 xml:space="preserve"> ''' </w:t>
            </w:r>
          </w:p>
        </w:tc>
        <w:tc>
          <w:tcPr>
            <w:tcW w:w="645" w:type="pct"/>
            <w:tcBorders>
              <w:top w:val="single" w:sz="4" w:space="0" w:color="auto"/>
              <w:left w:val="single" w:sz="4" w:space="0" w:color="auto"/>
              <w:bottom w:val="single" w:sz="4" w:space="0" w:color="auto"/>
              <w:right w:val="single" w:sz="4" w:space="0" w:color="auto"/>
            </w:tcBorders>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 xml:space="preserve"> ''''''''' </w:t>
            </w:r>
          </w:p>
        </w:tc>
        <w:tc>
          <w:tcPr>
            <w:tcW w:w="645" w:type="pct"/>
            <w:tcBorders>
              <w:top w:val="single" w:sz="4" w:space="0" w:color="auto"/>
              <w:left w:val="single" w:sz="4" w:space="0" w:color="auto"/>
              <w:bottom w:val="single" w:sz="4" w:space="0" w:color="auto"/>
              <w:right w:val="single" w:sz="4" w:space="0" w:color="auto"/>
            </w:tcBorders>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 xml:space="preserve"> '''''''''' </w:t>
            </w:r>
          </w:p>
        </w:tc>
        <w:tc>
          <w:tcPr>
            <w:tcW w:w="645" w:type="pct"/>
            <w:tcBorders>
              <w:top w:val="single" w:sz="4" w:space="0" w:color="auto"/>
              <w:left w:val="single" w:sz="4" w:space="0" w:color="auto"/>
              <w:bottom w:val="single" w:sz="4" w:space="0" w:color="auto"/>
              <w:right w:val="single" w:sz="4" w:space="0" w:color="auto"/>
            </w:tcBorders>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 xml:space="preserve"> ''''''''' </w:t>
            </w:r>
          </w:p>
        </w:tc>
        <w:tc>
          <w:tcPr>
            <w:tcW w:w="645" w:type="pct"/>
            <w:tcBorders>
              <w:top w:val="single" w:sz="4" w:space="0" w:color="auto"/>
              <w:left w:val="single" w:sz="4" w:space="0" w:color="auto"/>
              <w:bottom w:val="single" w:sz="4" w:space="0" w:color="auto"/>
              <w:right w:val="single" w:sz="4" w:space="0" w:color="auto"/>
            </w:tcBorders>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 xml:space="preserve"> ''''''''' </w:t>
            </w:r>
          </w:p>
        </w:tc>
        <w:tc>
          <w:tcPr>
            <w:tcW w:w="580" w:type="pct"/>
            <w:tcBorders>
              <w:top w:val="single" w:sz="4" w:space="0" w:color="auto"/>
              <w:left w:val="single" w:sz="4" w:space="0" w:color="auto"/>
              <w:bottom w:val="single" w:sz="4" w:space="0" w:color="auto"/>
              <w:right w:val="single" w:sz="4" w:space="0" w:color="auto"/>
            </w:tcBorders>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 xml:space="preserve"> '''''' </w:t>
            </w:r>
          </w:p>
        </w:tc>
      </w:tr>
      <w:tr w:rsidR="008F5F59" w:rsidRPr="000D0439" w:rsidTr="009E698C">
        <w:tc>
          <w:tcPr>
            <w:tcW w:w="1196" w:type="pct"/>
            <w:tcBorders>
              <w:top w:val="single" w:sz="4" w:space="0" w:color="auto"/>
              <w:left w:val="single" w:sz="4" w:space="0" w:color="auto"/>
              <w:bottom w:val="single" w:sz="4" w:space="0" w:color="auto"/>
              <w:right w:val="single" w:sz="4" w:space="0" w:color="auto"/>
            </w:tcBorders>
            <w:vAlign w:val="center"/>
          </w:tcPr>
          <w:p w:rsidR="008F5F59" w:rsidRPr="000D0439" w:rsidRDefault="008F5F59" w:rsidP="008B4B29">
            <w:pPr>
              <w:keepNext/>
              <w:widowControl/>
              <w:jc w:val="left"/>
              <w:rPr>
                <w:rFonts w:ascii="Arial Narrow" w:hAnsi="Arial Narrow"/>
                <w:sz w:val="20"/>
              </w:rPr>
            </w:pPr>
            <w:r>
              <w:rPr>
                <w:rFonts w:ascii="Arial Narrow" w:hAnsi="Arial Narrow"/>
                <w:sz w:val="20"/>
              </w:rPr>
              <w:t>Year 3</w:t>
            </w:r>
          </w:p>
        </w:tc>
        <w:tc>
          <w:tcPr>
            <w:tcW w:w="644" w:type="pct"/>
            <w:tcBorders>
              <w:top w:val="single" w:sz="4" w:space="0" w:color="auto"/>
              <w:left w:val="single" w:sz="4" w:space="0" w:color="auto"/>
              <w:bottom w:val="single" w:sz="4" w:space="0" w:color="auto"/>
              <w:right w:val="single" w:sz="4" w:space="0" w:color="auto"/>
            </w:tcBorders>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 xml:space="preserve"> ''' </w:t>
            </w:r>
          </w:p>
        </w:tc>
        <w:tc>
          <w:tcPr>
            <w:tcW w:w="645" w:type="pct"/>
            <w:tcBorders>
              <w:top w:val="single" w:sz="4" w:space="0" w:color="auto"/>
              <w:left w:val="single" w:sz="4" w:space="0" w:color="auto"/>
              <w:bottom w:val="single" w:sz="4" w:space="0" w:color="auto"/>
              <w:right w:val="single" w:sz="4" w:space="0" w:color="auto"/>
            </w:tcBorders>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 xml:space="preserve"> '' </w:t>
            </w:r>
          </w:p>
        </w:tc>
        <w:tc>
          <w:tcPr>
            <w:tcW w:w="645" w:type="pct"/>
            <w:tcBorders>
              <w:top w:val="single" w:sz="4" w:space="0" w:color="auto"/>
              <w:left w:val="single" w:sz="4" w:space="0" w:color="auto"/>
              <w:bottom w:val="single" w:sz="4" w:space="0" w:color="auto"/>
              <w:right w:val="single" w:sz="4" w:space="0" w:color="auto"/>
            </w:tcBorders>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 xml:space="preserve"> ''''''''' </w:t>
            </w:r>
          </w:p>
        </w:tc>
        <w:tc>
          <w:tcPr>
            <w:tcW w:w="645" w:type="pct"/>
            <w:tcBorders>
              <w:top w:val="single" w:sz="4" w:space="0" w:color="auto"/>
              <w:left w:val="single" w:sz="4" w:space="0" w:color="auto"/>
              <w:bottom w:val="single" w:sz="4" w:space="0" w:color="auto"/>
              <w:right w:val="single" w:sz="4" w:space="0" w:color="auto"/>
            </w:tcBorders>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 xml:space="preserve"> ''''''''' </w:t>
            </w:r>
          </w:p>
        </w:tc>
        <w:tc>
          <w:tcPr>
            <w:tcW w:w="645" w:type="pct"/>
            <w:tcBorders>
              <w:top w:val="single" w:sz="4" w:space="0" w:color="auto"/>
              <w:left w:val="single" w:sz="4" w:space="0" w:color="auto"/>
              <w:bottom w:val="single" w:sz="4" w:space="0" w:color="auto"/>
              <w:right w:val="single" w:sz="4" w:space="0" w:color="auto"/>
            </w:tcBorders>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 xml:space="preserve"> '''''''''' </w:t>
            </w:r>
          </w:p>
        </w:tc>
        <w:tc>
          <w:tcPr>
            <w:tcW w:w="580" w:type="pct"/>
            <w:tcBorders>
              <w:top w:val="single" w:sz="4" w:space="0" w:color="auto"/>
              <w:left w:val="single" w:sz="4" w:space="0" w:color="auto"/>
              <w:bottom w:val="single" w:sz="4" w:space="0" w:color="auto"/>
              <w:right w:val="single" w:sz="4" w:space="0" w:color="auto"/>
            </w:tcBorders>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 xml:space="preserve"> '''''''''' </w:t>
            </w:r>
          </w:p>
        </w:tc>
      </w:tr>
      <w:tr w:rsidR="008F5F59" w:rsidRPr="000D0439" w:rsidTr="009E698C">
        <w:tc>
          <w:tcPr>
            <w:tcW w:w="1196" w:type="pct"/>
            <w:tcBorders>
              <w:top w:val="single" w:sz="4" w:space="0" w:color="auto"/>
              <w:left w:val="single" w:sz="4" w:space="0" w:color="auto"/>
              <w:bottom w:val="single" w:sz="4" w:space="0" w:color="auto"/>
              <w:right w:val="single" w:sz="4" w:space="0" w:color="auto"/>
            </w:tcBorders>
            <w:vAlign w:val="center"/>
          </w:tcPr>
          <w:p w:rsidR="008F5F59" w:rsidRPr="000D0439" w:rsidRDefault="008F5F59" w:rsidP="008B4B29">
            <w:pPr>
              <w:keepNext/>
              <w:widowControl/>
              <w:jc w:val="left"/>
              <w:rPr>
                <w:rFonts w:ascii="Arial Narrow" w:hAnsi="Arial Narrow"/>
                <w:sz w:val="20"/>
              </w:rPr>
            </w:pPr>
            <w:r>
              <w:rPr>
                <w:rFonts w:ascii="Arial Narrow" w:hAnsi="Arial Narrow"/>
                <w:sz w:val="20"/>
              </w:rPr>
              <w:t xml:space="preserve">Year 4 </w:t>
            </w:r>
          </w:p>
        </w:tc>
        <w:tc>
          <w:tcPr>
            <w:tcW w:w="644" w:type="pct"/>
            <w:tcBorders>
              <w:top w:val="single" w:sz="4" w:space="0" w:color="auto"/>
              <w:left w:val="single" w:sz="4" w:space="0" w:color="auto"/>
              <w:bottom w:val="single" w:sz="4" w:space="0" w:color="auto"/>
              <w:right w:val="single" w:sz="4" w:space="0" w:color="auto"/>
            </w:tcBorders>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 xml:space="preserve"> '' </w:t>
            </w:r>
          </w:p>
        </w:tc>
        <w:tc>
          <w:tcPr>
            <w:tcW w:w="645" w:type="pct"/>
            <w:tcBorders>
              <w:top w:val="single" w:sz="4" w:space="0" w:color="auto"/>
              <w:left w:val="single" w:sz="4" w:space="0" w:color="auto"/>
              <w:bottom w:val="single" w:sz="4" w:space="0" w:color="auto"/>
              <w:right w:val="single" w:sz="4" w:space="0" w:color="auto"/>
            </w:tcBorders>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 xml:space="preserve"> '' </w:t>
            </w:r>
          </w:p>
        </w:tc>
        <w:tc>
          <w:tcPr>
            <w:tcW w:w="645" w:type="pct"/>
            <w:tcBorders>
              <w:top w:val="single" w:sz="4" w:space="0" w:color="auto"/>
              <w:left w:val="single" w:sz="4" w:space="0" w:color="auto"/>
              <w:bottom w:val="single" w:sz="4" w:space="0" w:color="auto"/>
              <w:right w:val="single" w:sz="4" w:space="0" w:color="auto"/>
            </w:tcBorders>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 xml:space="preserve"> '' </w:t>
            </w:r>
          </w:p>
        </w:tc>
        <w:tc>
          <w:tcPr>
            <w:tcW w:w="645" w:type="pct"/>
            <w:tcBorders>
              <w:top w:val="single" w:sz="4" w:space="0" w:color="auto"/>
              <w:left w:val="single" w:sz="4" w:space="0" w:color="auto"/>
              <w:bottom w:val="single" w:sz="4" w:space="0" w:color="auto"/>
              <w:right w:val="single" w:sz="4" w:space="0" w:color="auto"/>
            </w:tcBorders>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 xml:space="preserve"> '''''''''' </w:t>
            </w:r>
          </w:p>
        </w:tc>
        <w:tc>
          <w:tcPr>
            <w:tcW w:w="645" w:type="pct"/>
            <w:tcBorders>
              <w:top w:val="single" w:sz="4" w:space="0" w:color="auto"/>
              <w:left w:val="single" w:sz="4" w:space="0" w:color="auto"/>
              <w:bottom w:val="single" w:sz="4" w:space="0" w:color="auto"/>
              <w:right w:val="single" w:sz="4" w:space="0" w:color="auto"/>
            </w:tcBorders>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 xml:space="preserve"> ''''''''' </w:t>
            </w:r>
          </w:p>
        </w:tc>
        <w:tc>
          <w:tcPr>
            <w:tcW w:w="580" w:type="pct"/>
            <w:tcBorders>
              <w:top w:val="single" w:sz="4" w:space="0" w:color="auto"/>
              <w:left w:val="single" w:sz="4" w:space="0" w:color="auto"/>
              <w:bottom w:val="single" w:sz="4" w:space="0" w:color="auto"/>
              <w:right w:val="single" w:sz="4" w:space="0" w:color="auto"/>
            </w:tcBorders>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 xml:space="preserve"> '''''''''' </w:t>
            </w:r>
          </w:p>
        </w:tc>
      </w:tr>
      <w:tr w:rsidR="008F5F59" w:rsidRPr="000D0439" w:rsidTr="009E698C">
        <w:tc>
          <w:tcPr>
            <w:tcW w:w="1196" w:type="pct"/>
            <w:tcBorders>
              <w:top w:val="single" w:sz="4" w:space="0" w:color="auto"/>
              <w:left w:val="single" w:sz="4" w:space="0" w:color="auto"/>
              <w:bottom w:val="single" w:sz="4" w:space="0" w:color="auto"/>
              <w:right w:val="single" w:sz="4" w:space="0" w:color="auto"/>
            </w:tcBorders>
            <w:vAlign w:val="center"/>
          </w:tcPr>
          <w:p w:rsidR="008F5F59" w:rsidRPr="000D0439" w:rsidRDefault="008F5F59" w:rsidP="008B4B29">
            <w:pPr>
              <w:keepNext/>
              <w:widowControl/>
              <w:jc w:val="left"/>
              <w:rPr>
                <w:rFonts w:ascii="Arial Narrow" w:hAnsi="Arial Narrow"/>
                <w:sz w:val="20"/>
              </w:rPr>
            </w:pPr>
            <w:r>
              <w:rPr>
                <w:rFonts w:ascii="Arial Narrow" w:hAnsi="Arial Narrow"/>
                <w:sz w:val="20"/>
              </w:rPr>
              <w:t>Year 5</w:t>
            </w:r>
          </w:p>
        </w:tc>
        <w:tc>
          <w:tcPr>
            <w:tcW w:w="644" w:type="pct"/>
            <w:tcBorders>
              <w:top w:val="single" w:sz="4" w:space="0" w:color="auto"/>
              <w:left w:val="single" w:sz="4" w:space="0" w:color="auto"/>
              <w:bottom w:val="single" w:sz="4" w:space="0" w:color="auto"/>
              <w:right w:val="single" w:sz="4" w:space="0" w:color="auto"/>
            </w:tcBorders>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 xml:space="preserve"> '' </w:t>
            </w:r>
          </w:p>
        </w:tc>
        <w:tc>
          <w:tcPr>
            <w:tcW w:w="645" w:type="pct"/>
            <w:tcBorders>
              <w:top w:val="single" w:sz="4" w:space="0" w:color="auto"/>
              <w:left w:val="single" w:sz="4" w:space="0" w:color="auto"/>
              <w:bottom w:val="single" w:sz="4" w:space="0" w:color="auto"/>
              <w:right w:val="single" w:sz="4" w:space="0" w:color="auto"/>
            </w:tcBorders>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 xml:space="preserve"> '' </w:t>
            </w:r>
          </w:p>
        </w:tc>
        <w:tc>
          <w:tcPr>
            <w:tcW w:w="645" w:type="pct"/>
            <w:tcBorders>
              <w:top w:val="single" w:sz="4" w:space="0" w:color="auto"/>
              <w:left w:val="single" w:sz="4" w:space="0" w:color="auto"/>
              <w:bottom w:val="single" w:sz="4" w:space="0" w:color="auto"/>
              <w:right w:val="single" w:sz="4" w:space="0" w:color="auto"/>
            </w:tcBorders>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 xml:space="preserve"> ''' </w:t>
            </w:r>
          </w:p>
        </w:tc>
        <w:tc>
          <w:tcPr>
            <w:tcW w:w="645" w:type="pct"/>
            <w:tcBorders>
              <w:top w:val="single" w:sz="4" w:space="0" w:color="auto"/>
              <w:left w:val="single" w:sz="4" w:space="0" w:color="auto"/>
              <w:bottom w:val="single" w:sz="4" w:space="0" w:color="auto"/>
              <w:right w:val="single" w:sz="4" w:space="0" w:color="auto"/>
            </w:tcBorders>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 xml:space="preserve"> ''' </w:t>
            </w:r>
          </w:p>
        </w:tc>
        <w:tc>
          <w:tcPr>
            <w:tcW w:w="645" w:type="pct"/>
            <w:tcBorders>
              <w:top w:val="single" w:sz="4" w:space="0" w:color="auto"/>
              <w:left w:val="single" w:sz="4" w:space="0" w:color="auto"/>
              <w:bottom w:val="single" w:sz="4" w:space="0" w:color="auto"/>
              <w:right w:val="single" w:sz="4" w:space="0" w:color="auto"/>
            </w:tcBorders>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 xml:space="preserve"> '''''''''' </w:t>
            </w:r>
          </w:p>
        </w:tc>
        <w:tc>
          <w:tcPr>
            <w:tcW w:w="580" w:type="pct"/>
            <w:tcBorders>
              <w:top w:val="single" w:sz="4" w:space="0" w:color="auto"/>
              <w:left w:val="single" w:sz="4" w:space="0" w:color="auto"/>
              <w:bottom w:val="single" w:sz="4" w:space="0" w:color="auto"/>
              <w:right w:val="single" w:sz="4" w:space="0" w:color="auto"/>
            </w:tcBorders>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 xml:space="preserve"> '''''''''' </w:t>
            </w:r>
          </w:p>
        </w:tc>
      </w:tr>
      <w:tr w:rsidR="008F5F59" w:rsidRPr="000D0439" w:rsidTr="009E698C">
        <w:tc>
          <w:tcPr>
            <w:tcW w:w="1196" w:type="pct"/>
            <w:tcBorders>
              <w:top w:val="single" w:sz="4" w:space="0" w:color="auto"/>
              <w:left w:val="single" w:sz="4" w:space="0" w:color="auto"/>
              <w:bottom w:val="single" w:sz="4" w:space="0" w:color="auto"/>
              <w:right w:val="single" w:sz="4" w:space="0" w:color="auto"/>
            </w:tcBorders>
            <w:vAlign w:val="center"/>
          </w:tcPr>
          <w:p w:rsidR="008F5F59" w:rsidRPr="000D0439" w:rsidRDefault="008F5F59" w:rsidP="008B4B29">
            <w:pPr>
              <w:keepNext/>
              <w:widowControl/>
              <w:jc w:val="left"/>
              <w:rPr>
                <w:rFonts w:ascii="Arial Narrow" w:hAnsi="Arial Narrow"/>
                <w:sz w:val="20"/>
              </w:rPr>
            </w:pPr>
            <w:r>
              <w:rPr>
                <w:rFonts w:ascii="Arial Narrow" w:hAnsi="Arial Narrow"/>
                <w:sz w:val="20"/>
              </w:rPr>
              <w:t>Year 6</w:t>
            </w:r>
          </w:p>
        </w:tc>
        <w:tc>
          <w:tcPr>
            <w:tcW w:w="644" w:type="pct"/>
            <w:tcBorders>
              <w:top w:val="single" w:sz="4" w:space="0" w:color="auto"/>
              <w:left w:val="single" w:sz="4" w:space="0" w:color="auto"/>
              <w:bottom w:val="single" w:sz="4" w:space="0" w:color="auto"/>
              <w:right w:val="single" w:sz="4" w:space="0" w:color="auto"/>
            </w:tcBorders>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 xml:space="preserve"> '' </w:t>
            </w:r>
          </w:p>
        </w:tc>
        <w:tc>
          <w:tcPr>
            <w:tcW w:w="645" w:type="pct"/>
            <w:tcBorders>
              <w:top w:val="single" w:sz="4" w:space="0" w:color="auto"/>
              <w:left w:val="single" w:sz="4" w:space="0" w:color="auto"/>
              <w:bottom w:val="single" w:sz="4" w:space="0" w:color="auto"/>
              <w:right w:val="single" w:sz="4" w:space="0" w:color="auto"/>
            </w:tcBorders>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 xml:space="preserve"> '' </w:t>
            </w:r>
          </w:p>
        </w:tc>
        <w:tc>
          <w:tcPr>
            <w:tcW w:w="645" w:type="pct"/>
            <w:tcBorders>
              <w:top w:val="single" w:sz="4" w:space="0" w:color="auto"/>
              <w:left w:val="single" w:sz="4" w:space="0" w:color="auto"/>
              <w:bottom w:val="single" w:sz="4" w:space="0" w:color="auto"/>
              <w:right w:val="single" w:sz="4" w:space="0" w:color="auto"/>
            </w:tcBorders>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 xml:space="preserve"> '' </w:t>
            </w:r>
          </w:p>
        </w:tc>
        <w:tc>
          <w:tcPr>
            <w:tcW w:w="645" w:type="pct"/>
            <w:tcBorders>
              <w:top w:val="single" w:sz="4" w:space="0" w:color="auto"/>
              <w:left w:val="single" w:sz="4" w:space="0" w:color="auto"/>
              <w:bottom w:val="single" w:sz="4" w:space="0" w:color="auto"/>
              <w:right w:val="single" w:sz="4" w:space="0" w:color="auto"/>
            </w:tcBorders>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 xml:space="preserve"> '' </w:t>
            </w:r>
          </w:p>
        </w:tc>
        <w:tc>
          <w:tcPr>
            <w:tcW w:w="645" w:type="pct"/>
            <w:tcBorders>
              <w:top w:val="single" w:sz="4" w:space="0" w:color="auto"/>
              <w:left w:val="single" w:sz="4" w:space="0" w:color="auto"/>
              <w:bottom w:val="single" w:sz="4" w:space="0" w:color="auto"/>
              <w:right w:val="single" w:sz="4" w:space="0" w:color="auto"/>
            </w:tcBorders>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 xml:space="preserve"> ''' </w:t>
            </w:r>
          </w:p>
        </w:tc>
        <w:tc>
          <w:tcPr>
            <w:tcW w:w="580" w:type="pct"/>
            <w:tcBorders>
              <w:top w:val="single" w:sz="4" w:space="0" w:color="auto"/>
              <w:left w:val="single" w:sz="4" w:space="0" w:color="auto"/>
              <w:bottom w:val="single" w:sz="4" w:space="0" w:color="auto"/>
              <w:right w:val="single" w:sz="4" w:space="0" w:color="auto"/>
            </w:tcBorders>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 xml:space="preserve"> '''''''''' </w:t>
            </w:r>
          </w:p>
        </w:tc>
      </w:tr>
      <w:tr w:rsidR="008F5F59" w:rsidRPr="000D0439" w:rsidTr="009E698C">
        <w:tc>
          <w:tcPr>
            <w:tcW w:w="1196" w:type="pct"/>
            <w:tcBorders>
              <w:top w:val="single" w:sz="4" w:space="0" w:color="auto"/>
              <w:left w:val="single" w:sz="4" w:space="0" w:color="auto"/>
              <w:bottom w:val="single" w:sz="4" w:space="0" w:color="auto"/>
              <w:right w:val="single" w:sz="4" w:space="0" w:color="auto"/>
            </w:tcBorders>
            <w:vAlign w:val="center"/>
          </w:tcPr>
          <w:p w:rsidR="008F5F59" w:rsidRPr="000D0439" w:rsidRDefault="008F5F59" w:rsidP="008B4B29">
            <w:pPr>
              <w:keepNext/>
              <w:widowControl/>
              <w:jc w:val="left"/>
              <w:rPr>
                <w:rFonts w:ascii="Arial Narrow" w:hAnsi="Arial Narrow"/>
                <w:b/>
                <w:sz w:val="20"/>
              </w:rPr>
            </w:pPr>
            <w:r w:rsidRPr="000D0439">
              <w:rPr>
                <w:rFonts w:ascii="Arial Narrow" w:hAnsi="Arial Narrow"/>
                <w:b/>
                <w:sz w:val="20"/>
              </w:rPr>
              <w:t>Total patients on therapy</w:t>
            </w:r>
          </w:p>
        </w:tc>
        <w:tc>
          <w:tcPr>
            <w:tcW w:w="644" w:type="pct"/>
            <w:tcBorders>
              <w:top w:val="single" w:sz="4" w:space="0" w:color="auto"/>
              <w:left w:val="single" w:sz="4" w:space="0" w:color="auto"/>
              <w:bottom w:val="single" w:sz="4" w:space="0" w:color="auto"/>
              <w:right w:val="single" w:sz="4" w:space="0" w:color="auto"/>
            </w:tcBorders>
          </w:tcPr>
          <w:p w:rsidR="008F5F59" w:rsidRPr="00A00758" w:rsidRDefault="00A00758" w:rsidP="008B4B29">
            <w:pPr>
              <w:keepNext/>
              <w:widowControl/>
              <w:jc w:val="center"/>
              <w:rPr>
                <w:rFonts w:ascii="Arial Narrow" w:hAnsi="Arial Narrow"/>
                <w:b/>
                <w:sz w:val="20"/>
                <w:highlight w:val="black"/>
              </w:rPr>
            </w:pPr>
            <w:r>
              <w:rPr>
                <w:rFonts w:ascii="Arial Narrow" w:hAnsi="Arial Narrow"/>
                <w:b/>
                <w:noProof/>
                <w:color w:val="000000"/>
                <w:sz w:val="20"/>
                <w:highlight w:val="black"/>
              </w:rPr>
              <w:t xml:space="preserve"> ''''''' </w:t>
            </w:r>
          </w:p>
        </w:tc>
        <w:tc>
          <w:tcPr>
            <w:tcW w:w="645" w:type="pct"/>
            <w:tcBorders>
              <w:top w:val="single" w:sz="4" w:space="0" w:color="auto"/>
              <w:left w:val="single" w:sz="4" w:space="0" w:color="auto"/>
              <w:bottom w:val="single" w:sz="4" w:space="0" w:color="auto"/>
              <w:right w:val="single" w:sz="4" w:space="0" w:color="auto"/>
            </w:tcBorders>
          </w:tcPr>
          <w:p w:rsidR="008F5F59" w:rsidRPr="00A00758" w:rsidRDefault="00A00758" w:rsidP="008B4B29">
            <w:pPr>
              <w:keepNext/>
              <w:widowControl/>
              <w:jc w:val="center"/>
              <w:rPr>
                <w:rFonts w:ascii="Arial Narrow" w:hAnsi="Arial Narrow"/>
                <w:b/>
                <w:sz w:val="20"/>
                <w:highlight w:val="black"/>
              </w:rPr>
            </w:pPr>
            <w:r>
              <w:rPr>
                <w:rFonts w:ascii="Arial Narrow" w:hAnsi="Arial Narrow"/>
                <w:b/>
                <w:noProof/>
                <w:color w:val="000000"/>
                <w:sz w:val="20"/>
                <w:highlight w:val="black"/>
              </w:rPr>
              <w:t xml:space="preserve"> '''''''' </w:t>
            </w:r>
          </w:p>
        </w:tc>
        <w:tc>
          <w:tcPr>
            <w:tcW w:w="645" w:type="pct"/>
            <w:tcBorders>
              <w:top w:val="single" w:sz="4" w:space="0" w:color="auto"/>
              <w:left w:val="single" w:sz="4" w:space="0" w:color="auto"/>
              <w:bottom w:val="single" w:sz="4" w:space="0" w:color="auto"/>
              <w:right w:val="single" w:sz="4" w:space="0" w:color="auto"/>
            </w:tcBorders>
          </w:tcPr>
          <w:p w:rsidR="008F5F59" w:rsidRPr="00A00758" w:rsidRDefault="00A00758" w:rsidP="008B4B29">
            <w:pPr>
              <w:keepNext/>
              <w:widowControl/>
              <w:jc w:val="center"/>
              <w:rPr>
                <w:rFonts w:ascii="Arial Narrow" w:hAnsi="Arial Narrow"/>
                <w:b/>
                <w:sz w:val="20"/>
                <w:highlight w:val="black"/>
              </w:rPr>
            </w:pPr>
            <w:r>
              <w:rPr>
                <w:rFonts w:ascii="Arial Narrow" w:hAnsi="Arial Narrow"/>
                <w:b/>
                <w:noProof/>
                <w:color w:val="000000"/>
                <w:sz w:val="20"/>
                <w:highlight w:val="black"/>
              </w:rPr>
              <w:t xml:space="preserve"> '''''''''' </w:t>
            </w:r>
          </w:p>
        </w:tc>
        <w:tc>
          <w:tcPr>
            <w:tcW w:w="645" w:type="pct"/>
            <w:tcBorders>
              <w:top w:val="single" w:sz="4" w:space="0" w:color="auto"/>
              <w:left w:val="single" w:sz="4" w:space="0" w:color="auto"/>
              <w:bottom w:val="single" w:sz="4" w:space="0" w:color="auto"/>
              <w:right w:val="single" w:sz="4" w:space="0" w:color="auto"/>
            </w:tcBorders>
          </w:tcPr>
          <w:p w:rsidR="008F5F59" w:rsidRPr="00A00758" w:rsidRDefault="00A00758" w:rsidP="008B4B29">
            <w:pPr>
              <w:keepNext/>
              <w:widowControl/>
              <w:jc w:val="center"/>
              <w:rPr>
                <w:rFonts w:ascii="Arial Narrow" w:hAnsi="Arial Narrow"/>
                <w:b/>
                <w:sz w:val="20"/>
                <w:highlight w:val="black"/>
              </w:rPr>
            </w:pPr>
            <w:r>
              <w:rPr>
                <w:rFonts w:ascii="Arial Narrow" w:hAnsi="Arial Narrow"/>
                <w:b/>
                <w:noProof/>
                <w:color w:val="000000"/>
                <w:sz w:val="20"/>
                <w:highlight w:val="black"/>
              </w:rPr>
              <w:t xml:space="preserve"> '''''''''' </w:t>
            </w:r>
          </w:p>
        </w:tc>
        <w:tc>
          <w:tcPr>
            <w:tcW w:w="645" w:type="pct"/>
            <w:tcBorders>
              <w:top w:val="single" w:sz="4" w:space="0" w:color="auto"/>
              <w:left w:val="single" w:sz="4" w:space="0" w:color="auto"/>
              <w:bottom w:val="single" w:sz="4" w:space="0" w:color="auto"/>
              <w:right w:val="single" w:sz="4" w:space="0" w:color="auto"/>
            </w:tcBorders>
          </w:tcPr>
          <w:p w:rsidR="008F5F59" w:rsidRPr="00A00758" w:rsidRDefault="00A00758" w:rsidP="008B4B29">
            <w:pPr>
              <w:keepNext/>
              <w:widowControl/>
              <w:jc w:val="center"/>
              <w:rPr>
                <w:rFonts w:ascii="Arial Narrow" w:hAnsi="Arial Narrow"/>
                <w:b/>
                <w:sz w:val="20"/>
                <w:highlight w:val="black"/>
              </w:rPr>
            </w:pPr>
            <w:r>
              <w:rPr>
                <w:rFonts w:ascii="Arial Narrow" w:hAnsi="Arial Narrow"/>
                <w:b/>
                <w:noProof/>
                <w:color w:val="000000"/>
                <w:sz w:val="20"/>
                <w:highlight w:val="black"/>
              </w:rPr>
              <w:t xml:space="preserve"> ''''''''''' </w:t>
            </w:r>
          </w:p>
        </w:tc>
        <w:tc>
          <w:tcPr>
            <w:tcW w:w="580" w:type="pct"/>
            <w:tcBorders>
              <w:top w:val="single" w:sz="4" w:space="0" w:color="auto"/>
              <w:left w:val="single" w:sz="4" w:space="0" w:color="auto"/>
              <w:bottom w:val="single" w:sz="4" w:space="0" w:color="auto"/>
              <w:right w:val="single" w:sz="4" w:space="0" w:color="auto"/>
            </w:tcBorders>
          </w:tcPr>
          <w:p w:rsidR="008F5F59" w:rsidRPr="00A00758" w:rsidRDefault="00A00758" w:rsidP="008B4B29">
            <w:pPr>
              <w:keepNext/>
              <w:widowControl/>
              <w:jc w:val="center"/>
              <w:rPr>
                <w:rFonts w:ascii="Arial Narrow" w:hAnsi="Arial Narrow"/>
                <w:b/>
                <w:sz w:val="20"/>
                <w:highlight w:val="black"/>
              </w:rPr>
            </w:pPr>
            <w:r>
              <w:rPr>
                <w:rFonts w:ascii="Arial Narrow" w:hAnsi="Arial Narrow"/>
                <w:b/>
                <w:noProof/>
                <w:color w:val="000000"/>
                <w:sz w:val="20"/>
                <w:highlight w:val="black"/>
              </w:rPr>
              <w:t xml:space="preserve"> ''''''''''' </w:t>
            </w:r>
          </w:p>
        </w:tc>
      </w:tr>
      <w:tr w:rsidR="008F5F59" w:rsidRPr="000D0439" w:rsidTr="009E698C">
        <w:tc>
          <w:tcPr>
            <w:tcW w:w="1196" w:type="pct"/>
            <w:tcBorders>
              <w:top w:val="single" w:sz="4" w:space="0" w:color="auto"/>
              <w:left w:val="single" w:sz="4" w:space="0" w:color="auto"/>
              <w:bottom w:val="single" w:sz="4" w:space="0" w:color="auto"/>
              <w:right w:val="single" w:sz="4" w:space="0" w:color="auto"/>
            </w:tcBorders>
            <w:vAlign w:val="center"/>
          </w:tcPr>
          <w:p w:rsidR="008F5F59" w:rsidRPr="000D0439" w:rsidRDefault="008F5F59" w:rsidP="008B4B29">
            <w:pPr>
              <w:keepNext/>
              <w:widowControl/>
              <w:jc w:val="left"/>
              <w:rPr>
                <w:rFonts w:ascii="Arial Narrow" w:hAnsi="Arial Narrow"/>
                <w:sz w:val="20"/>
              </w:rPr>
            </w:pPr>
            <w:r w:rsidRPr="000D0439">
              <w:rPr>
                <w:rFonts w:ascii="Arial Narrow" w:hAnsi="Arial Narrow"/>
                <w:sz w:val="20"/>
              </w:rPr>
              <w:t>Total patient y</w:t>
            </w:r>
            <w:r>
              <w:rPr>
                <w:rFonts w:ascii="Arial Narrow" w:hAnsi="Arial Narrow"/>
                <w:sz w:val="20"/>
              </w:rPr>
              <w:t>r</w:t>
            </w:r>
            <w:r w:rsidRPr="000D0439">
              <w:rPr>
                <w:rFonts w:ascii="Arial Narrow" w:hAnsi="Arial Narrow"/>
                <w:sz w:val="20"/>
              </w:rPr>
              <w:t xml:space="preserve">s on therapy </w:t>
            </w:r>
            <w:r>
              <w:rPr>
                <w:rFonts w:ascii="Arial Narrow" w:hAnsi="Arial Narrow"/>
                <w:sz w:val="20"/>
              </w:rPr>
              <w:t>(half-cycle corrected</w:t>
            </w:r>
            <w:r w:rsidRPr="000D0439">
              <w:rPr>
                <w:rFonts w:ascii="Arial Narrow" w:hAnsi="Arial Narrow"/>
                <w:sz w:val="20"/>
              </w:rPr>
              <w:t>)</w:t>
            </w:r>
          </w:p>
        </w:tc>
        <w:tc>
          <w:tcPr>
            <w:tcW w:w="644" w:type="pct"/>
            <w:tcBorders>
              <w:top w:val="single" w:sz="4" w:space="0" w:color="auto"/>
              <w:left w:val="single" w:sz="4" w:space="0" w:color="auto"/>
              <w:bottom w:val="single" w:sz="4" w:space="0" w:color="auto"/>
              <w:right w:val="single" w:sz="4" w:space="0" w:color="auto"/>
            </w:tcBorders>
            <w:vAlign w:val="center"/>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45" w:type="pct"/>
            <w:tcBorders>
              <w:top w:val="single" w:sz="4" w:space="0" w:color="auto"/>
              <w:left w:val="single" w:sz="4" w:space="0" w:color="auto"/>
              <w:bottom w:val="single" w:sz="4" w:space="0" w:color="auto"/>
              <w:right w:val="single" w:sz="4" w:space="0" w:color="auto"/>
            </w:tcBorders>
            <w:vAlign w:val="center"/>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45" w:type="pct"/>
            <w:tcBorders>
              <w:top w:val="single" w:sz="4" w:space="0" w:color="auto"/>
              <w:left w:val="single" w:sz="4" w:space="0" w:color="auto"/>
              <w:bottom w:val="single" w:sz="4" w:space="0" w:color="auto"/>
              <w:right w:val="single" w:sz="4" w:space="0" w:color="auto"/>
            </w:tcBorders>
            <w:vAlign w:val="center"/>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45" w:type="pct"/>
            <w:tcBorders>
              <w:top w:val="single" w:sz="4" w:space="0" w:color="auto"/>
              <w:left w:val="single" w:sz="4" w:space="0" w:color="auto"/>
              <w:bottom w:val="single" w:sz="4" w:space="0" w:color="auto"/>
              <w:right w:val="single" w:sz="4" w:space="0" w:color="auto"/>
            </w:tcBorders>
            <w:vAlign w:val="center"/>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45" w:type="pct"/>
            <w:tcBorders>
              <w:top w:val="single" w:sz="4" w:space="0" w:color="auto"/>
              <w:left w:val="single" w:sz="4" w:space="0" w:color="auto"/>
              <w:bottom w:val="single" w:sz="4" w:space="0" w:color="auto"/>
              <w:right w:val="single" w:sz="4" w:space="0" w:color="auto"/>
            </w:tcBorders>
            <w:vAlign w:val="center"/>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580" w:type="pct"/>
            <w:tcBorders>
              <w:top w:val="single" w:sz="4" w:space="0" w:color="auto"/>
              <w:left w:val="single" w:sz="4" w:space="0" w:color="auto"/>
              <w:bottom w:val="single" w:sz="4" w:space="0" w:color="auto"/>
              <w:right w:val="single" w:sz="4" w:space="0" w:color="auto"/>
            </w:tcBorders>
            <w:vAlign w:val="center"/>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w:t>
            </w:r>
          </w:p>
        </w:tc>
      </w:tr>
      <w:tr w:rsidR="008F5F59" w:rsidRPr="000D0439" w:rsidTr="009E698C">
        <w:tc>
          <w:tcPr>
            <w:tcW w:w="1196" w:type="pct"/>
            <w:tcBorders>
              <w:top w:val="single" w:sz="4" w:space="0" w:color="auto"/>
              <w:left w:val="single" w:sz="4" w:space="0" w:color="auto"/>
              <w:bottom w:val="single" w:sz="4" w:space="0" w:color="auto"/>
              <w:right w:val="single" w:sz="4" w:space="0" w:color="auto"/>
            </w:tcBorders>
            <w:vAlign w:val="center"/>
          </w:tcPr>
          <w:p w:rsidR="008F5F59" w:rsidRPr="000D0439" w:rsidRDefault="008F5F59" w:rsidP="008B4B29">
            <w:pPr>
              <w:keepNext/>
              <w:widowControl/>
              <w:contextualSpacing/>
              <w:jc w:val="left"/>
              <w:rPr>
                <w:rFonts w:ascii="Arial Narrow" w:hAnsi="Arial Narrow"/>
                <w:b/>
                <w:sz w:val="20"/>
              </w:rPr>
            </w:pPr>
            <w:r w:rsidRPr="000D0439">
              <w:rPr>
                <w:rFonts w:ascii="Arial Narrow" w:hAnsi="Arial Narrow"/>
                <w:b/>
                <w:sz w:val="20"/>
              </w:rPr>
              <w:t>Total tolvaptan packs dispensed (13.04</w:t>
            </w:r>
            <w:r>
              <w:rPr>
                <w:rFonts w:ascii="Arial Narrow" w:hAnsi="Arial Narrow"/>
                <w:b/>
                <w:sz w:val="20"/>
              </w:rPr>
              <w:t>/</w:t>
            </w:r>
            <w:r w:rsidRPr="000D0439">
              <w:rPr>
                <w:rFonts w:ascii="Arial Narrow" w:hAnsi="Arial Narrow"/>
                <w:b/>
                <w:sz w:val="20"/>
              </w:rPr>
              <w:t>patient)</w:t>
            </w:r>
          </w:p>
        </w:tc>
        <w:tc>
          <w:tcPr>
            <w:tcW w:w="644" w:type="pct"/>
            <w:tcBorders>
              <w:top w:val="single" w:sz="4" w:space="0" w:color="auto"/>
              <w:left w:val="single" w:sz="4" w:space="0" w:color="auto"/>
              <w:bottom w:val="single" w:sz="4" w:space="0" w:color="auto"/>
              <w:right w:val="single" w:sz="4" w:space="0" w:color="auto"/>
            </w:tcBorders>
            <w:vAlign w:val="center"/>
          </w:tcPr>
          <w:p w:rsidR="008F5F59" w:rsidRPr="00A00758" w:rsidRDefault="00A00758" w:rsidP="008B4B29">
            <w:pPr>
              <w:keepNext/>
              <w:widowControl/>
              <w:jc w:val="center"/>
              <w:rPr>
                <w:rFonts w:ascii="Arial Narrow" w:hAnsi="Arial Narrow"/>
                <w:b/>
                <w:sz w:val="20"/>
                <w:highlight w:val="black"/>
              </w:rPr>
            </w:pPr>
            <w:r>
              <w:rPr>
                <w:rFonts w:ascii="Arial Narrow" w:hAnsi="Arial Narrow"/>
                <w:b/>
                <w:noProof/>
                <w:color w:val="000000"/>
                <w:sz w:val="20"/>
                <w:highlight w:val="black"/>
              </w:rPr>
              <w:t>'''''''''''''</w:t>
            </w:r>
          </w:p>
        </w:tc>
        <w:tc>
          <w:tcPr>
            <w:tcW w:w="645" w:type="pct"/>
            <w:tcBorders>
              <w:top w:val="single" w:sz="4" w:space="0" w:color="auto"/>
              <w:left w:val="single" w:sz="4" w:space="0" w:color="auto"/>
              <w:bottom w:val="single" w:sz="4" w:space="0" w:color="auto"/>
              <w:right w:val="single" w:sz="4" w:space="0" w:color="auto"/>
            </w:tcBorders>
            <w:vAlign w:val="center"/>
          </w:tcPr>
          <w:p w:rsidR="008F5F59" w:rsidRPr="00A00758" w:rsidRDefault="00A00758" w:rsidP="008B4B29">
            <w:pPr>
              <w:keepNext/>
              <w:widowControl/>
              <w:jc w:val="center"/>
              <w:rPr>
                <w:rFonts w:ascii="Arial Narrow" w:hAnsi="Arial Narrow"/>
                <w:b/>
                <w:sz w:val="20"/>
                <w:highlight w:val="black"/>
              </w:rPr>
            </w:pPr>
            <w:r>
              <w:rPr>
                <w:rFonts w:ascii="Arial Narrow" w:hAnsi="Arial Narrow"/>
                <w:b/>
                <w:noProof/>
                <w:color w:val="000000"/>
                <w:sz w:val="20"/>
                <w:highlight w:val="black"/>
              </w:rPr>
              <w:t>'''''''''''''</w:t>
            </w:r>
          </w:p>
        </w:tc>
        <w:tc>
          <w:tcPr>
            <w:tcW w:w="645" w:type="pct"/>
            <w:tcBorders>
              <w:top w:val="single" w:sz="4" w:space="0" w:color="auto"/>
              <w:left w:val="single" w:sz="4" w:space="0" w:color="auto"/>
              <w:bottom w:val="single" w:sz="4" w:space="0" w:color="auto"/>
              <w:right w:val="single" w:sz="4" w:space="0" w:color="auto"/>
            </w:tcBorders>
            <w:vAlign w:val="center"/>
          </w:tcPr>
          <w:p w:rsidR="008F5F59" w:rsidRPr="00A00758" w:rsidRDefault="00A00758" w:rsidP="008B4B29">
            <w:pPr>
              <w:keepNext/>
              <w:widowControl/>
              <w:jc w:val="center"/>
              <w:rPr>
                <w:rFonts w:ascii="Arial Narrow" w:hAnsi="Arial Narrow"/>
                <w:b/>
                <w:sz w:val="20"/>
                <w:highlight w:val="black"/>
              </w:rPr>
            </w:pPr>
            <w:r>
              <w:rPr>
                <w:rFonts w:ascii="Arial Narrow" w:hAnsi="Arial Narrow"/>
                <w:b/>
                <w:noProof/>
                <w:color w:val="000000"/>
                <w:sz w:val="20"/>
                <w:highlight w:val="black"/>
              </w:rPr>
              <w:t>''''''''''''''</w:t>
            </w:r>
          </w:p>
        </w:tc>
        <w:tc>
          <w:tcPr>
            <w:tcW w:w="645" w:type="pct"/>
            <w:tcBorders>
              <w:top w:val="single" w:sz="4" w:space="0" w:color="auto"/>
              <w:left w:val="single" w:sz="4" w:space="0" w:color="auto"/>
              <w:bottom w:val="single" w:sz="4" w:space="0" w:color="auto"/>
              <w:right w:val="single" w:sz="4" w:space="0" w:color="auto"/>
            </w:tcBorders>
            <w:vAlign w:val="center"/>
          </w:tcPr>
          <w:p w:rsidR="008F5F59" w:rsidRPr="00A00758" w:rsidRDefault="00A00758" w:rsidP="008B4B29">
            <w:pPr>
              <w:keepNext/>
              <w:widowControl/>
              <w:jc w:val="center"/>
              <w:rPr>
                <w:rFonts w:ascii="Arial Narrow" w:hAnsi="Arial Narrow"/>
                <w:b/>
                <w:sz w:val="20"/>
                <w:highlight w:val="black"/>
              </w:rPr>
            </w:pPr>
            <w:r>
              <w:rPr>
                <w:rFonts w:ascii="Arial Narrow" w:hAnsi="Arial Narrow"/>
                <w:b/>
                <w:noProof/>
                <w:color w:val="000000"/>
                <w:sz w:val="20"/>
                <w:highlight w:val="black"/>
              </w:rPr>
              <w:t>''''''''''''''</w:t>
            </w:r>
          </w:p>
        </w:tc>
        <w:tc>
          <w:tcPr>
            <w:tcW w:w="645" w:type="pct"/>
            <w:tcBorders>
              <w:top w:val="single" w:sz="4" w:space="0" w:color="auto"/>
              <w:left w:val="single" w:sz="4" w:space="0" w:color="auto"/>
              <w:bottom w:val="single" w:sz="4" w:space="0" w:color="auto"/>
              <w:right w:val="single" w:sz="4" w:space="0" w:color="auto"/>
            </w:tcBorders>
            <w:vAlign w:val="center"/>
          </w:tcPr>
          <w:p w:rsidR="008F5F59" w:rsidRPr="00A00758" w:rsidRDefault="00A00758" w:rsidP="008B4B29">
            <w:pPr>
              <w:keepNext/>
              <w:widowControl/>
              <w:jc w:val="center"/>
              <w:rPr>
                <w:rFonts w:ascii="Arial Narrow" w:hAnsi="Arial Narrow"/>
                <w:b/>
                <w:sz w:val="20"/>
                <w:highlight w:val="black"/>
              </w:rPr>
            </w:pPr>
            <w:r>
              <w:rPr>
                <w:rFonts w:ascii="Arial Narrow" w:hAnsi="Arial Narrow"/>
                <w:b/>
                <w:noProof/>
                <w:color w:val="000000"/>
                <w:sz w:val="20"/>
                <w:highlight w:val="black"/>
              </w:rPr>
              <w:t>''''''''''''</w:t>
            </w:r>
          </w:p>
        </w:tc>
        <w:tc>
          <w:tcPr>
            <w:tcW w:w="580" w:type="pct"/>
            <w:tcBorders>
              <w:top w:val="single" w:sz="4" w:space="0" w:color="auto"/>
              <w:left w:val="single" w:sz="4" w:space="0" w:color="auto"/>
              <w:bottom w:val="single" w:sz="4" w:space="0" w:color="auto"/>
              <w:right w:val="single" w:sz="4" w:space="0" w:color="auto"/>
            </w:tcBorders>
            <w:vAlign w:val="center"/>
          </w:tcPr>
          <w:p w:rsidR="008F5F59" w:rsidRPr="00A00758" w:rsidRDefault="00A00758" w:rsidP="008B4B29">
            <w:pPr>
              <w:keepNext/>
              <w:widowControl/>
              <w:jc w:val="center"/>
              <w:rPr>
                <w:rFonts w:ascii="Arial Narrow" w:hAnsi="Arial Narrow"/>
                <w:b/>
                <w:sz w:val="20"/>
                <w:highlight w:val="black"/>
              </w:rPr>
            </w:pPr>
            <w:r>
              <w:rPr>
                <w:rFonts w:ascii="Arial Narrow" w:hAnsi="Arial Narrow"/>
                <w:b/>
                <w:noProof/>
                <w:color w:val="000000"/>
                <w:sz w:val="20"/>
                <w:highlight w:val="black"/>
              </w:rPr>
              <w:t>'''''''''''''</w:t>
            </w:r>
          </w:p>
        </w:tc>
      </w:tr>
      <w:tr w:rsidR="008F5F59" w:rsidRPr="000D0439" w:rsidTr="009E698C">
        <w:tc>
          <w:tcPr>
            <w:tcW w:w="1196" w:type="pct"/>
            <w:tcBorders>
              <w:top w:val="single" w:sz="4" w:space="0" w:color="auto"/>
              <w:left w:val="single" w:sz="4" w:space="0" w:color="auto"/>
              <w:bottom w:val="single" w:sz="4" w:space="0" w:color="auto"/>
              <w:right w:val="single" w:sz="4" w:space="0" w:color="auto"/>
            </w:tcBorders>
            <w:vAlign w:val="center"/>
          </w:tcPr>
          <w:p w:rsidR="008F5F59" w:rsidRPr="000D2838" w:rsidRDefault="008F5F59" w:rsidP="008B4B29">
            <w:pPr>
              <w:keepNext/>
              <w:widowControl/>
              <w:jc w:val="left"/>
              <w:rPr>
                <w:rFonts w:ascii="Arial Narrow" w:hAnsi="Arial Narrow"/>
                <w:sz w:val="20"/>
              </w:rPr>
            </w:pPr>
            <w:r w:rsidRPr="000D2838">
              <w:rPr>
                <w:rFonts w:ascii="Arial Narrow" w:hAnsi="Arial Narrow" w:cs="Times New Roman"/>
                <w:sz w:val="20"/>
              </w:rPr>
              <w:t>-</w:t>
            </w:r>
            <w:r>
              <w:rPr>
                <w:rFonts w:ascii="Arial Narrow" w:hAnsi="Arial Narrow" w:cs="Times New Roman"/>
                <w:sz w:val="20"/>
              </w:rPr>
              <w:t xml:space="preserve"> </w:t>
            </w:r>
            <w:r w:rsidRPr="000D2838">
              <w:rPr>
                <w:rFonts w:ascii="Arial Narrow" w:hAnsi="Arial Narrow" w:cs="Times New Roman"/>
                <w:sz w:val="20"/>
              </w:rPr>
              <w:t>15 mg + 45 mg dose pack</w:t>
            </w:r>
          </w:p>
        </w:tc>
        <w:tc>
          <w:tcPr>
            <w:tcW w:w="644" w:type="pct"/>
            <w:tcBorders>
              <w:top w:val="single" w:sz="4" w:space="0" w:color="auto"/>
              <w:left w:val="single" w:sz="4" w:space="0" w:color="auto"/>
              <w:bottom w:val="single" w:sz="4" w:space="0" w:color="auto"/>
              <w:right w:val="single" w:sz="4" w:space="0" w:color="auto"/>
            </w:tcBorders>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45" w:type="pct"/>
            <w:tcBorders>
              <w:top w:val="single" w:sz="4" w:space="0" w:color="auto"/>
              <w:left w:val="single" w:sz="4" w:space="0" w:color="auto"/>
              <w:bottom w:val="single" w:sz="4" w:space="0" w:color="auto"/>
              <w:right w:val="single" w:sz="4" w:space="0" w:color="auto"/>
            </w:tcBorders>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45" w:type="pct"/>
            <w:tcBorders>
              <w:top w:val="single" w:sz="4" w:space="0" w:color="auto"/>
              <w:left w:val="single" w:sz="4" w:space="0" w:color="auto"/>
              <w:bottom w:val="single" w:sz="4" w:space="0" w:color="auto"/>
              <w:right w:val="single" w:sz="4" w:space="0" w:color="auto"/>
            </w:tcBorders>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45" w:type="pct"/>
            <w:tcBorders>
              <w:top w:val="single" w:sz="4" w:space="0" w:color="auto"/>
              <w:left w:val="single" w:sz="4" w:space="0" w:color="auto"/>
              <w:bottom w:val="single" w:sz="4" w:space="0" w:color="auto"/>
              <w:right w:val="single" w:sz="4" w:space="0" w:color="auto"/>
            </w:tcBorders>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45" w:type="pct"/>
            <w:tcBorders>
              <w:top w:val="single" w:sz="4" w:space="0" w:color="auto"/>
              <w:left w:val="single" w:sz="4" w:space="0" w:color="auto"/>
              <w:bottom w:val="single" w:sz="4" w:space="0" w:color="auto"/>
              <w:right w:val="single" w:sz="4" w:space="0" w:color="auto"/>
            </w:tcBorders>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580" w:type="pct"/>
            <w:tcBorders>
              <w:top w:val="single" w:sz="4" w:space="0" w:color="auto"/>
              <w:left w:val="single" w:sz="4" w:space="0" w:color="auto"/>
              <w:bottom w:val="single" w:sz="4" w:space="0" w:color="auto"/>
              <w:right w:val="single" w:sz="4" w:space="0" w:color="auto"/>
            </w:tcBorders>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w:t>
            </w:r>
          </w:p>
        </w:tc>
      </w:tr>
      <w:tr w:rsidR="008F5F59" w:rsidRPr="000D0439" w:rsidTr="009E698C">
        <w:tc>
          <w:tcPr>
            <w:tcW w:w="1196" w:type="pct"/>
            <w:tcBorders>
              <w:top w:val="single" w:sz="4" w:space="0" w:color="auto"/>
              <w:left w:val="single" w:sz="4" w:space="0" w:color="auto"/>
              <w:bottom w:val="single" w:sz="4" w:space="0" w:color="auto"/>
              <w:right w:val="single" w:sz="4" w:space="0" w:color="auto"/>
            </w:tcBorders>
            <w:vAlign w:val="center"/>
          </w:tcPr>
          <w:p w:rsidR="008F5F59" w:rsidRPr="000D0439" w:rsidRDefault="008F5F59" w:rsidP="008B4B29">
            <w:pPr>
              <w:keepNext/>
              <w:widowControl/>
              <w:jc w:val="left"/>
              <w:rPr>
                <w:rFonts w:ascii="Arial Narrow" w:hAnsi="Arial Narrow"/>
                <w:sz w:val="20"/>
              </w:rPr>
            </w:pPr>
            <w:r w:rsidRPr="000D0439">
              <w:rPr>
                <w:rFonts w:ascii="Arial Narrow" w:hAnsi="Arial Narrow"/>
                <w:sz w:val="20"/>
              </w:rPr>
              <w:t xml:space="preserve">- </w:t>
            </w:r>
            <w:r w:rsidRPr="000D0439">
              <w:rPr>
                <w:rFonts w:ascii="Arial Narrow" w:hAnsi="Arial Narrow" w:cs="Times New Roman"/>
                <w:sz w:val="20"/>
              </w:rPr>
              <w:t>30 mg + 60 mg dose pack</w:t>
            </w:r>
          </w:p>
        </w:tc>
        <w:tc>
          <w:tcPr>
            <w:tcW w:w="644" w:type="pct"/>
            <w:tcBorders>
              <w:top w:val="single" w:sz="4" w:space="0" w:color="auto"/>
              <w:left w:val="single" w:sz="4" w:space="0" w:color="auto"/>
              <w:bottom w:val="single" w:sz="4" w:space="0" w:color="auto"/>
              <w:right w:val="single" w:sz="4" w:space="0" w:color="auto"/>
            </w:tcBorders>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45" w:type="pct"/>
            <w:tcBorders>
              <w:top w:val="single" w:sz="4" w:space="0" w:color="auto"/>
              <w:left w:val="single" w:sz="4" w:space="0" w:color="auto"/>
              <w:bottom w:val="single" w:sz="4" w:space="0" w:color="auto"/>
              <w:right w:val="single" w:sz="4" w:space="0" w:color="auto"/>
            </w:tcBorders>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45" w:type="pct"/>
            <w:tcBorders>
              <w:top w:val="single" w:sz="4" w:space="0" w:color="auto"/>
              <w:left w:val="single" w:sz="4" w:space="0" w:color="auto"/>
              <w:bottom w:val="single" w:sz="4" w:space="0" w:color="auto"/>
              <w:right w:val="single" w:sz="4" w:space="0" w:color="auto"/>
            </w:tcBorders>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45" w:type="pct"/>
            <w:tcBorders>
              <w:top w:val="single" w:sz="4" w:space="0" w:color="auto"/>
              <w:left w:val="single" w:sz="4" w:space="0" w:color="auto"/>
              <w:bottom w:val="single" w:sz="4" w:space="0" w:color="auto"/>
              <w:right w:val="single" w:sz="4" w:space="0" w:color="auto"/>
            </w:tcBorders>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45" w:type="pct"/>
            <w:tcBorders>
              <w:top w:val="single" w:sz="4" w:space="0" w:color="auto"/>
              <w:left w:val="single" w:sz="4" w:space="0" w:color="auto"/>
              <w:bottom w:val="single" w:sz="4" w:space="0" w:color="auto"/>
              <w:right w:val="single" w:sz="4" w:space="0" w:color="auto"/>
            </w:tcBorders>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580" w:type="pct"/>
            <w:tcBorders>
              <w:top w:val="single" w:sz="4" w:space="0" w:color="auto"/>
              <w:left w:val="single" w:sz="4" w:space="0" w:color="auto"/>
              <w:bottom w:val="single" w:sz="4" w:space="0" w:color="auto"/>
              <w:right w:val="single" w:sz="4" w:space="0" w:color="auto"/>
            </w:tcBorders>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w:t>
            </w:r>
          </w:p>
        </w:tc>
      </w:tr>
      <w:tr w:rsidR="008F5F59" w:rsidRPr="000D0439" w:rsidTr="009E69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96" w:type="pct"/>
            <w:tcBorders>
              <w:top w:val="single" w:sz="4" w:space="0" w:color="auto"/>
              <w:left w:val="single" w:sz="4" w:space="0" w:color="auto"/>
              <w:bottom w:val="single" w:sz="4" w:space="0" w:color="auto"/>
              <w:right w:val="single" w:sz="4" w:space="0" w:color="auto"/>
            </w:tcBorders>
            <w:vAlign w:val="center"/>
          </w:tcPr>
          <w:p w:rsidR="008F5F59" w:rsidRPr="000D0439" w:rsidRDefault="008F5F59" w:rsidP="008B4B29">
            <w:pPr>
              <w:keepNext/>
              <w:widowControl/>
              <w:jc w:val="left"/>
              <w:rPr>
                <w:rFonts w:ascii="Arial Narrow" w:hAnsi="Arial Narrow"/>
                <w:sz w:val="20"/>
              </w:rPr>
            </w:pPr>
            <w:r w:rsidRPr="000D0439">
              <w:rPr>
                <w:rFonts w:ascii="Arial Narrow" w:hAnsi="Arial Narrow"/>
                <w:sz w:val="20"/>
              </w:rPr>
              <w:t xml:space="preserve">- </w:t>
            </w:r>
            <w:r w:rsidRPr="000D0439">
              <w:rPr>
                <w:rFonts w:ascii="Arial Narrow" w:hAnsi="Arial Narrow" w:cs="Times New Roman"/>
                <w:sz w:val="20"/>
              </w:rPr>
              <w:t>30 mg + 90 mg dose pack</w:t>
            </w:r>
          </w:p>
        </w:tc>
        <w:tc>
          <w:tcPr>
            <w:tcW w:w="644" w:type="pct"/>
            <w:tcBorders>
              <w:top w:val="single" w:sz="4" w:space="0" w:color="auto"/>
              <w:left w:val="single" w:sz="4" w:space="0" w:color="auto"/>
              <w:bottom w:val="single" w:sz="4" w:space="0" w:color="auto"/>
              <w:right w:val="single" w:sz="4" w:space="0" w:color="auto"/>
            </w:tcBorders>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45" w:type="pct"/>
            <w:tcBorders>
              <w:top w:val="single" w:sz="4" w:space="0" w:color="auto"/>
              <w:left w:val="single" w:sz="4" w:space="0" w:color="auto"/>
              <w:bottom w:val="single" w:sz="4" w:space="0" w:color="auto"/>
              <w:right w:val="single" w:sz="4" w:space="0" w:color="auto"/>
            </w:tcBorders>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45" w:type="pct"/>
            <w:tcBorders>
              <w:top w:val="single" w:sz="4" w:space="0" w:color="auto"/>
              <w:left w:val="single" w:sz="4" w:space="0" w:color="auto"/>
              <w:bottom w:val="single" w:sz="4" w:space="0" w:color="auto"/>
              <w:right w:val="single" w:sz="4" w:space="0" w:color="auto"/>
            </w:tcBorders>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45" w:type="pct"/>
            <w:tcBorders>
              <w:top w:val="single" w:sz="4" w:space="0" w:color="auto"/>
              <w:left w:val="single" w:sz="4" w:space="0" w:color="auto"/>
              <w:bottom w:val="single" w:sz="4" w:space="0" w:color="auto"/>
              <w:right w:val="single" w:sz="4" w:space="0" w:color="auto"/>
            </w:tcBorders>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45" w:type="pct"/>
            <w:tcBorders>
              <w:top w:val="single" w:sz="4" w:space="0" w:color="auto"/>
              <w:left w:val="single" w:sz="4" w:space="0" w:color="auto"/>
              <w:bottom w:val="single" w:sz="4" w:space="0" w:color="auto"/>
              <w:right w:val="single" w:sz="4" w:space="0" w:color="auto"/>
            </w:tcBorders>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580" w:type="pct"/>
            <w:tcBorders>
              <w:top w:val="single" w:sz="4" w:space="0" w:color="auto"/>
              <w:left w:val="single" w:sz="4" w:space="0" w:color="auto"/>
              <w:bottom w:val="single" w:sz="4" w:space="0" w:color="auto"/>
              <w:right w:val="single" w:sz="4" w:space="0" w:color="auto"/>
            </w:tcBorders>
          </w:tcPr>
          <w:p w:rsidR="008F5F59" w:rsidRPr="00A00758" w:rsidRDefault="00A00758" w:rsidP="008B4B29">
            <w:pPr>
              <w:keepNext/>
              <w:widowControl/>
              <w:jc w:val="center"/>
              <w:rPr>
                <w:rFonts w:ascii="Arial Narrow" w:hAnsi="Arial Narrow"/>
                <w:sz w:val="20"/>
                <w:highlight w:val="black"/>
              </w:rPr>
            </w:pPr>
            <w:r>
              <w:rPr>
                <w:rFonts w:ascii="Arial Narrow" w:hAnsi="Arial Narrow"/>
                <w:noProof/>
                <w:color w:val="000000"/>
                <w:sz w:val="20"/>
                <w:highlight w:val="black"/>
              </w:rPr>
              <w:t>''''''''''''</w:t>
            </w:r>
          </w:p>
        </w:tc>
      </w:tr>
      <w:tr w:rsidR="008F5F59" w:rsidRPr="000D0439" w:rsidTr="009E69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7"/>
            <w:tcBorders>
              <w:top w:val="single" w:sz="4" w:space="0" w:color="auto"/>
            </w:tcBorders>
            <w:vAlign w:val="center"/>
          </w:tcPr>
          <w:p w:rsidR="008F5F59" w:rsidRPr="00391FDE" w:rsidRDefault="008F5F59" w:rsidP="008B4B29">
            <w:pPr>
              <w:keepNext/>
              <w:widowControl/>
              <w:jc w:val="left"/>
              <w:rPr>
                <w:rFonts w:ascii="Arial Narrow" w:hAnsi="Arial Narrow"/>
                <w:b/>
                <w:sz w:val="20"/>
              </w:rPr>
            </w:pPr>
            <w:r w:rsidRPr="001A4833">
              <w:rPr>
                <w:rFonts w:ascii="Arial Narrow" w:hAnsi="Arial Narrow"/>
                <w:b/>
                <w:sz w:val="20"/>
              </w:rPr>
              <w:t xml:space="preserve">Cost </w:t>
            </w:r>
            <w:r>
              <w:rPr>
                <w:rFonts w:ascii="Arial Narrow" w:hAnsi="Arial Narrow"/>
                <w:b/>
                <w:sz w:val="20"/>
              </w:rPr>
              <w:t>with</w:t>
            </w:r>
            <w:r w:rsidRPr="001A4833">
              <w:rPr>
                <w:rFonts w:ascii="Arial Narrow" w:hAnsi="Arial Narrow"/>
                <w:b/>
                <w:sz w:val="20"/>
              </w:rPr>
              <w:t xml:space="preserve"> </w:t>
            </w:r>
            <w:r>
              <w:rPr>
                <w:rFonts w:ascii="Arial Narrow" w:hAnsi="Arial Narrow"/>
                <w:b/>
                <w:sz w:val="20"/>
              </w:rPr>
              <w:t>effective</w:t>
            </w:r>
            <w:r w:rsidRPr="001A4833">
              <w:rPr>
                <w:rFonts w:ascii="Arial Narrow" w:hAnsi="Arial Narrow"/>
                <w:b/>
                <w:sz w:val="20"/>
              </w:rPr>
              <w:t xml:space="preserve"> DPMQ</w:t>
            </w:r>
            <w:r>
              <w:rPr>
                <w:rFonts w:ascii="Arial Narrow" w:hAnsi="Arial Narrow"/>
                <w:b/>
                <w:sz w:val="20"/>
              </w:rPr>
              <w:t xml:space="preserve"> ($</w:t>
            </w:r>
            <w:r w:rsidR="00A00758">
              <w:rPr>
                <w:rFonts w:ascii="Arial Narrow" w:hAnsi="Arial Narrow"/>
                <w:b/>
                <w:noProof/>
                <w:color w:val="000000"/>
                <w:sz w:val="20"/>
                <w:highlight w:val="black"/>
              </w:rPr>
              <w:t>'''''''''''''</w:t>
            </w:r>
            <w:r>
              <w:rPr>
                <w:rFonts w:ascii="Arial Narrow" w:hAnsi="Arial Narrow"/>
                <w:b/>
                <w:sz w:val="20"/>
              </w:rPr>
              <w:t>)</w:t>
            </w:r>
          </w:p>
        </w:tc>
      </w:tr>
      <w:tr w:rsidR="008F5F59" w:rsidRPr="000D0439" w:rsidTr="009E69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96" w:type="pct"/>
            <w:vAlign w:val="center"/>
          </w:tcPr>
          <w:p w:rsidR="008F5F59" w:rsidRPr="001A4833" w:rsidRDefault="008F5F59" w:rsidP="008B4B29">
            <w:pPr>
              <w:keepNext/>
              <w:widowControl/>
              <w:jc w:val="left"/>
              <w:rPr>
                <w:rFonts w:ascii="Arial Narrow" w:hAnsi="Arial Narrow"/>
                <w:b/>
                <w:sz w:val="20"/>
              </w:rPr>
            </w:pPr>
            <w:r>
              <w:rPr>
                <w:rFonts w:ascii="Arial Narrow" w:hAnsi="Arial Narrow"/>
                <w:sz w:val="20"/>
              </w:rPr>
              <w:t>Cost of tolvaptan</w:t>
            </w:r>
          </w:p>
        </w:tc>
        <w:tc>
          <w:tcPr>
            <w:tcW w:w="644" w:type="pct"/>
            <w:vAlign w:val="center"/>
          </w:tcPr>
          <w:p w:rsidR="008F5F59" w:rsidRPr="00391FDE" w:rsidRDefault="008F5F59" w:rsidP="008B4B29">
            <w:pPr>
              <w:keepNext/>
              <w:widowControl/>
              <w:jc w:val="center"/>
              <w:rPr>
                <w:rFonts w:ascii="Arial Narrow" w:hAnsi="Arial Narrow"/>
                <w:b/>
                <w:sz w:val="20"/>
              </w:rPr>
            </w:pPr>
            <w:r w:rsidRPr="00FB03FA">
              <w:rPr>
                <w:rFonts w:ascii="Arial Narrow" w:hAnsi="Arial Narrow"/>
                <w:sz w:val="20"/>
              </w:rPr>
              <w:t>$</w:t>
            </w:r>
            <w:r w:rsidR="00A00758">
              <w:rPr>
                <w:rFonts w:ascii="Arial Narrow" w:hAnsi="Arial Narrow"/>
                <w:noProof/>
                <w:color w:val="000000"/>
                <w:sz w:val="20"/>
                <w:highlight w:val="black"/>
              </w:rPr>
              <w:t>'''''''''''''''''''''''''</w:t>
            </w:r>
          </w:p>
        </w:tc>
        <w:tc>
          <w:tcPr>
            <w:tcW w:w="645" w:type="pct"/>
            <w:vAlign w:val="center"/>
          </w:tcPr>
          <w:p w:rsidR="008F5F59" w:rsidRPr="00391FDE" w:rsidRDefault="008F5F59" w:rsidP="008B4B29">
            <w:pPr>
              <w:keepNext/>
              <w:widowControl/>
              <w:jc w:val="center"/>
              <w:rPr>
                <w:rFonts w:ascii="Arial Narrow" w:hAnsi="Arial Narrow"/>
                <w:b/>
                <w:sz w:val="20"/>
              </w:rPr>
            </w:pPr>
            <w:r w:rsidRPr="00FB03FA">
              <w:rPr>
                <w:rFonts w:ascii="Arial Narrow" w:hAnsi="Arial Narrow"/>
                <w:sz w:val="20"/>
              </w:rPr>
              <w:t>$</w:t>
            </w:r>
            <w:r w:rsidR="00A00758">
              <w:rPr>
                <w:rFonts w:ascii="Arial Narrow" w:hAnsi="Arial Narrow"/>
                <w:noProof/>
                <w:color w:val="000000"/>
                <w:sz w:val="20"/>
                <w:highlight w:val="black"/>
              </w:rPr>
              <w:t>''''''''''''''''''''''''</w:t>
            </w:r>
          </w:p>
        </w:tc>
        <w:tc>
          <w:tcPr>
            <w:tcW w:w="645" w:type="pct"/>
            <w:vAlign w:val="center"/>
          </w:tcPr>
          <w:p w:rsidR="008F5F59" w:rsidRPr="00391FDE" w:rsidRDefault="008F5F59" w:rsidP="008B4B29">
            <w:pPr>
              <w:keepNext/>
              <w:widowControl/>
              <w:jc w:val="center"/>
              <w:rPr>
                <w:rFonts w:ascii="Arial Narrow" w:hAnsi="Arial Narrow"/>
                <w:b/>
                <w:sz w:val="20"/>
              </w:rPr>
            </w:pPr>
            <w:r w:rsidRPr="00FB03FA">
              <w:rPr>
                <w:rFonts w:ascii="Arial Narrow" w:hAnsi="Arial Narrow"/>
                <w:sz w:val="20"/>
              </w:rPr>
              <w:t>$</w:t>
            </w:r>
            <w:r w:rsidR="00A00758">
              <w:rPr>
                <w:rFonts w:ascii="Arial Narrow" w:hAnsi="Arial Narrow"/>
                <w:noProof/>
                <w:color w:val="000000"/>
                <w:sz w:val="20"/>
                <w:highlight w:val="black"/>
              </w:rPr>
              <w:t>''''''''''''''''''''''''''</w:t>
            </w:r>
          </w:p>
        </w:tc>
        <w:tc>
          <w:tcPr>
            <w:tcW w:w="645" w:type="pct"/>
            <w:vAlign w:val="center"/>
          </w:tcPr>
          <w:p w:rsidR="008F5F59" w:rsidRPr="00391FDE" w:rsidRDefault="008F5F59" w:rsidP="008B4B29">
            <w:pPr>
              <w:keepNext/>
              <w:widowControl/>
              <w:jc w:val="center"/>
              <w:rPr>
                <w:rFonts w:ascii="Arial Narrow" w:hAnsi="Arial Narrow"/>
                <w:b/>
                <w:sz w:val="20"/>
              </w:rPr>
            </w:pPr>
            <w:r w:rsidRPr="00FB03FA">
              <w:rPr>
                <w:rFonts w:ascii="Arial Narrow" w:hAnsi="Arial Narrow"/>
                <w:sz w:val="20"/>
              </w:rPr>
              <w:t>$</w:t>
            </w:r>
            <w:r w:rsidR="00A00758">
              <w:rPr>
                <w:rFonts w:ascii="Arial Narrow" w:hAnsi="Arial Narrow"/>
                <w:noProof/>
                <w:color w:val="000000"/>
                <w:sz w:val="20"/>
                <w:highlight w:val="black"/>
              </w:rPr>
              <w:t>'''''''''''''''''''''''''</w:t>
            </w:r>
          </w:p>
        </w:tc>
        <w:tc>
          <w:tcPr>
            <w:tcW w:w="645" w:type="pct"/>
            <w:vAlign w:val="center"/>
          </w:tcPr>
          <w:p w:rsidR="008F5F59" w:rsidRPr="00391FDE" w:rsidRDefault="008F5F59" w:rsidP="008B4B29">
            <w:pPr>
              <w:keepNext/>
              <w:widowControl/>
              <w:jc w:val="center"/>
              <w:rPr>
                <w:rFonts w:ascii="Arial Narrow" w:hAnsi="Arial Narrow"/>
                <w:b/>
                <w:sz w:val="20"/>
              </w:rPr>
            </w:pPr>
            <w:r w:rsidRPr="00FB03FA">
              <w:rPr>
                <w:rFonts w:ascii="Arial Narrow" w:hAnsi="Arial Narrow"/>
                <w:sz w:val="20"/>
              </w:rPr>
              <w:t>$</w:t>
            </w:r>
            <w:r w:rsidR="00A00758">
              <w:rPr>
                <w:rFonts w:ascii="Arial Narrow" w:hAnsi="Arial Narrow"/>
                <w:noProof/>
                <w:color w:val="000000"/>
                <w:sz w:val="20"/>
                <w:highlight w:val="black"/>
              </w:rPr>
              <w:t>''''''''''''''''''''''''</w:t>
            </w:r>
          </w:p>
        </w:tc>
        <w:tc>
          <w:tcPr>
            <w:tcW w:w="580" w:type="pct"/>
            <w:vAlign w:val="center"/>
          </w:tcPr>
          <w:p w:rsidR="008F5F59" w:rsidRPr="00391FDE" w:rsidRDefault="008F5F59" w:rsidP="008B4B29">
            <w:pPr>
              <w:keepNext/>
              <w:widowControl/>
              <w:jc w:val="center"/>
              <w:rPr>
                <w:rFonts w:ascii="Arial Narrow" w:hAnsi="Arial Narrow"/>
                <w:b/>
                <w:sz w:val="20"/>
              </w:rPr>
            </w:pPr>
            <w:r w:rsidRPr="00FB03FA">
              <w:rPr>
                <w:rFonts w:ascii="Arial Narrow" w:hAnsi="Arial Narrow"/>
                <w:sz w:val="20"/>
              </w:rPr>
              <w:t>$</w:t>
            </w:r>
            <w:r w:rsidR="00A00758">
              <w:rPr>
                <w:rFonts w:ascii="Arial Narrow" w:hAnsi="Arial Narrow"/>
                <w:noProof/>
                <w:color w:val="000000"/>
                <w:sz w:val="20"/>
                <w:highlight w:val="black"/>
              </w:rPr>
              <w:t>'''''''''''''''''''''''''''</w:t>
            </w:r>
          </w:p>
        </w:tc>
      </w:tr>
      <w:tr w:rsidR="008F5F59" w:rsidRPr="000D0439" w:rsidTr="009E69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96" w:type="pct"/>
            <w:vAlign w:val="center"/>
          </w:tcPr>
          <w:p w:rsidR="008F5F59" w:rsidRPr="000D0439" w:rsidRDefault="008F5F59" w:rsidP="008B4B29">
            <w:pPr>
              <w:keepNext/>
              <w:widowControl/>
              <w:jc w:val="left"/>
              <w:rPr>
                <w:rFonts w:ascii="Arial Narrow" w:hAnsi="Arial Narrow"/>
                <w:sz w:val="20"/>
              </w:rPr>
            </w:pPr>
            <w:r>
              <w:rPr>
                <w:rFonts w:ascii="Arial Narrow" w:hAnsi="Arial Narrow"/>
                <w:sz w:val="20"/>
              </w:rPr>
              <w:t>Patient co</w:t>
            </w:r>
            <w:r w:rsidRPr="000D0439">
              <w:rPr>
                <w:rFonts w:ascii="Arial Narrow" w:hAnsi="Arial Narrow"/>
                <w:sz w:val="20"/>
              </w:rPr>
              <w:t>pay (mean $</w:t>
            </w:r>
            <w:r>
              <w:rPr>
                <w:rFonts w:ascii="Arial Narrow" w:hAnsi="Arial Narrow"/>
                <w:sz w:val="20"/>
              </w:rPr>
              <w:t>25.06</w:t>
            </w:r>
            <w:r w:rsidRPr="000D0439">
              <w:rPr>
                <w:rFonts w:ascii="Arial Narrow" w:hAnsi="Arial Narrow"/>
                <w:sz w:val="20"/>
              </w:rPr>
              <w:t>)</w:t>
            </w:r>
          </w:p>
        </w:tc>
        <w:tc>
          <w:tcPr>
            <w:tcW w:w="644" w:type="pct"/>
            <w:vAlign w:val="center"/>
          </w:tcPr>
          <w:p w:rsidR="008F5F59" w:rsidRPr="00FB03FA" w:rsidRDefault="008F5F59" w:rsidP="008B4B29">
            <w:pPr>
              <w:keepNext/>
              <w:widowControl/>
              <w:jc w:val="center"/>
              <w:rPr>
                <w:rFonts w:ascii="Arial Narrow" w:hAnsi="Arial Narrow"/>
                <w:sz w:val="20"/>
              </w:rPr>
            </w:pPr>
            <w:r w:rsidRPr="00FB03FA">
              <w:rPr>
                <w:rFonts w:ascii="Arial Narrow" w:hAnsi="Arial Narrow"/>
                <w:sz w:val="20"/>
              </w:rPr>
              <w:t>$</w:t>
            </w:r>
            <w:r w:rsidR="00A00758">
              <w:rPr>
                <w:rFonts w:ascii="Arial Narrow" w:hAnsi="Arial Narrow"/>
                <w:noProof/>
                <w:color w:val="000000"/>
                <w:sz w:val="20"/>
                <w:highlight w:val="black"/>
              </w:rPr>
              <w:t>'''''''''''''''''''</w:t>
            </w:r>
          </w:p>
        </w:tc>
        <w:tc>
          <w:tcPr>
            <w:tcW w:w="645" w:type="pct"/>
            <w:vAlign w:val="center"/>
          </w:tcPr>
          <w:p w:rsidR="008F5F59" w:rsidRPr="00FB03FA" w:rsidRDefault="008F5F59" w:rsidP="008B4B29">
            <w:pPr>
              <w:keepNext/>
              <w:widowControl/>
              <w:jc w:val="center"/>
              <w:rPr>
                <w:rFonts w:ascii="Arial Narrow" w:hAnsi="Arial Narrow"/>
                <w:sz w:val="20"/>
              </w:rPr>
            </w:pPr>
            <w:r w:rsidRPr="00FB03FA">
              <w:rPr>
                <w:rFonts w:ascii="Arial Narrow" w:hAnsi="Arial Narrow"/>
                <w:sz w:val="20"/>
              </w:rPr>
              <w:t>$</w:t>
            </w:r>
            <w:r w:rsidR="00A00758">
              <w:rPr>
                <w:rFonts w:ascii="Arial Narrow" w:hAnsi="Arial Narrow"/>
                <w:noProof/>
                <w:color w:val="000000"/>
                <w:sz w:val="20"/>
                <w:highlight w:val="black"/>
              </w:rPr>
              <w:t>''''''''''''''''''</w:t>
            </w:r>
          </w:p>
        </w:tc>
        <w:tc>
          <w:tcPr>
            <w:tcW w:w="645" w:type="pct"/>
            <w:vAlign w:val="center"/>
          </w:tcPr>
          <w:p w:rsidR="008F5F59" w:rsidRPr="00FB03FA" w:rsidRDefault="008F5F59" w:rsidP="008B4B29">
            <w:pPr>
              <w:keepNext/>
              <w:widowControl/>
              <w:jc w:val="center"/>
              <w:rPr>
                <w:rFonts w:ascii="Arial Narrow" w:hAnsi="Arial Narrow"/>
                <w:sz w:val="20"/>
              </w:rPr>
            </w:pPr>
            <w:r w:rsidRPr="00FB03FA">
              <w:rPr>
                <w:rFonts w:ascii="Arial Narrow" w:hAnsi="Arial Narrow"/>
                <w:sz w:val="20"/>
              </w:rPr>
              <w:t>$</w:t>
            </w:r>
            <w:r w:rsidR="00A00758">
              <w:rPr>
                <w:rFonts w:ascii="Arial Narrow" w:hAnsi="Arial Narrow"/>
                <w:noProof/>
                <w:color w:val="000000"/>
                <w:sz w:val="20"/>
                <w:highlight w:val="black"/>
              </w:rPr>
              <w:t>'''''''''''''''''''</w:t>
            </w:r>
          </w:p>
        </w:tc>
        <w:tc>
          <w:tcPr>
            <w:tcW w:w="645" w:type="pct"/>
            <w:vAlign w:val="center"/>
          </w:tcPr>
          <w:p w:rsidR="008F5F59" w:rsidRPr="00FB03FA" w:rsidRDefault="008F5F59" w:rsidP="008B4B29">
            <w:pPr>
              <w:keepNext/>
              <w:widowControl/>
              <w:jc w:val="center"/>
              <w:rPr>
                <w:rFonts w:ascii="Arial Narrow" w:hAnsi="Arial Narrow"/>
                <w:sz w:val="20"/>
              </w:rPr>
            </w:pPr>
            <w:r w:rsidRPr="00FB03FA">
              <w:rPr>
                <w:rFonts w:ascii="Arial Narrow" w:hAnsi="Arial Narrow"/>
                <w:sz w:val="20"/>
              </w:rPr>
              <w:t>$</w:t>
            </w:r>
            <w:r w:rsidR="00A00758">
              <w:rPr>
                <w:rFonts w:ascii="Arial Narrow" w:hAnsi="Arial Narrow"/>
                <w:noProof/>
                <w:color w:val="000000"/>
                <w:sz w:val="20"/>
                <w:highlight w:val="black"/>
              </w:rPr>
              <w:t>'''''''''''''''''''</w:t>
            </w:r>
          </w:p>
        </w:tc>
        <w:tc>
          <w:tcPr>
            <w:tcW w:w="645" w:type="pct"/>
            <w:vAlign w:val="center"/>
          </w:tcPr>
          <w:p w:rsidR="008F5F59" w:rsidRPr="00FB03FA" w:rsidRDefault="008F5F59" w:rsidP="008B4B29">
            <w:pPr>
              <w:keepNext/>
              <w:widowControl/>
              <w:jc w:val="center"/>
              <w:rPr>
                <w:rFonts w:ascii="Arial Narrow" w:hAnsi="Arial Narrow"/>
                <w:sz w:val="20"/>
              </w:rPr>
            </w:pPr>
            <w:r w:rsidRPr="00FB03FA">
              <w:rPr>
                <w:rFonts w:ascii="Arial Narrow" w:hAnsi="Arial Narrow"/>
                <w:sz w:val="20"/>
              </w:rPr>
              <w:t>$</w:t>
            </w:r>
            <w:r w:rsidR="00A00758">
              <w:rPr>
                <w:rFonts w:ascii="Arial Narrow" w:hAnsi="Arial Narrow"/>
                <w:noProof/>
                <w:color w:val="000000"/>
                <w:sz w:val="20"/>
                <w:highlight w:val="black"/>
              </w:rPr>
              <w:t>''''''''''''''''''''</w:t>
            </w:r>
          </w:p>
        </w:tc>
        <w:tc>
          <w:tcPr>
            <w:tcW w:w="580" w:type="pct"/>
            <w:vAlign w:val="center"/>
          </w:tcPr>
          <w:p w:rsidR="008F5F59" w:rsidRPr="00FB03FA" w:rsidRDefault="008F5F59" w:rsidP="008B4B29">
            <w:pPr>
              <w:keepNext/>
              <w:widowControl/>
              <w:jc w:val="center"/>
              <w:rPr>
                <w:rFonts w:ascii="Arial Narrow" w:hAnsi="Arial Narrow"/>
                <w:sz w:val="20"/>
              </w:rPr>
            </w:pPr>
            <w:r w:rsidRPr="00FB03FA">
              <w:rPr>
                <w:rFonts w:ascii="Arial Narrow" w:hAnsi="Arial Narrow"/>
                <w:sz w:val="20"/>
              </w:rPr>
              <w:t>$</w:t>
            </w:r>
            <w:r w:rsidR="00A00758">
              <w:rPr>
                <w:rFonts w:ascii="Arial Narrow" w:hAnsi="Arial Narrow"/>
                <w:noProof/>
                <w:color w:val="000000"/>
                <w:sz w:val="20"/>
                <w:highlight w:val="black"/>
              </w:rPr>
              <w:t>'''''''''''''''''''</w:t>
            </w:r>
          </w:p>
        </w:tc>
      </w:tr>
      <w:tr w:rsidR="008F5F59" w:rsidRPr="000D0439" w:rsidTr="009E69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96" w:type="pct"/>
            <w:tcBorders>
              <w:bottom w:val="single" w:sz="4" w:space="0" w:color="auto"/>
            </w:tcBorders>
            <w:vAlign w:val="center"/>
          </w:tcPr>
          <w:p w:rsidR="008F5F59" w:rsidRDefault="008F5F59" w:rsidP="008B4B29">
            <w:pPr>
              <w:keepNext/>
              <w:widowControl/>
              <w:jc w:val="left"/>
              <w:rPr>
                <w:rFonts w:ascii="Arial Narrow" w:hAnsi="Arial Narrow"/>
                <w:sz w:val="20"/>
              </w:rPr>
            </w:pPr>
            <w:r w:rsidRPr="000D0439">
              <w:rPr>
                <w:rFonts w:ascii="Arial Narrow" w:hAnsi="Arial Narrow"/>
                <w:b/>
                <w:sz w:val="20"/>
              </w:rPr>
              <w:t>Net cost to the PBS/RPBS</w:t>
            </w:r>
          </w:p>
        </w:tc>
        <w:tc>
          <w:tcPr>
            <w:tcW w:w="644" w:type="pct"/>
            <w:tcBorders>
              <w:bottom w:val="single" w:sz="4" w:space="0" w:color="auto"/>
            </w:tcBorders>
            <w:vAlign w:val="center"/>
          </w:tcPr>
          <w:p w:rsidR="008F5F59" w:rsidRPr="00FB03FA" w:rsidRDefault="008F5F59" w:rsidP="008B4B29">
            <w:pPr>
              <w:keepNext/>
              <w:widowControl/>
              <w:jc w:val="center"/>
              <w:rPr>
                <w:rFonts w:ascii="Arial Narrow" w:hAnsi="Arial Narrow"/>
                <w:sz w:val="20"/>
              </w:rPr>
            </w:pPr>
            <w:r w:rsidRPr="00FB03FA">
              <w:rPr>
                <w:rFonts w:ascii="Arial Narrow" w:hAnsi="Arial Narrow"/>
                <w:b/>
                <w:sz w:val="20"/>
              </w:rPr>
              <w:t>$</w:t>
            </w:r>
            <w:r w:rsidR="00A00758">
              <w:rPr>
                <w:rFonts w:ascii="Arial Narrow" w:hAnsi="Arial Narrow"/>
                <w:b/>
                <w:noProof/>
                <w:color w:val="000000"/>
                <w:sz w:val="20"/>
                <w:highlight w:val="black"/>
              </w:rPr>
              <w:t>'''''''''''''''''''''</w:t>
            </w:r>
          </w:p>
        </w:tc>
        <w:tc>
          <w:tcPr>
            <w:tcW w:w="645" w:type="pct"/>
            <w:tcBorders>
              <w:bottom w:val="single" w:sz="4" w:space="0" w:color="auto"/>
            </w:tcBorders>
            <w:vAlign w:val="center"/>
          </w:tcPr>
          <w:p w:rsidR="008F5F59" w:rsidRPr="00FB03FA" w:rsidRDefault="008F5F59" w:rsidP="008B4B29">
            <w:pPr>
              <w:keepNext/>
              <w:widowControl/>
              <w:jc w:val="center"/>
              <w:rPr>
                <w:rFonts w:ascii="Arial Narrow" w:hAnsi="Arial Narrow"/>
                <w:sz w:val="20"/>
              </w:rPr>
            </w:pPr>
            <w:r w:rsidRPr="00FB03FA">
              <w:rPr>
                <w:rFonts w:ascii="Arial Narrow" w:hAnsi="Arial Narrow"/>
                <w:b/>
                <w:sz w:val="20"/>
              </w:rPr>
              <w:t>$</w:t>
            </w:r>
            <w:r w:rsidR="00A00758">
              <w:rPr>
                <w:rFonts w:ascii="Arial Narrow" w:hAnsi="Arial Narrow"/>
                <w:b/>
                <w:noProof/>
                <w:color w:val="000000"/>
                <w:sz w:val="20"/>
                <w:highlight w:val="black"/>
              </w:rPr>
              <w:t>''''''''''''''''''''</w:t>
            </w:r>
          </w:p>
        </w:tc>
        <w:tc>
          <w:tcPr>
            <w:tcW w:w="645" w:type="pct"/>
            <w:tcBorders>
              <w:bottom w:val="single" w:sz="4" w:space="0" w:color="auto"/>
            </w:tcBorders>
            <w:vAlign w:val="center"/>
          </w:tcPr>
          <w:p w:rsidR="008F5F59" w:rsidRPr="00FB03FA" w:rsidRDefault="008F5F59" w:rsidP="008B4B29">
            <w:pPr>
              <w:keepNext/>
              <w:widowControl/>
              <w:jc w:val="center"/>
              <w:rPr>
                <w:rFonts w:ascii="Arial Narrow" w:hAnsi="Arial Narrow"/>
                <w:sz w:val="20"/>
              </w:rPr>
            </w:pPr>
            <w:r w:rsidRPr="00FB03FA">
              <w:rPr>
                <w:rFonts w:ascii="Arial Narrow" w:hAnsi="Arial Narrow"/>
                <w:b/>
                <w:sz w:val="20"/>
              </w:rPr>
              <w:t>$</w:t>
            </w:r>
            <w:r w:rsidR="00A00758">
              <w:rPr>
                <w:rFonts w:ascii="Arial Narrow" w:hAnsi="Arial Narrow"/>
                <w:b/>
                <w:noProof/>
                <w:color w:val="000000"/>
                <w:sz w:val="20"/>
                <w:highlight w:val="black"/>
              </w:rPr>
              <w:t>''''''''''''''''''''''</w:t>
            </w:r>
          </w:p>
        </w:tc>
        <w:tc>
          <w:tcPr>
            <w:tcW w:w="645" w:type="pct"/>
            <w:tcBorders>
              <w:bottom w:val="single" w:sz="4" w:space="0" w:color="auto"/>
            </w:tcBorders>
            <w:vAlign w:val="center"/>
          </w:tcPr>
          <w:p w:rsidR="008F5F59" w:rsidRPr="00FB03FA" w:rsidRDefault="008F5F59" w:rsidP="008B4B29">
            <w:pPr>
              <w:keepNext/>
              <w:widowControl/>
              <w:jc w:val="center"/>
              <w:rPr>
                <w:rFonts w:ascii="Arial Narrow" w:hAnsi="Arial Narrow"/>
                <w:sz w:val="20"/>
              </w:rPr>
            </w:pPr>
            <w:r w:rsidRPr="00FB03FA">
              <w:rPr>
                <w:rFonts w:ascii="Arial Narrow" w:hAnsi="Arial Narrow"/>
                <w:b/>
                <w:sz w:val="20"/>
              </w:rPr>
              <w:t>$</w:t>
            </w:r>
            <w:r w:rsidR="00A00758">
              <w:rPr>
                <w:rFonts w:ascii="Arial Narrow" w:hAnsi="Arial Narrow"/>
                <w:b/>
                <w:noProof/>
                <w:color w:val="000000"/>
                <w:sz w:val="20"/>
                <w:highlight w:val="black"/>
              </w:rPr>
              <w:t>'''''''''''''''''''''</w:t>
            </w:r>
          </w:p>
        </w:tc>
        <w:tc>
          <w:tcPr>
            <w:tcW w:w="645" w:type="pct"/>
            <w:tcBorders>
              <w:bottom w:val="single" w:sz="4" w:space="0" w:color="auto"/>
            </w:tcBorders>
            <w:vAlign w:val="center"/>
          </w:tcPr>
          <w:p w:rsidR="008F5F59" w:rsidRPr="00FB03FA" w:rsidRDefault="008F5F59" w:rsidP="008B4B29">
            <w:pPr>
              <w:keepNext/>
              <w:widowControl/>
              <w:jc w:val="center"/>
              <w:rPr>
                <w:rFonts w:ascii="Arial Narrow" w:hAnsi="Arial Narrow"/>
                <w:sz w:val="20"/>
              </w:rPr>
            </w:pPr>
            <w:r w:rsidRPr="00FB03FA">
              <w:rPr>
                <w:rFonts w:ascii="Arial Narrow" w:hAnsi="Arial Narrow"/>
                <w:b/>
                <w:sz w:val="20"/>
              </w:rPr>
              <w:t>$</w:t>
            </w:r>
            <w:r w:rsidR="00A00758">
              <w:rPr>
                <w:rFonts w:ascii="Arial Narrow" w:hAnsi="Arial Narrow"/>
                <w:b/>
                <w:noProof/>
                <w:color w:val="000000"/>
                <w:sz w:val="20"/>
                <w:highlight w:val="black"/>
              </w:rPr>
              <w:t>''''''''''''''''''''</w:t>
            </w:r>
          </w:p>
        </w:tc>
        <w:tc>
          <w:tcPr>
            <w:tcW w:w="580" w:type="pct"/>
            <w:tcBorders>
              <w:bottom w:val="single" w:sz="4" w:space="0" w:color="auto"/>
            </w:tcBorders>
            <w:vAlign w:val="center"/>
          </w:tcPr>
          <w:p w:rsidR="008F5F59" w:rsidRPr="00FB03FA" w:rsidRDefault="008F5F59" w:rsidP="008B4B29">
            <w:pPr>
              <w:keepNext/>
              <w:widowControl/>
              <w:jc w:val="center"/>
              <w:rPr>
                <w:rFonts w:ascii="Arial Narrow" w:hAnsi="Arial Narrow"/>
                <w:sz w:val="20"/>
              </w:rPr>
            </w:pPr>
            <w:r w:rsidRPr="00FB03FA">
              <w:rPr>
                <w:rFonts w:ascii="Arial Narrow" w:hAnsi="Arial Narrow"/>
                <w:b/>
                <w:sz w:val="20"/>
              </w:rPr>
              <w:t>$</w:t>
            </w:r>
            <w:r w:rsidR="00A00758">
              <w:rPr>
                <w:rFonts w:ascii="Arial Narrow" w:hAnsi="Arial Narrow"/>
                <w:b/>
                <w:noProof/>
                <w:color w:val="000000"/>
                <w:sz w:val="20"/>
                <w:highlight w:val="black"/>
              </w:rPr>
              <w:t>'''''''''''''''''''''</w:t>
            </w:r>
          </w:p>
        </w:tc>
      </w:tr>
      <w:tr w:rsidR="008F5F59" w:rsidRPr="000D0439" w:rsidTr="009E69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96" w:type="pct"/>
            <w:tcBorders>
              <w:top w:val="single" w:sz="4" w:space="0" w:color="auto"/>
              <w:left w:val="single" w:sz="4" w:space="0" w:color="auto"/>
              <w:bottom w:val="single" w:sz="4" w:space="0" w:color="auto"/>
              <w:right w:val="single" w:sz="4" w:space="0" w:color="auto"/>
            </w:tcBorders>
            <w:vAlign w:val="center"/>
          </w:tcPr>
          <w:p w:rsidR="008F5F59" w:rsidRPr="000D0439" w:rsidRDefault="008F5F59" w:rsidP="008B4B29">
            <w:pPr>
              <w:keepNext/>
              <w:widowControl/>
              <w:jc w:val="left"/>
              <w:rPr>
                <w:rFonts w:ascii="Arial Narrow" w:hAnsi="Arial Narrow"/>
                <w:b/>
                <w:sz w:val="20"/>
              </w:rPr>
            </w:pPr>
            <w:r>
              <w:rPr>
                <w:rFonts w:ascii="Arial Narrow" w:hAnsi="Arial Narrow"/>
                <w:sz w:val="20"/>
              </w:rPr>
              <w:t>LFT cost to MBS</w:t>
            </w:r>
            <w:r w:rsidRPr="000D0439">
              <w:rPr>
                <w:rFonts w:ascii="Arial Narrow" w:hAnsi="Arial Narrow"/>
                <w:sz w:val="20"/>
              </w:rPr>
              <w:t xml:space="preserve"> (12 tests per year, $11.65 per test)</w:t>
            </w:r>
          </w:p>
        </w:tc>
        <w:tc>
          <w:tcPr>
            <w:tcW w:w="644" w:type="pct"/>
            <w:tcBorders>
              <w:top w:val="single" w:sz="4" w:space="0" w:color="auto"/>
              <w:left w:val="single" w:sz="4" w:space="0" w:color="auto"/>
              <w:bottom w:val="single" w:sz="4" w:space="0" w:color="auto"/>
              <w:right w:val="single" w:sz="4" w:space="0" w:color="auto"/>
            </w:tcBorders>
            <w:vAlign w:val="center"/>
          </w:tcPr>
          <w:p w:rsidR="008F5F59" w:rsidRPr="00FB03FA" w:rsidRDefault="008F5F59" w:rsidP="008B4B29">
            <w:pPr>
              <w:keepNext/>
              <w:widowControl/>
              <w:jc w:val="center"/>
              <w:rPr>
                <w:rFonts w:ascii="Arial Narrow" w:hAnsi="Arial Narrow"/>
                <w:b/>
                <w:sz w:val="20"/>
              </w:rPr>
            </w:pPr>
            <w:r w:rsidRPr="001736E6">
              <w:rPr>
                <w:rFonts w:ascii="Arial Narrow" w:hAnsi="Arial Narrow"/>
                <w:sz w:val="20"/>
              </w:rPr>
              <w:t>$</w:t>
            </w:r>
            <w:r w:rsidR="00A00758">
              <w:rPr>
                <w:rFonts w:ascii="Arial Narrow" w:hAnsi="Arial Narrow"/>
                <w:noProof/>
                <w:color w:val="000000"/>
                <w:sz w:val="20"/>
                <w:highlight w:val="black"/>
              </w:rPr>
              <w:t>'''''''''''''''''''</w:t>
            </w:r>
          </w:p>
        </w:tc>
        <w:tc>
          <w:tcPr>
            <w:tcW w:w="645" w:type="pct"/>
            <w:tcBorders>
              <w:top w:val="single" w:sz="4" w:space="0" w:color="auto"/>
              <w:left w:val="single" w:sz="4" w:space="0" w:color="auto"/>
              <w:bottom w:val="single" w:sz="4" w:space="0" w:color="auto"/>
              <w:right w:val="single" w:sz="4" w:space="0" w:color="auto"/>
            </w:tcBorders>
            <w:vAlign w:val="center"/>
          </w:tcPr>
          <w:p w:rsidR="008F5F59" w:rsidRPr="00FB03FA" w:rsidRDefault="008F5F59" w:rsidP="008B4B29">
            <w:pPr>
              <w:keepNext/>
              <w:widowControl/>
              <w:jc w:val="center"/>
              <w:rPr>
                <w:rFonts w:ascii="Arial Narrow" w:hAnsi="Arial Narrow"/>
                <w:b/>
                <w:sz w:val="20"/>
              </w:rPr>
            </w:pPr>
            <w:r w:rsidRPr="001736E6">
              <w:rPr>
                <w:rFonts w:ascii="Arial Narrow" w:hAnsi="Arial Narrow"/>
                <w:sz w:val="20"/>
              </w:rPr>
              <w:t>$</w:t>
            </w:r>
            <w:r w:rsidR="00A00758">
              <w:rPr>
                <w:rFonts w:ascii="Arial Narrow" w:hAnsi="Arial Narrow"/>
                <w:noProof/>
                <w:color w:val="000000"/>
                <w:sz w:val="20"/>
                <w:highlight w:val="black"/>
              </w:rPr>
              <w:t>'''''''''''''''''</w:t>
            </w:r>
          </w:p>
        </w:tc>
        <w:tc>
          <w:tcPr>
            <w:tcW w:w="645" w:type="pct"/>
            <w:tcBorders>
              <w:top w:val="single" w:sz="4" w:space="0" w:color="auto"/>
              <w:left w:val="single" w:sz="4" w:space="0" w:color="auto"/>
              <w:bottom w:val="single" w:sz="4" w:space="0" w:color="auto"/>
              <w:right w:val="single" w:sz="4" w:space="0" w:color="auto"/>
            </w:tcBorders>
            <w:vAlign w:val="center"/>
          </w:tcPr>
          <w:p w:rsidR="008F5F59" w:rsidRPr="00FB03FA" w:rsidRDefault="008F5F59" w:rsidP="008B4B29">
            <w:pPr>
              <w:keepNext/>
              <w:widowControl/>
              <w:jc w:val="center"/>
              <w:rPr>
                <w:rFonts w:ascii="Arial Narrow" w:hAnsi="Arial Narrow"/>
                <w:b/>
                <w:sz w:val="20"/>
              </w:rPr>
            </w:pPr>
            <w:r w:rsidRPr="001736E6">
              <w:rPr>
                <w:rFonts w:ascii="Arial Narrow" w:hAnsi="Arial Narrow"/>
                <w:sz w:val="20"/>
              </w:rPr>
              <w:t>$</w:t>
            </w:r>
            <w:r w:rsidR="00A00758">
              <w:rPr>
                <w:rFonts w:ascii="Arial Narrow" w:hAnsi="Arial Narrow"/>
                <w:noProof/>
                <w:color w:val="000000"/>
                <w:sz w:val="20"/>
                <w:highlight w:val="black"/>
              </w:rPr>
              <w:t>''''''''''''''''</w:t>
            </w:r>
          </w:p>
        </w:tc>
        <w:tc>
          <w:tcPr>
            <w:tcW w:w="645" w:type="pct"/>
            <w:tcBorders>
              <w:top w:val="single" w:sz="4" w:space="0" w:color="auto"/>
              <w:left w:val="single" w:sz="4" w:space="0" w:color="auto"/>
              <w:bottom w:val="single" w:sz="4" w:space="0" w:color="auto"/>
              <w:right w:val="single" w:sz="4" w:space="0" w:color="auto"/>
            </w:tcBorders>
            <w:vAlign w:val="center"/>
          </w:tcPr>
          <w:p w:rsidR="008F5F59" w:rsidRPr="00FB03FA" w:rsidRDefault="008F5F59" w:rsidP="008B4B29">
            <w:pPr>
              <w:keepNext/>
              <w:widowControl/>
              <w:jc w:val="center"/>
              <w:rPr>
                <w:rFonts w:ascii="Arial Narrow" w:hAnsi="Arial Narrow"/>
                <w:b/>
                <w:sz w:val="20"/>
              </w:rPr>
            </w:pPr>
            <w:r w:rsidRPr="001736E6">
              <w:rPr>
                <w:rFonts w:ascii="Arial Narrow" w:hAnsi="Arial Narrow"/>
                <w:sz w:val="20"/>
              </w:rPr>
              <w:t>$</w:t>
            </w:r>
            <w:r w:rsidR="00A00758">
              <w:rPr>
                <w:rFonts w:ascii="Arial Narrow" w:hAnsi="Arial Narrow"/>
                <w:noProof/>
                <w:color w:val="000000"/>
                <w:sz w:val="20"/>
                <w:highlight w:val="black"/>
              </w:rPr>
              <w:t>''''''''''''''''</w:t>
            </w:r>
          </w:p>
        </w:tc>
        <w:tc>
          <w:tcPr>
            <w:tcW w:w="645" w:type="pct"/>
            <w:tcBorders>
              <w:top w:val="single" w:sz="4" w:space="0" w:color="auto"/>
              <w:left w:val="single" w:sz="4" w:space="0" w:color="auto"/>
              <w:bottom w:val="single" w:sz="4" w:space="0" w:color="auto"/>
              <w:right w:val="single" w:sz="4" w:space="0" w:color="auto"/>
            </w:tcBorders>
            <w:vAlign w:val="center"/>
          </w:tcPr>
          <w:p w:rsidR="008F5F59" w:rsidRPr="00FB03FA" w:rsidRDefault="008F5F59" w:rsidP="008B4B29">
            <w:pPr>
              <w:keepNext/>
              <w:widowControl/>
              <w:jc w:val="center"/>
              <w:rPr>
                <w:rFonts w:ascii="Arial Narrow" w:hAnsi="Arial Narrow"/>
                <w:b/>
                <w:sz w:val="20"/>
              </w:rPr>
            </w:pPr>
            <w:r w:rsidRPr="001736E6">
              <w:rPr>
                <w:rFonts w:ascii="Arial Narrow" w:hAnsi="Arial Narrow"/>
                <w:sz w:val="20"/>
              </w:rPr>
              <w:t>$</w:t>
            </w:r>
            <w:r w:rsidR="00A00758">
              <w:rPr>
                <w:rFonts w:ascii="Arial Narrow" w:hAnsi="Arial Narrow"/>
                <w:noProof/>
                <w:color w:val="000000"/>
                <w:sz w:val="20"/>
                <w:highlight w:val="black"/>
              </w:rPr>
              <w:t>'''''''''''''''''</w:t>
            </w:r>
          </w:p>
        </w:tc>
        <w:tc>
          <w:tcPr>
            <w:tcW w:w="580" w:type="pct"/>
            <w:tcBorders>
              <w:top w:val="single" w:sz="4" w:space="0" w:color="auto"/>
              <w:left w:val="single" w:sz="4" w:space="0" w:color="auto"/>
              <w:bottom w:val="single" w:sz="4" w:space="0" w:color="auto"/>
              <w:right w:val="single" w:sz="4" w:space="0" w:color="auto"/>
            </w:tcBorders>
            <w:vAlign w:val="center"/>
          </w:tcPr>
          <w:p w:rsidR="008F5F59" w:rsidRPr="00FB03FA" w:rsidRDefault="008F5F59" w:rsidP="008B4B29">
            <w:pPr>
              <w:keepNext/>
              <w:widowControl/>
              <w:jc w:val="center"/>
              <w:rPr>
                <w:rFonts w:ascii="Arial Narrow" w:hAnsi="Arial Narrow"/>
                <w:b/>
                <w:sz w:val="20"/>
              </w:rPr>
            </w:pPr>
            <w:r w:rsidRPr="001736E6">
              <w:rPr>
                <w:rFonts w:ascii="Arial Narrow" w:hAnsi="Arial Narrow"/>
                <w:sz w:val="20"/>
              </w:rPr>
              <w:t>$</w:t>
            </w:r>
            <w:r w:rsidR="00A00758">
              <w:rPr>
                <w:rFonts w:ascii="Arial Narrow" w:hAnsi="Arial Narrow"/>
                <w:noProof/>
                <w:color w:val="000000"/>
                <w:sz w:val="20"/>
                <w:highlight w:val="black"/>
              </w:rPr>
              <w:t>''''''''''''''''</w:t>
            </w:r>
          </w:p>
        </w:tc>
      </w:tr>
      <w:tr w:rsidR="008F5F59" w:rsidRPr="000D0439" w:rsidTr="009E69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96" w:type="pct"/>
            <w:tcBorders>
              <w:top w:val="single" w:sz="4" w:space="0" w:color="auto"/>
            </w:tcBorders>
            <w:vAlign w:val="center"/>
          </w:tcPr>
          <w:p w:rsidR="008F5F59" w:rsidRDefault="008F5F59" w:rsidP="008B4B29">
            <w:pPr>
              <w:keepNext/>
              <w:widowControl/>
              <w:jc w:val="left"/>
              <w:rPr>
                <w:rFonts w:ascii="Arial Narrow" w:hAnsi="Arial Narrow"/>
                <w:sz w:val="20"/>
              </w:rPr>
            </w:pPr>
            <w:r w:rsidRPr="000D0439">
              <w:rPr>
                <w:rFonts w:ascii="Arial Narrow" w:hAnsi="Arial Narrow"/>
                <w:b/>
                <w:sz w:val="20"/>
              </w:rPr>
              <w:t xml:space="preserve">Net cost to government </w:t>
            </w:r>
          </w:p>
        </w:tc>
        <w:tc>
          <w:tcPr>
            <w:tcW w:w="644" w:type="pct"/>
            <w:tcBorders>
              <w:top w:val="single" w:sz="4" w:space="0" w:color="auto"/>
            </w:tcBorders>
          </w:tcPr>
          <w:p w:rsidR="008F5F59" w:rsidRPr="001736E6" w:rsidRDefault="008F5F59" w:rsidP="008B4B29">
            <w:pPr>
              <w:keepNext/>
              <w:widowControl/>
              <w:jc w:val="center"/>
              <w:rPr>
                <w:rFonts w:ascii="Arial Narrow" w:hAnsi="Arial Narrow"/>
                <w:sz w:val="20"/>
              </w:rPr>
            </w:pPr>
            <w:r w:rsidRPr="00391FDE">
              <w:rPr>
                <w:rFonts w:ascii="Arial Narrow" w:hAnsi="Arial Narrow"/>
                <w:b/>
                <w:sz w:val="20"/>
              </w:rPr>
              <w:t>$</w:t>
            </w:r>
            <w:r w:rsidR="00A00758">
              <w:rPr>
                <w:rFonts w:ascii="Arial Narrow" w:hAnsi="Arial Narrow"/>
                <w:b/>
                <w:noProof/>
                <w:color w:val="000000"/>
                <w:sz w:val="20"/>
                <w:highlight w:val="black"/>
              </w:rPr>
              <w:t>'''''''''''''''''''''</w:t>
            </w:r>
          </w:p>
        </w:tc>
        <w:tc>
          <w:tcPr>
            <w:tcW w:w="645" w:type="pct"/>
            <w:tcBorders>
              <w:top w:val="single" w:sz="4" w:space="0" w:color="auto"/>
            </w:tcBorders>
          </w:tcPr>
          <w:p w:rsidR="008F5F59" w:rsidRPr="001736E6" w:rsidRDefault="008F5F59" w:rsidP="008B4B29">
            <w:pPr>
              <w:keepNext/>
              <w:widowControl/>
              <w:jc w:val="center"/>
              <w:rPr>
                <w:rFonts w:ascii="Arial Narrow" w:hAnsi="Arial Narrow"/>
                <w:sz w:val="20"/>
              </w:rPr>
            </w:pPr>
            <w:r w:rsidRPr="00391FDE">
              <w:rPr>
                <w:rFonts w:ascii="Arial Narrow" w:hAnsi="Arial Narrow"/>
                <w:b/>
                <w:sz w:val="20"/>
              </w:rPr>
              <w:t>$</w:t>
            </w:r>
            <w:r w:rsidR="00A00758">
              <w:rPr>
                <w:rFonts w:ascii="Arial Narrow" w:hAnsi="Arial Narrow"/>
                <w:b/>
                <w:noProof/>
                <w:color w:val="000000"/>
                <w:sz w:val="20"/>
                <w:highlight w:val="black"/>
              </w:rPr>
              <w:t>''''''''''''''''''''</w:t>
            </w:r>
          </w:p>
        </w:tc>
        <w:tc>
          <w:tcPr>
            <w:tcW w:w="645" w:type="pct"/>
            <w:tcBorders>
              <w:top w:val="single" w:sz="4" w:space="0" w:color="auto"/>
            </w:tcBorders>
          </w:tcPr>
          <w:p w:rsidR="008F5F59" w:rsidRPr="001736E6" w:rsidRDefault="008F5F59" w:rsidP="008B4B29">
            <w:pPr>
              <w:keepNext/>
              <w:widowControl/>
              <w:jc w:val="center"/>
              <w:rPr>
                <w:rFonts w:ascii="Arial Narrow" w:hAnsi="Arial Narrow"/>
                <w:sz w:val="20"/>
              </w:rPr>
            </w:pPr>
            <w:r w:rsidRPr="00391FDE">
              <w:rPr>
                <w:rFonts w:ascii="Arial Narrow" w:hAnsi="Arial Narrow"/>
                <w:b/>
                <w:sz w:val="20"/>
              </w:rPr>
              <w:t>$</w:t>
            </w:r>
            <w:r w:rsidR="00A00758">
              <w:rPr>
                <w:rFonts w:ascii="Arial Narrow" w:hAnsi="Arial Narrow"/>
                <w:b/>
                <w:noProof/>
                <w:color w:val="000000"/>
                <w:sz w:val="20"/>
                <w:highlight w:val="black"/>
              </w:rPr>
              <w:t>''''''''''''''''''''''</w:t>
            </w:r>
          </w:p>
        </w:tc>
        <w:tc>
          <w:tcPr>
            <w:tcW w:w="645" w:type="pct"/>
            <w:tcBorders>
              <w:top w:val="single" w:sz="4" w:space="0" w:color="auto"/>
            </w:tcBorders>
          </w:tcPr>
          <w:p w:rsidR="008F5F59" w:rsidRPr="001736E6" w:rsidRDefault="008F5F59" w:rsidP="008B4B29">
            <w:pPr>
              <w:keepNext/>
              <w:widowControl/>
              <w:jc w:val="center"/>
              <w:rPr>
                <w:rFonts w:ascii="Arial Narrow" w:hAnsi="Arial Narrow"/>
                <w:sz w:val="20"/>
              </w:rPr>
            </w:pPr>
            <w:r w:rsidRPr="00391FDE">
              <w:rPr>
                <w:rFonts w:ascii="Arial Narrow" w:hAnsi="Arial Narrow"/>
                <w:b/>
                <w:sz w:val="20"/>
              </w:rPr>
              <w:t>$</w:t>
            </w:r>
            <w:r w:rsidR="00A00758">
              <w:rPr>
                <w:rFonts w:ascii="Arial Narrow" w:hAnsi="Arial Narrow"/>
                <w:b/>
                <w:noProof/>
                <w:color w:val="000000"/>
                <w:sz w:val="20"/>
                <w:highlight w:val="black"/>
              </w:rPr>
              <w:t>'''''''''''''''''''''</w:t>
            </w:r>
          </w:p>
        </w:tc>
        <w:tc>
          <w:tcPr>
            <w:tcW w:w="645" w:type="pct"/>
            <w:tcBorders>
              <w:top w:val="single" w:sz="4" w:space="0" w:color="auto"/>
            </w:tcBorders>
          </w:tcPr>
          <w:p w:rsidR="008F5F59" w:rsidRPr="001736E6" w:rsidRDefault="008F5F59" w:rsidP="008B4B29">
            <w:pPr>
              <w:keepNext/>
              <w:widowControl/>
              <w:jc w:val="center"/>
              <w:rPr>
                <w:rFonts w:ascii="Arial Narrow" w:hAnsi="Arial Narrow"/>
                <w:sz w:val="20"/>
              </w:rPr>
            </w:pPr>
            <w:r w:rsidRPr="00391FDE">
              <w:rPr>
                <w:rFonts w:ascii="Arial Narrow" w:hAnsi="Arial Narrow"/>
                <w:b/>
                <w:sz w:val="20"/>
              </w:rPr>
              <w:t>$</w:t>
            </w:r>
            <w:r w:rsidR="00A00758">
              <w:rPr>
                <w:rFonts w:ascii="Arial Narrow" w:hAnsi="Arial Narrow"/>
                <w:b/>
                <w:noProof/>
                <w:color w:val="000000"/>
                <w:sz w:val="20"/>
                <w:highlight w:val="black"/>
              </w:rPr>
              <w:t>''''''''''''''''''''''</w:t>
            </w:r>
          </w:p>
        </w:tc>
        <w:tc>
          <w:tcPr>
            <w:tcW w:w="580" w:type="pct"/>
            <w:tcBorders>
              <w:top w:val="single" w:sz="4" w:space="0" w:color="auto"/>
            </w:tcBorders>
          </w:tcPr>
          <w:p w:rsidR="008F5F59" w:rsidRPr="001736E6" w:rsidRDefault="008F5F59" w:rsidP="008B4B29">
            <w:pPr>
              <w:keepNext/>
              <w:widowControl/>
              <w:jc w:val="center"/>
              <w:rPr>
                <w:rFonts w:ascii="Arial Narrow" w:hAnsi="Arial Narrow"/>
                <w:sz w:val="20"/>
              </w:rPr>
            </w:pPr>
            <w:r w:rsidRPr="00391FDE">
              <w:rPr>
                <w:rFonts w:ascii="Arial Narrow" w:hAnsi="Arial Narrow"/>
                <w:b/>
                <w:sz w:val="20"/>
              </w:rPr>
              <w:t>$</w:t>
            </w:r>
            <w:r w:rsidR="00A00758">
              <w:rPr>
                <w:rFonts w:ascii="Arial Narrow" w:hAnsi="Arial Narrow"/>
                <w:b/>
                <w:noProof/>
                <w:color w:val="000000"/>
                <w:sz w:val="20"/>
                <w:highlight w:val="black"/>
              </w:rPr>
              <w:t>'''''''''''''''''''''</w:t>
            </w:r>
          </w:p>
        </w:tc>
      </w:tr>
    </w:tbl>
    <w:p w:rsidR="008F5F59" w:rsidRPr="003F5850" w:rsidRDefault="008F5F59" w:rsidP="008B4B29">
      <w:pPr>
        <w:keepNext/>
        <w:widowControl/>
        <w:rPr>
          <w:rStyle w:val="CommentReference"/>
          <w:b w:val="0"/>
          <w:sz w:val="18"/>
        </w:rPr>
      </w:pPr>
      <w:r>
        <w:rPr>
          <w:rStyle w:val="CommentReference"/>
          <w:b w:val="0"/>
          <w:sz w:val="18"/>
        </w:rPr>
        <w:t>Abbreviations: ADPKD, a</w:t>
      </w:r>
      <w:r w:rsidRPr="003F5850">
        <w:rPr>
          <w:rStyle w:val="CommentReference"/>
          <w:b w:val="0"/>
          <w:sz w:val="18"/>
        </w:rPr>
        <w:t xml:space="preserve">utosomal </w:t>
      </w:r>
      <w:r>
        <w:rPr>
          <w:rStyle w:val="CommentReference"/>
          <w:b w:val="0"/>
          <w:sz w:val="18"/>
        </w:rPr>
        <w:t>dominant polycystic k</w:t>
      </w:r>
      <w:r w:rsidRPr="003F5850">
        <w:rPr>
          <w:rStyle w:val="CommentReference"/>
          <w:b w:val="0"/>
          <w:sz w:val="18"/>
        </w:rPr>
        <w:t xml:space="preserve">idney </w:t>
      </w:r>
      <w:r>
        <w:rPr>
          <w:rStyle w:val="CommentReference"/>
          <w:b w:val="0"/>
          <w:sz w:val="18"/>
        </w:rPr>
        <w:t>d</w:t>
      </w:r>
      <w:r w:rsidRPr="003F5850">
        <w:rPr>
          <w:rStyle w:val="CommentReference"/>
          <w:b w:val="0"/>
          <w:sz w:val="18"/>
        </w:rPr>
        <w:t>isease; CKD, chronic kidney disease; DPMQ, dispensed price for maximum quantity; ΔeGFR, change in estimated glomerular filtration rate; LFT, liver function test; PBS, Pharmaceutical Benefits Scheme; pop’n, population; RPBS, Repatriation Pharmaceutical Benefits Scheme.</w:t>
      </w:r>
    </w:p>
    <w:p w:rsidR="008F5F59" w:rsidRDefault="008F5F59" w:rsidP="008B4B29">
      <w:pPr>
        <w:keepNext/>
        <w:widowControl/>
        <w:rPr>
          <w:rStyle w:val="CommentReference"/>
          <w:b w:val="0"/>
          <w:sz w:val="18"/>
        </w:rPr>
      </w:pPr>
      <w:r w:rsidRPr="003F5850">
        <w:rPr>
          <w:rStyle w:val="CommentReference"/>
          <w:b w:val="0"/>
          <w:sz w:val="18"/>
        </w:rPr>
        <w:t>Source: Table 130, p202; Table 131, p203; Table 132,  p204; Table 133, p205; Table 134,p206; Table 135, p206; Table 139, p210; Table 142, p212; Table 143, p213 of the resubmission.</w:t>
      </w:r>
    </w:p>
    <w:p w:rsidR="000771C9" w:rsidRPr="00A7114D" w:rsidRDefault="000771C9" w:rsidP="0086251F">
      <w:pPr>
        <w:pStyle w:val="ListParagraph"/>
        <w:widowControl/>
        <w:numPr>
          <w:ilvl w:val="1"/>
          <w:numId w:val="3"/>
        </w:numPr>
        <w:spacing w:before="120" w:after="120"/>
        <w:ind w:left="720"/>
      </w:pPr>
      <w:r w:rsidRPr="00A7114D">
        <w:t>The net cost of listing tolvaptan on the PBS for the treatment of patients with ADPKD was estimated to be up to $</w:t>
      </w:r>
      <w:r w:rsidR="005A39C1">
        <w:t>10-$20</w:t>
      </w:r>
      <w:r w:rsidRPr="00A7114D">
        <w:t xml:space="preserve"> million in Year 6 (effective price) or $</w:t>
      </w:r>
      <w:r w:rsidR="005A39C1">
        <w:t>20-$30</w:t>
      </w:r>
      <w:r w:rsidRPr="00A7114D">
        <w:t xml:space="preserve"> million in Year 6 (published price).</w:t>
      </w:r>
    </w:p>
    <w:p w:rsidR="00CC71B7" w:rsidRPr="00F563B9" w:rsidRDefault="000771C9" w:rsidP="0086251F">
      <w:pPr>
        <w:pStyle w:val="ListParagraph"/>
        <w:widowControl/>
        <w:numPr>
          <w:ilvl w:val="1"/>
          <w:numId w:val="3"/>
        </w:numPr>
        <w:spacing w:before="120" w:after="120"/>
        <w:ind w:left="720"/>
      </w:pPr>
      <w:r w:rsidRPr="00F563B9">
        <w:t>The resubmission estimated a total cost to the PBS of $</w:t>
      </w:r>
      <w:r w:rsidR="005A39C1">
        <w:t>60-$100</w:t>
      </w:r>
      <w:r w:rsidRPr="00F563B9">
        <w:t xml:space="preserve"> million over six years ($</w:t>
      </w:r>
      <w:r w:rsidR="005A39C1" w:rsidRPr="005A39C1">
        <w:t xml:space="preserve">60-$100 </w:t>
      </w:r>
      <w:r w:rsidRPr="00F563B9">
        <w:t>million over five years) based on the proposed effective price, which was similar to the estimate in the March 2017 submission ($</w:t>
      </w:r>
      <w:r w:rsidR="005A39C1" w:rsidRPr="005A39C1">
        <w:t xml:space="preserve">60-$100 </w:t>
      </w:r>
      <w:r w:rsidRPr="00F563B9">
        <w:t>million over five years). Key differences between the estimates include the proposed price reduction for tolvaptan, narrower PBS population and higher uptake rates in the resubmission compared with the previous submission.</w:t>
      </w:r>
    </w:p>
    <w:p w:rsidR="002F79CD" w:rsidRPr="00F563B9" w:rsidRDefault="00860B93" w:rsidP="0086251F">
      <w:pPr>
        <w:pStyle w:val="ListParagraph"/>
        <w:widowControl/>
        <w:numPr>
          <w:ilvl w:val="1"/>
          <w:numId w:val="3"/>
        </w:numPr>
        <w:spacing w:before="120" w:after="120"/>
        <w:ind w:left="720"/>
      </w:pPr>
      <w:r w:rsidRPr="00F563B9">
        <w:lastRenderedPageBreak/>
        <w:t xml:space="preserve">Overall, the estimated utilisation of tolvaptan and cost to the PBS were substantially underestimated in the resubmission. </w:t>
      </w:r>
      <w:r w:rsidR="002F79CD" w:rsidRPr="00F563B9">
        <w:t>Issues identified with the sources used in the financial estimates were as follows:</w:t>
      </w:r>
    </w:p>
    <w:p w:rsidR="002F79CD" w:rsidRPr="00F563B9" w:rsidRDefault="002F79CD" w:rsidP="0086251F">
      <w:pPr>
        <w:pStyle w:val="ListParagraph"/>
        <w:widowControl/>
        <w:numPr>
          <w:ilvl w:val="0"/>
          <w:numId w:val="9"/>
        </w:numPr>
        <w:spacing w:before="120" w:after="120"/>
      </w:pPr>
      <w:r w:rsidRPr="00F563B9">
        <w:t>The assumption that prevalence of ADPKD will remain constant due to the approximate equivalence of the incident and discontinuing populations was not adequately justified</w:t>
      </w:r>
      <w:r w:rsidR="00860B93" w:rsidRPr="00F563B9">
        <w:t xml:space="preserve"> and t</w:t>
      </w:r>
      <w:r w:rsidRPr="00F563B9">
        <w:t>he prevalent</w:t>
      </w:r>
      <w:r w:rsidR="00860B93" w:rsidRPr="00F563B9">
        <w:t xml:space="preserve"> ADPKD</w:t>
      </w:r>
      <w:r w:rsidRPr="00F563B9">
        <w:t xml:space="preserve"> population is most likely underestimated.</w:t>
      </w:r>
    </w:p>
    <w:p w:rsidR="002F79CD" w:rsidRPr="00F563B9" w:rsidRDefault="00860B93" w:rsidP="0086251F">
      <w:pPr>
        <w:pStyle w:val="ListParagraph"/>
        <w:widowControl/>
        <w:numPr>
          <w:ilvl w:val="0"/>
          <w:numId w:val="9"/>
        </w:numPr>
        <w:spacing w:before="120" w:after="120"/>
      </w:pPr>
      <w:r w:rsidRPr="00F563B9">
        <w:t>The resubmission acknowledged that the estimated utilisation of tolvaptan based on the UK THIN database was most likely underestimated.</w:t>
      </w:r>
      <w:r w:rsidR="002F79CD" w:rsidRPr="00F563B9">
        <w:t xml:space="preserve"> </w:t>
      </w:r>
      <w:r w:rsidRPr="00F563B9">
        <w:t>Given the lack of applicable epidemiological data, the proportion of Australian ADPKD patients who would be eligible for tolvaptan treatment under the requested listing is highly uncertain.</w:t>
      </w:r>
    </w:p>
    <w:p w:rsidR="002F79CD" w:rsidRDefault="002F79CD" w:rsidP="0086251F">
      <w:pPr>
        <w:pStyle w:val="ListParagraph"/>
        <w:widowControl/>
        <w:numPr>
          <w:ilvl w:val="0"/>
          <w:numId w:val="9"/>
        </w:numPr>
        <w:spacing w:before="120" w:after="120"/>
      </w:pPr>
      <w:r w:rsidRPr="00F563B9">
        <w:t xml:space="preserve">The increased uptake of tolvaptan </w:t>
      </w:r>
      <w:r w:rsidR="00860B93" w:rsidRPr="00F563B9">
        <w:t xml:space="preserve">compared with the previous submission </w:t>
      </w:r>
      <w:r w:rsidRPr="00F563B9">
        <w:t xml:space="preserve">may be </w:t>
      </w:r>
      <w:proofErr w:type="gramStart"/>
      <w:r w:rsidRPr="00F563B9">
        <w:t>reasonable,</w:t>
      </w:r>
      <w:proofErr w:type="gramEnd"/>
      <w:r w:rsidRPr="00F563B9">
        <w:t xml:space="preserve"> given tolvaptan is the first disease-modifying therapy for ADPKD. However, uptake rates remain uncertain.</w:t>
      </w:r>
    </w:p>
    <w:p w:rsidR="002E25D4" w:rsidRPr="007F03CB" w:rsidRDefault="002E25D4" w:rsidP="0086251F">
      <w:pPr>
        <w:pStyle w:val="Bulletpoints"/>
        <w:widowControl/>
        <w:numPr>
          <w:ilvl w:val="0"/>
          <w:numId w:val="9"/>
        </w:numPr>
        <w:spacing w:before="120" w:after="120"/>
      </w:pPr>
      <w:r w:rsidRPr="007F03CB">
        <w:t>There remains potential for use outside the requested restriction to patients with slower disease progression or early stage disease.</w:t>
      </w:r>
    </w:p>
    <w:p w:rsidR="002F79CD" w:rsidRPr="00F563B9" w:rsidRDefault="002F79CD" w:rsidP="0086251F">
      <w:pPr>
        <w:pStyle w:val="ListParagraph"/>
        <w:widowControl/>
        <w:numPr>
          <w:ilvl w:val="0"/>
          <w:numId w:val="9"/>
        </w:numPr>
        <w:spacing w:before="120" w:after="120"/>
      </w:pPr>
      <w:r w:rsidRPr="00F563B9">
        <w:t>The use of half-cycle correction in the financial estimates was inappropriate. The trial based estimates of persistence derived from the TEMPO 3:4 and TEMPO 4:4 trials may underestimate discontinuations in clinical practice, particularly given the aquaretic adverse events associated with tolvaptan. The combination of half-cycle correction and annual discontinuation probabilities most likely underestimated the eligible continuing population.</w:t>
      </w:r>
    </w:p>
    <w:p w:rsidR="002F79CD" w:rsidRPr="00F563B9" w:rsidRDefault="002F79CD" w:rsidP="0086251F">
      <w:pPr>
        <w:pStyle w:val="ListParagraph"/>
        <w:widowControl/>
        <w:numPr>
          <w:ilvl w:val="0"/>
          <w:numId w:val="9"/>
        </w:numPr>
        <w:spacing w:before="120" w:after="120"/>
      </w:pPr>
      <w:r w:rsidRPr="00F563B9">
        <w:t>The assumption of no wastage during the initial titration of tolvaptan is unlikely to be realised in clinical practice and most likely underestimated tolvaptan utilisation.</w:t>
      </w:r>
    </w:p>
    <w:p w:rsidR="002F79CD" w:rsidRPr="00F563B9" w:rsidRDefault="002F79CD" w:rsidP="0086251F">
      <w:pPr>
        <w:pStyle w:val="ListParagraph"/>
        <w:widowControl/>
        <w:numPr>
          <w:ilvl w:val="0"/>
          <w:numId w:val="9"/>
        </w:numPr>
        <w:spacing w:before="120" w:after="120"/>
      </w:pPr>
      <w:r w:rsidRPr="00F563B9">
        <w:t>As in the March 2017 submission, patient co-payment data were based on the estimated distribution of patients across beneficiary categories for fingolimod (a multiple sclerosis therapy) and may not be representative of the ADPKD population.</w:t>
      </w:r>
    </w:p>
    <w:p w:rsidR="00BB33CB" w:rsidRPr="00F563B9" w:rsidRDefault="002F79CD" w:rsidP="0086251F">
      <w:pPr>
        <w:pStyle w:val="ListParagraph"/>
        <w:widowControl/>
        <w:numPr>
          <w:ilvl w:val="0"/>
          <w:numId w:val="9"/>
        </w:numPr>
        <w:spacing w:before="120" w:after="120"/>
      </w:pPr>
      <w:r w:rsidRPr="00F563B9">
        <w:t>Costs of liver function monitoring were appropriate, but reflect the minimum cost likely to be realised in clinical practice.</w:t>
      </w:r>
    </w:p>
    <w:p w:rsidR="008F5F59" w:rsidRPr="00B82A6B" w:rsidRDefault="004B371E" w:rsidP="0086251F">
      <w:pPr>
        <w:pStyle w:val="Heading2"/>
        <w:spacing w:before="240" w:after="120"/>
      </w:pPr>
      <w:r w:rsidRPr="00B82A6B">
        <w:t>Quality Use of Medicines</w:t>
      </w:r>
    </w:p>
    <w:p w:rsidR="00EA0885" w:rsidRDefault="000771C9" w:rsidP="0086251F">
      <w:pPr>
        <w:pStyle w:val="ListParagraph"/>
        <w:widowControl/>
        <w:numPr>
          <w:ilvl w:val="1"/>
          <w:numId w:val="3"/>
        </w:numPr>
        <w:spacing w:before="120" w:after="120"/>
        <w:ind w:left="720"/>
      </w:pPr>
      <w:r w:rsidRPr="002F79CD">
        <w:t xml:space="preserve">The resubmission described a </w:t>
      </w:r>
      <w:r w:rsidR="002F79CD" w:rsidRPr="002F79CD">
        <w:t xml:space="preserve">web-based </w:t>
      </w:r>
      <w:r w:rsidRPr="002F79CD">
        <w:t>monitoring and distribution program for tolvaptan, to minimise the risk of hepatic injury</w:t>
      </w:r>
      <w:r w:rsidR="002F79CD" w:rsidRPr="002F79CD">
        <w:t xml:space="preserve"> and </w:t>
      </w:r>
      <w:r w:rsidRPr="002F79CD">
        <w:t>support the long-term monitoring of liver function and safety. The resubmission stated that all prescribers and patients would be required to take part in the program in order to prescribe or receive tolvaptan in Australia.</w:t>
      </w:r>
      <w:r w:rsidR="002F79CD" w:rsidRPr="002F79CD">
        <w:t xml:space="preserve"> </w:t>
      </w:r>
      <w:r w:rsidRPr="002F79CD">
        <w:t xml:space="preserve">The educational material will provide guidance on </w:t>
      </w:r>
      <w:r w:rsidRPr="002F79CD">
        <w:lastRenderedPageBreak/>
        <w:t>patient selection, and will explain the liver function monitoring and recommended guidelines for treatment discontinuation.</w:t>
      </w:r>
    </w:p>
    <w:p w:rsidR="008F5F59" w:rsidRPr="00B82A6B" w:rsidRDefault="004B371E" w:rsidP="0086251F">
      <w:pPr>
        <w:pStyle w:val="Heading2"/>
        <w:spacing w:before="240" w:after="120"/>
      </w:pPr>
      <w:r w:rsidRPr="00B82A6B">
        <w:t>Financial Management – Risk Sharing Arrangements</w:t>
      </w:r>
    </w:p>
    <w:p w:rsidR="000771C9" w:rsidRPr="009D2754" w:rsidRDefault="000771C9" w:rsidP="0086251F">
      <w:pPr>
        <w:pStyle w:val="ListParagraph"/>
        <w:widowControl/>
        <w:numPr>
          <w:ilvl w:val="1"/>
          <w:numId w:val="3"/>
        </w:numPr>
        <w:spacing w:before="120" w:after="120"/>
        <w:ind w:left="720"/>
      </w:pPr>
      <w:r w:rsidRPr="009D2754">
        <w:t>The</w:t>
      </w:r>
      <w:r w:rsidRPr="009D2754">
        <w:rPr>
          <w:snapToGrid/>
          <w:lang w:val="en-US" w:eastAsia="en-AU"/>
        </w:rPr>
        <w:t xml:space="preserve"> sponsor proposed a risk sharing arrangement whereby PBS expenditure, accounting for the special pricing arrangement, is capped at the amounts presented in </w:t>
      </w:r>
      <w:r w:rsidR="002D1FB0" w:rsidRPr="009D2754">
        <w:rPr>
          <w:snapToGrid/>
          <w:lang w:val="en-US" w:eastAsia="en-AU"/>
        </w:rPr>
        <w:t>T</w:t>
      </w:r>
      <w:r w:rsidRPr="009D2754">
        <w:rPr>
          <w:snapToGrid/>
          <w:lang w:val="en-US" w:eastAsia="en-AU"/>
        </w:rPr>
        <w:t xml:space="preserve">able </w:t>
      </w:r>
      <w:r w:rsidR="009E698C" w:rsidRPr="009D2754">
        <w:rPr>
          <w:snapToGrid/>
          <w:lang w:val="en-US" w:eastAsia="en-AU"/>
        </w:rPr>
        <w:t>17</w:t>
      </w:r>
      <w:r w:rsidRPr="009D2754">
        <w:rPr>
          <w:snapToGrid/>
          <w:lang w:val="en-US" w:eastAsia="en-AU"/>
        </w:rPr>
        <w:t>.</w:t>
      </w:r>
      <w:r w:rsidRPr="009D2754">
        <w:t xml:space="preserve"> The proposed risk share arrangement has two tiers, whereby the sponsor makes progressively higher rebates (</w:t>
      </w:r>
      <w:r w:rsidR="00A00758">
        <w:rPr>
          <w:noProof/>
          <w:color w:val="000000"/>
          <w:highlight w:val="black"/>
        </w:rPr>
        <w:t>''''''</w:t>
      </w:r>
      <w:r w:rsidRPr="009D2754">
        <w:t xml:space="preserve">% and </w:t>
      </w:r>
      <w:r w:rsidR="00A00758">
        <w:rPr>
          <w:noProof/>
          <w:color w:val="000000"/>
          <w:highlight w:val="black"/>
        </w:rPr>
        <w:t>'''''</w:t>
      </w:r>
      <w:r w:rsidRPr="009D2754">
        <w:t>%) after PBS expenditure exceeds the initial cap.</w:t>
      </w:r>
    </w:p>
    <w:p w:rsidR="000771C9" w:rsidRPr="000771C9" w:rsidRDefault="000771C9" w:rsidP="008B4B29">
      <w:pPr>
        <w:widowControl/>
        <w:rPr>
          <w:rStyle w:val="CommentReference"/>
        </w:rPr>
      </w:pPr>
      <w:r w:rsidRPr="000771C9">
        <w:rPr>
          <w:rStyle w:val="CommentReference"/>
        </w:rPr>
        <w:t>Table</w:t>
      </w:r>
      <w:r w:rsidR="009E698C">
        <w:rPr>
          <w:rStyle w:val="CommentReference"/>
        </w:rPr>
        <w:t xml:space="preserve"> 17</w:t>
      </w:r>
      <w:r w:rsidRPr="000771C9">
        <w:rPr>
          <w:rStyle w:val="CommentReference"/>
        </w:rPr>
        <w:t>: Proposed structure of expenditure cap for tolvaptan, net of rebates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0"/>
        <w:gridCol w:w="1283"/>
        <w:gridCol w:w="1282"/>
        <w:gridCol w:w="2401"/>
        <w:gridCol w:w="1215"/>
        <w:gridCol w:w="1812"/>
      </w:tblGrid>
      <w:tr w:rsidR="000771C9" w:rsidRPr="003B3F06" w:rsidTr="009E698C">
        <w:trPr>
          <w:trHeight w:val="288"/>
        </w:trPr>
        <w:tc>
          <w:tcPr>
            <w:tcW w:w="864" w:type="pct"/>
            <w:vMerge w:val="restart"/>
            <w:shd w:val="clear" w:color="auto" w:fill="auto"/>
            <w:noWrap/>
            <w:vAlign w:val="center"/>
            <w:hideMark/>
          </w:tcPr>
          <w:p w:rsidR="000771C9" w:rsidRPr="003B3F06" w:rsidRDefault="000771C9" w:rsidP="008B4B29">
            <w:pPr>
              <w:pStyle w:val="Tablenormal0"/>
              <w:widowControl/>
              <w:spacing w:before="0" w:after="0"/>
              <w:rPr>
                <w:rFonts w:ascii="Arial Narrow" w:hAnsi="Arial Narrow"/>
                <w:b/>
                <w:sz w:val="20"/>
                <w:szCs w:val="20"/>
              </w:rPr>
            </w:pPr>
            <w:r w:rsidRPr="003B3F06">
              <w:rPr>
                <w:rFonts w:ascii="Arial Narrow" w:hAnsi="Arial Narrow"/>
                <w:b/>
                <w:sz w:val="20"/>
                <w:szCs w:val="20"/>
              </w:rPr>
              <w:t>Year of PBS listing</w:t>
            </w:r>
          </w:p>
        </w:tc>
        <w:tc>
          <w:tcPr>
            <w:tcW w:w="1656" w:type="pct"/>
            <w:gridSpan w:val="2"/>
            <w:shd w:val="clear" w:color="auto" w:fill="auto"/>
            <w:noWrap/>
            <w:vAlign w:val="center"/>
            <w:hideMark/>
          </w:tcPr>
          <w:p w:rsidR="000771C9" w:rsidRPr="003B3F06" w:rsidRDefault="000771C9" w:rsidP="008B4B29">
            <w:pPr>
              <w:pStyle w:val="Tablenormal0"/>
              <w:widowControl/>
              <w:spacing w:before="0" w:after="0"/>
              <w:jc w:val="center"/>
              <w:rPr>
                <w:rFonts w:ascii="Arial Narrow" w:hAnsi="Arial Narrow"/>
                <w:b/>
                <w:sz w:val="20"/>
                <w:szCs w:val="20"/>
              </w:rPr>
            </w:pPr>
            <w:r w:rsidRPr="003B3F06">
              <w:rPr>
                <w:rFonts w:ascii="Arial Narrow" w:hAnsi="Arial Narrow"/>
                <w:b/>
                <w:sz w:val="20"/>
                <w:szCs w:val="20"/>
              </w:rPr>
              <w:t>Below RSA</w:t>
            </w:r>
            <w:r w:rsidRPr="003B3F06">
              <w:rPr>
                <w:rFonts w:ascii="Arial Narrow" w:hAnsi="Arial Narrow"/>
                <w:b/>
                <w:sz w:val="20"/>
                <w:szCs w:val="20"/>
              </w:rPr>
              <w:br/>
              <w:t>(DPMQ=$</w:t>
            </w:r>
            <w:r w:rsidR="00A00758">
              <w:rPr>
                <w:rFonts w:ascii="Arial Narrow" w:hAnsi="Arial Narrow"/>
                <w:b/>
                <w:noProof/>
                <w:color w:val="000000"/>
                <w:sz w:val="20"/>
                <w:szCs w:val="20"/>
                <w:highlight w:val="black"/>
              </w:rPr>
              <w:t>''''''''''''</w:t>
            </w:r>
            <w:r w:rsidRPr="003B3F06">
              <w:rPr>
                <w:rFonts w:ascii="Arial Narrow" w:hAnsi="Arial Narrow"/>
                <w:b/>
                <w:sz w:val="20"/>
                <w:szCs w:val="20"/>
              </w:rPr>
              <w:t xml:space="preserve">, </w:t>
            </w:r>
            <w:r>
              <w:rPr>
                <w:rFonts w:ascii="Arial Narrow" w:hAnsi="Arial Narrow"/>
                <w:b/>
                <w:sz w:val="20"/>
                <w:szCs w:val="20"/>
              </w:rPr>
              <w:t xml:space="preserve">proposed </w:t>
            </w:r>
            <w:r w:rsidRPr="003B3F06">
              <w:rPr>
                <w:rFonts w:ascii="Arial Narrow" w:hAnsi="Arial Narrow"/>
                <w:b/>
                <w:sz w:val="20"/>
                <w:szCs w:val="20"/>
              </w:rPr>
              <w:t>effective price)</w:t>
            </w:r>
          </w:p>
        </w:tc>
        <w:tc>
          <w:tcPr>
            <w:tcW w:w="1656" w:type="pct"/>
            <w:gridSpan w:val="2"/>
            <w:shd w:val="clear" w:color="auto" w:fill="auto"/>
            <w:noWrap/>
            <w:vAlign w:val="center"/>
            <w:hideMark/>
          </w:tcPr>
          <w:p w:rsidR="000771C9" w:rsidRPr="003B3F06" w:rsidRDefault="000771C9" w:rsidP="008B4B29">
            <w:pPr>
              <w:pStyle w:val="Tablenormal0"/>
              <w:widowControl/>
              <w:spacing w:before="0" w:after="0"/>
              <w:jc w:val="center"/>
              <w:rPr>
                <w:rFonts w:ascii="Arial Narrow" w:hAnsi="Arial Narrow"/>
                <w:b/>
                <w:sz w:val="20"/>
                <w:szCs w:val="20"/>
              </w:rPr>
            </w:pPr>
            <w:r w:rsidRPr="003B3F06">
              <w:rPr>
                <w:rFonts w:ascii="Arial Narrow" w:hAnsi="Arial Narrow"/>
                <w:b/>
                <w:sz w:val="20"/>
                <w:szCs w:val="20"/>
              </w:rPr>
              <w:t>RSA Tier 1</w:t>
            </w:r>
            <w:r w:rsidRPr="003B3F06">
              <w:rPr>
                <w:rFonts w:ascii="Arial Narrow" w:hAnsi="Arial Narrow"/>
                <w:b/>
                <w:sz w:val="20"/>
                <w:szCs w:val="20"/>
              </w:rPr>
              <w:br/>
              <w:t>(DPMQ=$</w:t>
            </w:r>
            <w:r w:rsidR="00A00758">
              <w:rPr>
                <w:rFonts w:ascii="Arial Narrow" w:hAnsi="Arial Narrow"/>
                <w:b/>
                <w:noProof/>
                <w:color w:val="000000"/>
                <w:sz w:val="20"/>
                <w:szCs w:val="20"/>
                <w:highlight w:val="black"/>
              </w:rPr>
              <w:t>''''''''''''</w:t>
            </w:r>
            <w:r w:rsidRPr="003B3F06">
              <w:rPr>
                <w:rFonts w:ascii="Arial Narrow" w:hAnsi="Arial Narrow"/>
                <w:b/>
                <w:sz w:val="20"/>
                <w:szCs w:val="20"/>
              </w:rPr>
              <w:t xml:space="preserve">, </w:t>
            </w:r>
            <w:r w:rsidR="00A00758">
              <w:rPr>
                <w:rFonts w:ascii="Arial Narrow" w:hAnsi="Arial Narrow"/>
                <w:b/>
                <w:noProof/>
                <w:color w:val="000000"/>
                <w:sz w:val="20"/>
                <w:szCs w:val="20"/>
                <w:highlight w:val="black"/>
              </w:rPr>
              <w:t>''''</w:t>
            </w:r>
            <w:r w:rsidRPr="003B3F06">
              <w:rPr>
                <w:rFonts w:ascii="Arial Narrow" w:hAnsi="Arial Narrow"/>
                <w:b/>
                <w:sz w:val="20"/>
                <w:szCs w:val="20"/>
              </w:rPr>
              <w:t>% rebate)</w:t>
            </w:r>
          </w:p>
        </w:tc>
        <w:tc>
          <w:tcPr>
            <w:tcW w:w="824" w:type="pct"/>
            <w:shd w:val="clear" w:color="auto" w:fill="auto"/>
            <w:noWrap/>
            <w:vAlign w:val="center"/>
            <w:hideMark/>
          </w:tcPr>
          <w:p w:rsidR="000771C9" w:rsidRPr="003B3F06" w:rsidRDefault="000771C9" w:rsidP="008B4B29">
            <w:pPr>
              <w:pStyle w:val="Tablenormal0"/>
              <w:widowControl/>
              <w:spacing w:before="0" w:after="0"/>
              <w:jc w:val="center"/>
              <w:rPr>
                <w:rFonts w:ascii="Arial Narrow" w:hAnsi="Arial Narrow"/>
                <w:b/>
                <w:sz w:val="20"/>
                <w:szCs w:val="20"/>
              </w:rPr>
            </w:pPr>
            <w:r w:rsidRPr="003B3F06">
              <w:rPr>
                <w:rFonts w:ascii="Arial Narrow" w:hAnsi="Arial Narrow"/>
                <w:b/>
                <w:sz w:val="20"/>
                <w:szCs w:val="20"/>
              </w:rPr>
              <w:t>RSA Tier 2</w:t>
            </w:r>
            <w:r w:rsidRPr="003B3F06">
              <w:rPr>
                <w:rFonts w:ascii="Arial Narrow" w:hAnsi="Arial Narrow"/>
                <w:b/>
                <w:sz w:val="20"/>
                <w:szCs w:val="20"/>
              </w:rPr>
              <w:br/>
              <w:t>(DPMQ=$</w:t>
            </w:r>
            <w:r w:rsidR="00A00758">
              <w:rPr>
                <w:rFonts w:ascii="Arial Narrow" w:hAnsi="Arial Narrow"/>
                <w:b/>
                <w:noProof/>
                <w:color w:val="000000"/>
                <w:sz w:val="20"/>
                <w:szCs w:val="20"/>
                <w:highlight w:val="black"/>
              </w:rPr>
              <w:t>'''''''''''''</w:t>
            </w:r>
            <w:r w:rsidRPr="003B3F06">
              <w:rPr>
                <w:rFonts w:ascii="Arial Narrow" w:hAnsi="Arial Narrow"/>
                <w:b/>
                <w:sz w:val="20"/>
                <w:szCs w:val="20"/>
              </w:rPr>
              <w:t xml:space="preserve">, </w:t>
            </w:r>
            <w:r w:rsidR="00A00758">
              <w:rPr>
                <w:rFonts w:ascii="Arial Narrow" w:hAnsi="Arial Narrow"/>
                <w:b/>
                <w:noProof/>
                <w:color w:val="000000"/>
                <w:sz w:val="20"/>
                <w:szCs w:val="20"/>
                <w:highlight w:val="black"/>
              </w:rPr>
              <w:t>'''''</w:t>
            </w:r>
            <w:r w:rsidRPr="003B3F06">
              <w:rPr>
                <w:rFonts w:ascii="Arial Narrow" w:hAnsi="Arial Narrow"/>
                <w:b/>
                <w:sz w:val="20"/>
                <w:szCs w:val="20"/>
              </w:rPr>
              <w:t>% rebate)</w:t>
            </w:r>
          </w:p>
        </w:tc>
      </w:tr>
      <w:tr w:rsidR="000771C9" w:rsidRPr="003B3F06" w:rsidTr="009E698C">
        <w:trPr>
          <w:trHeight w:val="288"/>
        </w:trPr>
        <w:tc>
          <w:tcPr>
            <w:tcW w:w="864" w:type="pct"/>
            <w:vMerge/>
            <w:shd w:val="clear" w:color="auto" w:fill="auto"/>
            <w:noWrap/>
            <w:vAlign w:val="center"/>
            <w:hideMark/>
          </w:tcPr>
          <w:p w:rsidR="000771C9" w:rsidRPr="003B3F06" w:rsidRDefault="000771C9" w:rsidP="008B4B29">
            <w:pPr>
              <w:pStyle w:val="Tablenormal0"/>
              <w:widowControl/>
              <w:spacing w:before="0" w:after="0"/>
              <w:rPr>
                <w:rFonts w:ascii="Arial Narrow" w:hAnsi="Arial Narrow"/>
                <w:b/>
                <w:sz w:val="20"/>
                <w:szCs w:val="20"/>
              </w:rPr>
            </w:pPr>
          </w:p>
        </w:tc>
        <w:tc>
          <w:tcPr>
            <w:tcW w:w="828" w:type="pct"/>
            <w:shd w:val="clear" w:color="auto" w:fill="auto"/>
            <w:noWrap/>
            <w:vAlign w:val="center"/>
            <w:hideMark/>
          </w:tcPr>
          <w:p w:rsidR="000771C9" w:rsidRPr="003B3F06" w:rsidRDefault="000771C9" w:rsidP="008B4B29">
            <w:pPr>
              <w:pStyle w:val="Tablenormal0"/>
              <w:widowControl/>
              <w:spacing w:before="0" w:after="0"/>
              <w:jc w:val="center"/>
              <w:rPr>
                <w:rFonts w:ascii="Arial Narrow" w:hAnsi="Arial Narrow"/>
                <w:b/>
                <w:sz w:val="20"/>
                <w:szCs w:val="20"/>
              </w:rPr>
            </w:pPr>
            <w:r w:rsidRPr="003B3F06">
              <w:rPr>
                <w:rFonts w:ascii="Arial Narrow" w:hAnsi="Arial Narrow"/>
                <w:b/>
                <w:sz w:val="20"/>
                <w:szCs w:val="20"/>
              </w:rPr>
              <w:t>PBS items</w:t>
            </w:r>
          </w:p>
        </w:tc>
        <w:tc>
          <w:tcPr>
            <w:tcW w:w="828" w:type="pct"/>
            <w:shd w:val="clear" w:color="auto" w:fill="auto"/>
            <w:noWrap/>
            <w:vAlign w:val="center"/>
            <w:hideMark/>
          </w:tcPr>
          <w:p w:rsidR="000771C9" w:rsidRPr="003B3F06" w:rsidRDefault="000771C9" w:rsidP="008B4B29">
            <w:pPr>
              <w:pStyle w:val="Tablenormal0"/>
              <w:widowControl/>
              <w:spacing w:before="0" w:after="0"/>
              <w:jc w:val="center"/>
              <w:rPr>
                <w:rFonts w:ascii="Arial Narrow" w:hAnsi="Arial Narrow"/>
                <w:b/>
                <w:caps/>
                <w:sz w:val="20"/>
                <w:szCs w:val="20"/>
                <w:vertAlign w:val="superscript"/>
              </w:rPr>
            </w:pPr>
            <w:r w:rsidRPr="003B3F06">
              <w:rPr>
                <w:rFonts w:ascii="Arial Narrow" w:hAnsi="Arial Narrow"/>
                <w:b/>
                <w:sz w:val="20"/>
                <w:szCs w:val="20"/>
              </w:rPr>
              <w:t xml:space="preserve">PBS expenditure </w:t>
            </w:r>
            <w:r w:rsidRPr="003B3F06">
              <w:rPr>
                <w:rFonts w:ascii="Arial Narrow" w:hAnsi="Arial Narrow"/>
                <w:b/>
                <w:sz w:val="20"/>
                <w:szCs w:val="20"/>
                <w:vertAlign w:val="superscript"/>
              </w:rPr>
              <w:t>a</w:t>
            </w:r>
          </w:p>
        </w:tc>
        <w:tc>
          <w:tcPr>
            <w:tcW w:w="828" w:type="pct"/>
            <w:shd w:val="clear" w:color="auto" w:fill="auto"/>
            <w:noWrap/>
            <w:vAlign w:val="center"/>
            <w:hideMark/>
          </w:tcPr>
          <w:p w:rsidR="000771C9" w:rsidRPr="003B3F06" w:rsidRDefault="000771C9" w:rsidP="008B4B29">
            <w:pPr>
              <w:pStyle w:val="Tablenormal0"/>
              <w:widowControl/>
              <w:spacing w:before="0" w:after="0"/>
              <w:jc w:val="center"/>
              <w:rPr>
                <w:rFonts w:ascii="Arial Narrow" w:hAnsi="Arial Narrow"/>
                <w:b/>
                <w:sz w:val="20"/>
                <w:szCs w:val="20"/>
              </w:rPr>
            </w:pPr>
            <w:r w:rsidRPr="003B3F06">
              <w:rPr>
                <w:rFonts w:ascii="Arial Narrow" w:hAnsi="Arial Narrow"/>
                <w:b/>
                <w:sz w:val="20"/>
                <w:szCs w:val="20"/>
              </w:rPr>
              <w:t>PBS items (</w:t>
            </w:r>
            <w:r w:rsidR="00A00758">
              <w:rPr>
                <w:rFonts w:ascii="Arial Narrow" w:hAnsi="Arial Narrow"/>
                <w:b/>
                <w:noProof/>
                <w:color w:val="000000"/>
                <w:sz w:val="20"/>
                <w:szCs w:val="20"/>
                <w:highlight w:val="black"/>
                <w:lang w:val="en-AU"/>
              </w:rPr>
              <w:t>''''</w:t>
            </w:r>
            <w:r w:rsidRPr="003B3F06">
              <w:rPr>
                <w:rFonts w:ascii="Arial Narrow" w:hAnsi="Arial Narrow"/>
                <w:b/>
                <w:sz w:val="20"/>
                <w:szCs w:val="20"/>
              </w:rPr>
              <w:t>% of base case estimates)</w:t>
            </w:r>
          </w:p>
        </w:tc>
        <w:tc>
          <w:tcPr>
            <w:tcW w:w="828" w:type="pct"/>
            <w:shd w:val="clear" w:color="auto" w:fill="auto"/>
            <w:noWrap/>
            <w:vAlign w:val="center"/>
            <w:hideMark/>
          </w:tcPr>
          <w:p w:rsidR="000771C9" w:rsidRPr="003B3F06" w:rsidRDefault="000771C9" w:rsidP="008B4B29">
            <w:pPr>
              <w:pStyle w:val="Tablenormal0"/>
              <w:widowControl/>
              <w:spacing w:before="0" w:after="0"/>
              <w:jc w:val="center"/>
              <w:rPr>
                <w:rFonts w:ascii="Arial Narrow" w:hAnsi="Arial Narrow"/>
                <w:b/>
                <w:sz w:val="20"/>
                <w:szCs w:val="20"/>
              </w:rPr>
            </w:pPr>
            <w:r w:rsidRPr="003B3F06">
              <w:rPr>
                <w:rFonts w:ascii="Arial Narrow" w:hAnsi="Arial Narrow"/>
                <w:b/>
                <w:sz w:val="20"/>
                <w:szCs w:val="20"/>
              </w:rPr>
              <w:t xml:space="preserve">PBS expenditure </w:t>
            </w:r>
            <w:r w:rsidRPr="003B3F06">
              <w:rPr>
                <w:rFonts w:ascii="Arial Narrow" w:hAnsi="Arial Narrow"/>
                <w:b/>
                <w:sz w:val="20"/>
                <w:szCs w:val="20"/>
                <w:vertAlign w:val="superscript"/>
              </w:rPr>
              <w:t>a</w:t>
            </w:r>
          </w:p>
        </w:tc>
        <w:tc>
          <w:tcPr>
            <w:tcW w:w="824" w:type="pct"/>
            <w:shd w:val="clear" w:color="auto" w:fill="auto"/>
            <w:noWrap/>
            <w:vAlign w:val="center"/>
            <w:hideMark/>
          </w:tcPr>
          <w:p w:rsidR="000771C9" w:rsidRPr="003B3F06" w:rsidRDefault="000771C9" w:rsidP="008B4B29">
            <w:pPr>
              <w:pStyle w:val="Tablenormal0"/>
              <w:widowControl/>
              <w:spacing w:before="0" w:after="0"/>
              <w:jc w:val="center"/>
              <w:rPr>
                <w:rFonts w:ascii="Arial Narrow" w:hAnsi="Arial Narrow"/>
                <w:b/>
                <w:sz w:val="20"/>
                <w:szCs w:val="20"/>
              </w:rPr>
            </w:pPr>
            <w:r w:rsidRPr="003B3F06">
              <w:rPr>
                <w:rFonts w:ascii="Arial Narrow" w:hAnsi="Arial Narrow"/>
                <w:b/>
                <w:sz w:val="20"/>
                <w:szCs w:val="20"/>
              </w:rPr>
              <w:t>All PBS items thereafter</w:t>
            </w:r>
          </w:p>
        </w:tc>
      </w:tr>
      <w:tr w:rsidR="000771C9" w:rsidRPr="003B3F06" w:rsidTr="009E698C">
        <w:trPr>
          <w:trHeight w:val="56"/>
        </w:trPr>
        <w:tc>
          <w:tcPr>
            <w:tcW w:w="864" w:type="pct"/>
            <w:shd w:val="clear" w:color="auto" w:fill="auto"/>
            <w:noWrap/>
            <w:vAlign w:val="center"/>
            <w:hideMark/>
          </w:tcPr>
          <w:p w:rsidR="000771C9" w:rsidRPr="003B3F06" w:rsidRDefault="000771C9" w:rsidP="008B4B29">
            <w:pPr>
              <w:pStyle w:val="Tablenormal0"/>
              <w:widowControl/>
              <w:spacing w:before="0" w:after="0"/>
              <w:rPr>
                <w:rFonts w:ascii="Arial Narrow" w:hAnsi="Arial Narrow"/>
                <w:sz w:val="20"/>
                <w:szCs w:val="20"/>
              </w:rPr>
            </w:pPr>
            <w:r w:rsidRPr="003B3F06">
              <w:rPr>
                <w:rFonts w:ascii="Arial Narrow" w:hAnsi="Arial Narrow"/>
                <w:sz w:val="20"/>
                <w:szCs w:val="20"/>
              </w:rPr>
              <w:t>Year 1</w:t>
            </w:r>
          </w:p>
        </w:tc>
        <w:tc>
          <w:tcPr>
            <w:tcW w:w="828" w:type="pct"/>
            <w:shd w:val="clear" w:color="auto" w:fill="auto"/>
            <w:noWrap/>
            <w:vAlign w:val="center"/>
            <w:hideMark/>
          </w:tcPr>
          <w:p w:rsidR="000771C9" w:rsidRPr="00A00758" w:rsidRDefault="00A00758" w:rsidP="008B4B29">
            <w:pPr>
              <w:pStyle w:val="Tablenormal0"/>
              <w:widowControl/>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828" w:type="pct"/>
            <w:shd w:val="clear" w:color="auto" w:fill="auto"/>
            <w:noWrap/>
            <w:vAlign w:val="center"/>
            <w:hideMark/>
          </w:tcPr>
          <w:p w:rsidR="000771C9" w:rsidRPr="003B3F06" w:rsidRDefault="000771C9" w:rsidP="008B4B29">
            <w:pPr>
              <w:pStyle w:val="Tablenormal0"/>
              <w:widowControl/>
              <w:spacing w:before="0" w:after="0"/>
              <w:jc w:val="center"/>
              <w:rPr>
                <w:rFonts w:ascii="Arial Narrow" w:hAnsi="Arial Narrow"/>
                <w:sz w:val="20"/>
                <w:szCs w:val="20"/>
              </w:rPr>
            </w:pPr>
            <w:r w:rsidRPr="003B3F06">
              <w:rPr>
                <w:rFonts w:ascii="Arial Narrow" w:hAnsi="Arial Narrow"/>
                <w:sz w:val="20"/>
                <w:szCs w:val="20"/>
              </w:rPr>
              <w:t>$</w:t>
            </w:r>
            <w:r w:rsidR="00A00758">
              <w:rPr>
                <w:rFonts w:ascii="Arial Narrow" w:hAnsi="Arial Narrow"/>
                <w:noProof/>
                <w:color w:val="000000"/>
                <w:sz w:val="20"/>
                <w:szCs w:val="20"/>
                <w:highlight w:val="black"/>
              </w:rPr>
              <w:t>''''''''''''''''''''''''''</w:t>
            </w:r>
          </w:p>
        </w:tc>
        <w:tc>
          <w:tcPr>
            <w:tcW w:w="828" w:type="pct"/>
            <w:shd w:val="clear" w:color="auto" w:fill="auto"/>
            <w:noWrap/>
            <w:vAlign w:val="center"/>
            <w:hideMark/>
          </w:tcPr>
          <w:p w:rsidR="000771C9" w:rsidRPr="00A00758" w:rsidRDefault="00A00758" w:rsidP="008B4B29">
            <w:pPr>
              <w:pStyle w:val="Tablenormal0"/>
              <w:widowControl/>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828" w:type="pct"/>
            <w:shd w:val="clear" w:color="auto" w:fill="auto"/>
            <w:noWrap/>
            <w:vAlign w:val="center"/>
            <w:hideMark/>
          </w:tcPr>
          <w:p w:rsidR="000771C9" w:rsidRPr="003B3F06" w:rsidRDefault="000771C9" w:rsidP="008B4B29">
            <w:pPr>
              <w:pStyle w:val="Tablenormal0"/>
              <w:widowControl/>
              <w:spacing w:before="0" w:after="0"/>
              <w:jc w:val="center"/>
              <w:rPr>
                <w:rFonts w:ascii="Arial Narrow" w:hAnsi="Arial Narrow"/>
                <w:sz w:val="20"/>
                <w:szCs w:val="20"/>
              </w:rPr>
            </w:pPr>
            <w:r w:rsidRPr="003B3F06">
              <w:rPr>
                <w:rFonts w:ascii="Arial Narrow" w:hAnsi="Arial Narrow"/>
                <w:sz w:val="20"/>
                <w:szCs w:val="20"/>
              </w:rPr>
              <w:t>$</w:t>
            </w:r>
            <w:r w:rsidR="00A00758">
              <w:rPr>
                <w:rFonts w:ascii="Arial Narrow" w:hAnsi="Arial Narrow"/>
                <w:noProof/>
                <w:color w:val="000000"/>
                <w:sz w:val="20"/>
                <w:szCs w:val="20"/>
                <w:highlight w:val="black"/>
              </w:rPr>
              <w:t>''''''''''''''''''''''''''</w:t>
            </w:r>
          </w:p>
        </w:tc>
        <w:tc>
          <w:tcPr>
            <w:tcW w:w="824" w:type="pct"/>
            <w:shd w:val="clear" w:color="auto" w:fill="auto"/>
            <w:noWrap/>
            <w:vAlign w:val="center"/>
            <w:hideMark/>
          </w:tcPr>
          <w:p w:rsidR="000771C9" w:rsidRPr="00A00758" w:rsidRDefault="00A00758" w:rsidP="008B4B29">
            <w:pPr>
              <w:pStyle w:val="Tablenormal0"/>
              <w:widowControl/>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0771C9" w:rsidRPr="003B3F06" w:rsidTr="009E698C">
        <w:trPr>
          <w:trHeight w:val="56"/>
        </w:trPr>
        <w:tc>
          <w:tcPr>
            <w:tcW w:w="864" w:type="pct"/>
            <w:shd w:val="clear" w:color="auto" w:fill="auto"/>
            <w:noWrap/>
            <w:vAlign w:val="center"/>
            <w:hideMark/>
          </w:tcPr>
          <w:p w:rsidR="000771C9" w:rsidRPr="003B3F06" w:rsidRDefault="000771C9" w:rsidP="008B4B29">
            <w:pPr>
              <w:pStyle w:val="Tablenormal0"/>
              <w:widowControl/>
              <w:spacing w:before="0" w:after="0"/>
              <w:rPr>
                <w:rFonts w:ascii="Arial Narrow" w:hAnsi="Arial Narrow"/>
                <w:sz w:val="20"/>
                <w:szCs w:val="20"/>
              </w:rPr>
            </w:pPr>
            <w:r w:rsidRPr="003B3F06">
              <w:rPr>
                <w:rFonts w:ascii="Arial Narrow" w:hAnsi="Arial Narrow"/>
                <w:sz w:val="20"/>
                <w:szCs w:val="20"/>
              </w:rPr>
              <w:t>Year 2</w:t>
            </w:r>
          </w:p>
        </w:tc>
        <w:tc>
          <w:tcPr>
            <w:tcW w:w="828" w:type="pct"/>
            <w:shd w:val="clear" w:color="auto" w:fill="auto"/>
            <w:noWrap/>
            <w:vAlign w:val="center"/>
            <w:hideMark/>
          </w:tcPr>
          <w:p w:rsidR="000771C9" w:rsidRPr="00A00758" w:rsidRDefault="00A00758" w:rsidP="008B4B29">
            <w:pPr>
              <w:pStyle w:val="Tablenormal0"/>
              <w:widowControl/>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828" w:type="pct"/>
            <w:shd w:val="clear" w:color="auto" w:fill="auto"/>
            <w:noWrap/>
            <w:vAlign w:val="center"/>
            <w:hideMark/>
          </w:tcPr>
          <w:p w:rsidR="000771C9" w:rsidRPr="003B3F06" w:rsidRDefault="000771C9" w:rsidP="008B4B29">
            <w:pPr>
              <w:pStyle w:val="Tablenormal0"/>
              <w:widowControl/>
              <w:spacing w:before="0" w:after="0"/>
              <w:jc w:val="center"/>
              <w:rPr>
                <w:rFonts w:ascii="Arial Narrow" w:hAnsi="Arial Narrow"/>
                <w:sz w:val="20"/>
                <w:szCs w:val="20"/>
              </w:rPr>
            </w:pPr>
            <w:r w:rsidRPr="003B3F06">
              <w:rPr>
                <w:rFonts w:ascii="Arial Narrow" w:hAnsi="Arial Narrow"/>
                <w:sz w:val="20"/>
                <w:szCs w:val="20"/>
              </w:rPr>
              <w:t>$</w:t>
            </w:r>
            <w:r w:rsidR="00A00758">
              <w:rPr>
                <w:rFonts w:ascii="Arial Narrow" w:hAnsi="Arial Narrow"/>
                <w:noProof/>
                <w:color w:val="000000"/>
                <w:sz w:val="20"/>
                <w:szCs w:val="20"/>
                <w:highlight w:val="black"/>
              </w:rPr>
              <w:t>''''''''''''''''''''''''''</w:t>
            </w:r>
          </w:p>
        </w:tc>
        <w:tc>
          <w:tcPr>
            <w:tcW w:w="828" w:type="pct"/>
            <w:shd w:val="clear" w:color="auto" w:fill="auto"/>
            <w:noWrap/>
            <w:vAlign w:val="center"/>
            <w:hideMark/>
          </w:tcPr>
          <w:p w:rsidR="000771C9" w:rsidRPr="00A00758" w:rsidRDefault="00A00758" w:rsidP="008B4B29">
            <w:pPr>
              <w:pStyle w:val="Tablenormal0"/>
              <w:widowControl/>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828" w:type="pct"/>
            <w:shd w:val="clear" w:color="auto" w:fill="auto"/>
            <w:noWrap/>
            <w:vAlign w:val="center"/>
            <w:hideMark/>
          </w:tcPr>
          <w:p w:rsidR="000771C9" w:rsidRPr="003B3F06" w:rsidRDefault="000771C9" w:rsidP="008B4B29">
            <w:pPr>
              <w:pStyle w:val="Tablenormal0"/>
              <w:widowControl/>
              <w:spacing w:before="0" w:after="0"/>
              <w:jc w:val="center"/>
              <w:rPr>
                <w:rFonts w:ascii="Arial Narrow" w:hAnsi="Arial Narrow"/>
                <w:sz w:val="20"/>
                <w:szCs w:val="20"/>
              </w:rPr>
            </w:pPr>
            <w:r w:rsidRPr="003B3F06">
              <w:rPr>
                <w:rFonts w:ascii="Arial Narrow" w:hAnsi="Arial Narrow"/>
                <w:sz w:val="20"/>
                <w:szCs w:val="20"/>
              </w:rPr>
              <w:t>$</w:t>
            </w:r>
            <w:r w:rsidR="00A00758">
              <w:rPr>
                <w:rFonts w:ascii="Arial Narrow" w:hAnsi="Arial Narrow"/>
                <w:noProof/>
                <w:color w:val="000000"/>
                <w:sz w:val="20"/>
                <w:szCs w:val="20"/>
                <w:highlight w:val="black"/>
              </w:rPr>
              <w:t>'''''''''''''''''''''''''</w:t>
            </w:r>
          </w:p>
        </w:tc>
        <w:tc>
          <w:tcPr>
            <w:tcW w:w="824" w:type="pct"/>
            <w:shd w:val="clear" w:color="auto" w:fill="auto"/>
            <w:noWrap/>
            <w:vAlign w:val="center"/>
            <w:hideMark/>
          </w:tcPr>
          <w:p w:rsidR="000771C9" w:rsidRPr="00A00758" w:rsidRDefault="00A00758" w:rsidP="008B4B29">
            <w:pPr>
              <w:pStyle w:val="Tablenormal0"/>
              <w:widowControl/>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0771C9" w:rsidRPr="003B3F06" w:rsidTr="009E698C">
        <w:trPr>
          <w:trHeight w:val="56"/>
        </w:trPr>
        <w:tc>
          <w:tcPr>
            <w:tcW w:w="864" w:type="pct"/>
            <w:shd w:val="clear" w:color="auto" w:fill="auto"/>
            <w:noWrap/>
            <w:vAlign w:val="center"/>
            <w:hideMark/>
          </w:tcPr>
          <w:p w:rsidR="000771C9" w:rsidRPr="003B3F06" w:rsidRDefault="000771C9" w:rsidP="008B4B29">
            <w:pPr>
              <w:pStyle w:val="Tablenormal0"/>
              <w:widowControl/>
              <w:spacing w:before="0" w:after="0"/>
              <w:rPr>
                <w:rFonts w:ascii="Arial Narrow" w:hAnsi="Arial Narrow"/>
                <w:sz w:val="20"/>
                <w:szCs w:val="20"/>
              </w:rPr>
            </w:pPr>
            <w:r w:rsidRPr="003B3F06">
              <w:rPr>
                <w:rFonts w:ascii="Arial Narrow" w:hAnsi="Arial Narrow"/>
                <w:sz w:val="20"/>
                <w:szCs w:val="20"/>
              </w:rPr>
              <w:t>Year 3</w:t>
            </w:r>
          </w:p>
        </w:tc>
        <w:tc>
          <w:tcPr>
            <w:tcW w:w="828" w:type="pct"/>
            <w:shd w:val="clear" w:color="auto" w:fill="auto"/>
            <w:noWrap/>
            <w:vAlign w:val="center"/>
            <w:hideMark/>
          </w:tcPr>
          <w:p w:rsidR="000771C9" w:rsidRPr="00A00758" w:rsidRDefault="00A00758" w:rsidP="008B4B29">
            <w:pPr>
              <w:pStyle w:val="Tablenormal0"/>
              <w:widowControl/>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828" w:type="pct"/>
            <w:shd w:val="clear" w:color="auto" w:fill="auto"/>
            <w:noWrap/>
            <w:vAlign w:val="center"/>
            <w:hideMark/>
          </w:tcPr>
          <w:p w:rsidR="000771C9" w:rsidRPr="003B3F06" w:rsidRDefault="000771C9" w:rsidP="008B4B29">
            <w:pPr>
              <w:pStyle w:val="Tablenormal0"/>
              <w:widowControl/>
              <w:spacing w:before="0" w:after="0"/>
              <w:jc w:val="center"/>
              <w:rPr>
                <w:rFonts w:ascii="Arial Narrow" w:hAnsi="Arial Narrow"/>
                <w:sz w:val="20"/>
                <w:szCs w:val="20"/>
              </w:rPr>
            </w:pPr>
            <w:r w:rsidRPr="003B3F06">
              <w:rPr>
                <w:rFonts w:ascii="Arial Narrow" w:hAnsi="Arial Narrow"/>
                <w:sz w:val="20"/>
                <w:szCs w:val="20"/>
              </w:rPr>
              <w:t>$</w:t>
            </w:r>
            <w:r w:rsidR="00A00758">
              <w:rPr>
                <w:rFonts w:ascii="Arial Narrow" w:hAnsi="Arial Narrow"/>
                <w:noProof/>
                <w:color w:val="000000"/>
                <w:sz w:val="20"/>
                <w:szCs w:val="20"/>
                <w:highlight w:val="black"/>
              </w:rPr>
              <w:t>''''''''''''''''''''''''''''</w:t>
            </w:r>
          </w:p>
        </w:tc>
        <w:tc>
          <w:tcPr>
            <w:tcW w:w="828" w:type="pct"/>
            <w:shd w:val="clear" w:color="auto" w:fill="auto"/>
            <w:noWrap/>
            <w:vAlign w:val="center"/>
            <w:hideMark/>
          </w:tcPr>
          <w:p w:rsidR="000771C9" w:rsidRPr="00A00758" w:rsidRDefault="00A00758" w:rsidP="008B4B29">
            <w:pPr>
              <w:pStyle w:val="Tablenormal0"/>
              <w:widowControl/>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828" w:type="pct"/>
            <w:shd w:val="clear" w:color="auto" w:fill="auto"/>
            <w:noWrap/>
            <w:vAlign w:val="center"/>
            <w:hideMark/>
          </w:tcPr>
          <w:p w:rsidR="000771C9" w:rsidRPr="003B3F06" w:rsidRDefault="000771C9" w:rsidP="008B4B29">
            <w:pPr>
              <w:pStyle w:val="Tablenormal0"/>
              <w:widowControl/>
              <w:spacing w:before="0" w:after="0"/>
              <w:jc w:val="center"/>
              <w:rPr>
                <w:rFonts w:ascii="Arial Narrow" w:hAnsi="Arial Narrow"/>
                <w:sz w:val="20"/>
                <w:szCs w:val="20"/>
              </w:rPr>
            </w:pPr>
            <w:r w:rsidRPr="003B3F06">
              <w:rPr>
                <w:rFonts w:ascii="Arial Narrow" w:hAnsi="Arial Narrow"/>
                <w:sz w:val="20"/>
                <w:szCs w:val="20"/>
              </w:rPr>
              <w:t>$</w:t>
            </w:r>
            <w:r w:rsidR="00A00758">
              <w:rPr>
                <w:rFonts w:ascii="Arial Narrow" w:hAnsi="Arial Narrow"/>
                <w:noProof/>
                <w:color w:val="000000"/>
                <w:sz w:val="20"/>
                <w:szCs w:val="20"/>
                <w:highlight w:val="black"/>
              </w:rPr>
              <w:t>'''''''''''''''''''''''</w:t>
            </w:r>
          </w:p>
        </w:tc>
        <w:tc>
          <w:tcPr>
            <w:tcW w:w="824" w:type="pct"/>
            <w:shd w:val="clear" w:color="auto" w:fill="auto"/>
            <w:noWrap/>
            <w:vAlign w:val="center"/>
            <w:hideMark/>
          </w:tcPr>
          <w:p w:rsidR="000771C9" w:rsidRPr="00A00758" w:rsidRDefault="00A00758" w:rsidP="008B4B29">
            <w:pPr>
              <w:pStyle w:val="Tablenormal0"/>
              <w:widowControl/>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0771C9" w:rsidRPr="003B3F06" w:rsidTr="009E698C">
        <w:trPr>
          <w:trHeight w:val="56"/>
        </w:trPr>
        <w:tc>
          <w:tcPr>
            <w:tcW w:w="864" w:type="pct"/>
            <w:shd w:val="clear" w:color="auto" w:fill="auto"/>
            <w:noWrap/>
            <w:vAlign w:val="center"/>
            <w:hideMark/>
          </w:tcPr>
          <w:p w:rsidR="000771C9" w:rsidRPr="003B3F06" w:rsidRDefault="000771C9" w:rsidP="008B4B29">
            <w:pPr>
              <w:pStyle w:val="Tablenormal0"/>
              <w:widowControl/>
              <w:spacing w:before="0" w:after="0"/>
              <w:rPr>
                <w:rFonts w:ascii="Arial Narrow" w:hAnsi="Arial Narrow"/>
                <w:sz w:val="20"/>
                <w:szCs w:val="20"/>
              </w:rPr>
            </w:pPr>
            <w:r w:rsidRPr="003B3F06">
              <w:rPr>
                <w:rFonts w:ascii="Arial Narrow" w:hAnsi="Arial Narrow"/>
                <w:sz w:val="20"/>
                <w:szCs w:val="20"/>
              </w:rPr>
              <w:t>Year 4</w:t>
            </w:r>
          </w:p>
        </w:tc>
        <w:tc>
          <w:tcPr>
            <w:tcW w:w="828" w:type="pct"/>
            <w:shd w:val="clear" w:color="auto" w:fill="auto"/>
            <w:noWrap/>
            <w:vAlign w:val="center"/>
            <w:hideMark/>
          </w:tcPr>
          <w:p w:rsidR="000771C9" w:rsidRPr="00A00758" w:rsidRDefault="00A00758" w:rsidP="008B4B29">
            <w:pPr>
              <w:pStyle w:val="Tablenormal0"/>
              <w:widowControl/>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828" w:type="pct"/>
            <w:shd w:val="clear" w:color="auto" w:fill="auto"/>
            <w:noWrap/>
            <w:vAlign w:val="center"/>
            <w:hideMark/>
          </w:tcPr>
          <w:p w:rsidR="000771C9" w:rsidRPr="003B3F06" w:rsidRDefault="000771C9" w:rsidP="008B4B29">
            <w:pPr>
              <w:pStyle w:val="Tablenormal0"/>
              <w:widowControl/>
              <w:spacing w:before="0" w:after="0"/>
              <w:jc w:val="center"/>
              <w:rPr>
                <w:rFonts w:ascii="Arial Narrow" w:hAnsi="Arial Narrow"/>
                <w:sz w:val="20"/>
                <w:szCs w:val="20"/>
              </w:rPr>
            </w:pPr>
            <w:r w:rsidRPr="003B3F06">
              <w:rPr>
                <w:rFonts w:ascii="Arial Narrow" w:hAnsi="Arial Narrow"/>
                <w:sz w:val="20"/>
                <w:szCs w:val="20"/>
              </w:rPr>
              <w:t>$</w:t>
            </w:r>
            <w:r w:rsidR="00A00758">
              <w:rPr>
                <w:rFonts w:ascii="Arial Narrow" w:hAnsi="Arial Narrow"/>
                <w:noProof/>
                <w:color w:val="000000"/>
                <w:sz w:val="20"/>
                <w:szCs w:val="20"/>
                <w:highlight w:val="black"/>
              </w:rPr>
              <w:t>'''''''''''''''''''''''''</w:t>
            </w:r>
          </w:p>
        </w:tc>
        <w:tc>
          <w:tcPr>
            <w:tcW w:w="828" w:type="pct"/>
            <w:shd w:val="clear" w:color="auto" w:fill="auto"/>
            <w:noWrap/>
            <w:vAlign w:val="center"/>
            <w:hideMark/>
          </w:tcPr>
          <w:p w:rsidR="000771C9" w:rsidRPr="00A00758" w:rsidRDefault="00A00758" w:rsidP="008B4B29">
            <w:pPr>
              <w:pStyle w:val="Tablenormal0"/>
              <w:widowControl/>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828" w:type="pct"/>
            <w:shd w:val="clear" w:color="auto" w:fill="auto"/>
            <w:noWrap/>
            <w:vAlign w:val="center"/>
            <w:hideMark/>
          </w:tcPr>
          <w:p w:rsidR="000771C9" w:rsidRPr="003B3F06" w:rsidRDefault="000771C9" w:rsidP="008B4B29">
            <w:pPr>
              <w:pStyle w:val="Tablenormal0"/>
              <w:widowControl/>
              <w:spacing w:before="0" w:after="0"/>
              <w:jc w:val="center"/>
              <w:rPr>
                <w:rFonts w:ascii="Arial Narrow" w:hAnsi="Arial Narrow"/>
                <w:sz w:val="20"/>
                <w:szCs w:val="20"/>
              </w:rPr>
            </w:pPr>
            <w:r w:rsidRPr="003B3F06">
              <w:rPr>
                <w:rFonts w:ascii="Arial Narrow" w:hAnsi="Arial Narrow"/>
                <w:sz w:val="20"/>
                <w:szCs w:val="20"/>
              </w:rPr>
              <w:t>$</w:t>
            </w:r>
            <w:r w:rsidR="00A00758">
              <w:rPr>
                <w:rFonts w:ascii="Arial Narrow" w:hAnsi="Arial Narrow"/>
                <w:noProof/>
                <w:color w:val="000000"/>
                <w:sz w:val="20"/>
                <w:szCs w:val="20"/>
                <w:highlight w:val="black"/>
              </w:rPr>
              <w:t>'''''''''''''''''''''''''</w:t>
            </w:r>
          </w:p>
        </w:tc>
        <w:tc>
          <w:tcPr>
            <w:tcW w:w="824" w:type="pct"/>
            <w:shd w:val="clear" w:color="auto" w:fill="auto"/>
            <w:noWrap/>
            <w:vAlign w:val="center"/>
            <w:hideMark/>
          </w:tcPr>
          <w:p w:rsidR="000771C9" w:rsidRPr="00A00758" w:rsidRDefault="00A00758" w:rsidP="008B4B29">
            <w:pPr>
              <w:pStyle w:val="Tablenormal0"/>
              <w:widowControl/>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0771C9" w:rsidRPr="003B3F06" w:rsidTr="009E698C">
        <w:trPr>
          <w:trHeight w:val="56"/>
        </w:trPr>
        <w:tc>
          <w:tcPr>
            <w:tcW w:w="864" w:type="pct"/>
            <w:shd w:val="clear" w:color="auto" w:fill="auto"/>
            <w:noWrap/>
            <w:vAlign w:val="center"/>
            <w:hideMark/>
          </w:tcPr>
          <w:p w:rsidR="000771C9" w:rsidRPr="003B3F06" w:rsidRDefault="000771C9" w:rsidP="008B4B29">
            <w:pPr>
              <w:pStyle w:val="Tablenormal0"/>
              <w:widowControl/>
              <w:spacing w:before="0" w:after="0"/>
              <w:rPr>
                <w:rFonts w:ascii="Arial Narrow" w:hAnsi="Arial Narrow"/>
                <w:sz w:val="20"/>
                <w:szCs w:val="20"/>
              </w:rPr>
            </w:pPr>
            <w:r w:rsidRPr="003B3F06">
              <w:rPr>
                <w:rFonts w:ascii="Arial Narrow" w:hAnsi="Arial Narrow"/>
                <w:sz w:val="20"/>
                <w:szCs w:val="20"/>
              </w:rPr>
              <w:t>Year 5</w:t>
            </w:r>
          </w:p>
        </w:tc>
        <w:tc>
          <w:tcPr>
            <w:tcW w:w="828" w:type="pct"/>
            <w:shd w:val="clear" w:color="auto" w:fill="auto"/>
            <w:noWrap/>
            <w:vAlign w:val="center"/>
            <w:hideMark/>
          </w:tcPr>
          <w:p w:rsidR="000771C9" w:rsidRPr="00A00758" w:rsidRDefault="00A00758" w:rsidP="008B4B29">
            <w:pPr>
              <w:pStyle w:val="Tablenormal0"/>
              <w:widowControl/>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828" w:type="pct"/>
            <w:shd w:val="clear" w:color="auto" w:fill="auto"/>
            <w:noWrap/>
            <w:vAlign w:val="center"/>
            <w:hideMark/>
          </w:tcPr>
          <w:p w:rsidR="000771C9" w:rsidRPr="003B3F06" w:rsidRDefault="000771C9" w:rsidP="008B4B29">
            <w:pPr>
              <w:pStyle w:val="Tablenormal0"/>
              <w:widowControl/>
              <w:spacing w:before="0" w:after="0"/>
              <w:jc w:val="center"/>
              <w:rPr>
                <w:rFonts w:ascii="Arial Narrow" w:hAnsi="Arial Narrow"/>
                <w:sz w:val="20"/>
                <w:szCs w:val="20"/>
              </w:rPr>
            </w:pPr>
            <w:r w:rsidRPr="003B3F06">
              <w:rPr>
                <w:rFonts w:ascii="Arial Narrow" w:hAnsi="Arial Narrow"/>
                <w:sz w:val="20"/>
                <w:szCs w:val="20"/>
              </w:rPr>
              <w:t>$</w:t>
            </w:r>
            <w:r w:rsidR="00A00758">
              <w:rPr>
                <w:rFonts w:ascii="Arial Narrow" w:hAnsi="Arial Narrow"/>
                <w:noProof/>
                <w:color w:val="000000"/>
                <w:sz w:val="20"/>
                <w:szCs w:val="20"/>
                <w:highlight w:val="black"/>
              </w:rPr>
              <w:t>''''''''''''''''''''''''''''</w:t>
            </w:r>
          </w:p>
        </w:tc>
        <w:tc>
          <w:tcPr>
            <w:tcW w:w="828" w:type="pct"/>
            <w:shd w:val="clear" w:color="auto" w:fill="auto"/>
            <w:noWrap/>
            <w:vAlign w:val="center"/>
            <w:hideMark/>
          </w:tcPr>
          <w:p w:rsidR="000771C9" w:rsidRPr="00A00758" w:rsidRDefault="00A00758" w:rsidP="008B4B29">
            <w:pPr>
              <w:pStyle w:val="Tablenormal0"/>
              <w:widowControl/>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828" w:type="pct"/>
            <w:shd w:val="clear" w:color="auto" w:fill="auto"/>
            <w:noWrap/>
            <w:vAlign w:val="center"/>
            <w:hideMark/>
          </w:tcPr>
          <w:p w:rsidR="000771C9" w:rsidRPr="003B3F06" w:rsidRDefault="000771C9" w:rsidP="008B4B29">
            <w:pPr>
              <w:pStyle w:val="Tablenormal0"/>
              <w:widowControl/>
              <w:spacing w:before="0" w:after="0"/>
              <w:jc w:val="center"/>
              <w:rPr>
                <w:rFonts w:ascii="Arial Narrow" w:hAnsi="Arial Narrow"/>
                <w:sz w:val="20"/>
                <w:szCs w:val="20"/>
              </w:rPr>
            </w:pPr>
            <w:r w:rsidRPr="003B3F06">
              <w:rPr>
                <w:rFonts w:ascii="Arial Narrow" w:hAnsi="Arial Narrow"/>
                <w:sz w:val="20"/>
                <w:szCs w:val="20"/>
              </w:rPr>
              <w:t>$</w:t>
            </w:r>
            <w:r w:rsidR="00A00758">
              <w:rPr>
                <w:rFonts w:ascii="Arial Narrow" w:hAnsi="Arial Narrow"/>
                <w:noProof/>
                <w:color w:val="000000"/>
                <w:sz w:val="20"/>
                <w:szCs w:val="20"/>
                <w:highlight w:val="black"/>
              </w:rPr>
              <w:t>'''''''''''''''''''''''</w:t>
            </w:r>
          </w:p>
        </w:tc>
        <w:tc>
          <w:tcPr>
            <w:tcW w:w="824" w:type="pct"/>
            <w:shd w:val="clear" w:color="auto" w:fill="auto"/>
            <w:noWrap/>
            <w:vAlign w:val="center"/>
            <w:hideMark/>
          </w:tcPr>
          <w:p w:rsidR="000771C9" w:rsidRPr="00A00758" w:rsidRDefault="00A00758" w:rsidP="008B4B29">
            <w:pPr>
              <w:pStyle w:val="Tablenormal0"/>
              <w:widowControl/>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r>
    </w:tbl>
    <w:p w:rsidR="000771C9" w:rsidRPr="000771C9" w:rsidRDefault="000771C9" w:rsidP="008B4B29">
      <w:pPr>
        <w:widowControl/>
        <w:rPr>
          <w:rStyle w:val="CommentReference"/>
          <w:b w:val="0"/>
          <w:sz w:val="18"/>
        </w:rPr>
      </w:pPr>
      <w:proofErr w:type="gramStart"/>
      <w:r w:rsidRPr="000771C9">
        <w:rPr>
          <w:rStyle w:val="CommentReference"/>
          <w:b w:val="0"/>
          <w:sz w:val="18"/>
        </w:rPr>
        <w:t>a</w:t>
      </w:r>
      <w:proofErr w:type="gramEnd"/>
      <w:r w:rsidRPr="000771C9">
        <w:rPr>
          <w:rStyle w:val="CommentReference"/>
          <w:b w:val="0"/>
          <w:sz w:val="18"/>
        </w:rPr>
        <w:t xml:space="preserve"> Calculated in the resubmission assuming co-payments of $25.06 per PBS item.</w:t>
      </w:r>
    </w:p>
    <w:p w:rsidR="000771C9" w:rsidRPr="000771C9" w:rsidRDefault="000771C9" w:rsidP="008B4B29">
      <w:pPr>
        <w:widowControl/>
        <w:rPr>
          <w:rStyle w:val="CommentReference"/>
          <w:b w:val="0"/>
          <w:sz w:val="18"/>
        </w:rPr>
      </w:pPr>
      <w:r w:rsidRPr="000771C9">
        <w:rPr>
          <w:rStyle w:val="CommentReference"/>
          <w:b w:val="0"/>
          <w:sz w:val="18"/>
        </w:rPr>
        <w:t>Abbreviations: DPMQ, dispensed price for maximum quantity; RSA, risk sharing arrangement.</w:t>
      </w:r>
    </w:p>
    <w:p w:rsidR="000771C9" w:rsidRDefault="000771C9" w:rsidP="008B4B29">
      <w:pPr>
        <w:widowControl/>
        <w:rPr>
          <w:rStyle w:val="CommentReference"/>
          <w:b w:val="0"/>
          <w:sz w:val="18"/>
        </w:rPr>
      </w:pPr>
      <w:r w:rsidRPr="000771C9">
        <w:rPr>
          <w:rStyle w:val="CommentReference"/>
          <w:b w:val="0"/>
          <w:sz w:val="18"/>
        </w:rPr>
        <w:t>Source: Table 4-18, p190 of the resubmission.</w:t>
      </w:r>
    </w:p>
    <w:p w:rsidR="001341BE" w:rsidRDefault="001341BE" w:rsidP="008B4B29">
      <w:pPr>
        <w:widowControl/>
        <w:rPr>
          <w:rStyle w:val="CommentReference"/>
          <w:b w:val="0"/>
          <w:sz w:val="18"/>
        </w:rPr>
      </w:pPr>
    </w:p>
    <w:p w:rsidR="001341BE" w:rsidRDefault="001341BE" w:rsidP="002A0A80">
      <w:pPr>
        <w:widowControl/>
        <w:ind w:firstLine="709"/>
        <w:rPr>
          <w:rFonts w:asciiTheme="minorHAnsi" w:hAnsiTheme="minorHAnsi"/>
          <w:i/>
        </w:rPr>
      </w:pPr>
      <w:r w:rsidRPr="00965B3D">
        <w:rPr>
          <w:rFonts w:asciiTheme="minorHAnsi" w:hAnsiTheme="minorHAnsi"/>
          <w:i/>
        </w:rPr>
        <w:t>For more detail on PBAC’s view, see section 7 PBAC outcome.</w:t>
      </w:r>
    </w:p>
    <w:p w:rsidR="00547A02" w:rsidRDefault="00547A02" w:rsidP="001341BE">
      <w:pPr>
        <w:widowControl/>
        <w:ind w:firstLine="709"/>
        <w:rPr>
          <w:rFonts w:asciiTheme="minorHAnsi" w:hAnsiTheme="minorHAnsi"/>
          <w:i/>
        </w:rPr>
      </w:pPr>
    </w:p>
    <w:p w:rsidR="00547A02" w:rsidRPr="002A0A80" w:rsidRDefault="00547A02" w:rsidP="002A0A80">
      <w:pPr>
        <w:pStyle w:val="PBACHeading1"/>
        <w:outlineLvl w:val="0"/>
        <w:rPr>
          <w:rFonts w:cs="Times New Roman"/>
          <w:snapToGrid/>
          <w:color w:val="000000" w:themeColor="text1"/>
          <w:sz w:val="24"/>
        </w:rPr>
      </w:pPr>
      <w:r w:rsidRPr="006452AD">
        <w:t>PBAC Outcome</w:t>
      </w:r>
    </w:p>
    <w:p w:rsidR="00547A02" w:rsidRPr="007A5D41" w:rsidRDefault="008A6173" w:rsidP="002A0A80">
      <w:pPr>
        <w:numPr>
          <w:ilvl w:val="1"/>
          <w:numId w:val="3"/>
        </w:numPr>
        <w:spacing w:after="120"/>
        <w:ind w:left="709" w:hanging="709"/>
        <w:rPr>
          <w:rFonts w:asciiTheme="minorHAnsi" w:hAnsiTheme="minorHAnsi"/>
          <w:bCs/>
          <w:lang w:val="en-GB"/>
        </w:rPr>
      </w:pPr>
      <w:r w:rsidRPr="007A5D41">
        <w:rPr>
          <w:bCs/>
        </w:rPr>
        <w:t>The PBAC defer</w:t>
      </w:r>
      <w:r w:rsidR="00275882" w:rsidRPr="007A5D41">
        <w:rPr>
          <w:bCs/>
        </w:rPr>
        <w:t>red making a decision regarding</w:t>
      </w:r>
      <w:r w:rsidRPr="007A5D41">
        <w:rPr>
          <w:bCs/>
        </w:rPr>
        <w:t xml:space="preserve"> the listing of tolvaptan for </w:t>
      </w:r>
      <w:r w:rsidRPr="007A5D41">
        <w:t>the treatment of autosomal dominant polycystic kidney disease (ADPKD)</w:t>
      </w:r>
      <w:r w:rsidR="00683074">
        <w:t xml:space="preserve">. </w:t>
      </w:r>
      <w:r w:rsidR="00683074" w:rsidRPr="00683074">
        <w:t xml:space="preserve">The PBAC accepted the high clinical need for effective therapy to treat ADPKD, however it was considered the clinical benefit of tolvaptan treatment was uncertain and at best </w:t>
      </w:r>
      <w:r w:rsidR="008460B2">
        <w:t>very small</w:t>
      </w:r>
      <w:r w:rsidR="00683074" w:rsidRPr="00683074">
        <w:t>. No new trial data is anticipated that could resolve this issue. Treatment is also expected to be long-term; over 40-50 years. In this context the PBAC considered a further submission for PBS listing would need to consider resolving issues of uncertain clinical benefit and duration of therapy by adjusting the optimistic assumptions in the economic evaluation</w:t>
      </w:r>
      <w:r w:rsidR="00D548AF">
        <w:t>. The price would also need to be substantially lower</w:t>
      </w:r>
      <w:r w:rsidR="00683074" w:rsidRPr="00683074">
        <w:t xml:space="preserve"> to reduce the incremental cost effectiveness ratio</w:t>
      </w:r>
      <w:r w:rsidR="0020475C">
        <w:t xml:space="preserve"> (ICER)</w:t>
      </w:r>
      <w:r w:rsidR="00683074" w:rsidRPr="00683074">
        <w:t xml:space="preserve">. Further work on the proposed PBS restriction </w:t>
      </w:r>
      <w:r w:rsidR="00E70ABF">
        <w:t>would be</w:t>
      </w:r>
      <w:r w:rsidR="00683074" w:rsidRPr="00683074">
        <w:t xml:space="preserve"> required</w:t>
      </w:r>
      <w:r w:rsidR="00FD30F4">
        <w:t xml:space="preserve"> to identify a more severely affected patient group. PBS listing would also require a tight risk share arrangement to limit subsidy to this more severely affected population.</w:t>
      </w:r>
      <w:r w:rsidR="00683074" w:rsidRPr="00683074">
        <w:t xml:space="preserve">  </w:t>
      </w:r>
    </w:p>
    <w:p w:rsidR="00456871" w:rsidRPr="00456871" w:rsidRDefault="00456871" w:rsidP="002A0A80">
      <w:pPr>
        <w:numPr>
          <w:ilvl w:val="1"/>
          <w:numId w:val="3"/>
        </w:numPr>
        <w:spacing w:after="120"/>
        <w:ind w:left="709" w:hanging="709"/>
        <w:rPr>
          <w:rFonts w:asciiTheme="minorHAnsi" w:hAnsiTheme="minorHAnsi"/>
          <w:bCs/>
        </w:rPr>
      </w:pPr>
      <w:r>
        <w:rPr>
          <w:rFonts w:asciiTheme="minorHAnsi" w:hAnsiTheme="minorHAnsi"/>
          <w:bCs/>
        </w:rPr>
        <w:t xml:space="preserve">The PBAC noted the consumer comments highlight a very high clinical need for an effective treatment in ADPKD and there is a high expectation that tolvaptan would provide a meaningful </w:t>
      </w:r>
      <w:r w:rsidR="00523B5F">
        <w:rPr>
          <w:rFonts w:asciiTheme="minorHAnsi" w:hAnsiTheme="minorHAnsi"/>
          <w:bCs/>
        </w:rPr>
        <w:t>delay in the</w:t>
      </w:r>
      <w:r>
        <w:rPr>
          <w:rFonts w:asciiTheme="minorHAnsi" w:hAnsiTheme="minorHAnsi"/>
          <w:bCs/>
        </w:rPr>
        <w:t xml:space="preserve"> rate of decline in kidney function. The PBAC h</w:t>
      </w:r>
      <w:r w:rsidR="00523B5F">
        <w:rPr>
          <w:rFonts w:asciiTheme="minorHAnsi" w:hAnsiTheme="minorHAnsi"/>
          <w:bCs/>
        </w:rPr>
        <w:t>a</w:t>
      </w:r>
      <w:r>
        <w:rPr>
          <w:rFonts w:asciiTheme="minorHAnsi" w:hAnsiTheme="minorHAnsi"/>
          <w:bCs/>
        </w:rPr>
        <w:t xml:space="preserve">s low confidence </w:t>
      </w:r>
      <w:r w:rsidR="00523B5F">
        <w:rPr>
          <w:rFonts w:asciiTheme="minorHAnsi" w:hAnsiTheme="minorHAnsi"/>
          <w:bCs/>
        </w:rPr>
        <w:t xml:space="preserve">in whether tolvaptan reduces ESKD in patients with ADPKD based on </w:t>
      </w:r>
      <w:r w:rsidR="00523B5F">
        <w:rPr>
          <w:rFonts w:asciiTheme="minorHAnsi" w:hAnsiTheme="minorHAnsi"/>
          <w:bCs/>
        </w:rPr>
        <w:lastRenderedPageBreak/>
        <w:t>the available evidence. The PBAC also noted the risk of liver toxicity and other adverse events related to the haemodynamic effects of treatment may prevent patients from experiencing normal quality of life for longer, as suggested in the consumer comments.</w:t>
      </w:r>
    </w:p>
    <w:p w:rsidR="00683074" w:rsidRPr="0067213E" w:rsidRDefault="00535DF9" w:rsidP="002A0A80">
      <w:pPr>
        <w:numPr>
          <w:ilvl w:val="1"/>
          <w:numId w:val="3"/>
        </w:numPr>
        <w:spacing w:after="120"/>
        <w:ind w:left="709" w:hanging="709"/>
        <w:rPr>
          <w:rFonts w:asciiTheme="minorHAnsi" w:hAnsiTheme="minorHAnsi"/>
          <w:bCs/>
          <w:lang w:val="en-GB"/>
        </w:rPr>
      </w:pPr>
      <w:r w:rsidRPr="00C34378">
        <w:rPr>
          <w:rFonts w:asciiTheme="minorHAnsi" w:hAnsiTheme="minorHAnsi"/>
          <w:bCs/>
          <w:lang w:val="en-US"/>
        </w:rPr>
        <w:t xml:space="preserve">The PBAC recalled that at the March 2017 meeting the Committee considered that tolvaptan may be used in patients with slower disease progression or early stage disease in an attempt to preserve maximum kidney function (Tolvaptan PSD, March 2017, para.7.4). </w:t>
      </w:r>
      <w:r w:rsidR="00683074" w:rsidRPr="00C34378">
        <w:rPr>
          <w:rFonts w:asciiTheme="minorHAnsi" w:hAnsiTheme="minorHAnsi"/>
          <w:bCs/>
          <w:lang w:val="en-GB"/>
        </w:rPr>
        <w:t>The PBAC noted that the requested listing included patients with evidence of rapid disease progression (eGFR decline of ≥2.5 mL/min/1.73 m</w:t>
      </w:r>
      <w:r w:rsidR="00683074" w:rsidRPr="00835FD2">
        <w:rPr>
          <w:rFonts w:asciiTheme="minorHAnsi" w:hAnsiTheme="minorHAnsi"/>
          <w:bCs/>
          <w:vertAlign w:val="superscript"/>
          <w:lang w:val="en-GB"/>
        </w:rPr>
        <w:t>2</w:t>
      </w:r>
      <w:r w:rsidR="00683074" w:rsidRPr="00C34378">
        <w:rPr>
          <w:rFonts w:asciiTheme="minorHAnsi" w:hAnsiTheme="minorHAnsi"/>
          <w:bCs/>
          <w:lang w:val="en-GB"/>
        </w:rPr>
        <w:t xml:space="preserve">/year, based on historical eGFR data). The PBAC considered that the requested restriction would be difficult to implement in practice. </w:t>
      </w:r>
      <w:r w:rsidR="00E822F1">
        <w:rPr>
          <w:rFonts w:asciiTheme="minorHAnsi" w:hAnsiTheme="minorHAnsi"/>
          <w:bCs/>
          <w:lang w:val="en-GB"/>
        </w:rPr>
        <w:t>Measurement</w:t>
      </w:r>
      <w:r w:rsidR="00683074" w:rsidRPr="00C34378">
        <w:rPr>
          <w:rFonts w:asciiTheme="minorHAnsi" w:hAnsiTheme="minorHAnsi"/>
          <w:bCs/>
          <w:lang w:val="en-US"/>
        </w:rPr>
        <w:t xml:space="preserve"> errors in eGFR and other sources of variability in serum creatinine mean that tolvaptan is likely to be used more widely </w:t>
      </w:r>
      <w:r w:rsidR="00DE4A7B" w:rsidRPr="00C34378">
        <w:rPr>
          <w:rFonts w:asciiTheme="minorHAnsi" w:hAnsiTheme="minorHAnsi"/>
          <w:bCs/>
          <w:lang w:val="en-US"/>
        </w:rPr>
        <w:t xml:space="preserve">than specified in the proposed PBS criteria; </w:t>
      </w:r>
      <w:r w:rsidR="00EF4A59" w:rsidRPr="00C34378">
        <w:rPr>
          <w:rFonts w:asciiTheme="minorHAnsi" w:hAnsiTheme="minorHAnsi"/>
          <w:bCs/>
          <w:lang w:val="en-US"/>
        </w:rPr>
        <w:t xml:space="preserve">this would </w:t>
      </w:r>
      <w:r w:rsidR="00683074" w:rsidRPr="00C34378">
        <w:rPr>
          <w:rFonts w:asciiTheme="minorHAnsi" w:hAnsiTheme="minorHAnsi"/>
          <w:bCs/>
          <w:lang w:val="en-US"/>
        </w:rPr>
        <w:t xml:space="preserve">lead to increased </w:t>
      </w:r>
      <w:r w:rsidR="00DE4A7B" w:rsidRPr="00C34378">
        <w:rPr>
          <w:rFonts w:asciiTheme="minorHAnsi" w:hAnsiTheme="minorHAnsi"/>
          <w:bCs/>
          <w:lang w:val="en-US"/>
        </w:rPr>
        <w:t>expenditure</w:t>
      </w:r>
      <w:r w:rsidR="00683074" w:rsidRPr="00C34378">
        <w:rPr>
          <w:rFonts w:asciiTheme="minorHAnsi" w:hAnsiTheme="minorHAnsi"/>
          <w:bCs/>
          <w:lang w:val="en-US"/>
        </w:rPr>
        <w:t xml:space="preserve"> and</w:t>
      </w:r>
      <w:r w:rsidR="0020475C" w:rsidRPr="00C34378">
        <w:rPr>
          <w:rFonts w:asciiTheme="minorHAnsi" w:hAnsiTheme="minorHAnsi"/>
          <w:bCs/>
          <w:lang w:val="en-US"/>
        </w:rPr>
        <w:t xml:space="preserve"> a</w:t>
      </w:r>
      <w:r w:rsidR="00683074" w:rsidRPr="00C34378">
        <w:rPr>
          <w:rFonts w:asciiTheme="minorHAnsi" w:hAnsiTheme="minorHAnsi"/>
          <w:bCs/>
          <w:lang w:val="en-US"/>
        </w:rPr>
        <w:t xml:space="preserve"> </w:t>
      </w:r>
      <w:r w:rsidR="0020475C" w:rsidRPr="00C34378">
        <w:rPr>
          <w:rFonts w:asciiTheme="minorHAnsi" w:hAnsiTheme="minorHAnsi"/>
          <w:bCs/>
          <w:lang w:val="en-US"/>
        </w:rPr>
        <w:t>higher</w:t>
      </w:r>
      <w:r w:rsidR="00683074" w:rsidRPr="00C34378">
        <w:rPr>
          <w:rFonts w:asciiTheme="minorHAnsi" w:hAnsiTheme="minorHAnsi"/>
          <w:bCs/>
          <w:lang w:val="en-US"/>
        </w:rPr>
        <w:t xml:space="preserve"> </w:t>
      </w:r>
      <w:r w:rsidR="0020475C" w:rsidRPr="00C34378">
        <w:rPr>
          <w:rFonts w:asciiTheme="minorHAnsi" w:hAnsiTheme="minorHAnsi"/>
          <w:bCs/>
          <w:lang w:val="en-US"/>
        </w:rPr>
        <w:t>ICER</w:t>
      </w:r>
      <w:r w:rsidR="00DE4A7B" w:rsidRPr="00C34378">
        <w:rPr>
          <w:rFonts w:asciiTheme="minorHAnsi" w:hAnsiTheme="minorHAnsi"/>
          <w:bCs/>
          <w:lang w:val="en-US"/>
        </w:rPr>
        <w:t xml:space="preserve">. </w:t>
      </w:r>
      <w:r w:rsidR="00FD30F4" w:rsidRPr="00C34378">
        <w:rPr>
          <w:rFonts w:asciiTheme="minorHAnsi" w:hAnsiTheme="minorHAnsi"/>
          <w:bCs/>
          <w:lang w:val="en-GB"/>
        </w:rPr>
        <w:t xml:space="preserve">Similarly, the PBAC considered it remained unclear how clinicians will assess CKD progression in tolvaptan treated patients given the early decline in eGFR associated with the haemodynamic effects of tolvaptan treatment. </w:t>
      </w:r>
      <w:r w:rsidR="00EF4A59" w:rsidRPr="00C34378">
        <w:rPr>
          <w:rFonts w:asciiTheme="minorHAnsi" w:hAnsiTheme="minorHAnsi"/>
          <w:bCs/>
          <w:lang w:val="en-US"/>
        </w:rPr>
        <w:t xml:space="preserve">Overall, the PBAC considered the proposed restriction would not adequately contain use to the most high need patients who may potentially achieve a </w:t>
      </w:r>
      <w:r w:rsidR="00D548AF">
        <w:rPr>
          <w:rFonts w:asciiTheme="minorHAnsi" w:hAnsiTheme="minorHAnsi"/>
          <w:bCs/>
          <w:lang w:val="en-US"/>
        </w:rPr>
        <w:t xml:space="preserve">clinically meaningful </w:t>
      </w:r>
      <w:r w:rsidR="00EF4A59" w:rsidRPr="00C34378">
        <w:rPr>
          <w:rFonts w:asciiTheme="minorHAnsi" w:hAnsiTheme="minorHAnsi"/>
          <w:bCs/>
          <w:lang w:val="en-US"/>
        </w:rPr>
        <w:t>benefit.</w:t>
      </w:r>
      <w:r w:rsidR="00C34378" w:rsidRPr="00C34378">
        <w:rPr>
          <w:rFonts w:asciiTheme="minorHAnsi" w:hAnsiTheme="minorHAnsi"/>
          <w:bCs/>
          <w:lang w:val="en-US"/>
        </w:rPr>
        <w:t xml:space="preserve"> Residual issues with narrowing the eligible patient population would need to be addressed with a </w:t>
      </w:r>
      <w:r w:rsidR="00E822F1">
        <w:rPr>
          <w:rFonts w:asciiTheme="minorHAnsi" w:hAnsiTheme="minorHAnsi"/>
          <w:bCs/>
          <w:lang w:val="en-US"/>
        </w:rPr>
        <w:t>price reduction</w:t>
      </w:r>
      <w:r w:rsidR="00A21B52">
        <w:rPr>
          <w:rFonts w:asciiTheme="minorHAnsi" w:hAnsiTheme="minorHAnsi"/>
          <w:bCs/>
          <w:lang w:val="en-US"/>
        </w:rPr>
        <w:t>, revised estimates</w:t>
      </w:r>
      <w:r w:rsidR="00E822F1">
        <w:rPr>
          <w:rFonts w:asciiTheme="minorHAnsi" w:hAnsiTheme="minorHAnsi"/>
          <w:bCs/>
          <w:lang w:val="en-US"/>
        </w:rPr>
        <w:t xml:space="preserve"> </w:t>
      </w:r>
      <w:r w:rsidR="00E822F1" w:rsidRPr="0067213E">
        <w:rPr>
          <w:rFonts w:asciiTheme="minorHAnsi" w:hAnsiTheme="minorHAnsi"/>
          <w:bCs/>
          <w:lang w:val="en-US"/>
        </w:rPr>
        <w:t xml:space="preserve">and </w:t>
      </w:r>
      <w:r w:rsidR="00C34378" w:rsidRPr="0067213E">
        <w:rPr>
          <w:rFonts w:asciiTheme="minorHAnsi" w:hAnsiTheme="minorHAnsi"/>
          <w:bCs/>
          <w:lang w:val="en-US"/>
        </w:rPr>
        <w:t>RSA (</w:t>
      </w:r>
      <w:r w:rsidR="00C34378" w:rsidRPr="00142456">
        <w:rPr>
          <w:rFonts w:asciiTheme="minorHAnsi" w:hAnsiTheme="minorHAnsi"/>
          <w:bCs/>
          <w:lang w:val="en-US"/>
        </w:rPr>
        <w:t xml:space="preserve">see paragraph </w:t>
      </w:r>
      <w:r w:rsidR="00324081" w:rsidRPr="00142456">
        <w:rPr>
          <w:rFonts w:asciiTheme="minorHAnsi" w:hAnsiTheme="minorHAnsi"/>
          <w:bCs/>
          <w:lang w:val="en-US"/>
        </w:rPr>
        <w:t>7.13</w:t>
      </w:r>
      <w:r w:rsidR="00C34378" w:rsidRPr="00142456">
        <w:rPr>
          <w:rFonts w:asciiTheme="minorHAnsi" w:hAnsiTheme="minorHAnsi"/>
          <w:bCs/>
          <w:lang w:val="en-US"/>
        </w:rPr>
        <w:t xml:space="preserve"> below).</w:t>
      </w:r>
      <w:r w:rsidR="00C34378" w:rsidRPr="0067213E">
        <w:rPr>
          <w:rFonts w:asciiTheme="minorHAnsi" w:hAnsiTheme="minorHAnsi"/>
          <w:bCs/>
          <w:lang w:val="en-US"/>
        </w:rPr>
        <w:t xml:space="preserve"> </w:t>
      </w:r>
    </w:p>
    <w:p w:rsidR="00A50AA4" w:rsidRPr="00A50AA4" w:rsidRDefault="00A50AA4" w:rsidP="002A0A80">
      <w:pPr>
        <w:numPr>
          <w:ilvl w:val="1"/>
          <w:numId w:val="3"/>
        </w:numPr>
        <w:spacing w:after="120"/>
        <w:ind w:left="709" w:hanging="709"/>
      </w:pPr>
      <w:r>
        <w:t>The PBAC considered the o</w:t>
      </w:r>
      <w:r w:rsidRPr="00A50AA4">
        <w:t xml:space="preserve">utcome of greatest clinical importance is prevention of ESKD, but pain, </w:t>
      </w:r>
      <w:r>
        <w:t>urinary tract infections and</w:t>
      </w:r>
      <w:r w:rsidRPr="00A50AA4">
        <w:t xml:space="preserve"> hypertension are also important</w:t>
      </w:r>
      <w:r>
        <w:t>.</w:t>
      </w:r>
      <w:r w:rsidR="00F7200F">
        <w:t xml:space="preserve"> The PBAC accepted that </w:t>
      </w:r>
      <w:r w:rsidR="00F7200F" w:rsidRPr="007A5D41">
        <w:rPr>
          <w:rFonts w:asciiTheme="minorHAnsi" w:hAnsiTheme="minorHAnsi"/>
          <w:bCs/>
          <w:lang w:val="en-GB"/>
        </w:rPr>
        <w:t xml:space="preserve">eGFR </w:t>
      </w:r>
      <w:r w:rsidR="00F7200F">
        <w:rPr>
          <w:rFonts w:asciiTheme="minorHAnsi" w:hAnsiTheme="minorHAnsi"/>
          <w:bCs/>
          <w:lang w:val="en-GB"/>
        </w:rPr>
        <w:t>is</w:t>
      </w:r>
      <w:r w:rsidR="00F7200F" w:rsidRPr="007A5D41">
        <w:rPr>
          <w:rFonts w:asciiTheme="minorHAnsi" w:hAnsiTheme="minorHAnsi"/>
          <w:bCs/>
          <w:lang w:val="en-GB"/>
        </w:rPr>
        <w:t xml:space="preserve"> a reasonable surrogate</w:t>
      </w:r>
      <w:r w:rsidR="00F7200F">
        <w:rPr>
          <w:rFonts w:asciiTheme="minorHAnsi" w:hAnsiTheme="minorHAnsi"/>
          <w:bCs/>
          <w:lang w:val="en-GB"/>
        </w:rPr>
        <w:t xml:space="preserve"> for ESKD</w:t>
      </w:r>
      <w:r w:rsidR="00F7200F" w:rsidRPr="007A5D41">
        <w:rPr>
          <w:rFonts w:asciiTheme="minorHAnsi" w:hAnsiTheme="minorHAnsi"/>
          <w:bCs/>
          <w:lang w:val="en-GB"/>
        </w:rPr>
        <w:t xml:space="preserve"> (albeit not validated in this setting</w:t>
      </w:r>
      <w:r w:rsidR="00F7200F">
        <w:rPr>
          <w:rFonts w:asciiTheme="minorHAnsi" w:hAnsiTheme="minorHAnsi"/>
          <w:bCs/>
          <w:lang w:val="en-GB"/>
        </w:rPr>
        <w:t>). The main issue is that, based on the available clinical evidence, PBAC has low confidence in whether tolvaptan decreases ESKD in ADPKD.</w:t>
      </w:r>
    </w:p>
    <w:p w:rsidR="00E32D28" w:rsidRPr="0067213E" w:rsidRDefault="00324081" w:rsidP="002A0A80">
      <w:pPr>
        <w:numPr>
          <w:ilvl w:val="1"/>
          <w:numId w:val="3"/>
        </w:numPr>
        <w:spacing w:after="120"/>
        <w:ind w:left="709" w:hanging="709"/>
      </w:pPr>
      <w:r>
        <w:t>As noted above in Section 6, t</w:t>
      </w:r>
      <w:r w:rsidR="00794029" w:rsidRPr="0067213E">
        <w:t xml:space="preserve">olvaptan is </w:t>
      </w:r>
      <w:r w:rsidR="0029552F" w:rsidRPr="007A5D41">
        <w:rPr>
          <w:rFonts w:asciiTheme="minorHAnsi" w:hAnsiTheme="minorHAnsi"/>
          <w:bCs/>
          <w:lang w:val="en-GB"/>
        </w:rPr>
        <w:t>associated with an acute hemodynamic effect (a 5-10% decline in eGFR on initiation of treatment reversible on cessation, not associated with any demonstrable reduction in renal plasma flow or filtration fraction)</w:t>
      </w:r>
      <w:r w:rsidR="0029552F">
        <w:rPr>
          <w:rFonts w:asciiTheme="minorHAnsi" w:hAnsiTheme="minorHAnsi"/>
          <w:bCs/>
          <w:lang w:val="en-GB"/>
        </w:rPr>
        <w:t xml:space="preserve">. As was the case in </w:t>
      </w:r>
      <w:r w:rsidR="00F7200F">
        <w:rPr>
          <w:rFonts w:asciiTheme="minorHAnsi" w:hAnsiTheme="minorHAnsi"/>
          <w:bCs/>
          <w:lang w:val="en-GB"/>
        </w:rPr>
        <w:t>March</w:t>
      </w:r>
      <w:r w:rsidR="0029552F">
        <w:rPr>
          <w:rFonts w:asciiTheme="minorHAnsi" w:hAnsiTheme="minorHAnsi"/>
          <w:bCs/>
          <w:lang w:val="en-GB"/>
        </w:rPr>
        <w:t xml:space="preserve"> 2017, the PBAC</w:t>
      </w:r>
      <w:r w:rsidR="0029552F" w:rsidRPr="007A5D41">
        <w:rPr>
          <w:rFonts w:asciiTheme="minorHAnsi" w:hAnsiTheme="minorHAnsi"/>
          <w:bCs/>
          <w:lang w:val="en-GB"/>
        </w:rPr>
        <w:t xml:space="preserve"> </w:t>
      </w:r>
      <w:r w:rsidR="0029552F">
        <w:rPr>
          <w:rFonts w:asciiTheme="minorHAnsi" w:hAnsiTheme="minorHAnsi"/>
          <w:bCs/>
          <w:lang w:val="en-GB"/>
        </w:rPr>
        <w:t>considered</w:t>
      </w:r>
      <w:r w:rsidR="0029552F" w:rsidRPr="007A5D41">
        <w:rPr>
          <w:rFonts w:asciiTheme="minorHAnsi" w:hAnsiTheme="minorHAnsi"/>
          <w:bCs/>
          <w:lang w:val="en-GB"/>
        </w:rPr>
        <w:t xml:space="preserve"> </w:t>
      </w:r>
      <w:r w:rsidR="00D548AF" w:rsidRPr="00C74F59">
        <w:t xml:space="preserve">the use of inverse serum creatinine post-titration at week 3 rather than at randomisation, as the starting point for </w:t>
      </w:r>
      <w:r w:rsidR="00D548AF">
        <w:t>calculating the treatment effect</w:t>
      </w:r>
      <w:r w:rsidR="00D548AF" w:rsidRPr="00C74F59">
        <w:t>, made interpretation of results challenging</w:t>
      </w:r>
      <w:r w:rsidR="0029552F" w:rsidRPr="007A5D41">
        <w:rPr>
          <w:rFonts w:asciiTheme="minorHAnsi" w:hAnsiTheme="minorHAnsi"/>
          <w:bCs/>
          <w:lang w:val="en-GB"/>
        </w:rPr>
        <w:t xml:space="preserve">. </w:t>
      </w:r>
    </w:p>
    <w:p w:rsidR="00E7284F" w:rsidRPr="00E7284F" w:rsidRDefault="0067213E" w:rsidP="002A0A80">
      <w:pPr>
        <w:numPr>
          <w:ilvl w:val="1"/>
          <w:numId w:val="3"/>
        </w:numPr>
        <w:spacing w:after="120"/>
        <w:ind w:left="709" w:hanging="709"/>
      </w:pPr>
      <w:r>
        <w:t>Absolute d</w:t>
      </w:r>
      <w:r w:rsidR="00E32D28" w:rsidRPr="00F563B9">
        <w:t>ifferences between tolvaptan and placebo in decline of eGFR appear small</w:t>
      </w:r>
      <w:r w:rsidR="00E7284F">
        <w:t xml:space="preserve"> (approximately </w:t>
      </w:r>
      <w:r w:rsidR="00E7284F" w:rsidRPr="00E7284F">
        <w:rPr>
          <w:lang w:val="en-US"/>
        </w:rPr>
        <w:t>1m</w:t>
      </w:r>
      <w:r w:rsidR="00E7284F">
        <w:rPr>
          <w:lang w:val="en-US"/>
        </w:rPr>
        <w:t>L</w:t>
      </w:r>
      <w:r w:rsidR="00E7284F" w:rsidRPr="00E7284F">
        <w:rPr>
          <w:lang w:val="en-US"/>
        </w:rPr>
        <w:t xml:space="preserve">/min change in </w:t>
      </w:r>
      <w:r w:rsidR="00E7284F">
        <w:rPr>
          <w:lang w:val="en-US"/>
        </w:rPr>
        <w:t>e</w:t>
      </w:r>
      <w:r w:rsidR="00E7284F" w:rsidRPr="00E7284F">
        <w:rPr>
          <w:lang w:val="en-US"/>
        </w:rPr>
        <w:t>GFR per year</w:t>
      </w:r>
      <w:r w:rsidR="00E7284F">
        <w:rPr>
          <w:lang w:val="en-US"/>
        </w:rPr>
        <w:t>)</w:t>
      </w:r>
      <w:r w:rsidR="00E32D28" w:rsidRPr="00F563B9">
        <w:t xml:space="preserve">, </w:t>
      </w:r>
      <w:r w:rsidR="00F7200F">
        <w:t>only become apparent once treatment with tolvaptan has ceased (eGFR appears worse while on the drug), and do not appear to accrue over time</w:t>
      </w:r>
      <w:r w:rsidR="00E32D28" w:rsidRPr="00F563B9">
        <w:t>.</w:t>
      </w:r>
      <w:r w:rsidR="00E7284F" w:rsidRPr="00E7284F">
        <w:rPr>
          <w:lang w:val="en-US"/>
        </w:rPr>
        <w:t xml:space="preserve"> </w:t>
      </w:r>
      <w:r>
        <w:rPr>
          <w:lang w:val="en-US"/>
        </w:rPr>
        <w:t>There is</w:t>
      </w:r>
      <w:r w:rsidR="00E7284F" w:rsidRPr="00E7284F">
        <w:rPr>
          <w:lang w:val="en-US"/>
        </w:rPr>
        <w:t xml:space="preserve"> no </w:t>
      </w:r>
      <w:r>
        <w:rPr>
          <w:lang w:val="en-US"/>
        </w:rPr>
        <w:t>evidence</w:t>
      </w:r>
      <w:r w:rsidR="00E7284F" w:rsidRPr="00E7284F">
        <w:rPr>
          <w:lang w:val="en-US"/>
        </w:rPr>
        <w:t xml:space="preserve"> of halting disease progression</w:t>
      </w:r>
      <w:r>
        <w:rPr>
          <w:lang w:val="en-US"/>
        </w:rPr>
        <w:t>.</w:t>
      </w:r>
      <w:r w:rsidR="00E7284F" w:rsidRPr="00E7284F">
        <w:rPr>
          <w:lang w:val="en-US"/>
        </w:rPr>
        <w:t xml:space="preserve"> </w:t>
      </w:r>
    </w:p>
    <w:p w:rsidR="00C40FE4" w:rsidRPr="00E7284F" w:rsidRDefault="0067213E" w:rsidP="002A0A80">
      <w:pPr>
        <w:numPr>
          <w:ilvl w:val="1"/>
          <w:numId w:val="3"/>
        </w:numPr>
        <w:spacing w:after="120"/>
        <w:ind w:left="709"/>
      </w:pPr>
      <w:r>
        <w:t xml:space="preserve">The </w:t>
      </w:r>
      <w:r w:rsidR="00E7284F">
        <w:t>REPRISE</w:t>
      </w:r>
      <w:r>
        <w:t xml:space="preserve"> trial provides a</w:t>
      </w:r>
      <w:r w:rsidR="00E7284F">
        <w:t xml:space="preserve"> 12 month</w:t>
      </w:r>
      <w:r>
        <w:t>s</w:t>
      </w:r>
      <w:r w:rsidR="00E7284F">
        <w:t xml:space="preserve"> on-drug period in</w:t>
      </w:r>
      <w:r w:rsidR="004D567E">
        <w:t xml:space="preserve"> the</w:t>
      </w:r>
      <w:r w:rsidR="00E7284F">
        <w:t xml:space="preserve"> context of a disease that </w:t>
      </w:r>
      <w:r w:rsidR="00F7200F">
        <w:t xml:space="preserve">will </w:t>
      </w:r>
      <w:r w:rsidR="00E7284F">
        <w:t xml:space="preserve">progress over 50 years. </w:t>
      </w:r>
      <w:r>
        <w:t xml:space="preserve">The </w:t>
      </w:r>
      <w:r w:rsidR="0029552F" w:rsidRPr="00E7284F">
        <w:rPr>
          <w:lang w:val="en-US"/>
        </w:rPr>
        <w:t>balance</w:t>
      </w:r>
      <w:r w:rsidR="00546F25" w:rsidRPr="00E7284F">
        <w:rPr>
          <w:lang w:val="en-US"/>
        </w:rPr>
        <w:t xml:space="preserve"> between (acute) hemodynamic effect and putative disease modifying action which should </w:t>
      </w:r>
      <w:r>
        <w:rPr>
          <w:lang w:val="en-US"/>
        </w:rPr>
        <w:t xml:space="preserve">have </w:t>
      </w:r>
      <w:r w:rsidR="00546F25" w:rsidRPr="00E7284F">
        <w:rPr>
          <w:lang w:val="en-US"/>
        </w:rPr>
        <w:t xml:space="preserve">become more evident over </w:t>
      </w:r>
      <w:r w:rsidR="00546F25" w:rsidRPr="00E7284F">
        <w:rPr>
          <w:lang w:val="en-US"/>
        </w:rPr>
        <w:lastRenderedPageBreak/>
        <w:t>time (</w:t>
      </w:r>
      <w:r>
        <w:rPr>
          <w:lang w:val="en-US"/>
        </w:rPr>
        <w:t xml:space="preserve">36 months in the </w:t>
      </w:r>
      <w:r w:rsidR="00546F25" w:rsidRPr="00E7284F">
        <w:rPr>
          <w:lang w:val="en-US"/>
        </w:rPr>
        <w:t>TEMPO 3:4</w:t>
      </w:r>
      <w:r>
        <w:rPr>
          <w:lang w:val="en-US"/>
        </w:rPr>
        <w:t xml:space="preserve"> trial</w:t>
      </w:r>
      <w:r w:rsidR="00546F25" w:rsidRPr="00E7284F">
        <w:rPr>
          <w:lang w:val="en-US"/>
        </w:rPr>
        <w:t>)</w:t>
      </w:r>
      <w:r w:rsidR="004D567E">
        <w:rPr>
          <w:lang w:val="en-US"/>
        </w:rPr>
        <w:t xml:space="preserve"> </w:t>
      </w:r>
      <w:r>
        <w:rPr>
          <w:lang w:val="en-US"/>
        </w:rPr>
        <w:t>remain</w:t>
      </w:r>
      <w:r w:rsidR="004D567E">
        <w:rPr>
          <w:lang w:val="en-US"/>
        </w:rPr>
        <w:t>s</w:t>
      </w:r>
      <w:r>
        <w:rPr>
          <w:lang w:val="en-US"/>
        </w:rPr>
        <w:t xml:space="preserve"> </w:t>
      </w:r>
      <w:r w:rsidR="004D567E">
        <w:rPr>
          <w:lang w:val="en-US"/>
        </w:rPr>
        <w:t xml:space="preserve">unknown; with no clear separation in serum creatinine over time, there is no trial evidence </w:t>
      </w:r>
      <w:r w:rsidR="0059278D">
        <w:rPr>
          <w:lang w:val="en-US"/>
        </w:rPr>
        <w:t xml:space="preserve">to support </w:t>
      </w:r>
      <w:r w:rsidR="004D567E">
        <w:rPr>
          <w:lang w:val="en-US"/>
        </w:rPr>
        <w:t xml:space="preserve">the </w:t>
      </w:r>
      <w:r w:rsidR="0059278D">
        <w:rPr>
          <w:lang w:val="en-US"/>
        </w:rPr>
        <w:t xml:space="preserve">claim that </w:t>
      </w:r>
      <w:r w:rsidR="004D567E">
        <w:rPr>
          <w:lang w:val="en-US"/>
        </w:rPr>
        <w:t xml:space="preserve">slower decline in eGFR </w:t>
      </w:r>
      <w:r w:rsidR="00293D81">
        <w:rPr>
          <w:lang w:val="en-US"/>
        </w:rPr>
        <w:t>coupled with the initial drop in eGFR would</w:t>
      </w:r>
      <w:r w:rsidR="004D567E">
        <w:rPr>
          <w:lang w:val="en-US"/>
        </w:rPr>
        <w:t xml:space="preserve"> result in a</w:t>
      </w:r>
      <w:r w:rsidR="00293D81">
        <w:rPr>
          <w:lang w:val="en-US"/>
        </w:rPr>
        <w:t xml:space="preserve"> long-term</w:t>
      </w:r>
      <w:r w:rsidR="004D567E">
        <w:rPr>
          <w:lang w:val="en-US"/>
        </w:rPr>
        <w:t xml:space="preserve"> improvement in renal function compared to placebo.</w:t>
      </w:r>
      <w:r w:rsidR="00293D81">
        <w:rPr>
          <w:lang w:val="en-US"/>
        </w:rPr>
        <w:t xml:space="preserve"> The projected differential linear declines in eGFR slopes remain speculative.</w:t>
      </w:r>
    </w:p>
    <w:p w:rsidR="00350D02" w:rsidRPr="00FC3E18" w:rsidRDefault="00350D02" w:rsidP="002A0A80">
      <w:pPr>
        <w:pStyle w:val="ListParagraph"/>
        <w:numPr>
          <w:ilvl w:val="1"/>
          <w:numId w:val="3"/>
        </w:numPr>
        <w:ind w:left="709" w:hanging="709"/>
        <w:rPr>
          <w:rFonts w:asciiTheme="minorHAnsi" w:hAnsiTheme="minorHAnsi"/>
          <w:bCs/>
          <w:lang w:val="en-GB"/>
        </w:rPr>
      </w:pPr>
      <w:r>
        <w:rPr>
          <w:rFonts w:asciiTheme="minorHAnsi" w:hAnsiTheme="minorHAnsi"/>
          <w:bCs/>
          <w:lang w:val="en-GB"/>
        </w:rPr>
        <w:t xml:space="preserve">The PBAC </w:t>
      </w:r>
      <w:r w:rsidR="00C507CD">
        <w:rPr>
          <w:rFonts w:asciiTheme="minorHAnsi" w:hAnsiTheme="minorHAnsi"/>
          <w:bCs/>
          <w:lang w:val="en-GB"/>
        </w:rPr>
        <w:t xml:space="preserve">recalled its concern in March 2017 that </w:t>
      </w:r>
      <w:r w:rsidR="00C507CD" w:rsidRPr="00C74F59">
        <w:rPr>
          <w:bCs/>
        </w:rPr>
        <w:t xml:space="preserve">at the same time as the clinical benefits of tolvaptan </w:t>
      </w:r>
      <w:r w:rsidR="00C507CD">
        <w:rPr>
          <w:bCs/>
        </w:rPr>
        <w:t>were</w:t>
      </w:r>
      <w:r w:rsidR="00C507CD" w:rsidRPr="00C74F59">
        <w:rPr>
          <w:bCs/>
        </w:rPr>
        <w:t xml:space="preserve"> uncertain, it was concerned about the significantly inferior safety compared with placebo. Specifically, it </w:t>
      </w:r>
      <w:r w:rsidR="00324081">
        <w:rPr>
          <w:bCs/>
        </w:rPr>
        <w:t xml:space="preserve">was </w:t>
      </w:r>
      <w:r w:rsidR="00C507CD" w:rsidRPr="00C74F59">
        <w:rPr>
          <w:bCs/>
        </w:rPr>
        <w:t xml:space="preserve">noted </w:t>
      </w:r>
      <w:r w:rsidR="00324081">
        <w:rPr>
          <w:bCs/>
        </w:rPr>
        <w:t xml:space="preserve">in March 2017 </w:t>
      </w:r>
      <w:r w:rsidR="00C507CD" w:rsidRPr="00C74F59">
        <w:rPr>
          <w:bCs/>
        </w:rPr>
        <w:t xml:space="preserve">that </w:t>
      </w:r>
      <w:r w:rsidR="00C507CD" w:rsidRPr="00C74F59">
        <w:t>there was a statistically significantly larger proportion of discontinuations due to adverse events in patients treated with tolvaptan compared with placebo (approximately 3.5 times)</w:t>
      </w:r>
      <w:r w:rsidR="00C507CD">
        <w:t>.</w:t>
      </w:r>
      <w:r w:rsidR="00C507CD">
        <w:rPr>
          <w:rFonts w:asciiTheme="minorHAnsi" w:hAnsiTheme="minorHAnsi"/>
          <w:bCs/>
          <w:lang w:val="en-GB"/>
        </w:rPr>
        <w:t xml:space="preserve"> </w:t>
      </w:r>
      <w:r w:rsidR="00324081">
        <w:rPr>
          <w:rFonts w:asciiTheme="minorHAnsi" w:hAnsiTheme="minorHAnsi"/>
          <w:bCs/>
          <w:lang w:val="en-GB"/>
        </w:rPr>
        <w:t>In March 2018, t</w:t>
      </w:r>
      <w:r w:rsidR="00C507CD">
        <w:rPr>
          <w:rFonts w:asciiTheme="minorHAnsi" w:hAnsiTheme="minorHAnsi"/>
          <w:bCs/>
          <w:lang w:val="en-GB"/>
        </w:rPr>
        <w:t xml:space="preserve">he PBAC </w:t>
      </w:r>
      <w:r>
        <w:rPr>
          <w:rFonts w:asciiTheme="minorHAnsi" w:hAnsiTheme="minorHAnsi"/>
          <w:bCs/>
          <w:lang w:val="en-GB"/>
        </w:rPr>
        <w:t xml:space="preserve">considered the more </w:t>
      </w:r>
      <w:r w:rsidRPr="001A62DC">
        <w:t xml:space="preserve">frequently </w:t>
      </w:r>
      <w:r>
        <w:t xml:space="preserve">reported adverse events </w:t>
      </w:r>
      <w:r w:rsidRPr="001A62DC">
        <w:t>related to tolvaptan’s aquaretic effect</w:t>
      </w:r>
      <w:r>
        <w:t xml:space="preserve"> would be burdensome if little clinical benefit was expected. The PBAC</w:t>
      </w:r>
      <w:r w:rsidRPr="001A62DC">
        <w:t xml:space="preserve"> </w:t>
      </w:r>
      <w:r>
        <w:rPr>
          <w:rFonts w:asciiTheme="minorHAnsi" w:hAnsiTheme="minorHAnsi"/>
          <w:bCs/>
          <w:lang w:val="en-GB"/>
        </w:rPr>
        <w:t xml:space="preserve">remained concerned about the long-term safety of tolvaptan compared to placebo and noted the TGA had imposed a black box warning in the product information regarding hepatic impairment. </w:t>
      </w:r>
    </w:p>
    <w:p w:rsidR="00547A02" w:rsidRPr="007A5D41" w:rsidRDefault="0048605E" w:rsidP="002A0A80">
      <w:pPr>
        <w:numPr>
          <w:ilvl w:val="1"/>
          <w:numId w:val="3"/>
        </w:numPr>
        <w:spacing w:after="120"/>
        <w:ind w:left="709"/>
        <w:rPr>
          <w:rFonts w:asciiTheme="minorHAnsi" w:hAnsiTheme="minorHAnsi"/>
          <w:bCs/>
          <w:lang w:val="en-GB"/>
        </w:rPr>
      </w:pPr>
      <w:r w:rsidRPr="007A5D41">
        <w:rPr>
          <w:rFonts w:asciiTheme="minorHAnsi" w:hAnsiTheme="minorHAnsi"/>
          <w:bCs/>
          <w:lang w:val="en-GB"/>
        </w:rPr>
        <w:t xml:space="preserve">In deferring its decision, the PBAC </w:t>
      </w:r>
      <w:r w:rsidR="00285CA3" w:rsidRPr="007A5D41">
        <w:rPr>
          <w:rFonts w:asciiTheme="minorHAnsi" w:hAnsiTheme="minorHAnsi"/>
          <w:bCs/>
          <w:lang w:val="en-GB"/>
        </w:rPr>
        <w:t>acknowledged there may be some therapeutic benefit for some patients. However, based on the clinical evidence</w:t>
      </w:r>
      <w:r w:rsidR="00330A65" w:rsidRPr="007A5D41">
        <w:rPr>
          <w:rFonts w:asciiTheme="minorHAnsi" w:hAnsiTheme="minorHAnsi"/>
          <w:bCs/>
          <w:lang w:val="en-GB"/>
        </w:rPr>
        <w:t>,</w:t>
      </w:r>
      <w:r w:rsidR="00874C97" w:rsidRPr="007A5D41">
        <w:rPr>
          <w:rFonts w:asciiTheme="minorHAnsi" w:hAnsiTheme="minorHAnsi"/>
          <w:bCs/>
          <w:lang w:val="en-GB"/>
        </w:rPr>
        <w:t xml:space="preserve"> </w:t>
      </w:r>
      <w:r w:rsidR="00285CA3" w:rsidRPr="007A5D41">
        <w:rPr>
          <w:rFonts w:asciiTheme="minorHAnsi" w:hAnsiTheme="minorHAnsi"/>
          <w:bCs/>
          <w:lang w:val="en-GB"/>
        </w:rPr>
        <w:t xml:space="preserve">it </w:t>
      </w:r>
      <w:r w:rsidR="00330A65" w:rsidRPr="007A5D41">
        <w:rPr>
          <w:rFonts w:asciiTheme="minorHAnsi" w:hAnsiTheme="minorHAnsi"/>
          <w:bCs/>
          <w:lang w:val="en-GB"/>
        </w:rPr>
        <w:t xml:space="preserve">considered the change in eGFR was </w:t>
      </w:r>
      <w:r w:rsidR="000B1A9C" w:rsidRPr="007A5D41">
        <w:rPr>
          <w:rFonts w:asciiTheme="minorHAnsi" w:hAnsiTheme="minorHAnsi"/>
          <w:bCs/>
          <w:lang w:val="en-GB"/>
        </w:rPr>
        <w:t xml:space="preserve">at best </w:t>
      </w:r>
      <w:r w:rsidR="00C62CE1" w:rsidRPr="00C62CE1">
        <w:rPr>
          <w:rFonts w:asciiTheme="minorHAnsi" w:hAnsiTheme="minorHAnsi"/>
          <w:bCs/>
          <w:lang w:val="en-GB"/>
        </w:rPr>
        <w:t>very small, and quantifying the subsequent impact on</w:t>
      </w:r>
      <w:r w:rsidR="00285CA3" w:rsidRPr="007A5D41">
        <w:rPr>
          <w:rFonts w:asciiTheme="minorHAnsi" w:hAnsiTheme="minorHAnsi"/>
          <w:bCs/>
          <w:lang w:val="en-GB"/>
        </w:rPr>
        <w:t xml:space="preserve"> ESKD</w:t>
      </w:r>
      <w:r w:rsidR="000944CA">
        <w:rPr>
          <w:rFonts w:asciiTheme="minorHAnsi" w:hAnsiTheme="minorHAnsi"/>
          <w:bCs/>
          <w:lang w:val="en-GB"/>
        </w:rPr>
        <w:t xml:space="preserve"> would be </w:t>
      </w:r>
      <w:r w:rsidR="00C62CE1">
        <w:rPr>
          <w:rFonts w:asciiTheme="minorHAnsi" w:hAnsiTheme="minorHAnsi"/>
          <w:bCs/>
          <w:lang w:val="en-GB"/>
        </w:rPr>
        <w:t>very uncertain</w:t>
      </w:r>
      <w:r w:rsidR="0024567A" w:rsidRPr="007A5D41">
        <w:rPr>
          <w:rFonts w:asciiTheme="minorHAnsi" w:hAnsiTheme="minorHAnsi"/>
          <w:bCs/>
          <w:lang w:val="en-GB"/>
        </w:rPr>
        <w:t xml:space="preserve">. Taking into account the limited clinical effect and the </w:t>
      </w:r>
      <w:r w:rsidR="00285CA3" w:rsidRPr="007A5D41">
        <w:t xml:space="preserve">high rates of adverse effects including the </w:t>
      </w:r>
      <w:r w:rsidRPr="007A5D41">
        <w:t xml:space="preserve">potential for substantial liver toxicity, the PBAC considered that the incremental cost-effectiveness </w:t>
      </w:r>
      <w:r w:rsidR="00164D9C" w:rsidRPr="007A5D41">
        <w:t xml:space="preserve">was </w:t>
      </w:r>
      <w:r w:rsidR="0059278D">
        <w:t>too</w:t>
      </w:r>
      <w:r w:rsidR="0059278D" w:rsidRPr="007A5D41">
        <w:t xml:space="preserve"> </w:t>
      </w:r>
      <w:r w:rsidR="00164D9C" w:rsidRPr="007A5D41">
        <w:t>high</w:t>
      </w:r>
      <w:r w:rsidR="00547A02" w:rsidRPr="007A5D41">
        <w:rPr>
          <w:rFonts w:asciiTheme="minorHAnsi" w:hAnsiTheme="minorHAnsi"/>
          <w:bCs/>
          <w:lang w:val="en-GB"/>
        </w:rPr>
        <w:t>.</w:t>
      </w:r>
      <w:r w:rsidR="006452AD" w:rsidRPr="007A5D41">
        <w:t xml:space="preserve"> </w:t>
      </w:r>
      <w:r w:rsidR="006452AD" w:rsidRPr="007A5D41">
        <w:rPr>
          <w:rFonts w:asciiTheme="minorHAnsi" w:hAnsiTheme="minorHAnsi"/>
          <w:bCs/>
          <w:lang w:val="en-GB"/>
        </w:rPr>
        <w:t xml:space="preserve">The PBAC therefore deferred the submission in order to establish a cost-effective price. </w:t>
      </w:r>
    </w:p>
    <w:p w:rsidR="00547A02" w:rsidRPr="00A50AA4" w:rsidRDefault="00250C79" w:rsidP="002A0A80">
      <w:pPr>
        <w:pStyle w:val="ListParagraph"/>
        <w:numPr>
          <w:ilvl w:val="1"/>
          <w:numId w:val="3"/>
        </w:numPr>
        <w:ind w:left="709"/>
        <w:rPr>
          <w:rFonts w:asciiTheme="minorHAnsi" w:hAnsiTheme="minorHAnsi"/>
          <w:bCs/>
          <w:lang w:val="en-GB"/>
        </w:rPr>
      </w:pPr>
      <w:r w:rsidRPr="00A50AA4">
        <w:rPr>
          <w:rFonts w:asciiTheme="minorHAnsi" w:hAnsiTheme="minorHAnsi"/>
          <w:bCs/>
          <w:lang w:val="en-GB"/>
        </w:rPr>
        <w:t xml:space="preserve">The PBAC noted </w:t>
      </w:r>
      <w:r w:rsidR="003A2AE9" w:rsidRPr="00A50AA4">
        <w:rPr>
          <w:rFonts w:asciiTheme="minorHAnsi" w:hAnsiTheme="minorHAnsi"/>
          <w:bCs/>
          <w:lang w:val="en-GB"/>
        </w:rPr>
        <w:t>significant</w:t>
      </w:r>
      <w:r w:rsidRPr="00A50AA4">
        <w:rPr>
          <w:rFonts w:asciiTheme="minorHAnsi" w:hAnsiTheme="minorHAnsi"/>
          <w:bCs/>
          <w:lang w:val="en-GB"/>
        </w:rPr>
        <w:t xml:space="preserve"> variability </w:t>
      </w:r>
      <w:r w:rsidR="003A2AE9" w:rsidRPr="00A50AA4">
        <w:rPr>
          <w:rFonts w:asciiTheme="minorHAnsi" w:hAnsiTheme="minorHAnsi"/>
          <w:bCs/>
          <w:lang w:val="en-GB"/>
        </w:rPr>
        <w:t xml:space="preserve">between the inclusion criteria of REPRISE and TEMPO 3:4 and </w:t>
      </w:r>
      <w:r w:rsidR="00C41590" w:rsidRPr="00A50AA4">
        <w:rPr>
          <w:rFonts w:asciiTheme="minorHAnsi" w:hAnsiTheme="minorHAnsi"/>
          <w:bCs/>
          <w:lang w:val="en-GB"/>
        </w:rPr>
        <w:t xml:space="preserve">considered it </w:t>
      </w:r>
      <w:r w:rsidR="003A2AE9" w:rsidRPr="00A50AA4">
        <w:rPr>
          <w:rFonts w:asciiTheme="minorHAnsi" w:hAnsiTheme="minorHAnsi"/>
          <w:bCs/>
          <w:lang w:val="en-GB"/>
        </w:rPr>
        <w:t xml:space="preserve">remained unclear how the trial populations </w:t>
      </w:r>
      <w:r w:rsidR="000E58B7">
        <w:rPr>
          <w:rFonts w:asciiTheme="minorHAnsi" w:hAnsiTheme="minorHAnsi"/>
          <w:bCs/>
          <w:lang w:val="en-GB"/>
        </w:rPr>
        <w:t>we</w:t>
      </w:r>
      <w:r w:rsidR="003A2AE9" w:rsidRPr="00A50AA4">
        <w:rPr>
          <w:rFonts w:asciiTheme="minorHAnsi" w:hAnsiTheme="minorHAnsi"/>
          <w:bCs/>
          <w:lang w:val="en-GB"/>
        </w:rPr>
        <w:t xml:space="preserve">re applicable to the </w:t>
      </w:r>
      <w:r w:rsidR="00A50AA4" w:rsidRPr="00A50AA4">
        <w:rPr>
          <w:rFonts w:asciiTheme="minorHAnsi" w:hAnsiTheme="minorHAnsi"/>
          <w:bCs/>
          <w:lang w:val="en-GB"/>
        </w:rPr>
        <w:t xml:space="preserve">proposed </w:t>
      </w:r>
      <w:r w:rsidR="00A50AA4">
        <w:rPr>
          <w:rFonts w:asciiTheme="minorHAnsi" w:hAnsiTheme="minorHAnsi"/>
          <w:bCs/>
          <w:lang w:val="en-GB"/>
        </w:rPr>
        <w:t xml:space="preserve">PBS </w:t>
      </w:r>
      <w:r w:rsidR="003A2AE9" w:rsidRPr="00A50AA4">
        <w:rPr>
          <w:rFonts w:asciiTheme="minorHAnsi" w:hAnsiTheme="minorHAnsi"/>
          <w:bCs/>
          <w:lang w:val="en-GB"/>
        </w:rPr>
        <w:t>eligible Australian population</w:t>
      </w:r>
      <w:r w:rsidR="00A71D06" w:rsidRPr="00A50AA4">
        <w:rPr>
          <w:rFonts w:asciiTheme="minorHAnsi" w:hAnsiTheme="minorHAnsi"/>
          <w:bCs/>
          <w:lang w:val="en-GB"/>
        </w:rPr>
        <w:t xml:space="preserve"> in terms of rapidly progressing disease, CKD stage, and age-related eGFR criteria</w:t>
      </w:r>
      <w:r w:rsidR="003A2AE9" w:rsidRPr="00A50AA4">
        <w:rPr>
          <w:rFonts w:asciiTheme="minorHAnsi" w:hAnsiTheme="minorHAnsi"/>
          <w:bCs/>
          <w:lang w:val="en-GB"/>
        </w:rPr>
        <w:t xml:space="preserve">. </w:t>
      </w:r>
      <w:r w:rsidR="002032A9" w:rsidRPr="00A50AA4">
        <w:rPr>
          <w:rFonts w:asciiTheme="minorHAnsi" w:hAnsiTheme="minorHAnsi"/>
          <w:bCs/>
          <w:lang w:val="en-GB"/>
        </w:rPr>
        <w:t xml:space="preserve">The PBAC noted that the resubmission </w:t>
      </w:r>
      <w:r w:rsidR="00691D4F" w:rsidRPr="00A50AA4">
        <w:rPr>
          <w:rFonts w:asciiTheme="minorHAnsi" w:hAnsiTheme="minorHAnsi"/>
          <w:bCs/>
          <w:lang w:val="en-GB"/>
        </w:rPr>
        <w:t>base case ICERs from Tempo 3:4 and REPRISE were based upon eff</w:t>
      </w:r>
      <w:r w:rsidR="00A50AA4">
        <w:rPr>
          <w:rFonts w:asciiTheme="minorHAnsi" w:hAnsiTheme="minorHAnsi"/>
          <w:bCs/>
          <w:lang w:val="en-GB"/>
        </w:rPr>
        <w:t>ectiveness</w:t>
      </w:r>
      <w:r w:rsidR="00691D4F" w:rsidRPr="00A50AA4">
        <w:rPr>
          <w:rFonts w:asciiTheme="minorHAnsi" w:hAnsiTheme="minorHAnsi"/>
          <w:bCs/>
          <w:lang w:val="en-GB"/>
        </w:rPr>
        <w:t xml:space="preserve"> from sub-population</w:t>
      </w:r>
      <w:r w:rsidR="00A50AA4">
        <w:rPr>
          <w:rFonts w:asciiTheme="minorHAnsi" w:hAnsiTheme="minorHAnsi"/>
          <w:bCs/>
          <w:lang w:val="en-GB"/>
        </w:rPr>
        <w:t>s</w:t>
      </w:r>
      <w:r w:rsidR="00691D4F" w:rsidRPr="00A50AA4">
        <w:rPr>
          <w:rFonts w:asciiTheme="minorHAnsi" w:hAnsiTheme="minorHAnsi"/>
          <w:bCs/>
          <w:lang w:val="en-GB"/>
        </w:rPr>
        <w:t xml:space="preserve"> in the trial</w:t>
      </w:r>
      <w:r w:rsidR="000944CA">
        <w:rPr>
          <w:rFonts w:asciiTheme="minorHAnsi" w:hAnsiTheme="minorHAnsi"/>
          <w:bCs/>
          <w:lang w:val="en-GB"/>
        </w:rPr>
        <w:t>s</w:t>
      </w:r>
      <w:r w:rsidR="00691D4F" w:rsidRPr="00A50AA4">
        <w:rPr>
          <w:rFonts w:asciiTheme="minorHAnsi" w:hAnsiTheme="minorHAnsi"/>
          <w:bCs/>
          <w:lang w:val="en-GB"/>
        </w:rPr>
        <w:t xml:space="preserve">, as opposed to the ITT </w:t>
      </w:r>
      <w:r w:rsidR="000E58B7">
        <w:rPr>
          <w:rFonts w:asciiTheme="minorHAnsi" w:hAnsiTheme="minorHAnsi"/>
          <w:bCs/>
          <w:lang w:val="en-GB"/>
        </w:rPr>
        <w:t>population</w:t>
      </w:r>
      <w:r w:rsidR="000944CA">
        <w:rPr>
          <w:rFonts w:asciiTheme="minorHAnsi" w:hAnsiTheme="minorHAnsi"/>
          <w:bCs/>
          <w:lang w:val="en-GB"/>
        </w:rPr>
        <w:t>s</w:t>
      </w:r>
      <w:r w:rsidR="00A50AA4">
        <w:rPr>
          <w:rFonts w:asciiTheme="minorHAnsi" w:hAnsiTheme="minorHAnsi"/>
          <w:bCs/>
          <w:lang w:val="en-GB"/>
        </w:rPr>
        <w:t>, with results varying significantly</w:t>
      </w:r>
      <w:r w:rsidR="000E58B7">
        <w:rPr>
          <w:rFonts w:asciiTheme="minorHAnsi" w:hAnsiTheme="minorHAnsi"/>
          <w:bCs/>
          <w:lang w:val="en-GB"/>
        </w:rPr>
        <w:t xml:space="preserve"> (see paragraphs  6.46 to 6.48 above)</w:t>
      </w:r>
      <w:r w:rsidR="00691D4F" w:rsidRPr="00A50AA4">
        <w:rPr>
          <w:rFonts w:asciiTheme="minorHAnsi" w:hAnsiTheme="minorHAnsi"/>
          <w:bCs/>
          <w:lang w:val="en-GB"/>
        </w:rPr>
        <w:t xml:space="preserve">. </w:t>
      </w:r>
      <w:r w:rsidR="000E58B7">
        <w:rPr>
          <w:rFonts w:asciiTheme="minorHAnsi" w:hAnsiTheme="minorHAnsi"/>
          <w:bCs/>
          <w:lang w:val="en-GB"/>
        </w:rPr>
        <w:t>I</w:t>
      </w:r>
      <w:r w:rsidR="006C0627" w:rsidRPr="00A50AA4">
        <w:rPr>
          <w:rFonts w:asciiTheme="minorHAnsi" w:hAnsiTheme="minorHAnsi"/>
          <w:bCs/>
          <w:lang w:val="en-GB"/>
        </w:rPr>
        <w:t xml:space="preserve">n this context </w:t>
      </w:r>
      <w:r w:rsidR="000E58B7">
        <w:rPr>
          <w:rFonts w:asciiTheme="minorHAnsi" w:hAnsiTheme="minorHAnsi"/>
          <w:bCs/>
          <w:lang w:val="en-GB"/>
        </w:rPr>
        <w:t xml:space="preserve">the PBAC </w:t>
      </w:r>
      <w:r w:rsidR="006C0627" w:rsidRPr="00A50AA4">
        <w:rPr>
          <w:rFonts w:asciiTheme="minorHAnsi" w:hAnsiTheme="minorHAnsi"/>
          <w:bCs/>
          <w:lang w:val="en-GB"/>
        </w:rPr>
        <w:t>considered the ICER</w:t>
      </w:r>
      <w:r w:rsidR="000E58B7">
        <w:rPr>
          <w:rFonts w:asciiTheme="minorHAnsi" w:hAnsiTheme="minorHAnsi"/>
          <w:bCs/>
          <w:lang w:val="en-GB"/>
        </w:rPr>
        <w:t>s</w:t>
      </w:r>
      <w:r w:rsidR="006C0627" w:rsidRPr="00A50AA4">
        <w:rPr>
          <w:rFonts w:asciiTheme="minorHAnsi" w:hAnsiTheme="minorHAnsi"/>
          <w:bCs/>
          <w:lang w:val="en-GB"/>
        </w:rPr>
        <w:t xml:space="preserve"> highly variable and uncertain. </w:t>
      </w:r>
    </w:p>
    <w:p w:rsidR="009D5D92" w:rsidRDefault="009D5D92" w:rsidP="002A0A80">
      <w:pPr>
        <w:pStyle w:val="ListParagraph"/>
        <w:numPr>
          <w:ilvl w:val="1"/>
          <w:numId w:val="3"/>
        </w:numPr>
        <w:ind w:left="709"/>
        <w:rPr>
          <w:rFonts w:asciiTheme="minorHAnsi" w:hAnsiTheme="minorHAnsi"/>
          <w:bCs/>
          <w:lang w:val="en-GB"/>
        </w:rPr>
      </w:pPr>
      <w:r w:rsidRPr="007A5D41">
        <w:rPr>
          <w:rFonts w:asciiTheme="minorHAnsi" w:hAnsiTheme="minorHAnsi"/>
          <w:bCs/>
          <w:lang w:val="en-GB"/>
        </w:rPr>
        <w:t xml:space="preserve">The PBAC considered that the model did not provide a reliable indication of the cost-effectiveness of tolvaptan due </w:t>
      </w:r>
      <w:r>
        <w:rPr>
          <w:rFonts w:asciiTheme="minorHAnsi" w:hAnsiTheme="minorHAnsi"/>
          <w:bCs/>
          <w:lang w:val="en-GB"/>
        </w:rPr>
        <w:t>to:</w:t>
      </w:r>
    </w:p>
    <w:p w:rsidR="009D5D92" w:rsidRDefault="009D5D92" w:rsidP="00AD41DE">
      <w:pPr>
        <w:pStyle w:val="ListParagraph"/>
        <w:numPr>
          <w:ilvl w:val="1"/>
          <w:numId w:val="13"/>
        </w:numPr>
        <w:ind w:left="709" w:hanging="567"/>
        <w:rPr>
          <w:rFonts w:asciiTheme="minorHAnsi" w:hAnsiTheme="minorHAnsi"/>
          <w:bCs/>
          <w:lang w:val="en-GB"/>
        </w:rPr>
      </w:pPr>
      <w:r w:rsidRPr="007A5D41">
        <w:rPr>
          <w:rFonts w:asciiTheme="minorHAnsi" w:hAnsiTheme="minorHAnsi"/>
          <w:bCs/>
          <w:lang w:val="en-GB"/>
        </w:rPr>
        <w:t xml:space="preserve">the </w:t>
      </w:r>
      <w:r>
        <w:rPr>
          <w:rFonts w:asciiTheme="minorHAnsi" w:hAnsiTheme="minorHAnsi"/>
          <w:bCs/>
          <w:lang w:val="en-GB"/>
        </w:rPr>
        <w:t xml:space="preserve">reliance on optimistic estimates of long-term treatment effects </w:t>
      </w:r>
      <w:r w:rsidRPr="007A5D41">
        <w:rPr>
          <w:rFonts w:asciiTheme="minorHAnsi" w:hAnsiTheme="minorHAnsi"/>
          <w:bCs/>
          <w:lang w:val="en-GB"/>
        </w:rPr>
        <w:t>where delayed renal replacement therapy is the primary source of health benefit</w:t>
      </w:r>
    </w:p>
    <w:p w:rsidR="009D5D92" w:rsidRPr="009D5D92" w:rsidRDefault="009D5D92" w:rsidP="00AD41DE">
      <w:pPr>
        <w:pStyle w:val="ListParagraph"/>
        <w:numPr>
          <w:ilvl w:val="1"/>
          <w:numId w:val="13"/>
        </w:numPr>
        <w:ind w:left="709" w:hanging="567"/>
        <w:rPr>
          <w:rFonts w:asciiTheme="minorHAnsi" w:hAnsiTheme="minorHAnsi"/>
          <w:bCs/>
          <w:lang w:val="en-GB"/>
        </w:rPr>
      </w:pPr>
      <w:r>
        <w:rPr>
          <w:rFonts w:asciiTheme="minorHAnsi" w:hAnsiTheme="minorHAnsi"/>
          <w:bCs/>
          <w:lang w:val="en-GB"/>
        </w:rPr>
        <w:t xml:space="preserve">no </w:t>
      </w:r>
      <w:r w:rsidRPr="00F563B9">
        <w:rPr>
          <w:lang w:val="en-US"/>
        </w:rPr>
        <w:t>accoun</w:t>
      </w:r>
      <w:r>
        <w:rPr>
          <w:lang w:val="en-US"/>
        </w:rPr>
        <w:t>tin</w:t>
      </w:r>
      <w:r w:rsidRPr="00F563B9">
        <w:rPr>
          <w:lang w:val="en-US"/>
        </w:rPr>
        <w:t>g for the acute hemodynamic effects associated with tolvaptan treatment (5-10% reduction in eGFR)</w:t>
      </w:r>
      <w:r>
        <w:rPr>
          <w:lang w:val="en-US"/>
        </w:rPr>
        <w:t xml:space="preserve"> </w:t>
      </w:r>
    </w:p>
    <w:p w:rsidR="009D5D92" w:rsidRDefault="009D5D92" w:rsidP="00AD41DE">
      <w:pPr>
        <w:pStyle w:val="ListParagraph"/>
        <w:numPr>
          <w:ilvl w:val="1"/>
          <w:numId w:val="13"/>
        </w:numPr>
        <w:ind w:left="709" w:hanging="567"/>
        <w:rPr>
          <w:rFonts w:asciiTheme="minorHAnsi" w:hAnsiTheme="minorHAnsi"/>
          <w:bCs/>
          <w:lang w:val="en-GB"/>
        </w:rPr>
      </w:pPr>
      <w:r>
        <w:rPr>
          <w:lang w:val="en-US"/>
        </w:rPr>
        <w:t xml:space="preserve">the </w:t>
      </w:r>
      <w:r w:rsidRPr="007A5D41">
        <w:rPr>
          <w:rFonts w:asciiTheme="minorHAnsi" w:hAnsiTheme="minorHAnsi"/>
          <w:bCs/>
          <w:lang w:val="en-GB"/>
        </w:rPr>
        <w:t xml:space="preserve">assumption of rapid disease progression </w:t>
      </w:r>
    </w:p>
    <w:p w:rsidR="009D5D92" w:rsidRDefault="009D5D92" w:rsidP="00AD41DE">
      <w:pPr>
        <w:pStyle w:val="ListParagraph"/>
        <w:numPr>
          <w:ilvl w:val="1"/>
          <w:numId w:val="13"/>
        </w:numPr>
        <w:ind w:left="709" w:hanging="567"/>
        <w:rPr>
          <w:rFonts w:asciiTheme="minorHAnsi" w:hAnsiTheme="minorHAnsi"/>
          <w:bCs/>
          <w:lang w:val="en-GB"/>
        </w:rPr>
      </w:pPr>
      <w:bookmarkStart w:id="15" w:name="_GoBack"/>
      <w:bookmarkEnd w:id="15"/>
      <w:proofErr w:type="gramStart"/>
      <w:r w:rsidRPr="007A5D41">
        <w:rPr>
          <w:rFonts w:asciiTheme="minorHAnsi" w:hAnsiTheme="minorHAnsi"/>
          <w:bCs/>
          <w:lang w:val="en-GB"/>
        </w:rPr>
        <w:t>no</w:t>
      </w:r>
      <w:proofErr w:type="gramEnd"/>
      <w:r w:rsidRPr="007A5D41">
        <w:rPr>
          <w:rFonts w:asciiTheme="minorHAnsi" w:hAnsiTheme="minorHAnsi"/>
          <w:bCs/>
          <w:lang w:val="en-GB"/>
        </w:rPr>
        <w:t xml:space="preserve"> utility decrement for a drug that has appreciable side effects. </w:t>
      </w:r>
    </w:p>
    <w:p w:rsidR="00324081" w:rsidRDefault="00324081" w:rsidP="002A0A80">
      <w:pPr>
        <w:ind w:left="709"/>
        <w:rPr>
          <w:rFonts w:asciiTheme="minorHAnsi" w:hAnsiTheme="minorHAnsi"/>
          <w:bCs/>
          <w:lang w:val="en-GB"/>
        </w:rPr>
      </w:pPr>
      <w:r>
        <w:rPr>
          <w:rFonts w:asciiTheme="minorHAnsi" w:hAnsiTheme="minorHAnsi"/>
          <w:bCs/>
          <w:lang w:val="en-GB"/>
        </w:rPr>
        <w:lastRenderedPageBreak/>
        <w:t>The PBAC considered that a substantial price reduction would be required to account for the uncertain clinical benefit, even in a highly selected population.</w:t>
      </w:r>
    </w:p>
    <w:p w:rsidR="00324081" w:rsidRPr="00324081" w:rsidRDefault="00324081" w:rsidP="00324081">
      <w:pPr>
        <w:ind w:left="142"/>
        <w:rPr>
          <w:rFonts w:asciiTheme="minorHAnsi" w:hAnsiTheme="minorHAnsi"/>
          <w:bCs/>
          <w:lang w:val="en-GB"/>
        </w:rPr>
      </w:pPr>
    </w:p>
    <w:p w:rsidR="00547A02" w:rsidRPr="0088239E" w:rsidRDefault="0088239E" w:rsidP="002A0A80">
      <w:pPr>
        <w:pStyle w:val="ListParagraph"/>
        <w:numPr>
          <w:ilvl w:val="1"/>
          <w:numId w:val="3"/>
        </w:numPr>
        <w:ind w:left="709"/>
        <w:rPr>
          <w:rFonts w:asciiTheme="minorHAnsi" w:hAnsiTheme="minorHAnsi"/>
          <w:bCs/>
          <w:lang w:val="en-GB"/>
        </w:rPr>
      </w:pPr>
      <w:r w:rsidRPr="0088239E">
        <w:rPr>
          <w:rFonts w:asciiTheme="minorHAnsi" w:hAnsiTheme="minorHAnsi"/>
          <w:bCs/>
          <w:lang w:val="en-GB"/>
        </w:rPr>
        <w:t>The PBAC considered the estimated eligible population to be highly uncertain and the u</w:t>
      </w:r>
      <w:r w:rsidR="00547A02" w:rsidRPr="0088239E">
        <w:rPr>
          <w:rFonts w:asciiTheme="minorHAnsi" w:hAnsiTheme="minorHAnsi"/>
          <w:bCs/>
          <w:lang w:val="en-GB"/>
        </w:rPr>
        <w:t>tilisation</w:t>
      </w:r>
      <w:r w:rsidRPr="0088239E">
        <w:rPr>
          <w:rFonts w:asciiTheme="minorHAnsi" w:hAnsiTheme="minorHAnsi"/>
          <w:bCs/>
          <w:lang w:val="en-GB"/>
        </w:rPr>
        <w:t xml:space="preserve"> and financial implications presented in the submission </w:t>
      </w:r>
      <w:r w:rsidR="00C46B48">
        <w:rPr>
          <w:rFonts w:asciiTheme="minorHAnsi" w:hAnsiTheme="minorHAnsi"/>
          <w:bCs/>
          <w:lang w:val="en-GB"/>
        </w:rPr>
        <w:t>were</w:t>
      </w:r>
      <w:r w:rsidR="00C46B48" w:rsidRPr="0088239E">
        <w:rPr>
          <w:rFonts w:asciiTheme="minorHAnsi" w:hAnsiTheme="minorHAnsi"/>
          <w:bCs/>
          <w:lang w:val="en-GB"/>
        </w:rPr>
        <w:t xml:space="preserve"> </w:t>
      </w:r>
      <w:r w:rsidRPr="0088239E">
        <w:rPr>
          <w:rFonts w:asciiTheme="minorHAnsi" w:hAnsiTheme="minorHAnsi"/>
          <w:bCs/>
          <w:lang w:val="en-GB"/>
        </w:rPr>
        <w:t>most likely underestimated. The PBAC advised the uncertainty around utilisation is unlikely to be mitigated by the proposed RSA</w:t>
      </w:r>
      <w:r w:rsidR="000944CA">
        <w:rPr>
          <w:rFonts w:asciiTheme="minorHAnsi" w:hAnsiTheme="minorHAnsi"/>
          <w:bCs/>
          <w:lang w:val="en-GB"/>
        </w:rPr>
        <w:t xml:space="preserve"> in the </w:t>
      </w:r>
      <w:r w:rsidR="0059511D">
        <w:rPr>
          <w:rFonts w:asciiTheme="minorHAnsi" w:hAnsiTheme="minorHAnsi"/>
          <w:bCs/>
          <w:lang w:val="en-GB"/>
        </w:rPr>
        <w:t>resubmission</w:t>
      </w:r>
      <w:r w:rsidRPr="0088239E">
        <w:rPr>
          <w:rFonts w:asciiTheme="minorHAnsi" w:hAnsiTheme="minorHAnsi"/>
          <w:bCs/>
          <w:lang w:val="en-GB"/>
        </w:rPr>
        <w:t>.</w:t>
      </w:r>
      <w:r w:rsidR="00C46B48">
        <w:rPr>
          <w:rFonts w:asciiTheme="minorHAnsi" w:hAnsiTheme="minorHAnsi"/>
          <w:bCs/>
          <w:lang w:val="en-GB"/>
        </w:rPr>
        <w:t xml:space="preserve"> Residual uncertainty about the treatment effect and the most likely population to respond to therapy will require a more targeted population estimate with 100% rebate over an agreed estimated utilisation. </w:t>
      </w:r>
    </w:p>
    <w:p w:rsidR="0020475C" w:rsidRPr="0020475C" w:rsidRDefault="00A67CD5" w:rsidP="002A0A80">
      <w:pPr>
        <w:numPr>
          <w:ilvl w:val="1"/>
          <w:numId w:val="3"/>
        </w:numPr>
        <w:tabs>
          <w:tab w:val="left" w:pos="709"/>
        </w:tabs>
        <w:spacing w:after="120"/>
        <w:ind w:left="709" w:hanging="709"/>
        <w:rPr>
          <w:rFonts w:asciiTheme="minorHAnsi" w:hAnsiTheme="minorHAnsi"/>
          <w:bCs/>
          <w:lang w:val="en-GB"/>
        </w:rPr>
      </w:pPr>
      <w:r w:rsidRPr="0020475C">
        <w:rPr>
          <w:rFonts w:asciiTheme="minorHAnsi" w:hAnsiTheme="minorHAnsi"/>
          <w:bCs/>
          <w:lang w:val="en-GB"/>
        </w:rPr>
        <w:t xml:space="preserve">The PBAC considered that a resubmission would need to be a </w:t>
      </w:r>
      <w:r w:rsidR="00B80EB0" w:rsidRPr="0020475C">
        <w:rPr>
          <w:rFonts w:asciiTheme="minorHAnsi" w:hAnsiTheme="minorHAnsi"/>
          <w:bCs/>
          <w:lang w:val="en-GB"/>
        </w:rPr>
        <w:t>m</w:t>
      </w:r>
      <w:r w:rsidR="0020475C" w:rsidRPr="0020475C">
        <w:rPr>
          <w:rFonts w:asciiTheme="minorHAnsi" w:hAnsiTheme="minorHAnsi"/>
          <w:bCs/>
          <w:lang w:val="en-GB"/>
        </w:rPr>
        <w:t>aj</w:t>
      </w:r>
      <w:r w:rsidR="00B80EB0" w:rsidRPr="0020475C">
        <w:rPr>
          <w:rFonts w:asciiTheme="minorHAnsi" w:hAnsiTheme="minorHAnsi"/>
          <w:bCs/>
          <w:lang w:val="en-GB"/>
        </w:rPr>
        <w:t>or</w:t>
      </w:r>
      <w:r w:rsidRPr="0020475C">
        <w:rPr>
          <w:rFonts w:asciiTheme="minorHAnsi" w:hAnsiTheme="minorHAnsi"/>
          <w:bCs/>
          <w:lang w:val="en-GB"/>
        </w:rPr>
        <w:t xml:space="preserve"> submission to allow for the evaluation of updated economic modelling</w:t>
      </w:r>
      <w:r w:rsidR="00324081">
        <w:rPr>
          <w:rFonts w:asciiTheme="minorHAnsi" w:hAnsiTheme="minorHAnsi"/>
          <w:bCs/>
          <w:lang w:val="en-GB"/>
        </w:rPr>
        <w:t xml:space="preserve"> based on </w:t>
      </w:r>
      <w:r w:rsidR="00324081" w:rsidRPr="00142456">
        <w:rPr>
          <w:rFonts w:asciiTheme="minorHAnsi" w:hAnsiTheme="minorHAnsi"/>
          <w:bCs/>
          <w:lang w:val="en-GB"/>
        </w:rPr>
        <w:t>paragraph 7.11</w:t>
      </w:r>
      <w:r w:rsidR="00547A02" w:rsidRPr="0020475C">
        <w:rPr>
          <w:rFonts w:asciiTheme="minorHAnsi" w:hAnsiTheme="minorHAnsi"/>
          <w:bCs/>
          <w:lang w:val="en-GB"/>
        </w:rPr>
        <w:t xml:space="preserve">. </w:t>
      </w:r>
      <w:r w:rsidR="0020475C" w:rsidRPr="0020475C">
        <w:rPr>
          <w:rFonts w:asciiTheme="minorHAnsi" w:hAnsiTheme="minorHAnsi"/>
          <w:bCs/>
          <w:lang w:val="en-GB"/>
        </w:rPr>
        <w:t xml:space="preserve">In the absence of stronger clinical evidence of treatment effect, </w:t>
      </w:r>
      <w:r w:rsidR="00C46B48">
        <w:rPr>
          <w:rFonts w:asciiTheme="minorHAnsi" w:hAnsiTheme="minorHAnsi"/>
          <w:bCs/>
          <w:lang w:val="en-GB"/>
        </w:rPr>
        <w:t xml:space="preserve">a </w:t>
      </w:r>
      <w:r w:rsidR="0020475C">
        <w:rPr>
          <w:rFonts w:asciiTheme="minorHAnsi" w:hAnsiTheme="minorHAnsi"/>
          <w:bCs/>
          <w:lang w:val="en-GB"/>
        </w:rPr>
        <w:t>t</w:t>
      </w:r>
      <w:r w:rsidR="0020475C" w:rsidRPr="0020475C">
        <w:rPr>
          <w:rFonts w:asciiTheme="minorHAnsi" w:hAnsiTheme="minorHAnsi"/>
          <w:bCs/>
          <w:lang w:val="en-GB"/>
        </w:rPr>
        <w:t>ighter restriction</w:t>
      </w:r>
      <w:r w:rsidR="00C46B48">
        <w:rPr>
          <w:rFonts w:asciiTheme="minorHAnsi" w:hAnsiTheme="minorHAnsi"/>
          <w:bCs/>
          <w:lang w:val="en-GB"/>
        </w:rPr>
        <w:t>, significant price reduction</w:t>
      </w:r>
      <w:r w:rsidR="0020475C">
        <w:rPr>
          <w:rFonts w:asciiTheme="minorHAnsi" w:hAnsiTheme="minorHAnsi"/>
          <w:bCs/>
          <w:lang w:val="en-GB"/>
        </w:rPr>
        <w:t xml:space="preserve"> and </w:t>
      </w:r>
      <w:r w:rsidR="00C46B48">
        <w:rPr>
          <w:rFonts w:asciiTheme="minorHAnsi" w:hAnsiTheme="minorHAnsi"/>
          <w:bCs/>
          <w:lang w:val="en-GB"/>
        </w:rPr>
        <w:t>a RSA with a hard cap</w:t>
      </w:r>
      <w:r w:rsidR="0020475C" w:rsidRPr="0020475C">
        <w:rPr>
          <w:rFonts w:asciiTheme="minorHAnsi" w:hAnsiTheme="minorHAnsi"/>
          <w:bCs/>
          <w:lang w:val="en-GB"/>
        </w:rPr>
        <w:t xml:space="preserve"> </w:t>
      </w:r>
      <w:r w:rsidR="0020475C">
        <w:rPr>
          <w:rFonts w:asciiTheme="minorHAnsi" w:hAnsiTheme="minorHAnsi"/>
          <w:bCs/>
          <w:lang w:val="en-GB"/>
        </w:rPr>
        <w:t xml:space="preserve">would be required </w:t>
      </w:r>
      <w:r w:rsidR="0020475C" w:rsidRPr="0020475C">
        <w:rPr>
          <w:rFonts w:asciiTheme="minorHAnsi" w:hAnsiTheme="minorHAnsi"/>
          <w:bCs/>
          <w:lang w:val="en-GB"/>
        </w:rPr>
        <w:t xml:space="preserve">to identify </w:t>
      </w:r>
      <w:r w:rsidR="0020475C">
        <w:rPr>
          <w:rFonts w:asciiTheme="minorHAnsi" w:hAnsiTheme="minorHAnsi"/>
          <w:bCs/>
          <w:lang w:val="en-GB"/>
        </w:rPr>
        <w:t xml:space="preserve">a </w:t>
      </w:r>
      <w:r w:rsidR="0020475C" w:rsidRPr="0020475C">
        <w:rPr>
          <w:rFonts w:asciiTheme="minorHAnsi" w:hAnsiTheme="minorHAnsi"/>
          <w:bCs/>
          <w:lang w:val="en-GB"/>
        </w:rPr>
        <w:t>more severely affected group</w:t>
      </w:r>
      <w:r w:rsidR="006E0208">
        <w:rPr>
          <w:rFonts w:asciiTheme="minorHAnsi" w:hAnsiTheme="minorHAnsi"/>
          <w:bCs/>
          <w:lang w:val="en-GB"/>
        </w:rPr>
        <w:t xml:space="preserve"> for whom PBS subsidy of tolvaptan may be considered reasonably cost-effective</w:t>
      </w:r>
      <w:r w:rsidR="0020475C">
        <w:rPr>
          <w:rFonts w:asciiTheme="minorHAnsi" w:hAnsiTheme="minorHAnsi"/>
          <w:bCs/>
          <w:lang w:val="en-GB"/>
        </w:rPr>
        <w:t>.</w:t>
      </w:r>
    </w:p>
    <w:p w:rsidR="00547A02" w:rsidRPr="00A67CD5" w:rsidRDefault="00547A02" w:rsidP="002A0A80">
      <w:pPr>
        <w:numPr>
          <w:ilvl w:val="1"/>
          <w:numId w:val="3"/>
        </w:numPr>
        <w:spacing w:after="120"/>
        <w:ind w:left="709" w:hanging="709"/>
        <w:rPr>
          <w:rFonts w:asciiTheme="minorHAnsi" w:hAnsiTheme="minorHAnsi"/>
          <w:bCs/>
          <w:i/>
          <w:lang w:val="en-GB"/>
        </w:rPr>
      </w:pPr>
      <w:r w:rsidRPr="00A67CD5">
        <w:rPr>
          <w:rFonts w:asciiTheme="minorHAnsi" w:hAnsiTheme="minorHAnsi"/>
          <w:bCs/>
          <w:lang w:val="en-GB"/>
        </w:rPr>
        <w:t>The PBA</w:t>
      </w:r>
      <w:r w:rsidR="00A67CD5" w:rsidRPr="00A67CD5">
        <w:rPr>
          <w:rFonts w:asciiTheme="minorHAnsi" w:hAnsiTheme="minorHAnsi"/>
          <w:bCs/>
          <w:lang w:val="en-GB"/>
        </w:rPr>
        <w:t>C noted that this submission is</w:t>
      </w:r>
      <w:r w:rsidR="00E2523A">
        <w:rPr>
          <w:rFonts w:asciiTheme="minorHAnsi" w:hAnsiTheme="minorHAnsi"/>
          <w:bCs/>
          <w:lang w:val="en-GB"/>
        </w:rPr>
        <w:t xml:space="preserve"> not</w:t>
      </w:r>
      <w:r w:rsidRPr="00A67CD5">
        <w:rPr>
          <w:rFonts w:asciiTheme="minorHAnsi" w:hAnsiTheme="minorHAnsi"/>
          <w:bCs/>
          <w:lang w:val="en-GB"/>
        </w:rPr>
        <w:t xml:space="preserve"> eligible for an Independent Review</w:t>
      </w:r>
      <w:r w:rsidR="00E2523A">
        <w:rPr>
          <w:rFonts w:asciiTheme="minorHAnsi" w:hAnsiTheme="minorHAnsi"/>
          <w:bCs/>
          <w:lang w:val="en-GB"/>
        </w:rPr>
        <w:t xml:space="preserve"> as it was deferred</w:t>
      </w:r>
      <w:r w:rsidRPr="00A67CD5">
        <w:rPr>
          <w:rFonts w:asciiTheme="minorHAnsi" w:hAnsiTheme="minorHAnsi"/>
          <w:bCs/>
          <w:lang w:val="en-GB"/>
        </w:rPr>
        <w:t>.</w:t>
      </w:r>
    </w:p>
    <w:p w:rsidR="00547A02" w:rsidRPr="0041062E" w:rsidRDefault="00547A02" w:rsidP="002A0A80">
      <w:pPr>
        <w:spacing w:before="240"/>
        <w:rPr>
          <w:rFonts w:asciiTheme="minorHAnsi" w:hAnsiTheme="minorHAnsi"/>
          <w:b/>
          <w:bCs/>
          <w:lang w:val="en-GB"/>
        </w:rPr>
      </w:pPr>
      <w:r w:rsidRPr="0041062E">
        <w:rPr>
          <w:rFonts w:asciiTheme="minorHAnsi" w:hAnsiTheme="minorHAnsi"/>
          <w:b/>
          <w:bCs/>
          <w:lang w:val="en-GB"/>
        </w:rPr>
        <w:t>Outcome:</w:t>
      </w:r>
    </w:p>
    <w:p w:rsidR="00547A02" w:rsidRPr="00766D3A" w:rsidRDefault="00784D0F" w:rsidP="002A0A80">
      <w:pPr>
        <w:rPr>
          <w:rFonts w:asciiTheme="minorHAnsi" w:hAnsiTheme="minorHAnsi"/>
          <w:bCs/>
          <w:lang w:val="en-GB"/>
        </w:rPr>
      </w:pPr>
      <w:r w:rsidRPr="0041062E">
        <w:rPr>
          <w:rFonts w:asciiTheme="minorHAnsi" w:hAnsiTheme="minorHAnsi"/>
          <w:bCs/>
          <w:lang w:val="en-GB"/>
        </w:rPr>
        <w:t xml:space="preserve">Deferred </w:t>
      </w:r>
    </w:p>
    <w:p w:rsidR="00547A02" w:rsidRDefault="00547A02" w:rsidP="008B4B29">
      <w:pPr>
        <w:widowControl/>
      </w:pPr>
    </w:p>
    <w:p w:rsidR="00A921A7" w:rsidRPr="00A921A7" w:rsidRDefault="00A921A7" w:rsidP="003436BF">
      <w:pPr>
        <w:pStyle w:val="PBACHeading1"/>
        <w:outlineLvl w:val="0"/>
        <w:rPr>
          <w:rFonts w:asciiTheme="minorHAnsi" w:eastAsiaTheme="minorHAnsi" w:hAnsiTheme="minorHAnsi" w:cstheme="minorBidi"/>
          <w:snapToGrid/>
        </w:rPr>
      </w:pPr>
      <w:r w:rsidRPr="00A921A7">
        <w:rPr>
          <w:rFonts w:asciiTheme="minorHAnsi" w:eastAsiaTheme="minorHAnsi" w:hAnsiTheme="minorHAnsi" w:cstheme="minorBidi"/>
          <w:snapToGrid/>
        </w:rPr>
        <w:t>Context for Decision</w:t>
      </w:r>
    </w:p>
    <w:p w:rsidR="00A921A7" w:rsidRPr="003436BF" w:rsidRDefault="00A921A7" w:rsidP="003436BF">
      <w:pPr>
        <w:widowControl/>
        <w:rPr>
          <w:rFonts w:asciiTheme="minorHAnsi" w:eastAsiaTheme="minorHAnsi" w:hAnsiTheme="minorHAnsi"/>
          <w:snapToGrid/>
        </w:rPr>
      </w:pPr>
      <w:r w:rsidRPr="00A921A7">
        <w:rPr>
          <w:rFonts w:asciiTheme="minorHAnsi" w:eastAsiaTheme="minorHAnsi" w:hAnsiTheme="minorHAnsi"/>
          <w:snapToGrid/>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A921A7" w:rsidRPr="00A921A7" w:rsidRDefault="00A921A7" w:rsidP="003436BF">
      <w:pPr>
        <w:pStyle w:val="PBACHeading1"/>
        <w:spacing w:before="240" w:after="120"/>
        <w:outlineLvl w:val="0"/>
        <w:rPr>
          <w:rFonts w:asciiTheme="minorHAnsi" w:eastAsiaTheme="minorHAnsi" w:hAnsiTheme="minorHAnsi" w:cstheme="minorBidi"/>
          <w:snapToGrid/>
        </w:rPr>
      </w:pPr>
      <w:r w:rsidRPr="00A921A7">
        <w:rPr>
          <w:rFonts w:asciiTheme="minorHAnsi" w:eastAsiaTheme="minorHAnsi" w:hAnsiTheme="minorHAnsi" w:cstheme="minorBidi"/>
          <w:snapToGrid/>
        </w:rPr>
        <w:t xml:space="preserve"> Sponsor’s Comment</w:t>
      </w:r>
    </w:p>
    <w:p w:rsidR="00A921A7" w:rsidRDefault="00440BB4" w:rsidP="003436BF">
      <w:pPr>
        <w:widowControl/>
        <w:spacing w:after="120"/>
      </w:pPr>
      <w:proofErr w:type="spellStart"/>
      <w:r w:rsidRPr="00440BB4">
        <w:rPr>
          <w:rFonts w:asciiTheme="minorHAnsi" w:eastAsiaTheme="minorHAnsi" w:hAnsiTheme="minorHAnsi"/>
          <w:bCs/>
          <w:snapToGrid/>
          <w:lang w:val="en-GB"/>
        </w:rPr>
        <w:t>Tolvaptan</w:t>
      </w:r>
      <w:proofErr w:type="spellEnd"/>
      <w:r w:rsidRPr="00440BB4">
        <w:rPr>
          <w:rFonts w:asciiTheme="minorHAnsi" w:eastAsiaTheme="minorHAnsi" w:hAnsiTheme="minorHAnsi"/>
          <w:bCs/>
          <w:snapToGrid/>
          <w:lang w:val="en-GB"/>
        </w:rPr>
        <w:t xml:space="preserve"> is already available as a first in class treatment for ADPKD in Japan, Canada, Europe, US and other countries. There are no other treatments available for this small patient population in Australia. So, whilst disappointed by the deferral, Otsuka is committed to working with the PBAC and the Department of Health to find a way of making tolvaptan accessible to patients as soon as possible</w:t>
      </w:r>
      <w:r>
        <w:rPr>
          <w:rFonts w:asciiTheme="minorHAnsi" w:eastAsiaTheme="minorHAnsi" w:hAnsiTheme="minorHAnsi"/>
          <w:bCs/>
          <w:snapToGrid/>
          <w:lang w:val="en-GB"/>
        </w:rPr>
        <w:t>.</w:t>
      </w:r>
    </w:p>
    <w:sectPr w:rsidR="00A921A7" w:rsidSect="00D548AF">
      <w:headerReference w:type="even" r:id="rId13"/>
      <w:headerReference w:type="default" r:id="rId14"/>
      <w:footerReference w:type="even" r:id="rId15"/>
      <w:footerReference w:type="default" r:id="rId16"/>
      <w:headerReference w:type="first" r:id="rId17"/>
      <w:footerReference w:type="first" r:id="rId18"/>
      <w:pgSz w:w="11907" w:h="16840" w:code="9"/>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B105E5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0758" w:rsidRDefault="00A00758" w:rsidP="00124A51">
      <w:r>
        <w:separator/>
      </w:r>
    </w:p>
    <w:p w:rsidR="00A00758" w:rsidRDefault="00A00758"/>
  </w:endnote>
  <w:endnote w:type="continuationSeparator" w:id="0">
    <w:p w:rsidR="00A00758" w:rsidRDefault="00A00758" w:rsidP="00124A51">
      <w:r>
        <w:continuationSeparator/>
      </w:r>
    </w:p>
    <w:p w:rsidR="00A00758" w:rsidRDefault="00A007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758" w:rsidRDefault="00A0075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rPr>
      <w:id w:val="-602343760"/>
      <w:docPartObj>
        <w:docPartGallery w:val="Page Numbers (Bottom of Page)"/>
        <w:docPartUnique/>
      </w:docPartObj>
    </w:sdtPr>
    <w:sdtEndPr>
      <w:rPr>
        <w:noProof/>
      </w:rPr>
    </w:sdtEndPr>
    <w:sdtContent>
      <w:p w:rsidR="008C2746" w:rsidRPr="007F03CB" w:rsidRDefault="008C2746">
        <w:pPr>
          <w:pStyle w:val="Footer"/>
          <w:jc w:val="center"/>
          <w:rPr>
            <w:b/>
          </w:rPr>
        </w:pPr>
        <w:r w:rsidRPr="007F03CB">
          <w:rPr>
            <w:b/>
          </w:rPr>
          <w:fldChar w:fldCharType="begin"/>
        </w:r>
        <w:r w:rsidRPr="007F03CB">
          <w:rPr>
            <w:b/>
          </w:rPr>
          <w:instrText xml:space="preserve"> PAGE   \* MERGEFORMAT </w:instrText>
        </w:r>
        <w:r w:rsidRPr="007F03CB">
          <w:rPr>
            <w:b/>
          </w:rPr>
          <w:fldChar w:fldCharType="separate"/>
        </w:r>
        <w:r w:rsidR="00AD41DE">
          <w:rPr>
            <w:b/>
            <w:noProof/>
          </w:rPr>
          <w:t>28</w:t>
        </w:r>
        <w:r w:rsidRPr="007F03CB">
          <w:rPr>
            <w:b/>
            <w:noProof/>
          </w:rPr>
          <w:fldChar w:fldCharType="end"/>
        </w:r>
      </w:p>
    </w:sdtContent>
  </w:sdt>
  <w:p w:rsidR="008C2746" w:rsidRPr="007C1CD9" w:rsidRDefault="008C2746" w:rsidP="00E84994">
    <w:pPr>
      <w:ind w:right="360"/>
      <w:jc w:val="center"/>
      <w:rPr>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758" w:rsidRDefault="00A007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0758" w:rsidRDefault="00A00758" w:rsidP="00124A51">
      <w:r>
        <w:separator/>
      </w:r>
    </w:p>
    <w:p w:rsidR="00A00758" w:rsidRDefault="00A00758"/>
  </w:footnote>
  <w:footnote w:type="continuationSeparator" w:id="0">
    <w:p w:rsidR="00A00758" w:rsidRDefault="00A00758" w:rsidP="00124A51">
      <w:r>
        <w:continuationSeparator/>
      </w:r>
    </w:p>
    <w:p w:rsidR="00A00758" w:rsidRDefault="00A0075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758" w:rsidRDefault="00A0075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746" w:rsidRPr="00F90A91" w:rsidRDefault="008C2746" w:rsidP="007F03CB">
    <w:pPr>
      <w:pStyle w:val="Header"/>
      <w:ind w:left="360"/>
      <w:jc w:val="center"/>
      <w:rPr>
        <w:rFonts w:asciiTheme="minorHAnsi" w:hAnsiTheme="minorHAnsi"/>
        <w:i/>
        <w:color w:val="808080"/>
        <w:sz w:val="22"/>
      </w:rPr>
    </w:pPr>
    <w:r>
      <w:rPr>
        <w:rFonts w:asciiTheme="minorHAnsi" w:hAnsiTheme="minorHAnsi"/>
        <w:i/>
        <w:color w:val="808080"/>
        <w:sz w:val="22"/>
      </w:rPr>
      <w:t>Public Summary Document</w:t>
    </w:r>
    <w:r w:rsidRPr="00F90A91">
      <w:rPr>
        <w:rFonts w:asciiTheme="minorHAnsi" w:hAnsiTheme="minorHAnsi"/>
        <w:i/>
        <w:color w:val="808080"/>
        <w:sz w:val="22"/>
      </w:rPr>
      <w:t xml:space="preserve"> – </w:t>
    </w:r>
    <w:r>
      <w:rPr>
        <w:rFonts w:asciiTheme="minorHAnsi" w:hAnsiTheme="minorHAnsi"/>
        <w:i/>
        <w:color w:val="808080"/>
        <w:sz w:val="22"/>
      </w:rPr>
      <w:t>March 2018</w:t>
    </w:r>
    <w:r w:rsidRPr="00F90A91">
      <w:rPr>
        <w:rFonts w:asciiTheme="minorHAnsi" w:hAnsiTheme="minorHAnsi"/>
        <w:i/>
        <w:color w:val="808080"/>
        <w:sz w:val="22"/>
      </w:rPr>
      <w:t xml:space="preserve"> PBAC Meeting</w:t>
    </w:r>
  </w:p>
  <w:p w:rsidR="008C2746" w:rsidRPr="007F03CB" w:rsidRDefault="008C2746" w:rsidP="007F03C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758" w:rsidRDefault="00A007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B6EC1"/>
    <w:multiLevelType w:val="hybridMultilevel"/>
    <w:tmpl w:val="316A1C32"/>
    <w:lvl w:ilvl="0" w:tplc="04090001">
      <w:start w:val="1"/>
      <w:numFmt w:val="bullet"/>
      <w:lvlText w:val=""/>
      <w:lvlJc w:val="left"/>
      <w:pPr>
        <w:ind w:left="720" w:hanging="360"/>
      </w:pPr>
      <w:rPr>
        <w:rFonts w:ascii="Symbol" w:hAnsi="Symbol" w:hint="default"/>
      </w:rPr>
    </w:lvl>
    <w:lvl w:ilvl="1" w:tplc="F9D613CA">
      <w:numFmt w:val="bullet"/>
      <w:lvlText w:val="•"/>
      <w:lvlJc w:val="left"/>
      <w:pPr>
        <w:ind w:left="1800" w:hanging="720"/>
      </w:pPr>
      <w:rPr>
        <w:rFonts w:ascii="Calibri" w:eastAsia="Times New Roman" w:hAnsi="Calibri"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E35B64"/>
    <w:multiLevelType w:val="multilevel"/>
    <w:tmpl w:val="EAFA29B0"/>
    <w:lvl w:ilvl="0">
      <w:start w:val="1"/>
      <w:numFmt w:val="bullet"/>
      <w:pStyle w:val="Bullet"/>
      <w:lvlText w:val=""/>
      <w:lvlJc w:val="left"/>
      <w:pPr>
        <w:tabs>
          <w:tab w:val="num" w:pos="1080"/>
        </w:tabs>
        <w:ind w:left="1080" w:hanging="360"/>
      </w:pPr>
      <w:rPr>
        <w:rFonts w:ascii="Symbol" w:hAnsi="Symbol" w:hint="default"/>
      </w:rPr>
    </w:lvl>
    <w:lvl w:ilvl="1">
      <w:start w:val="1"/>
      <w:numFmt w:val="bullet"/>
      <w:lvlRestart w:val="0"/>
      <w:lvlText w:val="○"/>
      <w:lvlJc w:val="left"/>
      <w:pPr>
        <w:tabs>
          <w:tab w:val="num" w:pos="1440"/>
        </w:tabs>
        <w:ind w:left="1440" w:hanging="360"/>
      </w:pPr>
      <w:rPr>
        <w:rFonts w:ascii="Times New Roman" w:cs="Times New Roman" w:hint="default"/>
      </w:rPr>
    </w:lvl>
    <w:lvl w:ilvl="2">
      <w:start w:val="1"/>
      <w:numFmt w:val="bullet"/>
      <w:lvlRestart w:val="0"/>
      <w:lvlText w:val="●"/>
      <w:lvlJc w:val="left"/>
      <w:pPr>
        <w:tabs>
          <w:tab w:val="num" w:pos="1800"/>
        </w:tabs>
        <w:ind w:left="1800" w:hanging="360"/>
      </w:pPr>
      <w:rPr>
        <w:rFonts w:ascii="Times New Roman" w:cs="Times New Roman" w:hint="default"/>
      </w:rPr>
    </w:lvl>
    <w:lvl w:ilvl="3">
      <w:start w:val="1"/>
      <w:numFmt w:val="bullet"/>
      <w:lvlRestart w:val="0"/>
      <w:lvlText w:val="○"/>
      <w:lvlJc w:val="left"/>
      <w:pPr>
        <w:tabs>
          <w:tab w:val="num" w:pos="2160"/>
        </w:tabs>
        <w:ind w:left="2160" w:hanging="360"/>
      </w:pPr>
      <w:rPr>
        <w:rFonts w:ascii="Times New Roman" w:cs="Times New Roman" w:hint="default"/>
      </w:rPr>
    </w:lvl>
    <w:lvl w:ilvl="4">
      <w:start w:val="1"/>
      <w:numFmt w:val="bullet"/>
      <w:lvlRestart w:val="0"/>
      <w:lvlText w:val="●"/>
      <w:lvlJc w:val="left"/>
      <w:pPr>
        <w:tabs>
          <w:tab w:val="num" w:pos="2520"/>
        </w:tabs>
        <w:ind w:left="2520" w:hanging="360"/>
      </w:pPr>
      <w:rPr>
        <w:rFonts w:ascii="Times New Roman" w:cs="Times New Roman" w:hint="default"/>
      </w:rPr>
    </w:lvl>
    <w:lvl w:ilvl="5">
      <w:start w:val="1"/>
      <w:numFmt w:val="bullet"/>
      <w:lvlRestart w:val="0"/>
      <w:lvlText w:val="○"/>
      <w:lvlJc w:val="left"/>
      <w:pPr>
        <w:tabs>
          <w:tab w:val="num" w:pos="2880"/>
        </w:tabs>
        <w:ind w:left="2880" w:hanging="360"/>
      </w:pPr>
      <w:rPr>
        <w:rFonts w:ascii="Times New Roman" w:cs="Times New Roman" w:hint="default"/>
      </w:rPr>
    </w:lvl>
    <w:lvl w:ilvl="6">
      <w:start w:val="1"/>
      <w:numFmt w:val="bullet"/>
      <w:lvlRestart w:val="0"/>
      <w:lvlText w:val="●"/>
      <w:lvlJc w:val="left"/>
      <w:pPr>
        <w:tabs>
          <w:tab w:val="num" w:pos="3240"/>
        </w:tabs>
        <w:ind w:left="3240" w:hanging="360"/>
      </w:pPr>
      <w:rPr>
        <w:rFonts w:ascii="Times New Roman" w:cs="Times New Roman" w:hint="default"/>
      </w:rPr>
    </w:lvl>
    <w:lvl w:ilvl="7">
      <w:start w:val="1"/>
      <w:numFmt w:val="bullet"/>
      <w:lvlRestart w:val="0"/>
      <w:lvlText w:val="○"/>
      <w:lvlJc w:val="left"/>
      <w:pPr>
        <w:tabs>
          <w:tab w:val="num" w:pos="3600"/>
        </w:tabs>
        <w:ind w:left="3600" w:hanging="360"/>
      </w:pPr>
      <w:rPr>
        <w:rFonts w:ascii="Times New Roman" w:cs="Times New Roman" w:hint="default"/>
      </w:rPr>
    </w:lvl>
    <w:lvl w:ilvl="8">
      <w:start w:val="1"/>
      <w:numFmt w:val="bullet"/>
      <w:lvlRestart w:val="0"/>
      <w:lvlText w:val="●"/>
      <w:lvlJc w:val="left"/>
      <w:pPr>
        <w:tabs>
          <w:tab w:val="num" w:pos="3960"/>
        </w:tabs>
        <w:ind w:left="3960" w:hanging="360"/>
      </w:pPr>
      <w:rPr>
        <w:rFonts w:ascii="Times New Roman" w:cs="Times New Roman" w:hint="default"/>
      </w:rPr>
    </w:lvl>
  </w:abstractNum>
  <w:abstractNum w:abstractNumId="2">
    <w:nsid w:val="16BF5840"/>
    <w:multiLevelType w:val="multilevel"/>
    <w:tmpl w:val="B8B8D8EC"/>
    <w:lvl w:ilvl="0">
      <w:start w:val="1"/>
      <w:numFmt w:val="decimal"/>
      <w:lvlText w:val="%1"/>
      <w:lvlJc w:val="left"/>
      <w:pPr>
        <w:ind w:left="720" w:hanging="720"/>
      </w:pPr>
      <w:rPr>
        <w:rFonts w:hint="default"/>
        <w:b/>
        <w:i w:val="0"/>
        <w:sz w:val="32"/>
        <w:szCs w:val="32"/>
      </w:rPr>
    </w:lvl>
    <w:lvl w:ilvl="1">
      <w:start w:val="1"/>
      <w:numFmt w:val="bullet"/>
      <w:lvlText w:val=""/>
      <w:lvlJc w:val="left"/>
      <w:pPr>
        <w:ind w:left="862"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2C561997"/>
    <w:multiLevelType w:val="hybridMultilevel"/>
    <w:tmpl w:val="B716505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nsid w:val="32E7033F"/>
    <w:multiLevelType w:val="hybridMultilevel"/>
    <w:tmpl w:val="7A5A37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3A87048F"/>
    <w:multiLevelType w:val="hybridMultilevel"/>
    <w:tmpl w:val="3342DA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3B7C34E2"/>
    <w:multiLevelType w:val="hybridMultilevel"/>
    <w:tmpl w:val="64C2F9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3DBF14E0"/>
    <w:multiLevelType w:val="hybridMultilevel"/>
    <w:tmpl w:val="01682D64"/>
    <w:lvl w:ilvl="0" w:tplc="C7F23656">
      <w:start w:val="1"/>
      <w:numFmt w:val="bullet"/>
      <w:lvlText w:val="•"/>
      <w:lvlJc w:val="left"/>
      <w:pPr>
        <w:tabs>
          <w:tab w:val="num" w:pos="720"/>
        </w:tabs>
        <w:ind w:left="720" w:hanging="360"/>
      </w:pPr>
      <w:rPr>
        <w:rFonts w:ascii="Arial" w:hAnsi="Arial" w:hint="default"/>
      </w:rPr>
    </w:lvl>
    <w:lvl w:ilvl="1" w:tplc="F49E1630">
      <w:start w:val="1"/>
      <w:numFmt w:val="bullet"/>
      <w:lvlText w:val="•"/>
      <w:lvlJc w:val="left"/>
      <w:pPr>
        <w:tabs>
          <w:tab w:val="num" w:pos="1440"/>
        </w:tabs>
        <w:ind w:left="1440" w:hanging="360"/>
      </w:pPr>
      <w:rPr>
        <w:rFonts w:ascii="Arial" w:hAnsi="Arial" w:hint="default"/>
      </w:rPr>
    </w:lvl>
    <w:lvl w:ilvl="2" w:tplc="AC3E74FA" w:tentative="1">
      <w:start w:val="1"/>
      <w:numFmt w:val="bullet"/>
      <w:lvlText w:val="•"/>
      <w:lvlJc w:val="left"/>
      <w:pPr>
        <w:tabs>
          <w:tab w:val="num" w:pos="2160"/>
        </w:tabs>
        <w:ind w:left="2160" w:hanging="360"/>
      </w:pPr>
      <w:rPr>
        <w:rFonts w:ascii="Arial" w:hAnsi="Arial" w:hint="default"/>
      </w:rPr>
    </w:lvl>
    <w:lvl w:ilvl="3" w:tplc="15CCB46E" w:tentative="1">
      <w:start w:val="1"/>
      <w:numFmt w:val="bullet"/>
      <w:lvlText w:val="•"/>
      <w:lvlJc w:val="left"/>
      <w:pPr>
        <w:tabs>
          <w:tab w:val="num" w:pos="2880"/>
        </w:tabs>
        <w:ind w:left="2880" w:hanging="360"/>
      </w:pPr>
      <w:rPr>
        <w:rFonts w:ascii="Arial" w:hAnsi="Arial" w:hint="default"/>
      </w:rPr>
    </w:lvl>
    <w:lvl w:ilvl="4" w:tplc="8CAAC08E" w:tentative="1">
      <w:start w:val="1"/>
      <w:numFmt w:val="bullet"/>
      <w:lvlText w:val="•"/>
      <w:lvlJc w:val="left"/>
      <w:pPr>
        <w:tabs>
          <w:tab w:val="num" w:pos="3600"/>
        </w:tabs>
        <w:ind w:left="3600" w:hanging="360"/>
      </w:pPr>
      <w:rPr>
        <w:rFonts w:ascii="Arial" w:hAnsi="Arial" w:hint="default"/>
      </w:rPr>
    </w:lvl>
    <w:lvl w:ilvl="5" w:tplc="7E527B3E" w:tentative="1">
      <w:start w:val="1"/>
      <w:numFmt w:val="bullet"/>
      <w:lvlText w:val="•"/>
      <w:lvlJc w:val="left"/>
      <w:pPr>
        <w:tabs>
          <w:tab w:val="num" w:pos="4320"/>
        </w:tabs>
        <w:ind w:left="4320" w:hanging="360"/>
      </w:pPr>
      <w:rPr>
        <w:rFonts w:ascii="Arial" w:hAnsi="Arial" w:hint="default"/>
      </w:rPr>
    </w:lvl>
    <w:lvl w:ilvl="6" w:tplc="696CB990" w:tentative="1">
      <w:start w:val="1"/>
      <w:numFmt w:val="bullet"/>
      <w:lvlText w:val="•"/>
      <w:lvlJc w:val="left"/>
      <w:pPr>
        <w:tabs>
          <w:tab w:val="num" w:pos="5040"/>
        </w:tabs>
        <w:ind w:left="5040" w:hanging="360"/>
      </w:pPr>
      <w:rPr>
        <w:rFonts w:ascii="Arial" w:hAnsi="Arial" w:hint="default"/>
      </w:rPr>
    </w:lvl>
    <w:lvl w:ilvl="7" w:tplc="4378A0E0" w:tentative="1">
      <w:start w:val="1"/>
      <w:numFmt w:val="bullet"/>
      <w:lvlText w:val="•"/>
      <w:lvlJc w:val="left"/>
      <w:pPr>
        <w:tabs>
          <w:tab w:val="num" w:pos="5760"/>
        </w:tabs>
        <w:ind w:left="5760" w:hanging="360"/>
      </w:pPr>
      <w:rPr>
        <w:rFonts w:ascii="Arial" w:hAnsi="Arial" w:hint="default"/>
      </w:rPr>
    </w:lvl>
    <w:lvl w:ilvl="8" w:tplc="2E560426" w:tentative="1">
      <w:start w:val="1"/>
      <w:numFmt w:val="bullet"/>
      <w:lvlText w:val="•"/>
      <w:lvlJc w:val="left"/>
      <w:pPr>
        <w:tabs>
          <w:tab w:val="num" w:pos="6480"/>
        </w:tabs>
        <w:ind w:left="6480" w:hanging="360"/>
      </w:pPr>
      <w:rPr>
        <w:rFonts w:ascii="Arial" w:hAnsi="Arial" w:hint="default"/>
      </w:rPr>
    </w:lvl>
  </w:abstractNum>
  <w:abstractNum w:abstractNumId="8">
    <w:nsid w:val="3EBC6C97"/>
    <w:multiLevelType w:val="multilevel"/>
    <w:tmpl w:val="3A461640"/>
    <w:lvl w:ilvl="0">
      <w:start w:val="1"/>
      <w:numFmt w:val="decimal"/>
      <w:lvlText w:val="%1"/>
      <w:lvlJc w:val="left"/>
      <w:pPr>
        <w:ind w:left="720" w:hanging="720"/>
      </w:pPr>
      <w:rPr>
        <w:rFonts w:hint="default"/>
        <w:b/>
      </w:rPr>
    </w:lvl>
    <w:lvl w:ilvl="1">
      <w:start w:val="1"/>
      <w:numFmt w:val="lowerRoman"/>
      <w:lvlText w:val="%2."/>
      <w:lvlJc w:val="righ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44442297"/>
    <w:multiLevelType w:val="hybridMultilevel"/>
    <w:tmpl w:val="A8622F92"/>
    <w:lvl w:ilvl="0" w:tplc="80D851A0">
      <w:start w:val="1"/>
      <w:numFmt w:val="bullet"/>
      <w:pStyle w:val="Bulletpoints"/>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8871EB9"/>
    <w:multiLevelType w:val="hybridMultilevel"/>
    <w:tmpl w:val="4E0822BC"/>
    <w:lvl w:ilvl="0" w:tplc="0C090001">
      <w:start w:val="1"/>
      <w:numFmt w:val="bullet"/>
      <w:lvlText w:val=""/>
      <w:lvlJc w:val="left"/>
      <w:pPr>
        <w:ind w:left="720" w:hanging="360"/>
      </w:pPr>
      <w:rPr>
        <w:rFonts w:ascii="Symbol" w:hAnsi="Symbol" w:hint="default"/>
      </w:rPr>
    </w:lvl>
    <w:lvl w:ilvl="1" w:tplc="F7E22AD6">
      <w:numFmt w:val="bullet"/>
      <w:lvlText w:val="-"/>
      <w:lvlJc w:val="left"/>
      <w:pPr>
        <w:ind w:left="1440" w:hanging="360"/>
      </w:pPr>
      <w:rPr>
        <w:rFonts w:ascii="Calibri" w:eastAsiaTheme="minorHAnsi" w:hAnsi="Calibri" w:cstheme="minorBidi"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74116F7E"/>
    <w:multiLevelType w:val="hybridMultilevel"/>
    <w:tmpl w:val="DD06AA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784D033C"/>
    <w:multiLevelType w:val="multilevel"/>
    <w:tmpl w:val="6C7C390E"/>
    <w:lvl w:ilvl="0">
      <w:start w:val="1"/>
      <w:numFmt w:val="decimal"/>
      <w:pStyle w:val="PBACHeading1"/>
      <w:lvlText w:val="%1"/>
      <w:lvlJc w:val="left"/>
      <w:pPr>
        <w:ind w:left="720" w:hanging="720"/>
      </w:pPr>
      <w:rPr>
        <w:rFonts w:hint="default"/>
        <w:b/>
        <w:i w:val="0"/>
        <w:sz w:val="32"/>
        <w:szCs w:val="32"/>
      </w:rPr>
    </w:lvl>
    <w:lvl w:ilvl="1">
      <w:start w:val="1"/>
      <w:numFmt w:val="decimal"/>
      <w:lvlText w:val="%1.%2"/>
      <w:lvlJc w:val="left"/>
      <w:pPr>
        <w:ind w:left="862"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0"/>
  </w:num>
  <w:num w:numId="3">
    <w:abstractNumId w:val="12"/>
  </w:num>
  <w:num w:numId="4">
    <w:abstractNumId w:val="9"/>
  </w:num>
  <w:num w:numId="5">
    <w:abstractNumId w:val="4"/>
  </w:num>
  <w:num w:numId="6">
    <w:abstractNumId w:val="5"/>
  </w:num>
  <w:num w:numId="7">
    <w:abstractNumId w:val="11"/>
  </w:num>
  <w:num w:numId="8">
    <w:abstractNumId w:val="1"/>
  </w:num>
  <w:num w:numId="9">
    <w:abstractNumId w:val="3"/>
  </w:num>
  <w:num w:numId="10">
    <w:abstractNumId w:val="8"/>
  </w:num>
  <w:num w:numId="11">
    <w:abstractNumId w:val="10"/>
  </w:num>
  <w:num w:numId="12">
    <w:abstractNumId w:val="7"/>
  </w:num>
  <w:num w:numId="13">
    <w:abstractNumId w:val="2"/>
  </w:num>
  <w:num w:numId="14">
    <w:abstractNumId w:val="12"/>
  </w:num>
  <w:num w:numId="15">
    <w:abstractNumId w:val="12"/>
  </w:num>
  <w:num w:numId="16">
    <w:abstractNumId w:val="12"/>
  </w:num>
  <w:num w:numId="17">
    <w:abstractNumId w:val="12"/>
  </w:num>
  <w:num w:numId="18">
    <w:abstractNumId w:val="12"/>
  </w:num>
  <w:num w:numId="19">
    <w:abstractNumId w:val="12"/>
  </w:num>
  <w:num w:numId="20">
    <w:abstractNumId w:val="12"/>
  </w:num>
  <w:num w:numId="21">
    <w:abstractNumId w:val="12"/>
  </w:num>
  <w:num w:numId="22">
    <w:abstractNumId w:val="12"/>
  </w:num>
  <w:num w:numId="23">
    <w:abstractNumId w:val="12"/>
  </w:num>
  <w:num w:numId="24">
    <w:abstractNumId w:val="12"/>
  </w:num>
  <w:num w:numId="25">
    <w:abstractNumId w:val="12"/>
  </w:num>
  <w:numIdMacAtCleanup w:val="11"/>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rson w15:author="Emily Callander">
    <w15:presenceInfo w15:providerId="AD" w15:userId="S-1-5-21-789336058-1708537768-854245398-2243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removePersonalInformation/>
  <w:removeDateAndTime/>
  <w:proofState w:spelling="clean"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YwMTS1MDUxMjA3tjBW0lEKTi0uzszPAykwrAUALWyCKSwAAAA="/>
  </w:docVars>
  <w:rsids>
    <w:rsidRoot w:val="00E65E79"/>
    <w:rsid w:val="00000120"/>
    <w:rsid w:val="00000790"/>
    <w:rsid w:val="0000110B"/>
    <w:rsid w:val="00001380"/>
    <w:rsid w:val="00001BE0"/>
    <w:rsid w:val="00001F88"/>
    <w:rsid w:val="000020EA"/>
    <w:rsid w:val="00003499"/>
    <w:rsid w:val="00003640"/>
    <w:rsid w:val="000039B7"/>
    <w:rsid w:val="00004D4B"/>
    <w:rsid w:val="00006C24"/>
    <w:rsid w:val="00007594"/>
    <w:rsid w:val="00007EA8"/>
    <w:rsid w:val="00010C9B"/>
    <w:rsid w:val="00012CD2"/>
    <w:rsid w:val="00013247"/>
    <w:rsid w:val="000138CC"/>
    <w:rsid w:val="00015886"/>
    <w:rsid w:val="000162EF"/>
    <w:rsid w:val="00017F3A"/>
    <w:rsid w:val="000218AF"/>
    <w:rsid w:val="0002225F"/>
    <w:rsid w:val="000223B4"/>
    <w:rsid w:val="00023763"/>
    <w:rsid w:val="0002437B"/>
    <w:rsid w:val="000265D9"/>
    <w:rsid w:val="00030A78"/>
    <w:rsid w:val="00032C40"/>
    <w:rsid w:val="00033863"/>
    <w:rsid w:val="00034C62"/>
    <w:rsid w:val="00034D11"/>
    <w:rsid w:val="00035DC0"/>
    <w:rsid w:val="00036829"/>
    <w:rsid w:val="000405F5"/>
    <w:rsid w:val="00040895"/>
    <w:rsid w:val="00041F51"/>
    <w:rsid w:val="00042F61"/>
    <w:rsid w:val="00043C37"/>
    <w:rsid w:val="00045017"/>
    <w:rsid w:val="00045A2B"/>
    <w:rsid w:val="0004698F"/>
    <w:rsid w:val="00046DCA"/>
    <w:rsid w:val="0004718E"/>
    <w:rsid w:val="00047D33"/>
    <w:rsid w:val="00050357"/>
    <w:rsid w:val="00051DE1"/>
    <w:rsid w:val="00053515"/>
    <w:rsid w:val="000539D0"/>
    <w:rsid w:val="00054621"/>
    <w:rsid w:val="000546D7"/>
    <w:rsid w:val="00057ACD"/>
    <w:rsid w:val="000603F4"/>
    <w:rsid w:val="00060F9A"/>
    <w:rsid w:val="0006266B"/>
    <w:rsid w:val="000637A4"/>
    <w:rsid w:val="00066360"/>
    <w:rsid w:val="00070D4E"/>
    <w:rsid w:val="00071248"/>
    <w:rsid w:val="000720B9"/>
    <w:rsid w:val="000737F7"/>
    <w:rsid w:val="000754FF"/>
    <w:rsid w:val="0007672F"/>
    <w:rsid w:val="000771C9"/>
    <w:rsid w:val="000774F0"/>
    <w:rsid w:val="00077A28"/>
    <w:rsid w:val="00080909"/>
    <w:rsid w:val="000812CA"/>
    <w:rsid w:val="0008258D"/>
    <w:rsid w:val="00083E99"/>
    <w:rsid w:val="00084B0D"/>
    <w:rsid w:val="000853AB"/>
    <w:rsid w:val="000855FD"/>
    <w:rsid w:val="00085647"/>
    <w:rsid w:val="000856C5"/>
    <w:rsid w:val="00085D90"/>
    <w:rsid w:val="00085EC7"/>
    <w:rsid w:val="000862DE"/>
    <w:rsid w:val="0008708C"/>
    <w:rsid w:val="00087622"/>
    <w:rsid w:val="000903D8"/>
    <w:rsid w:val="00090C7E"/>
    <w:rsid w:val="00091C7A"/>
    <w:rsid w:val="00092600"/>
    <w:rsid w:val="0009262B"/>
    <w:rsid w:val="00092700"/>
    <w:rsid w:val="0009299B"/>
    <w:rsid w:val="00093310"/>
    <w:rsid w:val="0009399B"/>
    <w:rsid w:val="0009445C"/>
    <w:rsid w:val="000944CA"/>
    <w:rsid w:val="00094834"/>
    <w:rsid w:val="00095A0C"/>
    <w:rsid w:val="00095FE5"/>
    <w:rsid w:val="00096284"/>
    <w:rsid w:val="00097578"/>
    <w:rsid w:val="000A00C1"/>
    <w:rsid w:val="000A322B"/>
    <w:rsid w:val="000A6695"/>
    <w:rsid w:val="000A7156"/>
    <w:rsid w:val="000A7796"/>
    <w:rsid w:val="000A7D08"/>
    <w:rsid w:val="000B0670"/>
    <w:rsid w:val="000B0E75"/>
    <w:rsid w:val="000B1A9C"/>
    <w:rsid w:val="000B2A6D"/>
    <w:rsid w:val="000B2C97"/>
    <w:rsid w:val="000B3AA6"/>
    <w:rsid w:val="000B4BB4"/>
    <w:rsid w:val="000B6CAC"/>
    <w:rsid w:val="000B7273"/>
    <w:rsid w:val="000B7612"/>
    <w:rsid w:val="000C0BCA"/>
    <w:rsid w:val="000C2B78"/>
    <w:rsid w:val="000C3847"/>
    <w:rsid w:val="000C3DF9"/>
    <w:rsid w:val="000C6713"/>
    <w:rsid w:val="000D18E2"/>
    <w:rsid w:val="000D1BFC"/>
    <w:rsid w:val="000D281A"/>
    <w:rsid w:val="000D326A"/>
    <w:rsid w:val="000D3519"/>
    <w:rsid w:val="000D51FB"/>
    <w:rsid w:val="000D7066"/>
    <w:rsid w:val="000D7259"/>
    <w:rsid w:val="000E135D"/>
    <w:rsid w:val="000E165C"/>
    <w:rsid w:val="000E267A"/>
    <w:rsid w:val="000E2C95"/>
    <w:rsid w:val="000E58B7"/>
    <w:rsid w:val="000F00BA"/>
    <w:rsid w:val="000F0AC3"/>
    <w:rsid w:val="000F0F5D"/>
    <w:rsid w:val="000F2DCC"/>
    <w:rsid w:val="000F316A"/>
    <w:rsid w:val="000F332E"/>
    <w:rsid w:val="000F3C74"/>
    <w:rsid w:val="000F40FC"/>
    <w:rsid w:val="000F44D2"/>
    <w:rsid w:val="000F4BB8"/>
    <w:rsid w:val="000F7127"/>
    <w:rsid w:val="00100CF8"/>
    <w:rsid w:val="00100F8A"/>
    <w:rsid w:val="001029AD"/>
    <w:rsid w:val="00103F7C"/>
    <w:rsid w:val="00105AE2"/>
    <w:rsid w:val="00106AF8"/>
    <w:rsid w:val="00106B80"/>
    <w:rsid w:val="00107E48"/>
    <w:rsid w:val="0011032E"/>
    <w:rsid w:val="00113216"/>
    <w:rsid w:val="0011348B"/>
    <w:rsid w:val="00114A7E"/>
    <w:rsid w:val="00115733"/>
    <w:rsid w:val="00115774"/>
    <w:rsid w:val="00115982"/>
    <w:rsid w:val="00116C53"/>
    <w:rsid w:val="00117B9A"/>
    <w:rsid w:val="00121799"/>
    <w:rsid w:val="001222FC"/>
    <w:rsid w:val="0012362D"/>
    <w:rsid w:val="00124A51"/>
    <w:rsid w:val="00124B79"/>
    <w:rsid w:val="00124E17"/>
    <w:rsid w:val="00124E25"/>
    <w:rsid w:val="00125E99"/>
    <w:rsid w:val="00126621"/>
    <w:rsid w:val="001272B9"/>
    <w:rsid w:val="00127402"/>
    <w:rsid w:val="001301E9"/>
    <w:rsid w:val="0013155D"/>
    <w:rsid w:val="0013177A"/>
    <w:rsid w:val="00131D82"/>
    <w:rsid w:val="001327D1"/>
    <w:rsid w:val="001329C8"/>
    <w:rsid w:val="0013376E"/>
    <w:rsid w:val="00133D36"/>
    <w:rsid w:val="001341BE"/>
    <w:rsid w:val="00134DF5"/>
    <w:rsid w:val="001373D6"/>
    <w:rsid w:val="00137645"/>
    <w:rsid w:val="0014015A"/>
    <w:rsid w:val="0014042C"/>
    <w:rsid w:val="00140E99"/>
    <w:rsid w:val="00141218"/>
    <w:rsid w:val="00141255"/>
    <w:rsid w:val="00142456"/>
    <w:rsid w:val="0014302A"/>
    <w:rsid w:val="00145540"/>
    <w:rsid w:val="001456B0"/>
    <w:rsid w:val="0015070C"/>
    <w:rsid w:val="00157130"/>
    <w:rsid w:val="0015750E"/>
    <w:rsid w:val="001576B1"/>
    <w:rsid w:val="00160A4C"/>
    <w:rsid w:val="00160DA5"/>
    <w:rsid w:val="0016266D"/>
    <w:rsid w:val="00162913"/>
    <w:rsid w:val="00163EFF"/>
    <w:rsid w:val="0016477B"/>
    <w:rsid w:val="00164D9C"/>
    <w:rsid w:val="001661FB"/>
    <w:rsid w:val="00166BAE"/>
    <w:rsid w:val="001702C8"/>
    <w:rsid w:val="00173565"/>
    <w:rsid w:val="00173B07"/>
    <w:rsid w:val="0017624B"/>
    <w:rsid w:val="00181C8A"/>
    <w:rsid w:val="00181D9C"/>
    <w:rsid w:val="00182708"/>
    <w:rsid w:val="00184ED8"/>
    <w:rsid w:val="001866E0"/>
    <w:rsid w:val="0018752F"/>
    <w:rsid w:val="00190EA3"/>
    <w:rsid w:val="001911CF"/>
    <w:rsid w:val="00191D81"/>
    <w:rsid w:val="00192EBD"/>
    <w:rsid w:val="00192F50"/>
    <w:rsid w:val="0019304E"/>
    <w:rsid w:val="00194828"/>
    <w:rsid w:val="00195222"/>
    <w:rsid w:val="00197161"/>
    <w:rsid w:val="001973F3"/>
    <w:rsid w:val="001975D8"/>
    <w:rsid w:val="001A1B88"/>
    <w:rsid w:val="001A27BA"/>
    <w:rsid w:val="001A43FA"/>
    <w:rsid w:val="001A59FB"/>
    <w:rsid w:val="001A6354"/>
    <w:rsid w:val="001A652F"/>
    <w:rsid w:val="001A6667"/>
    <w:rsid w:val="001A6E9E"/>
    <w:rsid w:val="001A7AE8"/>
    <w:rsid w:val="001A7C63"/>
    <w:rsid w:val="001B0553"/>
    <w:rsid w:val="001B1822"/>
    <w:rsid w:val="001B204E"/>
    <w:rsid w:val="001B2228"/>
    <w:rsid w:val="001B2782"/>
    <w:rsid w:val="001B305D"/>
    <w:rsid w:val="001B3443"/>
    <w:rsid w:val="001B3AC5"/>
    <w:rsid w:val="001B4D20"/>
    <w:rsid w:val="001B559F"/>
    <w:rsid w:val="001B59D2"/>
    <w:rsid w:val="001B6283"/>
    <w:rsid w:val="001B6FEA"/>
    <w:rsid w:val="001C1D38"/>
    <w:rsid w:val="001C2A9B"/>
    <w:rsid w:val="001C3086"/>
    <w:rsid w:val="001C4299"/>
    <w:rsid w:val="001C4FA3"/>
    <w:rsid w:val="001C5F94"/>
    <w:rsid w:val="001C63F5"/>
    <w:rsid w:val="001C6E66"/>
    <w:rsid w:val="001D22CA"/>
    <w:rsid w:val="001D2E3D"/>
    <w:rsid w:val="001D5E65"/>
    <w:rsid w:val="001D6682"/>
    <w:rsid w:val="001D685D"/>
    <w:rsid w:val="001D68E3"/>
    <w:rsid w:val="001D709B"/>
    <w:rsid w:val="001E088C"/>
    <w:rsid w:val="001E1A3B"/>
    <w:rsid w:val="001E1B6A"/>
    <w:rsid w:val="001E238E"/>
    <w:rsid w:val="001E2483"/>
    <w:rsid w:val="001E2B1E"/>
    <w:rsid w:val="001E2C5A"/>
    <w:rsid w:val="001E30D4"/>
    <w:rsid w:val="001E3899"/>
    <w:rsid w:val="001E46A3"/>
    <w:rsid w:val="001E4B5C"/>
    <w:rsid w:val="001E52EB"/>
    <w:rsid w:val="001E61D2"/>
    <w:rsid w:val="001E6D66"/>
    <w:rsid w:val="001E7258"/>
    <w:rsid w:val="001E740C"/>
    <w:rsid w:val="001F1235"/>
    <w:rsid w:val="001F1CB3"/>
    <w:rsid w:val="001F38B5"/>
    <w:rsid w:val="001F473A"/>
    <w:rsid w:val="001F513D"/>
    <w:rsid w:val="001F6383"/>
    <w:rsid w:val="001F671B"/>
    <w:rsid w:val="001F7361"/>
    <w:rsid w:val="002011B0"/>
    <w:rsid w:val="00201792"/>
    <w:rsid w:val="00201AF1"/>
    <w:rsid w:val="00203181"/>
    <w:rsid w:val="002032A9"/>
    <w:rsid w:val="00203783"/>
    <w:rsid w:val="0020385F"/>
    <w:rsid w:val="00203FE9"/>
    <w:rsid w:val="00204072"/>
    <w:rsid w:val="0020475C"/>
    <w:rsid w:val="00205C00"/>
    <w:rsid w:val="00205E41"/>
    <w:rsid w:val="00206DCF"/>
    <w:rsid w:val="00207021"/>
    <w:rsid w:val="0020732F"/>
    <w:rsid w:val="00207D00"/>
    <w:rsid w:val="002105C1"/>
    <w:rsid w:val="00212CD8"/>
    <w:rsid w:val="00213777"/>
    <w:rsid w:val="00215A6F"/>
    <w:rsid w:val="0021666B"/>
    <w:rsid w:val="0021708A"/>
    <w:rsid w:val="002201C3"/>
    <w:rsid w:val="00223B49"/>
    <w:rsid w:val="00224DD4"/>
    <w:rsid w:val="002309CC"/>
    <w:rsid w:val="0023209F"/>
    <w:rsid w:val="0023376D"/>
    <w:rsid w:val="0023629D"/>
    <w:rsid w:val="002370D5"/>
    <w:rsid w:val="002370F6"/>
    <w:rsid w:val="00237255"/>
    <w:rsid w:val="00240321"/>
    <w:rsid w:val="00241208"/>
    <w:rsid w:val="0024132C"/>
    <w:rsid w:val="00241A29"/>
    <w:rsid w:val="00241F87"/>
    <w:rsid w:val="002424AF"/>
    <w:rsid w:val="002439DC"/>
    <w:rsid w:val="00243CBB"/>
    <w:rsid w:val="00244DC8"/>
    <w:rsid w:val="0024567A"/>
    <w:rsid w:val="002458BA"/>
    <w:rsid w:val="0024636C"/>
    <w:rsid w:val="00246817"/>
    <w:rsid w:val="002473DD"/>
    <w:rsid w:val="00247925"/>
    <w:rsid w:val="00250C79"/>
    <w:rsid w:val="00252064"/>
    <w:rsid w:val="00254DCF"/>
    <w:rsid w:val="0025534B"/>
    <w:rsid w:val="00255BB7"/>
    <w:rsid w:val="00257541"/>
    <w:rsid w:val="002575F9"/>
    <w:rsid w:val="00260C8C"/>
    <w:rsid w:val="0026171E"/>
    <w:rsid w:val="00262A1A"/>
    <w:rsid w:val="00262A87"/>
    <w:rsid w:val="00262B33"/>
    <w:rsid w:val="00262B91"/>
    <w:rsid w:val="00262C4B"/>
    <w:rsid w:val="00263F96"/>
    <w:rsid w:val="00264D26"/>
    <w:rsid w:val="002652CF"/>
    <w:rsid w:val="0026561F"/>
    <w:rsid w:val="00266356"/>
    <w:rsid w:val="00267642"/>
    <w:rsid w:val="002679A1"/>
    <w:rsid w:val="00267AEA"/>
    <w:rsid w:val="002700E6"/>
    <w:rsid w:val="002701A4"/>
    <w:rsid w:val="00271522"/>
    <w:rsid w:val="00271E7E"/>
    <w:rsid w:val="002726EE"/>
    <w:rsid w:val="0027294B"/>
    <w:rsid w:val="002740B3"/>
    <w:rsid w:val="002744A6"/>
    <w:rsid w:val="0027491F"/>
    <w:rsid w:val="00275882"/>
    <w:rsid w:val="00275C5A"/>
    <w:rsid w:val="00276DC2"/>
    <w:rsid w:val="00281014"/>
    <w:rsid w:val="00281238"/>
    <w:rsid w:val="00285202"/>
    <w:rsid w:val="00285CA3"/>
    <w:rsid w:val="00287EC8"/>
    <w:rsid w:val="00290175"/>
    <w:rsid w:val="002905CB"/>
    <w:rsid w:val="00290D03"/>
    <w:rsid w:val="00290E33"/>
    <w:rsid w:val="00293D81"/>
    <w:rsid w:val="00294402"/>
    <w:rsid w:val="0029552F"/>
    <w:rsid w:val="00295579"/>
    <w:rsid w:val="0029754C"/>
    <w:rsid w:val="002A06B8"/>
    <w:rsid w:val="002A0A80"/>
    <w:rsid w:val="002A0C4B"/>
    <w:rsid w:val="002A14AB"/>
    <w:rsid w:val="002A1625"/>
    <w:rsid w:val="002A24D4"/>
    <w:rsid w:val="002A2F50"/>
    <w:rsid w:val="002A4607"/>
    <w:rsid w:val="002A4B2D"/>
    <w:rsid w:val="002A5648"/>
    <w:rsid w:val="002A5C93"/>
    <w:rsid w:val="002A5EB4"/>
    <w:rsid w:val="002A6C15"/>
    <w:rsid w:val="002A71FB"/>
    <w:rsid w:val="002A7513"/>
    <w:rsid w:val="002A7538"/>
    <w:rsid w:val="002B09A4"/>
    <w:rsid w:val="002B0B91"/>
    <w:rsid w:val="002B1C1F"/>
    <w:rsid w:val="002B432F"/>
    <w:rsid w:val="002B4384"/>
    <w:rsid w:val="002B44F2"/>
    <w:rsid w:val="002B4FEB"/>
    <w:rsid w:val="002B5A4C"/>
    <w:rsid w:val="002B62B3"/>
    <w:rsid w:val="002B6754"/>
    <w:rsid w:val="002B6CCE"/>
    <w:rsid w:val="002C2510"/>
    <w:rsid w:val="002C2775"/>
    <w:rsid w:val="002C27C1"/>
    <w:rsid w:val="002C5099"/>
    <w:rsid w:val="002C5889"/>
    <w:rsid w:val="002C71CE"/>
    <w:rsid w:val="002C7605"/>
    <w:rsid w:val="002D017D"/>
    <w:rsid w:val="002D124C"/>
    <w:rsid w:val="002D1FB0"/>
    <w:rsid w:val="002D50B8"/>
    <w:rsid w:val="002D577C"/>
    <w:rsid w:val="002E1289"/>
    <w:rsid w:val="002E15B9"/>
    <w:rsid w:val="002E2158"/>
    <w:rsid w:val="002E25D4"/>
    <w:rsid w:val="002E48D8"/>
    <w:rsid w:val="002E6948"/>
    <w:rsid w:val="002E69A6"/>
    <w:rsid w:val="002E7722"/>
    <w:rsid w:val="002E79D0"/>
    <w:rsid w:val="002F07BA"/>
    <w:rsid w:val="002F0BF4"/>
    <w:rsid w:val="002F0DA9"/>
    <w:rsid w:val="002F2421"/>
    <w:rsid w:val="002F282B"/>
    <w:rsid w:val="002F41ED"/>
    <w:rsid w:val="002F4DD6"/>
    <w:rsid w:val="002F5358"/>
    <w:rsid w:val="002F643C"/>
    <w:rsid w:val="002F71C0"/>
    <w:rsid w:val="002F79CD"/>
    <w:rsid w:val="00301017"/>
    <w:rsid w:val="0030155F"/>
    <w:rsid w:val="003028F5"/>
    <w:rsid w:val="00302FBF"/>
    <w:rsid w:val="00303288"/>
    <w:rsid w:val="00303F25"/>
    <w:rsid w:val="0030587B"/>
    <w:rsid w:val="00306D98"/>
    <w:rsid w:val="0030786C"/>
    <w:rsid w:val="00307F30"/>
    <w:rsid w:val="0031031A"/>
    <w:rsid w:val="0031095E"/>
    <w:rsid w:val="00310981"/>
    <w:rsid w:val="003118C0"/>
    <w:rsid w:val="00312031"/>
    <w:rsid w:val="003133EB"/>
    <w:rsid w:val="00314786"/>
    <w:rsid w:val="00314ABA"/>
    <w:rsid w:val="00315498"/>
    <w:rsid w:val="00316C5D"/>
    <w:rsid w:val="00317CA7"/>
    <w:rsid w:val="00320945"/>
    <w:rsid w:val="0032131D"/>
    <w:rsid w:val="00321DDA"/>
    <w:rsid w:val="00322107"/>
    <w:rsid w:val="00322846"/>
    <w:rsid w:val="00322C57"/>
    <w:rsid w:val="003230C7"/>
    <w:rsid w:val="00324081"/>
    <w:rsid w:val="00325865"/>
    <w:rsid w:val="00326860"/>
    <w:rsid w:val="00326DA7"/>
    <w:rsid w:val="003270E4"/>
    <w:rsid w:val="003308FD"/>
    <w:rsid w:val="00330A65"/>
    <w:rsid w:val="00330F5C"/>
    <w:rsid w:val="00331100"/>
    <w:rsid w:val="00331361"/>
    <w:rsid w:val="003329D8"/>
    <w:rsid w:val="00332B91"/>
    <w:rsid w:val="00333180"/>
    <w:rsid w:val="0033395B"/>
    <w:rsid w:val="003361F4"/>
    <w:rsid w:val="003366C9"/>
    <w:rsid w:val="003371B0"/>
    <w:rsid w:val="003374FB"/>
    <w:rsid w:val="003378FC"/>
    <w:rsid w:val="00340981"/>
    <w:rsid w:val="00340DF1"/>
    <w:rsid w:val="00341FE9"/>
    <w:rsid w:val="003436BF"/>
    <w:rsid w:val="0034393F"/>
    <w:rsid w:val="0034481B"/>
    <w:rsid w:val="0034546A"/>
    <w:rsid w:val="00350CF6"/>
    <w:rsid w:val="00350D02"/>
    <w:rsid w:val="003514E4"/>
    <w:rsid w:val="003517F9"/>
    <w:rsid w:val="00354445"/>
    <w:rsid w:val="003553F4"/>
    <w:rsid w:val="0035620E"/>
    <w:rsid w:val="00356800"/>
    <w:rsid w:val="0036040B"/>
    <w:rsid w:val="00361028"/>
    <w:rsid w:val="003617D5"/>
    <w:rsid w:val="003624C4"/>
    <w:rsid w:val="003627D6"/>
    <w:rsid w:val="00362D34"/>
    <w:rsid w:val="00364E95"/>
    <w:rsid w:val="003651E6"/>
    <w:rsid w:val="003654AC"/>
    <w:rsid w:val="00365524"/>
    <w:rsid w:val="003710CF"/>
    <w:rsid w:val="00371317"/>
    <w:rsid w:val="00371867"/>
    <w:rsid w:val="00371F86"/>
    <w:rsid w:val="0037358A"/>
    <w:rsid w:val="00374681"/>
    <w:rsid w:val="003750F6"/>
    <w:rsid w:val="00375DF3"/>
    <w:rsid w:val="003760FC"/>
    <w:rsid w:val="00377DE2"/>
    <w:rsid w:val="003817EE"/>
    <w:rsid w:val="00381D30"/>
    <w:rsid w:val="00383602"/>
    <w:rsid w:val="0038365C"/>
    <w:rsid w:val="0038369B"/>
    <w:rsid w:val="00383B78"/>
    <w:rsid w:val="003842FC"/>
    <w:rsid w:val="00385A9D"/>
    <w:rsid w:val="003866AE"/>
    <w:rsid w:val="0039000A"/>
    <w:rsid w:val="003902B1"/>
    <w:rsid w:val="0039161A"/>
    <w:rsid w:val="003926EF"/>
    <w:rsid w:val="00393821"/>
    <w:rsid w:val="0039447D"/>
    <w:rsid w:val="00394760"/>
    <w:rsid w:val="00394F4E"/>
    <w:rsid w:val="00396896"/>
    <w:rsid w:val="00396FD0"/>
    <w:rsid w:val="003A1A7A"/>
    <w:rsid w:val="003A2392"/>
    <w:rsid w:val="003A2831"/>
    <w:rsid w:val="003A2AE9"/>
    <w:rsid w:val="003A34B6"/>
    <w:rsid w:val="003A3ED1"/>
    <w:rsid w:val="003A5D60"/>
    <w:rsid w:val="003A7292"/>
    <w:rsid w:val="003B2680"/>
    <w:rsid w:val="003B5B61"/>
    <w:rsid w:val="003B6B51"/>
    <w:rsid w:val="003B7245"/>
    <w:rsid w:val="003B7AEB"/>
    <w:rsid w:val="003B7DDA"/>
    <w:rsid w:val="003C1654"/>
    <w:rsid w:val="003C2731"/>
    <w:rsid w:val="003C2C6C"/>
    <w:rsid w:val="003C735E"/>
    <w:rsid w:val="003C7D19"/>
    <w:rsid w:val="003C7DB9"/>
    <w:rsid w:val="003C7FB5"/>
    <w:rsid w:val="003D1828"/>
    <w:rsid w:val="003D1DE4"/>
    <w:rsid w:val="003D2422"/>
    <w:rsid w:val="003D39A1"/>
    <w:rsid w:val="003D3FBF"/>
    <w:rsid w:val="003D49A7"/>
    <w:rsid w:val="003D4A30"/>
    <w:rsid w:val="003D5198"/>
    <w:rsid w:val="003D559E"/>
    <w:rsid w:val="003D634D"/>
    <w:rsid w:val="003D79BB"/>
    <w:rsid w:val="003D7C98"/>
    <w:rsid w:val="003E0543"/>
    <w:rsid w:val="003E11E1"/>
    <w:rsid w:val="003E1794"/>
    <w:rsid w:val="003E1B5B"/>
    <w:rsid w:val="003E3969"/>
    <w:rsid w:val="003E4734"/>
    <w:rsid w:val="003E56D0"/>
    <w:rsid w:val="003E7251"/>
    <w:rsid w:val="003F01DE"/>
    <w:rsid w:val="003F0257"/>
    <w:rsid w:val="003F0B76"/>
    <w:rsid w:val="003F20C5"/>
    <w:rsid w:val="003F4156"/>
    <w:rsid w:val="003F702C"/>
    <w:rsid w:val="003F76C3"/>
    <w:rsid w:val="00400045"/>
    <w:rsid w:val="00400B29"/>
    <w:rsid w:val="00402293"/>
    <w:rsid w:val="00404A2A"/>
    <w:rsid w:val="0040504B"/>
    <w:rsid w:val="0040792C"/>
    <w:rsid w:val="0041062E"/>
    <w:rsid w:val="00410708"/>
    <w:rsid w:val="00410BDC"/>
    <w:rsid w:val="00410EC7"/>
    <w:rsid w:val="00411B39"/>
    <w:rsid w:val="00413A1E"/>
    <w:rsid w:val="00414476"/>
    <w:rsid w:val="00414C2E"/>
    <w:rsid w:val="004151CF"/>
    <w:rsid w:val="00415455"/>
    <w:rsid w:val="00416364"/>
    <w:rsid w:val="004207C8"/>
    <w:rsid w:val="00420AA6"/>
    <w:rsid w:val="00420B9F"/>
    <w:rsid w:val="004212B2"/>
    <w:rsid w:val="004214E3"/>
    <w:rsid w:val="00422260"/>
    <w:rsid w:val="0042268B"/>
    <w:rsid w:val="0042413F"/>
    <w:rsid w:val="00424C7F"/>
    <w:rsid w:val="004306AB"/>
    <w:rsid w:val="004319F8"/>
    <w:rsid w:val="00431E55"/>
    <w:rsid w:val="004321F6"/>
    <w:rsid w:val="00432ED5"/>
    <w:rsid w:val="00433044"/>
    <w:rsid w:val="00436F85"/>
    <w:rsid w:val="004375B9"/>
    <w:rsid w:val="0044046A"/>
    <w:rsid w:val="00440BB4"/>
    <w:rsid w:val="004421C6"/>
    <w:rsid w:val="004428D0"/>
    <w:rsid w:val="00442AC9"/>
    <w:rsid w:val="00443F1D"/>
    <w:rsid w:val="004443A7"/>
    <w:rsid w:val="0044442C"/>
    <w:rsid w:val="00445941"/>
    <w:rsid w:val="00445964"/>
    <w:rsid w:val="004464EB"/>
    <w:rsid w:val="00447D26"/>
    <w:rsid w:val="00447E20"/>
    <w:rsid w:val="004511F2"/>
    <w:rsid w:val="00451A18"/>
    <w:rsid w:val="00451DBA"/>
    <w:rsid w:val="00451ED5"/>
    <w:rsid w:val="0045245B"/>
    <w:rsid w:val="004525E8"/>
    <w:rsid w:val="0045372D"/>
    <w:rsid w:val="00453A0C"/>
    <w:rsid w:val="00455D45"/>
    <w:rsid w:val="00456871"/>
    <w:rsid w:val="00457F23"/>
    <w:rsid w:val="00461862"/>
    <w:rsid w:val="004627C6"/>
    <w:rsid w:val="004632FB"/>
    <w:rsid w:val="00464595"/>
    <w:rsid w:val="0046532D"/>
    <w:rsid w:val="00471BD0"/>
    <w:rsid w:val="00472A79"/>
    <w:rsid w:val="00473F19"/>
    <w:rsid w:val="0047479F"/>
    <w:rsid w:val="00475E22"/>
    <w:rsid w:val="00476149"/>
    <w:rsid w:val="00477520"/>
    <w:rsid w:val="0048088E"/>
    <w:rsid w:val="00482720"/>
    <w:rsid w:val="004835E7"/>
    <w:rsid w:val="00483732"/>
    <w:rsid w:val="0048534F"/>
    <w:rsid w:val="0048605E"/>
    <w:rsid w:val="004865D1"/>
    <w:rsid w:val="004867E2"/>
    <w:rsid w:val="00487E1F"/>
    <w:rsid w:val="00490097"/>
    <w:rsid w:val="00491234"/>
    <w:rsid w:val="0049172E"/>
    <w:rsid w:val="00491B3A"/>
    <w:rsid w:val="00492CFD"/>
    <w:rsid w:val="00494C72"/>
    <w:rsid w:val="00494DD5"/>
    <w:rsid w:val="00495109"/>
    <w:rsid w:val="004962D2"/>
    <w:rsid w:val="004963E4"/>
    <w:rsid w:val="00496FD2"/>
    <w:rsid w:val="004A0DA1"/>
    <w:rsid w:val="004A345B"/>
    <w:rsid w:val="004A3602"/>
    <w:rsid w:val="004A39E1"/>
    <w:rsid w:val="004A52E9"/>
    <w:rsid w:val="004A6597"/>
    <w:rsid w:val="004A6A91"/>
    <w:rsid w:val="004A7848"/>
    <w:rsid w:val="004B1CB4"/>
    <w:rsid w:val="004B2CBE"/>
    <w:rsid w:val="004B2F18"/>
    <w:rsid w:val="004B371E"/>
    <w:rsid w:val="004B3BC9"/>
    <w:rsid w:val="004B3DDB"/>
    <w:rsid w:val="004B44FD"/>
    <w:rsid w:val="004B5CFC"/>
    <w:rsid w:val="004B5E5E"/>
    <w:rsid w:val="004B6271"/>
    <w:rsid w:val="004B6E5D"/>
    <w:rsid w:val="004B774D"/>
    <w:rsid w:val="004B7AB8"/>
    <w:rsid w:val="004C028B"/>
    <w:rsid w:val="004C09CE"/>
    <w:rsid w:val="004C3B7F"/>
    <w:rsid w:val="004C4AED"/>
    <w:rsid w:val="004C6993"/>
    <w:rsid w:val="004C791D"/>
    <w:rsid w:val="004D13E8"/>
    <w:rsid w:val="004D16BA"/>
    <w:rsid w:val="004D2C2D"/>
    <w:rsid w:val="004D567E"/>
    <w:rsid w:val="004D6EC4"/>
    <w:rsid w:val="004D7227"/>
    <w:rsid w:val="004E0E7F"/>
    <w:rsid w:val="004E0EB8"/>
    <w:rsid w:val="004E1771"/>
    <w:rsid w:val="004E2ADC"/>
    <w:rsid w:val="004E3DFB"/>
    <w:rsid w:val="004E43B2"/>
    <w:rsid w:val="004E462C"/>
    <w:rsid w:val="004E5540"/>
    <w:rsid w:val="004E675E"/>
    <w:rsid w:val="004E6A6D"/>
    <w:rsid w:val="004E6F26"/>
    <w:rsid w:val="004F048B"/>
    <w:rsid w:val="004F0893"/>
    <w:rsid w:val="004F1D02"/>
    <w:rsid w:val="004F2679"/>
    <w:rsid w:val="004F2F21"/>
    <w:rsid w:val="004F3A9D"/>
    <w:rsid w:val="004F4592"/>
    <w:rsid w:val="004F5C45"/>
    <w:rsid w:val="004F6913"/>
    <w:rsid w:val="004F7865"/>
    <w:rsid w:val="005009BF"/>
    <w:rsid w:val="0050191F"/>
    <w:rsid w:val="0050219B"/>
    <w:rsid w:val="00502E6E"/>
    <w:rsid w:val="00503F17"/>
    <w:rsid w:val="00505FD1"/>
    <w:rsid w:val="005061DC"/>
    <w:rsid w:val="00506602"/>
    <w:rsid w:val="00506928"/>
    <w:rsid w:val="0051370C"/>
    <w:rsid w:val="00514B8B"/>
    <w:rsid w:val="005152B5"/>
    <w:rsid w:val="00517B0C"/>
    <w:rsid w:val="00521319"/>
    <w:rsid w:val="00521A41"/>
    <w:rsid w:val="00522BC8"/>
    <w:rsid w:val="00523B5F"/>
    <w:rsid w:val="00523C28"/>
    <w:rsid w:val="00523DEF"/>
    <w:rsid w:val="005255E7"/>
    <w:rsid w:val="00527A8E"/>
    <w:rsid w:val="00535DF9"/>
    <w:rsid w:val="00536F42"/>
    <w:rsid w:val="00537182"/>
    <w:rsid w:val="00537675"/>
    <w:rsid w:val="00537C54"/>
    <w:rsid w:val="00542743"/>
    <w:rsid w:val="00542C2D"/>
    <w:rsid w:val="005463F3"/>
    <w:rsid w:val="00546F25"/>
    <w:rsid w:val="005473A8"/>
    <w:rsid w:val="00547A02"/>
    <w:rsid w:val="005502C8"/>
    <w:rsid w:val="00551985"/>
    <w:rsid w:val="005521F1"/>
    <w:rsid w:val="00552BD3"/>
    <w:rsid w:val="005533F3"/>
    <w:rsid w:val="00553ECB"/>
    <w:rsid w:val="00555109"/>
    <w:rsid w:val="00557B4B"/>
    <w:rsid w:val="0056013F"/>
    <w:rsid w:val="00564A96"/>
    <w:rsid w:val="0056696F"/>
    <w:rsid w:val="00571F4D"/>
    <w:rsid w:val="00572269"/>
    <w:rsid w:val="0057244A"/>
    <w:rsid w:val="00574029"/>
    <w:rsid w:val="00575D8D"/>
    <w:rsid w:val="00576972"/>
    <w:rsid w:val="00576BFC"/>
    <w:rsid w:val="00580A9F"/>
    <w:rsid w:val="00580BCD"/>
    <w:rsid w:val="005820EC"/>
    <w:rsid w:val="00583699"/>
    <w:rsid w:val="00585CDD"/>
    <w:rsid w:val="00587058"/>
    <w:rsid w:val="00591957"/>
    <w:rsid w:val="00591971"/>
    <w:rsid w:val="0059278D"/>
    <w:rsid w:val="00593985"/>
    <w:rsid w:val="00593E01"/>
    <w:rsid w:val="0059511D"/>
    <w:rsid w:val="005959FF"/>
    <w:rsid w:val="00596480"/>
    <w:rsid w:val="00596D65"/>
    <w:rsid w:val="00597762"/>
    <w:rsid w:val="00597BF9"/>
    <w:rsid w:val="00597E89"/>
    <w:rsid w:val="005A148C"/>
    <w:rsid w:val="005A150F"/>
    <w:rsid w:val="005A3708"/>
    <w:rsid w:val="005A373D"/>
    <w:rsid w:val="005A39C1"/>
    <w:rsid w:val="005A5BF6"/>
    <w:rsid w:val="005A66CF"/>
    <w:rsid w:val="005B1494"/>
    <w:rsid w:val="005B2D45"/>
    <w:rsid w:val="005B4825"/>
    <w:rsid w:val="005B49F5"/>
    <w:rsid w:val="005B5857"/>
    <w:rsid w:val="005B5AE7"/>
    <w:rsid w:val="005C1B83"/>
    <w:rsid w:val="005C2A26"/>
    <w:rsid w:val="005C2D55"/>
    <w:rsid w:val="005C346B"/>
    <w:rsid w:val="005C360A"/>
    <w:rsid w:val="005C79D3"/>
    <w:rsid w:val="005C7FAA"/>
    <w:rsid w:val="005D044D"/>
    <w:rsid w:val="005D0ABD"/>
    <w:rsid w:val="005D18AD"/>
    <w:rsid w:val="005D26B4"/>
    <w:rsid w:val="005D2ED5"/>
    <w:rsid w:val="005D4230"/>
    <w:rsid w:val="005D75DD"/>
    <w:rsid w:val="005D7F35"/>
    <w:rsid w:val="005E16E9"/>
    <w:rsid w:val="005E1FA2"/>
    <w:rsid w:val="005E23F7"/>
    <w:rsid w:val="005E2A7E"/>
    <w:rsid w:val="005E338B"/>
    <w:rsid w:val="005E3B2F"/>
    <w:rsid w:val="005E5A7C"/>
    <w:rsid w:val="005E6CBC"/>
    <w:rsid w:val="005E73C0"/>
    <w:rsid w:val="005E7952"/>
    <w:rsid w:val="005F2706"/>
    <w:rsid w:val="005F52A9"/>
    <w:rsid w:val="005F5591"/>
    <w:rsid w:val="005F6A8F"/>
    <w:rsid w:val="005F7E3E"/>
    <w:rsid w:val="0060187F"/>
    <w:rsid w:val="00601961"/>
    <w:rsid w:val="00601F54"/>
    <w:rsid w:val="00603DB9"/>
    <w:rsid w:val="00605575"/>
    <w:rsid w:val="0060618D"/>
    <w:rsid w:val="00607669"/>
    <w:rsid w:val="00607AFD"/>
    <w:rsid w:val="00610235"/>
    <w:rsid w:val="006108E7"/>
    <w:rsid w:val="00612C65"/>
    <w:rsid w:val="00612F97"/>
    <w:rsid w:val="0061345D"/>
    <w:rsid w:val="006136AC"/>
    <w:rsid w:val="00613FFE"/>
    <w:rsid w:val="00616525"/>
    <w:rsid w:val="00616802"/>
    <w:rsid w:val="00617E12"/>
    <w:rsid w:val="00621477"/>
    <w:rsid w:val="00624F43"/>
    <w:rsid w:val="006264BC"/>
    <w:rsid w:val="00626589"/>
    <w:rsid w:val="0063073C"/>
    <w:rsid w:val="00631115"/>
    <w:rsid w:val="0063158F"/>
    <w:rsid w:val="00631A43"/>
    <w:rsid w:val="00631D6B"/>
    <w:rsid w:val="00631F58"/>
    <w:rsid w:val="006330A1"/>
    <w:rsid w:val="006341CA"/>
    <w:rsid w:val="0063479F"/>
    <w:rsid w:val="006353F0"/>
    <w:rsid w:val="0063638E"/>
    <w:rsid w:val="006364A1"/>
    <w:rsid w:val="00637BFD"/>
    <w:rsid w:val="00641C4E"/>
    <w:rsid w:val="0064368A"/>
    <w:rsid w:val="00643A8D"/>
    <w:rsid w:val="00644293"/>
    <w:rsid w:val="00644855"/>
    <w:rsid w:val="006452AD"/>
    <w:rsid w:val="006456D1"/>
    <w:rsid w:val="006471CC"/>
    <w:rsid w:val="0065079F"/>
    <w:rsid w:val="00652164"/>
    <w:rsid w:val="0065312B"/>
    <w:rsid w:val="0065379F"/>
    <w:rsid w:val="00653DFB"/>
    <w:rsid w:val="0065428B"/>
    <w:rsid w:val="0065617D"/>
    <w:rsid w:val="00656311"/>
    <w:rsid w:val="006563E2"/>
    <w:rsid w:val="006571A8"/>
    <w:rsid w:val="0065743E"/>
    <w:rsid w:val="0066147A"/>
    <w:rsid w:val="00661C6B"/>
    <w:rsid w:val="00664ECF"/>
    <w:rsid w:val="0066740F"/>
    <w:rsid w:val="00671A0B"/>
    <w:rsid w:val="0067213E"/>
    <w:rsid w:val="00673667"/>
    <w:rsid w:val="00674CC0"/>
    <w:rsid w:val="00674E42"/>
    <w:rsid w:val="0067671A"/>
    <w:rsid w:val="006774F7"/>
    <w:rsid w:val="00682112"/>
    <w:rsid w:val="00683074"/>
    <w:rsid w:val="0068570C"/>
    <w:rsid w:val="006863E0"/>
    <w:rsid w:val="0068644F"/>
    <w:rsid w:val="00686957"/>
    <w:rsid w:val="006872BA"/>
    <w:rsid w:val="00687E7B"/>
    <w:rsid w:val="00691645"/>
    <w:rsid w:val="00691648"/>
    <w:rsid w:val="006917D7"/>
    <w:rsid w:val="00691D4F"/>
    <w:rsid w:val="00693BFF"/>
    <w:rsid w:val="00694F19"/>
    <w:rsid w:val="00694F44"/>
    <w:rsid w:val="00697CFA"/>
    <w:rsid w:val="006A0B22"/>
    <w:rsid w:val="006A2ADF"/>
    <w:rsid w:val="006A35FD"/>
    <w:rsid w:val="006A5913"/>
    <w:rsid w:val="006A5A60"/>
    <w:rsid w:val="006A681C"/>
    <w:rsid w:val="006A7E5F"/>
    <w:rsid w:val="006A7E7A"/>
    <w:rsid w:val="006B261B"/>
    <w:rsid w:val="006B2C90"/>
    <w:rsid w:val="006B504D"/>
    <w:rsid w:val="006B6DD0"/>
    <w:rsid w:val="006C0627"/>
    <w:rsid w:val="006C11B3"/>
    <w:rsid w:val="006C2577"/>
    <w:rsid w:val="006C2A8E"/>
    <w:rsid w:val="006C2B4F"/>
    <w:rsid w:val="006C4363"/>
    <w:rsid w:val="006C5C9E"/>
    <w:rsid w:val="006D031D"/>
    <w:rsid w:val="006D0557"/>
    <w:rsid w:val="006D29FE"/>
    <w:rsid w:val="006D3702"/>
    <w:rsid w:val="006D3C7D"/>
    <w:rsid w:val="006D4B2C"/>
    <w:rsid w:val="006D5249"/>
    <w:rsid w:val="006D5D5F"/>
    <w:rsid w:val="006D7559"/>
    <w:rsid w:val="006D7B51"/>
    <w:rsid w:val="006E0208"/>
    <w:rsid w:val="006E3AC5"/>
    <w:rsid w:val="006E5BE2"/>
    <w:rsid w:val="006E602A"/>
    <w:rsid w:val="006E6C7F"/>
    <w:rsid w:val="006E7440"/>
    <w:rsid w:val="006F0D02"/>
    <w:rsid w:val="006F1237"/>
    <w:rsid w:val="006F273E"/>
    <w:rsid w:val="006F306C"/>
    <w:rsid w:val="006F3A0E"/>
    <w:rsid w:val="006F3F6D"/>
    <w:rsid w:val="006F63A5"/>
    <w:rsid w:val="006F6A74"/>
    <w:rsid w:val="006F6BE8"/>
    <w:rsid w:val="006F6F9A"/>
    <w:rsid w:val="0070142B"/>
    <w:rsid w:val="0070276E"/>
    <w:rsid w:val="00702F8F"/>
    <w:rsid w:val="00704F59"/>
    <w:rsid w:val="0070536C"/>
    <w:rsid w:val="00710301"/>
    <w:rsid w:val="0071084D"/>
    <w:rsid w:val="00711A36"/>
    <w:rsid w:val="00712660"/>
    <w:rsid w:val="007131AB"/>
    <w:rsid w:val="00714189"/>
    <w:rsid w:val="0071529C"/>
    <w:rsid w:val="00716C0E"/>
    <w:rsid w:val="007172AD"/>
    <w:rsid w:val="00717F72"/>
    <w:rsid w:val="00720521"/>
    <w:rsid w:val="007207E3"/>
    <w:rsid w:val="00720EDF"/>
    <w:rsid w:val="00722B1B"/>
    <w:rsid w:val="0072416F"/>
    <w:rsid w:val="00724447"/>
    <w:rsid w:val="0072554A"/>
    <w:rsid w:val="00726BBE"/>
    <w:rsid w:val="00727C94"/>
    <w:rsid w:val="00731EAE"/>
    <w:rsid w:val="00732B20"/>
    <w:rsid w:val="00735033"/>
    <w:rsid w:val="00735328"/>
    <w:rsid w:val="00735683"/>
    <w:rsid w:val="0073685B"/>
    <w:rsid w:val="00737A03"/>
    <w:rsid w:val="007408E0"/>
    <w:rsid w:val="00747473"/>
    <w:rsid w:val="00747967"/>
    <w:rsid w:val="00747ADC"/>
    <w:rsid w:val="00752142"/>
    <w:rsid w:val="007523F9"/>
    <w:rsid w:val="0075474E"/>
    <w:rsid w:val="00755B7A"/>
    <w:rsid w:val="00756609"/>
    <w:rsid w:val="007573E8"/>
    <w:rsid w:val="00760C4E"/>
    <w:rsid w:val="0076256D"/>
    <w:rsid w:val="007628D5"/>
    <w:rsid w:val="007633D0"/>
    <w:rsid w:val="007634C8"/>
    <w:rsid w:val="007635DF"/>
    <w:rsid w:val="00765B1A"/>
    <w:rsid w:val="007663FF"/>
    <w:rsid w:val="00766732"/>
    <w:rsid w:val="00766D3A"/>
    <w:rsid w:val="007706D3"/>
    <w:rsid w:val="00772F99"/>
    <w:rsid w:val="00775EA8"/>
    <w:rsid w:val="00781231"/>
    <w:rsid w:val="007823A7"/>
    <w:rsid w:val="00782BA2"/>
    <w:rsid w:val="007838CA"/>
    <w:rsid w:val="007843F2"/>
    <w:rsid w:val="00784D0F"/>
    <w:rsid w:val="00784D57"/>
    <w:rsid w:val="0078662D"/>
    <w:rsid w:val="0078719C"/>
    <w:rsid w:val="007936AC"/>
    <w:rsid w:val="00794029"/>
    <w:rsid w:val="0079479C"/>
    <w:rsid w:val="00794BD3"/>
    <w:rsid w:val="00796263"/>
    <w:rsid w:val="007A0A12"/>
    <w:rsid w:val="007A1123"/>
    <w:rsid w:val="007A132D"/>
    <w:rsid w:val="007A1778"/>
    <w:rsid w:val="007A33D7"/>
    <w:rsid w:val="007A5D41"/>
    <w:rsid w:val="007A7C1C"/>
    <w:rsid w:val="007B0D68"/>
    <w:rsid w:val="007B19C9"/>
    <w:rsid w:val="007B251D"/>
    <w:rsid w:val="007B2B11"/>
    <w:rsid w:val="007B46A4"/>
    <w:rsid w:val="007B4F58"/>
    <w:rsid w:val="007B520C"/>
    <w:rsid w:val="007B528D"/>
    <w:rsid w:val="007B56DA"/>
    <w:rsid w:val="007B64AB"/>
    <w:rsid w:val="007B67BB"/>
    <w:rsid w:val="007B77D1"/>
    <w:rsid w:val="007B7D9F"/>
    <w:rsid w:val="007C0432"/>
    <w:rsid w:val="007C09D1"/>
    <w:rsid w:val="007C0F54"/>
    <w:rsid w:val="007C1CD9"/>
    <w:rsid w:val="007C361D"/>
    <w:rsid w:val="007C4B84"/>
    <w:rsid w:val="007C722F"/>
    <w:rsid w:val="007D004F"/>
    <w:rsid w:val="007D0B38"/>
    <w:rsid w:val="007D13F3"/>
    <w:rsid w:val="007D213C"/>
    <w:rsid w:val="007D5440"/>
    <w:rsid w:val="007D5E67"/>
    <w:rsid w:val="007E038B"/>
    <w:rsid w:val="007E0ACF"/>
    <w:rsid w:val="007E10E7"/>
    <w:rsid w:val="007E2466"/>
    <w:rsid w:val="007E3C7F"/>
    <w:rsid w:val="007E4074"/>
    <w:rsid w:val="007E4B13"/>
    <w:rsid w:val="007E507E"/>
    <w:rsid w:val="007E5AA3"/>
    <w:rsid w:val="007E7274"/>
    <w:rsid w:val="007E7D15"/>
    <w:rsid w:val="007F03CB"/>
    <w:rsid w:val="007F1017"/>
    <w:rsid w:val="007F3736"/>
    <w:rsid w:val="007F4400"/>
    <w:rsid w:val="007F4A3F"/>
    <w:rsid w:val="007F4A61"/>
    <w:rsid w:val="007F61C2"/>
    <w:rsid w:val="007F623C"/>
    <w:rsid w:val="007F6B92"/>
    <w:rsid w:val="00802AAB"/>
    <w:rsid w:val="0080329F"/>
    <w:rsid w:val="00803333"/>
    <w:rsid w:val="00805142"/>
    <w:rsid w:val="00807A8B"/>
    <w:rsid w:val="00811383"/>
    <w:rsid w:val="00812149"/>
    <w:rsid w:val="00812CAC"/>
    <w:rsid w:val="00812F6A"/>
    <w:rsid w:val="008151BB"/>
    <w:rsid w:val="008158E2"/>
    <w:rsid w:val="008166EF"/>
    <w:rsid w:val="00817F24"/>
    <w:rsid w:val="008202D8"/>
    <w:rsid w:val="00821E1D"/>
    <w:rsid w:val="00823889"/>
    <w:rsid w:val="00824669"/>
    <w:rsid w:val="00825751"/>
    <w:rsid w:val="008257B2"/>
    <w:rsid w:val="008261CF"/>
    <w:rsid w:val="008264EB"/>
    <w:rsid w:val="00826E33"/>
    <w:rsid w:val="008273D1"/>
    <w:rsid w:val="0083017D"/>
    <w:rsid w:val="00830200"/>
    <w:rsid w:val="008302E5"/>
    <w:rsid w:val="008304AB"/>
    <w:rsid w:val="00830DCC"/>
    <w:rsid w:val="00831F33"/>
    <w:rsid w:val="00832514"/>
    <w:rsid w:val="00833323"/>
    <w:rsid w:val="00833B05"/>
    <w:rsid w:val="0083548A"/>
    <w:rsid w:val="00835FD2"/>
    <w:rsid w:val="008362B4"/>
    <w:rsid w:val="00836C5D"/>
    <w:rsid w:val="0084023B"/>
    <w:rsid w:val="00840CA2"/>
    <w:rsid w:val="00840CD4"/>
    <w:rsid w:val="0084123C"/>
    <w:rsid w:val="008419CA"/>
    <w:rsid w:val="00842842"/>
    <w:rsid w:val="00842D48"/>
    <w:rsid w:val="0084363D"/>
    <w:rsid w:val="0084374F"/>
    <w:rsid w:val="00844608"/>
    <w:rsid w:val="00844A5A"/>
    <w:rsid w:val="00844D08"/>
    <w:rsid w:val="00845E05"/>
    <w:rsid w:val="008460B2"/>
    <w:rsid w:val="008469D7"/>
    <w:rsid w:val="00846F74"/>
    <w:rsid w:val="00847DF5"/>
    <w:rsid w:val="0085024F"/>
    <w:rsid w:val="00850355"/>
    <w:rsid w:val="00850859"/>
    <w:rsid w:val="008513FE"/>
    <w:rsid w:val="00851AED"/>
    <w:rsid w:val="00852888"/>
    <w:rsid w:val="0085309D"/>
    <w:rsid w:val="00853A40"/>
    <w:rsid w:val="00854F11"/>
    <w:rsid w:val="0085565A"/>
    <w:rsid w:val="00856897"/>
    <w:rsid w:val="00856E9A"/>
    <w:rsid w:val="0086075D"/>
    <w:rsid w:val="00860B93"/>
    <w:rsid w:val="00861213"/>
    <w:rsid w:val="00862502"/>
    <w:rsid w:val="0086251F"/>
    <w:rsid w:val="0086306B"/>
    <w:rsid w:val="008631EE"/>
    <w:rsid w:val="00863335"/>
    <w:rsid w:val="008660D4"/>
    <w:rsid w:val="00866AE0"/>
    <w:rsid w:val="008677E5"/>
    <w:rsid w:val="00870975"/>
    <w:rsid w:val="00871FA9"/>
    <w:rsid w:val="008728E9"/>
    <w:rsid w:val="00872B55"/>
    <w:rsid w:val="00874C97"/>
    <w:rsid w:val="0087703D"/>
    <w:rsid w:val="0088212B"/>
    <w:rsid w:val="0088239E"/>
    <w:rsid w:val="00882874"/>
    <w:rsid w:val="00883787"/>
    <w:rsid w:val="0088501B"/>
    <w:rsid w:val="0088515E"/>
    <w:rsid w:val="00886CD2"/>
    <w:rsid w:val="00891D83"/>
    <w:rsid w:val="0089295D"/>
    <w:rsid w:val="00892A36"/>
    <w:rsid w:val="00892E8B"/>
    <w:rsid w:val="00893239"/>
    <w:rsid w:val="00893375"/>
    <w:rsid w:val="00893DE8"/>
    <w:rsid w:val="00894489"/>
    <w:rsid w:val="008954BE"/>
    <w:rsid w:val="008963A5"/>
    <w:rsid w:val="008971EF"/>
    <w:rsid w:val="0089735D"/>
    <w:rsid w:val="00897566"/>
    <w:rsid w:val="008A3363"/>
    <w:rsid w:val="008A3371"/>
    <w:rsid w:val="008A3C3E"/>
    <w:rsid w:val="008A4BB4"/>
    <w:rsid w:val="008A6173"/>
    <w:rsid w:val="008A6341"/>
    <w:rsid w:val="008A6CD6"/>
    <w:rsid w:val="008A79DE"/>
    <w:rsid w:val="008B1757"/>
    <w:rsid w:val="008B1EA5"/>
    <w:rsid w:val="008B1F7D"/>
    <w:rsid w:val="008B28A5"/>
    <w:rsid w:val="008B2AC3"/>
    <w:rsid w:val="008B32FF"/>
    <w:rsid w:val="008B388E"/>
    <w:rsid w:val="008B4B29"/>
    <w:rsid w:val="008B5765"/>
    <w:rsid w:val="008B601C"/>
    <w:rsid w:val="008B7D7E"/>
    <w:rsid w:val="008C01C8"/>
    <w:rsid w:val="008C2746"/>
    <w:rsid w:val="008C5038"/>
    <w:rsid w:val="008C6F0B"/>
    <w:rsid w:val="008C7ECB"/>
    <w:rsid w:val="008D3D6B"/>
    <w:rsid w:val="008D4755"/>
    <w:rsid w:val="008D4C3D"/>
    <w:rsid w:val="008D6161"/>
    <w:rsid w:val="008D64A8"/>
    <w:rsid w:val="008D66A4"/>
    <w:rsid w:val="008E0D3C"/>
    <w:rsid w:val="008E0F26"/>
    <w:rsid w:val="008E1B9E"/>
    <w:rsid w:val="008E2629"/>
    <w:rsid w:val="008E362F"/>
    <w:rsid w:val="008E3A9E"/>
    <w:rsid w:val="008E3E47"/>
    <w:rsid w:val="008E4922"/>
    <w:rsid w:val="008E5167"/>
    <w:rsid w:val="008E55AB"/>
    <w:rsid w:val="008E6697"/>
    <w:rsid w:val="008E7BCB"/>
    <w:rsid w:val="008F0C6F"/>
    <w:rsid w:val="008F120A"/>
    <w:rsid w:val="008F27E0"/>
    <w:rsid w:val="008F48EB"/>
    <w:rsid w:val="008F4F0B"/>
    <w:rsid w:val="008F5F59"/>
    <w:rsid w:val="008F7F54"/>
    <w:rsid w:val="00900B49"/>
    <w:rsid w:val="00902706"/>
    <w:rsid w:val="009046C4"/>
    <w:rsid w:val="0090581C"/>
    <w:rsid w:val="00906109"/>
    <w:rsid w:val="009062A5"/>
    <w:rsid w:val="00911272"/>
    <w:rsid w:val="0091152F"/>
    <w:rsid w:val="009135D6"/>
    <w:rsid w:val="0091404C"/>
    <w:rsid w:val="00914C77"/>
    <w:rsid w:val="0091546D"/>
    <w:rsid w:val="00917D2C"/>
    <w:rsid w:val="00920B97"/>
    <w:rsid w:val="009218DA"/>
    <w:rsid w:val="0092369B"/>
    <w:rsid w:val="00924D5C"/>
    <w:rsid w:val="00926201"/>
    <w:rsid w:val="00926548"/>
    <w:rsid w:val="00930287"/>
    <w:rsid w:val="009305F8"/>
    <w:rsid w:val="00930D89"/>
    <w:rsid w:val="0093114B"/>
    <w:rsid w:val="00932827"/>
    <w:rsid w:val="0093341F"/>
    <w:rsid w:val="009335D6"/>
    <w:rsid w:val="0093374A"/>
    <w:rsid w:val="00936FF0"/>
    <w:rsid w:val="0094170A"/>
    <w:rsid w:val="00941C98"/>
    <w:rsid w:val="009421B6"/>
    <w:rsid w:val="0094323B"/>
    <w:rsid w:val="009447D6"/>
    <w:rsid w:val="00944B6D"/>
    <w:rsid w:val="00945E6B"/>
    <w:rsid w:val="009510A2"/>
    <w:rsid w:val="00952A32"/>
    <w:rsid w:val="00952D11"/>
    <w:rsid w:val="00953257"/>
    <w:rsid w:val="00953F3A"/>
    <w:rsid w:val="009544B4"/>
    <w:rsid w:val="009566C8"/>
    <w:rsid w:val="009567FA"/>
    <w:rsid w:val="00960B68"/>
    <w:rsid w:val="00962CB9"/>
    <w:rsid w:val="00962ECD"/>
    <w:rsid w:val="009634F1"/>
    <w:rsid w:val="00963642"/>
    <w:rsid w:val="009636CD"/>
    <w:rsid w:val="00964312"/>
    <w:rsid w:val="00965B3D"/>
    <w:rsid w:val="00965B8A"/>
    <w:rsid w:val="00967FAC"/>
    <w:rsid w:val="009717AC"/>
    <w:rsid w:val="0097228B"/>
    <w:rsid w:val="00974145"/>
    <w:rsid w:val="00975D1D"/>
    <w:rsid w:val="00980F8B"/>
    <w:rsid w:val="0098182E"/>
    <w:rsid w:val="00982B79"/>
    <w:rsid w:val="009836B0"/>
    <w:rsid w:val="00983E57"/>
    <w:rsid w:val="00986429"/>
    <w:rsid w:val="0098675D"/>
    <w:rsid w:val="009873FC"/>
    <w:rsid w:val="0099010F"/>
    <w:rsid w:val="009951F2"/>
    <w:rsid w:val="00995CD4"/>
    <w:rsid w:val="00995D69"/>
    <w:rsid w:val="00995DF7"/>
    <w:rsid w:val="00996B1A"/>
    <w:rsid w:val="00997F48"/>
    <w:rsid w:val="009A4409"/>
    <w:rsid w:val="009A4BFB"/>
    <w:rsid w:val="009A6604"/>
    <w:rsid w:val="009A6FDB"/>
    <w:rsid w:val="009A7F10"/>
    <w:rsid w:val="009B36AD"/>
    <w:rsid w:val="009B3E26"/>
    <w:rsid w:val="009B4B7E"/>
    <w:rsid w:val="009C119D"/>
    <w:rsid w:val="009C1316"/>
    <w:rsid w:val="009C1AAC"/>
    <w:rsid w:val="009C2881"/>
    <w:rsid w:val="009C6646"/>
    <w:rsid w:val="009C6CEA"/>
    <w:rsid w:val="009C7231"/>
    <w:rsid w:val="009C7B85"/>
    <w:rsid w:val="009D2754"/>
    <w:rsid w:val="009D48B2"/>
    <w:rsid w:val="009D5B91"/>
    <w:rsid w:val="009D5D92"/>
    <w:rsid w:val="009D6BF1"/>
    <w:rsid w:val="009D7404"/>
    <w:rsid w:val="009D792E"/>
    <w:rsid w:val="009E0DFE"/>
    <w:rsid w:val="009E1EF4"/>
    <w:rsid w:val="009E225D"/>
    <w:rsid w:val="009E2C8D"/>
    <w:rsid w:val="009E4C07"/>
    <w:rsid w:val="009E6133"/>
    <w:rsid w:val="009E698C"/>
    <w:rsid w:val="009E70D7"/>
    <w:rsid w:val="009F124C"/>
    <w:rsid w:val="009F133C"/>
    <w:rsid w:val="009F1E0F"/>
    <w:rsid w:val="009F2B41"/>
    <w:rsid w:val="009F2F22"/>
    <w:rsid w:val="009F4958"/>
    <w:rsid w:val="009F4C23"/>
    <w:rsid w:val="009F6C50"/>
    <w:rsid w:val="00A00758"/>
    <w:rsid w:val="00A00F8F"/>
    <w:rsid w:val="00A01184"/>
    <w:rsid w:val="00A01B27"/>
    <w:rsid w:val="00A03D43"/>
    <w:rsid w:val="00A04380"/>
    <w:rsid w:val="00A04D2D"/>
    <w:rsid w:val="00A10EF3"/>
    <w:rsid w:val="00A10F6B"/>
    <w:rsid w:val="00A11CD0"/>
    <w:rsid w:val="00A13948"/>
    <w:rsid w:val="00A14F22"/>
    <w:rsid w:val="00A1555B"/>
    <w:rsid w:val="00A155C5"/>
    <w:rsid w:val="00A16AD8"/>
    <w:rsid w:val="00A2197C"/>
    <w:rsid w:val="00A21B52"/>
    <w:rsid w:val="00A21CF3"/>
    <w:rsid w:val="00A2218B"/>
    <w:rsid w:val="00A23B47"/>
    <w:rsid w:val="00A27AEC"/>
    <w:rsid w:val="00A27CE0"/>
    <w:rsid w:val="00A31A3F"/>
    <w:rsid w:val="00A31E30"/>
    <w:rsid w:val="00A320DB"/>
    <w:rsid w:val="00A331FF"/>
    <w:rsid w:val="00A33563"/>
    <w:rsid w:val="00A34FBB"/>
    <w:rsid w:val="00A356CC"/>
    <w:rsid w:val="00A35D16"/>
    <w:rsid w:val="00A37BCD"/>
    <w:rsid w:val="00A406EE"/>
    <w:rsid w:val="00A41056"/>
    <w:rsid w:val="00A43C59"/>
    <w:rsid w:val="00A47AC3"/>
    <w:rsid w:val="00A50AA4"/>
    <w:rsid w:val="00A50ECD"/>
    <w:rsid w:val="00A51273"/>
    <w:rsid w:val="00A518F3"/>
    <w:rsid w:val="00A52729"/>
    <w:rsid w:val="00A53345"/>
    <w:rsid w:val="00A53675"/>
    <w:rsid w:val="00A54E4B"/>
    <w:rsid w:val="00A564D7"/>
    <w:rsid w:val="00A56B6A"/>
    <w:rsid w:val="00A578DC"/>
    <w:rsid w:val="00A57A66"/>
    <w:rsid w:val="00A57E22"/>
    <w:rsid w:val="00A6065F"/>
    <w:rsid w:val="00A61069"/>
    <w:rsid w:val="00A6134C"/>
    <w:rsid w:val="00A63B44"/>
    <w:rsid w:val="00A6725B"/>
    <w:rsid w:val="00A67CD5"/>
    <w:rsid w:val="00A70605"/>
    <w:rsid w:val="00A70EB4"/>
    <w:rsid w:val="00A7114D"/>
    <w:rsid w:val="00A718A7"/>
    <w:rsid w:val="00A71D06"/>
    <w:rsid w:val="00A73134"/>
    <w:rsid w:val="00A73545"/>
    <w:rsid w:val="00A73A19"/>
    <w:rsid w:val="00A75E7F"/>
    <w:rsid w:val="00A777B2"/>
    <w:rsid w:val="00A80F0F"/>
    <w:rsid w:val="00A82960"/>
    <w:rsid w:val="00A852F0"/>
    <w:rsid w:val="00A86719"/>
    <w:rsid w:val="00A86E8B"/>
    <w:rsid w:val="00A87164"/>
    <w:rsid w:val="00A921A7"/>
    <w:rsid w:val="00A93072"/>
    <w:rsid w:val="00A93953"/>
    <w:rsid w:val="00A959D8"/>
    <w:rsid w:val="00A9735E"/>
    <w:rsid w:val="00A973A7"/>
    <w:rsid w:val="00AA113D"/>
    <w:rsid w:val="00AA1555"/>
    <w:rsid w:val="00AA18A5"/>
    <w:rsid w:val="00AA65D1"/>
    <w:rsid w:val="00AA6C7D"/>
    <w:rsid w:val="00AA7FD6"/>
    <w:rsid w:val="00AB042A"/>
    <w:rsid w:val="00AB1C37"/>
    <w:rsid w:val="00AB299B"/>
    <w:rsid w:val="00AB2D34"/>
    <w:rsid w:val="00AB3430"/>
    <w:rsid w:val="00AB3D37"/>
    <w:rsid w:val="00AB4AD1"/>
    <w:rsid w:val="00AB5CC7"/>
    <w:rsid w:val="00AB6694"/>
    <w:rsid w:val="00AB69DF"/>
    <w:rsid w:val="00AB7CFA"/>
    <w:rsid w:val="00AC182C"/>
    <w:rsid w:val="00AC3566"/>
    <w:rsid w:val="00AC5B48"/>
    <w:rsid w:val="00AC6DF1"/>
    <w:rsid w:val="00AD08CE"/>
    <w:rsid w:val="00AD0918"/>
    <w:rsid w:val="00AD3471"/>
    <w:rsid w:val="00AD41DE"/>
    <w:rsid w:val="00AD56C3"/>
    <w:rsid w:val="00AD6502"/>
    <w:rsid w:val="00AD7053"/>
    <w:rsid w:val="00AE44CF"/>
    <w:rsid w:val="00AE7061"/>
    <w:rsid w:val="00AE752D"/>
    <w:rsid w:val="00AE7EA1"/>
    <w:rsid w:val="00AF0169"/>
    <w:rsid w:val="00AF08CB"/>
    <w:rsid w:val="00AF1315"/>
    <w:rsid w:val="00AF19BF"/>
    <w:rsid w:val="00AF204D"/>
    <w:rsid w:val="00AF2DC3"/>
    <w:rsid w:val="00AF3465"/>
    <w:rsid w:val="00AF376C"/>
    <w:rsid w:val="00AF45A2"/>
    <w:rsid w:val="00AF676E"/>
    <w:rsid w:val="00AF7D6A"/>
    <w:rsid w:val="00B014D4"/>
    <w:rsid w:val="00B01F8D"/>
    <w:rsid w:val="00B033E5"/>
    <w:rsid w:val="00B03A63"/>
    <w:rsid w:val="00B03BBF"/>
    <w:rsid w:val="00B056E4"/>
    <w:rsid w:val="00B05920"/>
    <w:rsid w:val="00B10259"/>
    <w:rsid w:val="00B104F9"/>
    <w:rsid w:val="00B14943"/>
    <w:rsid w:val="00B15E28"/>
    <w:rsid w:val="00B16877"/>
    <w:rsid w:val="00B17A61"/>
    <w:rsid w:val="00B201A4"/>
    <w:rsid w:val="00B213A6"/>
    <w:rsid w:val="00B215A8"/>
    <w:rsid w:val="00B24D10"/>
    <w:rsid w:val="00B24DF6"/>
    <w:rsid w:val="00B253D5"/>
    <w:rsid w:val="00B26DBD"/>
    <w:rsid w:val="00B30400"/>
    <w:rsid w:val="00B3056A"/>
    <w:rsid w:val="00B31D8A"/>
    <w:rsid w:val="00B32C92"/>
    <w:rsid w:val="00B34FE2"/>
    <w:rsid w:val="00B3515F"/>
    <w:rsid w:val="00B357D8"/>
    <w:rsid w:val="00B358C6"/>
    <w:rsid w:val="00B377D6"/>
    <w:rsid w:val="00B37BFC"/>
    <w:rsid w:val="00B40251"/>
    <w:rsid w:val="00B40358"/>
    <w:rsid w:val="00B41614"/>
    <w:rsid w:val="00B42851"/>
    <w:rsid w:val="00B42B27"/>
    <w:rsid w:val="00B42F80"/>
    <w:rsid w:val="00B435CB"/>
    <w:rsid w:val="00B46C89"/>
    <w:rsid w:val="00B50A0C"/>
    <w:rsid w:val="00B50DB8"/>
    <w:rsid w:val="00B513BD"/>
    <w:rsid w:val="00B527AE"/>
    <w:rsid w:val="00B53102"/>
    <w:rsid w:val="00B53654"/>
    <w:rsid w:val="00B53905"/>
    <w:rsid w:val="00B54B5B"/>
    <w:rsid w:val="00B5562E"/>
    <w:rsid w:val="00B56CFE"/>
    <w:rsid w:val="00B57000"/>
    <w:rsid w:val="00B57040"/>
    <w:rsid w:val="00B57C14"/>
    <w:rsid w:val="00B60939"/>
    <w:rsid w:val="00B60AFD"/>
    <w:rsid w:val="00B612F4"/>
    <w:rsid w:val="00B61E0A"/>
    <w:rsid w:val="00B62715"/>
    <w:rsid w:val="00B63463"/>
    <w:rsid w:val="00B640CC"/>
    <w:rsid w:val="00B65515"/>
    <w:rsid w:val="00B66DC1"/>
    <w:rsid w:val="00B70AFF"/>
    <w:rsid w:val="00B73332"/>
    <w:rsid w:val="00B73491"/>
    <w:rsid w:val="00B75AEF"/>
    <w:rsid w:val="00B77407"/>
    <w:rsid w:val="00B774F9"/>
    <w:rsid w:val="00B777CC"/>
    <w:rsid w:val="00B80D83"/>
    <w:rsid w:val="00B80EB0"/>
    <w:rsid w:val="00B8110B"/>
    <w:rsid w:val="00B818A4"/>
    <w:rsid w:val="00B81B7F"/>
    <w:rsid w:val="00B81FD8"/>
    <w:rsid w:val="00B82A6B"/>
    <w:rsid w:val="00B83014"/>
    <w:rsid w:val="00B83373"/>
    <w:rsid w:val="00B8359E"/>
    <w:rsid w:val="00B84117"/>
    <w:rsid w:val="00B84BBE"/>
    <w:rsid w:val="00B84E06"/>
    <w:rsid w:val="00B84EFF"/>
    <w:rsid w:val="00B85AA2"/>
    <w:rsid w:val="00B85BDD"/>
    <w:rsid w:val="00B8649C"/>
    <w:rsid w:val="00B87F0A"/>
    <w:rsid w:val="00B90E70"/>
    <w:rsid w:val="00B92D0B"/>
    <w:rsid w:val="00B94945"/>
    <w:rsid w:val="00B95770"/>
    <w:rsid w:val="00B95BFD"/>
    <w:rsid w:val="00B96244"/>
    <w:rsid w:val="00B96906"/>
    <w:rsid w:val="00B96F4C"/>
    <w:rsid w:val="00BA12BF"/>
    <w:rsid w:val="00BA19AC"/>
    <w:rsid w:val="00BA322D"/>
    <w:rsid w:val="00BA50F1"/>
    <w:rsid w:val="00BA7726"/>
    <w:rsid w:val="00BB0BDD"/>
    <w:rsid w:val="00BB0D2E"/>
    <w:rsid w:val="00BB2A73"/>
    <w:rsid w:val="00BB33CB"/>
    <w:rsid w:val="00BB44D1"/>
    <w:rsid w:val="00BB4ACC"/>
    <w:rsid w:val="00BB703E"/>
    <w:rsid w:val="00BB7405"/>
    <w:rsid w:val="00BC01E6"/>
    <w:rsid w:val="00BC0892"/>
    <w:rsid w:val="00BC0B43"/>
    <w:rsid w:val="00BC167F"/>
    <w:rsid w:val="00BC2841"/>
    <w:rsid w:val="00BC3631"/>
    <w:rsid w:val="00BD0AD6"/>
    <w:rsid w:val="00BD4E8A"/>
    <w:rsid w:val="00BD68A3"/>
    <w:rsid w:val="00BD6938"/>
    <w:rsid w:val="00BD6CF3"/>
    <w:rsid w:val="00BD76B1"/>
    <w:rsid w:val="00BE2180"/>
    <w:rsid w:val="00BE21F2"/>
    <w:rsid w:val="00BE317E"/>
    <w:rsid w:val="00BE3786"/>
    <w:rsid w:val="00BE40BA"/>
    <w:rsid w:val="00BE4275"/>
    <w:rsid w:val="00BE5781"/>
    <w:rsid w:val="00BE652E"/>
    <w:rsid w:val="00BE7854"/>
    <w:rsid w:val="00BE7972"/>
    <w:rsid w:val="00BF0F95"/>
    <w:rsid w:val="00BF2004"/>
    <w:rsid w:val="00BF2433"/>
    <w:rsid w:val="00BF5203"/>
    <w:rsid w:val="00BF5471"/>
    <w:rsid w:val="00BF61C9"/>
    <w:rsid w:val="00BF698C"/>
    <w:rsid w:val="00BF6C94"/>
    <w:rsid w:val="00BF6E8F"/>
    <w:rsid w:val="00BF798C"/>
    <w:rsid w:val="00BF7D41"/>
    <w:rsid w:val="00C00413"/>
    <w:rsid w:val="00C00424"/>
    <w:rsid w:val="00C00D77"/>
    <w:rsid w:val="00C023EB"/>
    <w:rsid w:val="00C02D6A"/>
    <w:rsid w:val="00C115AE"/>
    <w:rsid w:val="00C12C14"/>
    <w:rsid w:val="00C15112"/>
    <w:rsid w:val="00C1781D"/>
    <w:rsid w:val="00C200AA"/>
    <w:rsid w:val="00C21260"/>
    <w:rsid w:val="00C237ED"/>
    <w:rsid w:val="00C23BC4"/>
    <w:rsid w:val="00C24632"/>
    <w:rsid w:val="00C24F7E"/>
    <w:rsid w:val="00C25418"/>
    <w:rsid w:val="00C25D9C"/>
    <w:rsid w:val="00C2778B"/>
    <w:rsid w:val="00C30112"/>
    <w:rsid w:val="00C3075F"/>
    <w:rsid w:val="00C30BFF"/>
    <w:rsid w:val="00C312E7"/>
    <w:rsid w:val="00C31649"/>
    <w:rsid w:val="00C318D0"/>
    <w:rsid w:val="00C33BE8"/>
    <w:rsid w:val="00C34378"/>
    <w:rsid w:val="00C353F7"/>
    <w:rsid w:val="00C37B8B"/>
    <w:rsid w:val="00C40385"/>
    <w:rsid w:val="00C40FE4"/>
    <w:rsid w:val="00C41590"/>
    <w:rsid w:val="00C42A71"/>
    <w:rsid w:val="00C45503"/>
    <w:rsid w:val="00C462B1"/>
    <w:rsid w:val="00C46B48"/>
    <w:rsid w:val="00C475AA"/>
    <w:rsid w:val="00C507CD"/>
    <w:rsid w:val="00C52CA9"/>
    <w:rsid w:val="00C5577A"/>
    <w:rsid w:val="00C55962"/>
    <w:rsid w:val="00C56A81"/>
    <w:rsid w:val="00C62CE1"/>
    <w:rsid w:val="00C65576"/>
    <w:rsid w:val="00C66165"/>
    <w:rsid w:val="00C7151A"/>
    <w:rsid w:val="00C71F60"/>
    <w:rsid w:val="00C72241"/>
    <w:rsid w:val="00C74CDB"/>
    <w:rsid w:val="00C750C8"/>
    <w:rsid w:val="00C75482"/>
    <w:rsid w:val="00C7560F"/>
    <w:rsid w:val="00C80A0E"/>
    <w:rsid w:val="00C80DAD"/>
    <w:rsid w:val="00C80F37"/>
    <w:rsid w:val="00C81993"/>
    <w:rsid w:val="00C820D8"/>
    <w:rsid w:val="00C8213F"/>
    <w:rsid w:val="00C8328D"/>
    <w:rsid w:val="00C83958"/>
    <w:rsid w:val="00C84DC2"/>
    <w:rsid w:val="00C8797A"/>
    <w:rsid w:val="00C87F79"/>
    <w:rsid w:val="00C900B8"/>
    <w:rsid w:val="00C90C71"/>
    <w:rsid w:val="00C93040"/>
    <w:rsid w:val="00C931CF"/>
    <w:rsid w:val="00C93451"/>
    <w:rsid w:val="00C93555"/>
    <w:rsid w:val="00C938CF"/>
    <w:rsid w:val="00C95BCB"/>
    <w:rsid w:val="00C9624D"/>
    <w:rsid w:val="00C969DA"/>
    <w:rsid w:val="00CA18D1"/>
    <w:rsid w:val="00CA2C77"/>
    <w:rsid w:val="00CA40E3"/>
    <w:rsid w:val="00CA444F"/>
    <w:rsid w:val="00CA4510"/>
    <w:rsid w:val="00CA5245"/>
    <w:rsid w:val="00CA529D"/>
    <w:rsid w:val="00CA71F4"/>
    <w:rsid w:val="00CA7B09"/>
    <w:rsid w:val="00CB09E6"/>
    <w:rsid w:val="00CB0E22"/>
    <w:rsid w:val="00CB2084"/>
    <w:rsid w:val="00CB2F2A"/>
    <w:rsid w:val="00CB31E5"/>
    <w:rsid w:val="00CB3807"/>
    <w:rsid w:val="00CB52CC"/>
    <w:rsid w:val="00CB5B1A"/>
    <w:rsid w:val="00CB6B22"/>
    <w:rsid w:val="00CB7DC1"/>
    <w:rsid w:val="00CB7F5F"/>
    <w:rsid w:val="00CC1B39"/>
    <w:rsid w:val="00CC241D"/>
    <w:rsid w:val="00CC3A3E"/>
    <w:rsid w:val="00CC58BC"/>
    <w:rsid w:val="00CC5B6E"/>
    <w:rsid w:val="00CC71B7"/>
    <w:rsid w:val="00CD1375"/>
    <w:rsid w:val="00CD1B1D"/>
    <w:rsid w:val="00CD1C60"/>
    <w:rsid w:val="00CD2DF2"/>
    <w:rsid w:val="00CD3D2D"/>
    <w:rsid w:val="00CD66BB"/>
    <w:rsid w:val="00CD6ADC"/>
    <w:rsid w:val="00CE14B3"/>
    <w:rsid w:val="00CE6274"/>
    <w:rsid w:val="00CE7525"/>
    <w:rsid w:val="00CF0301"/>
    <w:rsid w:val="00CF23C5"/>
    <w:rsid w:val="00CF2B8D"/>
    <w:rsid w:val="00CF3358"/>
    <w:rsid w:val="00CF456B"/>
    <w:rsid w:val="00CF5A22"/>
    <w:rsid w:val="00CF683C"/>
    <w:rsid w:val="00CF77C3"/>
    <w:rsid w:val="00CF7815"/>
    <w:rsid w:val="00CF7DE0"/>
    <w:rsid w:val="00D0262E"/>
    <w:rsid w:val="00D068F2"/>
    <w:rsid w:val="00D07DF3"/>
    <w:rsid w:val="00D10D92"/>
    <w:rsid w:val="00D110BD"/>
    <w:rsid w:val="00D112B7"/>
    <w:rsid w:val="00D11C91"/>
    <w:rsid w:val="00D13675"/>
    <w:rsid w:val="00D1375A"/>
    <w:rsid w:val="00D141E1"/>
    <w:rsid w:val="00D14DC2"/>
    <w:rsid w:val="00D14FA1"/>
    <w:rsid w:val="00D15A0C"/>
    <w:rsid w:val="00D162E8"/>
    <w:rsid w:val="00D17286"/>
    <w:rsid w:val="00D17D6C"/>
    <w:rsid w:val="00D22CD5"/>
    <w:rsid w:val="00D24EE0"/>
    <w:rsid w:val="00D25841"/>
    <w:rsid w:val="00D25D8B"/>
    <w:rsid w:val="00D2609E"/>
    <w:rsid w:val="00D2754D"/>
    <w:rsid w:val="00D27B27"/>
    <w:rsid w:val="00D320B2"/>
    <w:rsid w:val="00D33BE9"/>
    <w:rsid w:val="00D34E80"/>
    <w:rsid w:val="00D357FF"/>
    <w:rsid w:val="00D363BA"/>
    <w:rsid w:val="00D36A85"/>
    <w:rsid w:val="00D373B1"/>
    <w:rsid w:val="00D37FB7"/>
    <w:rsid w:val="00D41577"/>
    <w:rsid w:val="00D422A2"/>
    <w:rsid w:val="00D4233B"/>
    <w:rsid w:val="00D424C7"/>
    <w:rsid w:val="00D43928"/>
    <w:rsid w:val="00D43B2A"/>
    <w:rsid w:val="00D444AB"/>
    <w:rsid w:val="00D44A2C"/>
    <w:rsid w:val="00D46DE4"/>
    <w:rsid w:val="00D47575"/>
    <w:rsid w:val="00D548AF"/>
    <w:rsid w:val="00D55422"/>
    <w:rsid w:val="00D5700E"/>
    <w:rsid w:val="00D63628"/>
    <w:rsid w:val="00D639BD"/>
    <w:rsid w:val="00D64E29"/>
    <w:rsid w:val="00D6647B"/>
    <w:rsid w:val="00D7035A"/>
    <w:rsid w:val="00D70891"/>
    <w:rsid w:val="00D70F16"/>
    <w:rsid w:val="00D7124A"/>
    <w:rsid w:val="00D725C5"/>
    <w:rsid w:val="00D75FA8"/>
    <w:rsid w:val="00D76A44"/>
    <w:rsid w:val="00D7742F"/>
    <w:rsid w:val="00D77980"/>
    <w:rsid w:val="00D77B32"/>
    <w:rsid w:val="00D80AA4"/>
    <w:rsid w:val="00D815EF"/>
    <w:rsid w:val="00D81BC2"/>
    <w:rsid w:val="00D84637"/>
    <w:rsid w:val="00D853B6"/>
    <w:rsid w:val="00D86121"/>
    <w:rsid w:val="00D90136"/>
    <w:rsid w:val="00D91786"/>
    <w:rsid w:val="00D91923"/>
    <w:rsid w:val="00D920AF"/>
    <w:rsid w:val="00D93753"/>
    <w:rsid w:val="00D955CA"/>
    <w:rsid w:val="00D95D1B"/>
    <w:rsid w:val="00DA08F2"/>
    <w:rsid w:val="00DA28D9"/>
    <w:rsid w:val="00DA3167"/>
    <w:rsid w:val="00DA4DC3"/>
    <w:rsid w:val="00DA6A93"/>
    <w:rsid w:val="00DA717A"/>
    <w:rsid w:val="00DA74A6"/>
    <w:rsid w:val="00DA77A5"/>
    <w:rsid w:val="00DA7B4E"/>
    <w:rsid w:val="00DA7DF4"/>
    <w:rsid w:val="00DB0A11"/>
    <w:rsid w:val="00DB1EAD"/>
    <w:rsid w:val="00DB269A"/>
    <w:rsid w:val="00DB2F5D"/>
    <w:rsid w:val="00DB3E97"/>
    <w:rsid w:val="00DB484F"/>
    <w:rsid w:val="00DB67F6"/>
    <w:rsid w:val="00DC04F6"/>
    <w:rsid w:val="00DC22C6"/>
    <w:rsid w:val="00DC346F"/>
    <w:rsid w:val="00DC3C57"/>
    <w:rsid w:val="00DC4A7F"/>
    <w:rsid w:val="00DC4E55"/>
    <w:rsid w:val="00DC5501"/>
    <w:rsid w:val="00DC58D6"/>
    <w:rsid w:val="00DC65C5"/>
    <w:rsid w:val="00DC69CD"/>
    <w:rsid w:val="00DC707C"/>
    <w:rsid w:val="00DD0834"/>
    <w:rsid w:val="00DD19B8"/>
    <w:rsid w:val="00DD1A96"/>
    <w:rsid w:val="00DD2318"/>
    <w:rsid w:val="00DD273C"/>
    <w:rsid w:val="00DD2EB8"/>
    <w:rsid w:val="00DD3F28"/>
    <w:rsid w:val="00DD4537"/>
    <w:rsid w:val="00DD4E15"/>
    <w:rsid w:val="00DD6BC8"/>
    <w:rsid w:val="00DD6F3A"/>
    <w:rsid w:val="00DE1460"/>
    <w:rsid w:val="00DE1923"/>
    <w:rsid w:val="00DE1CE7"/>
    <w:rsid w:val="00DE3138"/>
    <w:rsid w:val="00DE37F8"/>
    <w:rsid w:val="00DE4A7B"/>
    <w:rsid w:val="00DE4BFC"/>
    <w:rsid w:val="00DE4FCB"/>
    <w:rsid w:val="00DE5C10"/>
    <w:rsid w:val="00DE7666"/>
    <w:rsid w:val="00DE7832"/>
    <w:rsid w:val="00DF18FC"/>
    <w:rsid w:val="00DF1F99"/>
    <w:rsid w:val="00DF2B49"/>
    <w:rsid w:val="00DF2E0B"/>
    <w:rsid w:val="00DF43AD"/>
    <w:rsid w:val="00DF5D2B"/>
    <w:rsid w:val="00E008CF"/>
    <w:rsid w:val="00E00E8E"/>
    <w:rsid w:val="00E0371B"/>
    <w:rsid w:val="00E05041"/>
    <w:rsid w:val="00E05630"/>
    <w:rsid w:val="00E057B5"/>
    <w:rsid w:val="00E06DBB"/>
    <w:rsid w:val="00E072DF"/>
    <w:rsid w:val="00E10149"/>
    <w:rsid w:val="00E12213"/>
    <w:rsid w:val="00E137DC"/>
    <w:rsid w:val="00E16372"/>
    <w:rsid w:val="00E16CB7"/>
    <w:rsid w:val="00E20E4D"/>
    <w:rsid w:val="00E20ED6"/>
    <w:rsid w:val="00E21358"/>
    <w:rsid w:val="00E2180E"/>
    <w:rsid w:val="00E22173"/>
    <w:rsid w:val="00E2249B"/>
    <w:rsid w:val="00E228A6"/>
    <w:rsid w:val="00E22A0D"/>
    <w:rsid w:val="00E23708"/>
    <w:rsid w:val="00E23E08"/>
    <w:rsid w:val="00E241AA"/>
    <w:rsid w:val="00E25022"/>
    <w:rsid w:val="00E2523A"/>
    <w:rsid w:val="00E2771E"/>
    <w:rsid w:val="00E27B53"/>
    <w:rsid w:val="00E27EFA"/>
    <w:rsid w:val="00E3027F"/>
    <w:rsid w:val="00E3158B"/>
    <w:rsid w:val="00E3183B"/>
    <w:rsid w:val="00E32D28"/>
    <w:rsid w:val="00E330CC"/>
    <w:rsid w:val="00E3387B"/>
    <w:rsid w:val="00E34948"/>
    <w:rsid w:val="00E34BEC"/>
    <w:rsid w:val="00E373E2"/>
    <w:rsid w:val="00E37569"/>
    <w:rsid w:val="00E416C8"/>
    <w:rsid w:val="00E41BE8"/>
    <w:rsid w:val="00E41E30"/>
    <w:rsid w:val="00E42557"/>
    <w:rsid w:val="00E4332C"/>
    <w:rsid w:val="00E43D06"/>
    <w:rsid w:val="00E43D70"/>
    <w:rsid w:val="00E4453E"/>
    <w:rsid w:val="00E4597E"/>
    <w:rsid w:val="00E45BFE"/>
    <w:rsid w:val="00E45C6B"/>
    <w:rsid w:val="00E466F3"/>
    <w:rsid w:val="00E46942"/>
    <w:rsid w:val="00E47B2C"/>
    <w:rsid w:val="00E51560"/>
    <w:rsid w:val="00E516AC"/>
    <w:rsid w:val="00E53C46"/>
    <w:rsid w:val="00E5418C"/>
    <w:rsid w:val="00E54347"/>
    <w:rsid w:val="00E55424"/>
    <w:rsid w:val="00E55BB5"/>
    <w:rsid w:val="00E56B1A"/>
    <w:rsid w:val="00E60786"/>
    <w:rsid w:val="00E60D05"/>
    <w:rsid w:val="00E65E79"/>
    <w:rsid w:val="00E66BA2"/>
    <w:rsid w:val="00E67416"/>
    <w:rsid w:val="00E70891"/>
    <w:rsid w:val="00E70ABF"/>
    <w:rsid w:val="00E718B6"/>
    <w:rsid w:val="00E71970"/>
    <w:rsid w:val="00E71E1E"/>
    <w:rsid w:val="00E723BA"/>
    <w:rsid w:val="00E7284F"/>
    <w:rsid w:val="00E733FA"/>
    <w:rsid w:val="00E73581"/>
    <w:rsid w:val="00E74EA0"/>
    <w:rsid w:val="00E75DC2"/>
    <w:rsid w:val="00E7626B"/>
    <w:rsid w:val="00E768AD"/>
    <w:rsid w:val="00E776EF"/>
    <w:rsid w:val="00E778A5"/>
    <w:rsid w:val="00E800FB"/>
    <w:rsid w:val="00E813A3"/>
    <w:rsid w:val="00E822F1"/>
    <w:rsid w:val="00E832C3"/>
    <w:rsid w:val="00E832FE"/>
    <w:rsid w:val="00E833F7"/>
    <w:rsid w:val="00E83BDF"/>
    <w:rsid w:val="00E84994"/>
    <w:rsid w:val="00E84EA0"/>
    <w:rsid w:val="00E8508F"/>
    <w:rsid w:val="00E87863"/>
    <w:rsid w:val="00E87A1D"/>
    <w:rsid w:val="00E90491"/>
    <w:rsid w:val="00E926A5"/>
    <w:rsid w:val="00E92B82"/>
    <w:rsid w:val="00E92C72"/>
    <w:rsid w:val="00E97F3D"/>
    <w:rsid w:val="00EA02EF"/>
    <w:rsid w:val="00EA0885"/>
    <w:rsid w:val="00EA17C3"/>
    <w:rsid w:val="00EA210C"/>
    <w:rsid w:val="00EA27BB"/>
    <w:rsid w:val="00EA2CAA"/>
    <w:rsid w:val="00EA3864"/>
    <w:rsid w:val="00EA4BCB"/>
    <w:rsid w:val="00EA4F62"/>
    <w:rsid w:val="00EA4FFB"/>
    <w:rsid w:val="00EA5B47"/>
    <w:rsid w:val="00EA772C"/>
    <w:rsid w:val="00EA77E3"/>
    <w:rsid w:val="00EB1238"/>
    <w:rsid w:val="00EB15B6"/>
    <w:rsid w:val="00EB3878"/>
    <w:rsid w:val="00EB4761"/>
    <w:rsid w:val="00EB4916"/>
    <w:rsid w:val="00EB6196"/>
    <w:rsid w:val="00EC00C9"/>
    <w:rsid w:val="00EC04AF"/>
    <w:rsid w:val="00EC162B"/>
    <w:rsid w:val="00EC2649"/>
    <w:rsid w:val="00EC2E27"/>
    <w:rsid w:val="00EC3DEE"/>
    <w:rsid w:val="00EC40F4"/>
    <w:rsid w:val="00EC5414"/>
    <w:rsid w:val="00EC62DB"/>
    <w:rsid w:val="00EC6656"/>
    <w:rsid w:val="00ED10D7"/>
    <w:rsid w:val="00ED1152"/>
    <w:rsid w:val="00ED1E93"/>
    <w:rsid w:val="00ED3B4B"/>
    <w:rsid w:val="00ED404A"/>
    <w:rsid w:val="00ED544D"/>
    <w:rsid w:val="00ED578C"/>
    <w:rsid w:val="00ED57EA"/>
    <w:rsid w:val="00ED5F98"/>
    <w:rsid w:val="00EE0422"/>
    <w:rsid w:val="00EE0468"/>
    <w:rsid w:val="00EE07D3"/>
    <w:rsid w:val="00EE22AF"/>
    <w:rsid w:val="00EE235E"/>
    <w:rsid w:val="00EE3ADA"/>
    <w:rsid w:val="00EE3FB4"/>
    <w:rsid w:val="00EF0171"/>
    <w:rsid w:val="00EF14DF"/>
    <w:rsid w:val="00EF1B25"/>
    <w:rsid w:val="00EF283F"/>
    <w:rsid w:val="00EF4747"/>
    <w:rsid w:val="00EF4A59"/>
    <w:rsid w:val="00EF4BF8"/>
    <w:rsid w:val="00EF59EB"/>
    <w:rsid w:val="00F0219E"/>
    <w:rsid w:val="00F02253"/>
    <w:rsid w:val="00F03B06"/>
    <w:rsid w:val="00F03C2E"/>
    <w:rsid w:val="00F03DC6"/>
    <w:rsid w:val="00F04A66"/>
    <w:rsid w:val="00F0516C"/>
    <w:rsid w:val="00F067A2"/>
    <w:rsid w:val="00F068F6"/>
    <w:rsid w:val="00F06F61"/>
    <w:rsid w:val="00F1101A"/>
    <w:rsid w:val="00F1162F"/>
    <w:rsid w:val="00F11CE1"/>
    <w:rsid w:val="00F1263A"/>
    <w:rsid w:val="00F13078"/>
    <w:rsid w:val="00F15B2F"/>
    <w:rsid w:val="00F15FE2"/>
    <w:rsid w:val="00F16975"/>
    <w:rsid w:val="00F20E4A"/>
    <w:rsid w:val="00F21DDE"/>
    <w:rsid w:val="00F22D0F"/>
    <w:rsid w:val="00F23484"/>
    <w:rsid w:val="00F24837"/>
    <w:rsid w:val="00F25128"/>
    <w:rsid w:val="00F2575F"/>
    <w:rsid w:val="00F27565"/>
    <w:rsid w:val="00F277A2"/>
    <w:rsid w:val="00F310D4"/>
    <w:rsid w:val="00F312AF"/>
    <w:rsid w:val="00F31D5A"/>
    <w:rsid w:val="00F32843"/>
    <w:rsid w:val="00F32D2F"/>
    <w:rsid w:val="00F33DE9"/>
    <w:rsid w:val="00F353ED"/>
    <w:rsid w:val="00F35F23"/>
    <w:rsid w:val="00F3619A"/>
    <w:rsid w:val="00F37BBB"/>
    <w:rsid w:val="00F40714"/>
    <w:rsid w:val="00F40AAA"/>
    <w:rsid w:val="00F40BA7"/>
    <w:rsid w:val="00F426D2"/>
    <w:rsid w:val="00F43216"/>
    <w:rsid w:val="00F44A38"/>
    <w:rsid w:val="00F46CB6"/>
    <w:rsid w:val="00F47DE8"/>
    <w:rsid w:val="00F525EF"/>
    <w:rsid w:val="00F542C1"/>
    <w:rsid w:val="00F55E73"/>
    <w:rsid w:val="00F55EDA"/>
    <w:rsid w:val="00F563B9"/>
    <w:rsid w:val="00F60092"/>
    <w:rsid w:val="00F63D64"/>
    <w:rsid w:val="00F65F4B"/>
    <w:rsid w:val="00F70C9D"/>
    <w:rsid w:val="00F7200F"/>
    <w:rsid w:val="00F7284F"/>
    <w:rsid w:val="00F73109"/>
    <w:rsid w:val="00F74BC0"/>
    <w:rsid w:val="00F74CD9"/>
    <w:rsid w:val="00F74D39"/>
    <w:rsid w:val="00F76727"/>
    <w:rsid w:val="00F80A7B"/>
    <w:rsid w:val="00F80E5D"/>
    <w:rsid w:val="00F81D1D"/>
    <w:rsid w:val="00F83195"/>
    <w:rsid w:val="00F83BFF"/>
    <w:rsid w:val="00F8456F"/>
    <w:rsid w:val="00F851CE"/>
    <w:rsid w:val="00F8520D"/>
    <w:rsid w:val="00F90843"/>
    <w:rsid w:val="00F91219"/>
    <w:rsid w:val="00F93975"/>
    <w:rsid w:val="00F94485"/>
    <w:rsid w:val="00F952AE"/>
    <w:rsid w:val="00F9533C"/>
    <w:rsid w:val="00F971B2"/>
    <w:rsid w:val="00F97A78"/>
    <w:rsid w:val="00FA0B20"/>
    <w:rsid w:val="00FA24E7"/>
    <w:rsid w:val="00FA5571"/>
    <w:rsid w:val="00FB1E88"/>
    <w:rsid w:val="00FB2E91"/>
    <w:rsid w:val="00FB2FCB"/>
    <w:rsid w:val="00FB378F"/>
    <w:rsid w:val="00FB4DE7"/>
    <w:rsid w:val="00FB6807"/>
    <w:rsid w:val="00FC1074"/>
    <w:rsid w:val="00FC1884"/>
    <w:rsid w:val="00FC1E53"/>
    <w:rsid w:val="00FC2640"/>
    <w:rsid w:val="00FC371D"/>
    <w:rsid w:val="00FC3E18"/>
    <w:rsid w:val="00FC45C8"/>
    <w:rsid w:val="00FC5F0B"/>
    <w:rsid w:val="00FC6DDB"/>
    <w:rsid w:val="00FD0851"/>
    <w:rsid w:val="00FD2100"/>
    <w:rsid w:val="00FD2749"/>
    <w:rsid w:val="00FD30F4"/>
    <w:rsid w:val="00FD436C"/>
    <w:rsid w:val="00FD446D"/>
    <w:rsid w:val="00FD5645"/>
    <w:rsid w:val="00FD61F8"/>
    <w:rsid w:val="00FD6394"/>
    <w:rsid w:val="00FD669F"/>
    <w:rsid w:val="00FE0078"/>
    <w:rsid w:val="00FE05A6"/>
    <w:rsid w:val="00FE0E6C"/>
    <w:rsid w:val="00FE0F1D"/>
    <w:rsid w:val="00FE2C40"/>
    <w:rsid w:val="00FE54C5"/>
    <w:rsid w:val="00FE54E4"/>
    <w:rsid w:val="00FE5F8A"/>
    <w:rsid w:val="00FE70C3"/>
    <w:rsid w:val="00FE7111"/>
    <w:rsid w:val="00FE7FEC"/>
    <w:rsid w:val="00FF1D98"/>
    <w:rsid w:val="00FF2BAC"/>
    <w:rsid w:val="00FF3DCF"/>
    <w:rsid w:val="00FF4294"/>
    <w:rsid w:val="00FF492C"/>
    <w:rsid w:val="00FF4A21"/>
    <w:rsid w:val="00FF582C"/>
    <w:rsid w:val="00FF5AA3"/>
    <w:rsid w:val="00FF5AD8"/>
    <w:rsid w:val="00FF6B3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qFormat="1"/>
    <w:lsdException w:name="annotation text" w:uiPriority="99"/>
    <w:lsdException w:name="header" w:uiPriority="99"/>
    <w:lsdException w:name="footer" w:uiPriority="99" w:qFormat="1"/>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5E338B"/>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535DF9"/>
    <w:pPr>
      <w:spacing w:before="120" w:after="160"/>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35DF9"/>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Table Legend"/>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Table Legend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aliases w:val="Page Footer"/>
    <w:basedOn w:val="Normal"/>
    <w:link w:val="FooterChar"/>
    <w:uiPriority w:val="99"/>
    <w:qFormat/>
    <w:rsid w:val="00124A51"/>
    <w:pPr>
      <w:tabs>
        <w:tab w:val="center" w:pos="4513"/>
        <w:tab w:val="right" w:pos="9026"/>
      </w:tabs>
    </w:pPr>
  </w:style>
  <w:style w:type="character" w:customStyle="1" w:styleId="FooterChar">
    <w:name w:val="Footer Char"/>
    <w:aliases w:val="Page 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4"/>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numPr>
        <w:numId w:val="3"/>
      </w:numPr>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normal0">
    <w:name w:val="Table normal"/>
    <w:basedOn w:val="Normal"/>
    <w:link w:val="TablenormalChar"/>
    <w:qFormat/>
    <w:rsid w:val="00E05041"/>
    <w:pPr>
      <w:keepLines/>
      <w:spacing w:before="60" w:after="60"/>
      <w:jc w:val="left"/>
    </w:pPr>
    <w:rPr>
      <w:rFonts w:ascii="Arial" w:hAnsi="Arial" w:cs="Times New Roman"/>
      <w:snapToGrid/>
      <w:sz w:val="18"/>
      <w:szCs w:val="24"/>
      <w:lang w:val="en-US"/>
    </w:rPr>
  </w:style>
  <w:style w:type="character" w:customStyle="1" w:styleId="TablenormalChar">
    <w:name w:val="Table normal Char"/>
    <w:link w:val="Tablenormal0"/>
    <w:rsid w:val="00E05041"/>
    <w:rPr>
      <w:rFonts w:ascii="Arial" w:hAnsi="Arial"/>
      <w:sz w:val="18"/>
      <w:szCs w:val="24"/>
      <w:lang w:val="en-US" w:eastAsia="en-US"/>
    </w:rPr>
  </w:style>
  <w:style w:type="paragraph" w:customStyle="1" w:styleId="Bullet">
    <w:name w:val="Bullet"/>
    <w:basedOn w:val="Normal"/>
    <w:rsid w:val="0086306B"/>
    <w:pPr>
      <w:widowControl/>
      <w:numPr>
        <w:numId w:val="8"/>
      </w:numPr>
      <w:suppressAutoHyphens/>
      <w:spacing w:before="60" w:after="60" w:line="320" w:lineRule="exact"/>
      <w:jc w:val="left"/>
    </w:pPr>
    <w:rPr>
      <w:rFonts w:asciiTheme="minorHAnsi" w:eastAsiaTheme="minorEastAsia" w:hAnsiTheme="minorHAnsi" w:cs="Times New Roman"/>
      <w:snapToGrid/>
      <w:sz w:val="22"/>
      <w:szCs w:val="20"/>
      <w:lang w:val="en-GB"/>
    </w:rPr>
  </w:style>
  <w:style w:type="paragraph" w:styleId="FootnoteText">
    <w:name w:val="footnote text"/>
    <w:basedOn w:val="Normal"/>
    <w:link w:val="FootnoteTextChar"/>
    <w:semiHidden/>
    <w:unhideWhenUsed/>
    <w:rsid w:val="00115774"/>
    <w:rPr>
      <w:sz w:val="20"/>
      <w:szCs w:val="20"/>
    </w:rPr>
  </w:style>
  <w:style w:type="character" w:customStyle="1" w:styleId="FootnoteTextChar">
    <w:name w:val="Footnote Text Char"/>
    <w:basedOn w:val="DefaultParagraphFont"/>
    <w:link w:val="FootnoteText"/>
    <w:semiHidden/>
    <w:rsid w:val="00115774"/>
    <w:rPr>
      <w:rFonts w:ascii="Calibri" w:hAnsi="Calibri" w:cs="Arial"/>
      <w:snapToGrid w:val="0"/>
      <w:lang w:eastAsia="en-US"/>
    </w:rPr>
  </w:style>
  <w:style w:type="character" w:styleId="FootnoteReference">
    <w:name w:val="footnote reference"/>
    <w:basedOn w:val="DefaultParagraphFont"/>
    <w:semiHidden/>
    <w:unhideWhenUsed/>
    <w:rsid w:val="00115774"/>
    <w:rPr>
      <w:vertAlign w:val="superscript"/>
    </w:rPr>
  </w:style>
  <w:style w:type="paragraph" w:customStyle="1" w:styleId="Tablenotes">
    <w:name w:val="Table notes"/>
    <w:basedOn w:val="Normal"/>
    <w:qFormat/>
    <w:rsid w:val="00471BD0"/>
    <w:pPr>
      <w:widowControl/>
      <w:spacing w:before="40" w:after="360"/>
      <w:contextualSpacing/>
      <w:jc w:val="left"/>
    </w:pPr>
    <w:rPr>
      <w:rFonts w:ascii="Arial Narrow" w:hAnsi="Arial Narrow" w:cs="Times New Roman"/>
      <w:snapToGrid/>
      <w:sz w:val="16"/>
    </w:rPr>
  </w:style>
  <w:style w:type="paragraph" w:customStyle="1" w:styleId="TableNotes1">
    <w:name w:val="Table Notes"/>
    <w:basedOn w:val="Normal"/>
    <w:next w:val="Normal"/>
    <w:link w:val="TableNotesChar"/>
    <w:qFormat/>
    <w:rsid w:val="00FC6DDB"/>
    <w:pPr>
      <w:keepNext/>
      <w:keepLines/>
      <w:widowControl/>
      <w:spacing w:before="60" w:after="240"/>
      <w:contextualSpacing/>
      <w:jc w:val="left"/>
    </w:pPr>
    <w:rPr>
      <w:rFonts w:ascii="Arial" w:hAnsi="Arial" w:cs="Times New Roman"/>
      <w:snapToGrid/>
      <w:sz w:val="16"/>
      <w:szCs w:val="16"/>
      <w:lang w:eastAsia="en-AU"/>
    </w:rPr>
  </w:style>
  <w:style w:type="character" w:customStyle="1" w:styleId="TableNotesChar">
    <w:name w:val="Table Notes Char"/>
    <w:link w:val="TableNotes1"/>
    <w:rsid w:val="00FC6DDB"/>
    <w:rPr>
      <w:rFonts w:ascii="Arial" w:hAnsi="Arial"/>
      <w:sz w:val="16"/>
      <w:szCs w:val="16"/>
    </w:rPr>
  </w:style>
  <w:style w:type="paragraph" w:customStyle="1" w:styleId="TableFooter0">
    <w:name w:val="TableFooter"/>
    <w:basedOn w:val="Normal"/>
    <w:link w:val="TableFooterChar0"/>
    <w:qFormat/>
    <w:rsid w:val="00EA772C"/>
    <w:pPr>
      <w:widowControl/>
      <w:spacing w:after="120"/>
      <w:jc w:val="left"/>
    </w:pPr>
    <w:rPr>
      <w:rFonts w:ascii="Arial" w:eastAsia="MS Mincho" w:hAnsi="Arial" w:cstheme="minorBidi"/>
      <w:snapToGrid/>
      <w:sz w:val="16"/>
    </w:rPr>
  </w:style>
  <w:style w:type="character" w:customStyle="1" w:styleId="TableFooterChar0">
    <w:name w:val="TableFooter Char"/>
    <w:basedOn w:val="DefaultParagraphFont"/>
    <w:link w:val="TableFooter0"/>
    <w:rsid w:val="00EA772C"/>
    <w:rPr>
      <w:rFonts w:ascii="Arial" w:eastAsia="MS Mincho" w:hAnsi="Arial" w:cstheme="minorBidi"/>
      <w:sz w:val="16"/>
      <w:szCs w:val="22"/>
      <w:lang w:eastAsia="en-US"/>
    </w:rPr>
  </w:style>
  <w:style w:type="table" w:customStyle="1" w:styleId="TableGrid1">
    <w:name w:val="Table Grid1"/>
    <w:basedOn w:val="TableNormal"/>
    <w:next w:val="TableGrid"/>
    <w:uiPriority w:val="59"/>
    <w:rsid w:val="007635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F0301"/>
    <w:pPr>
      <w:autoSpaceDE w:val="0"/>
      <w:autoSpaceDN w:val="0"/>
      <w:adjustRightInd w:val="0"/>
    </w:pPr>
    <w:rPr>
      <w:color w:val="000000"/>
      <w:sz w:val="24"/>
      <w:szCs w:val="24"/>
    </w:rPr>
  </w:style>
  <w:style w:type="paragraph" w:customStyle="1" w:styleId="COMtbl-HEADLeftAligned">
    <w:name w:val="COMtbl-HEAD Left Aligned"/>
    <w:basedOn w:val="Normal"/>
    <w:qFormat/>
    <w:rsid w:val="003A7292"/>
    <w:pPr>
      <w:tabs>
        <w:tab w:val="left" w:pos="720"/>
      </w:tabs>
      <w:jc w:val="left"/>
    </w:pPr>
    <w:rPr>
      <w:rFonts w:ascii="Arial Narrow" w:hAnsi="Arial Narrow"/>
      <w:b/>
      <w:sz w:val="20"/>
      <w:szCs w:val="20"/>
    </w:rPr>
  </w:style>
  <w:style w:type="paragraph" w:customStyle="1" w:styleId="COMtbl-HEADCentred">
    <w:name w:val="COMtbl-HEAD Centred"/>
    <w:basedOn w:val="COMtbl-HEADLeftAligned"/>
    <w:qFormat/>
    <w:rsid w:val="003A7292"/>
    <w:pPr>
      <w:jc w:val="center"/>
    </w:pPr>
  </w:style>
  <w:style w:type="paragraph" w:customStyle="1" w:styleId="COMTbl-foot">
    <w:name w:val="COMTbl-foot"/>
    <w:basedOn w:val="Normal"/>
    <w:link w:val="COMTbl-footChar"/>
    <w:qFormat/>
    <w:rsid w:val="003A7292"/>
    <w:rPr>
      <w:rFonts w:ascii="Arial" w:hAnsi="Arial"/>
      <w:sz w:val="18"/>
      <w:szCs w:val="20"/>
    </w:rPr>
  </w:style>
  <w:style w:type="character" w:customStyle="1" w:styleId="COMTbl-footChar">
    <w:name w:val="COMTbl-foot Char"/>
    <w:basedOn w:val="DefaultParagraphFont"/>
    <w:link w:val="COMTbl-foot"/>
    <w:rsid w:val="003A7292"/>
    <w:rPr>
      <w:rFonts w:ascii="Arial" w:hAnsi="Arial" w:cs="Arial"/>
      <w:snapToGrid w:val="0"/>
      <w:sz w:val="18"/>
      <w:lang w:eastAsia="en-US"/>
    </w:rPr>
  </w:style>
  <w:style w:type="paragraph" w:customStyle="1" w:styleId="COMtbl-textLeftAligned">
    <w:name w:val="COMtbl-text Left Aligned"/>
    <w:basedOn w:val="COMtbl-HEADLeftAligned"/>
    <w:qFormat/>
    <w:rsid w:val="003A7292"/>
    <w:rPr>
      <w:b w:val="0"/>
    </w:rPr>
  </w:style>
  <w:style w:type="paragraph" w:customStyle="1" w:styleId="COMtbl-textCentred">
    <w:name w:val="COMtbl-text Centred"/>
    <w:basedOn w:val="COMtbl-HEADCentred"/>
    <w:qFormat/>
    <w:rsid w:val="003A7292"/>
    <w:rPr>
      <w:b w:val="0"/>
    </w:rPr>
  </w:style>
  <w:style w:type="paragraph" w:customStyle="1" w:styleId="TableText0">
    <w:name w:val="Table Text"/>
    <w:basedOn w:val="Normal"/>
    <w:link w:val="TableTextChar0"/>
    <w:qFormat/>
    <w:rsid w:val="002F5358"/>
    <w:pPr>
      <w:keepNext/>
      <w:widowControl/>
      <w:spacing w:before="40" w:after="40"/>
      <w:jc w:val="left"/>
    </w:pPr>
    <w:rPr>
      <w:rFonts w:ascii="Arial Narrow" w:eastAsiaTheme="minorHAnsi" w:hAnsi="Arial Narrow" w:cstheme="minorBidi"/>
      <w:snapToGrid/>
      <w:sz w:val="20"/>
    </w:rPr>
  </w:style>
  <w:style w:type="paragraph" w:customStyle="1" w:styleId="TableHeading0">
    <w:name w:val="Table Heading"/>
    <w:basedOn w:val="Normal"/>
    <w:qFormat/>
    <w:rsid w:val="002F5358"/>
    <w:pPr>
      <w:keepNext/>
      <w:widowControl/>
      <w:spacing w:after="60"/>
      <w:jc w:val="left"/>
    </w:pPr>
    <w:rPr>
      <w:rFonts w:ascii="Arial Narrow" w:eastAsiaTheme="minorHAnsi" w:hAnsi="Arial Narrow" w:cstheme="minorBidi"/>
      <w:b/>
      <w:snapToGrid/>
      <w:sz w:val="20"/>
    </w:rPr>
  </w:style>
  <w:style w:type="character" w:customStyle="1" w:styleId="TableTextChar0">
    <w:name w:val="Table Text Char"/>
    <w:link w:val="TableText0"/>
    <w:locked/>
    <w:rsid w:val="002F5358"/>
    <w:rPr>
      <w:rFonts w:ascii="Arial Narrow" w:eastAsiaTheme="minorHAnsi" w:hAnsi="Arial Narrow" w:cstheme="minorBidi"/>
      <w:szCs w:val="22"/>
      <w:lang w:eastAsia="en-US"/>
    </w:rPr>
  </w:style>
  <w:style w:type="table" w:customStyle="1" w:styleId="TableGrid21">
    <w:name w:val="Table Grid21"/>
    <w:basedOn w:val="TableNormal"/>
    <w:next w:val="TableGrid"/>
    <w:rsid w:val="00861213"/>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4C6993"/>
    <w:pPr>
      <w:widowControl/>
      <w:spacing w:after="160" w:line="240" w:lineRule="exact"/>
      <w:jc w:val="left"/>
    </w:pPr>
    <w:rPr>
      <w:rFonts w:ascii="Verdana" w:eastAsia="MS Mincho" w:hAnsi="Verdana" w:cs="Verdana"/>
      <w:snapToGrid/>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qFormat="1"/>
    <w:lsdException w:name="annotation text" w:uiPriority="99"/>
    <w:lsdException w:name="header" w:uiPriority="99"/>
    <w:lsdException w:name="footer" w:uiPriority="99" w:qFormat="1"/>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5E338B"/>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535DF9"/>
    <w:pPr>
      <w:spacing w:before="120" w:after="160"/>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35DF9"/>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Table Legend"/>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Table Legend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aliases w:val="Page Footer"/>
    <w:basedOn w:val="Normal"/>
    <w:link w:val="FooterChar"/>
    <w:uiPriority w:val="99"/>
    <w:qFormat/>
    <w:rsid w:val="00124A51"/>
    <w:pPr>
      <w:tabs>
        <w:tab w:val="center" w:pos="4513"/>
        <w:tab w:val="right" w:pos="9026"/>
      </w:tabs>
    </w:pPr>
  </w:style>
  <w:style w:type="character" w:customStyle="1" w:styleId="FooterChar">
    <w:name w:val="Footer Char"/>
    <w:aliases w:val="Page 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4"/>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numPr>
        <w:numId w:val="3"/>
      </w:numPr>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normal0">
    <w:name w:val="Table normal"/>
    <w:basedOn w:val="Normal"/>
    <w:link w:val="TablenormalChar"/>
    <w:qFormat/>
    <w:rsid w:val="00E05041"/>
    <w:pPr>
      <w:keepLines/>
      <w:spacing w:before="60" w:after="60"/>
      <w:jc w:val="left"/>
    </w:pPr>
    <w:rPr>
      <w:rFonts w:ascii="Arial" w:hAnsi="Arial" w:cs="Times New Roman"/>
      <w:snapToGrid/>
      <w:sz w:val="18"/>
      <w:szCs w:val="24"/>
      <w:lang w:val="en-US"/>
    </w:rPr>
  </w:style>
  <w:style w:type="character" w:customStyle="1" w:styleId="TablenormalChar">
    <w:name w:val="Table normal Char"/>
    <w:link w:val="Tablenormal0"/>
    <w:rsid w:val="00E05041"/>
    <w:rPr>
      <w:rFonts w:ascii="Arial" w:hAnsi="Arial"/>
      <w:sz w:val="18"/>
      <w:szCs w:val="24"/>
      <w:lang w:val="en-US" w:eastAsia="en-US"/>
    </w:rPr>
  </w:style>
  <w:style w:type="paragraph" w:customStyle="1" w:styleId="Bullet">
    <w:name w:val="Bullet"/>
    <w:basedOn w:val="Normal"/>
    <w:rsid w:val="0086306B"/>
    <w:pPr>
      <w:widowControl/>
      <w:numPr>
        <w:numId w:val="8"/>
      </w:numPr>
      <w:suppressAutoHyphens/>
      <w:spacing w:before="60" w:after="60" w:line="320" w:lineRule="exact"/>
      <w:jc w:val="left"/>
    </w:pPr>
    <w:rPr>
      <w:rFonts w:asciiTheme="minorHAnsi" w:eastAsiaTheme="minorEastAsia" w:hAnsiTheme="minorHAnsi" w:cs="Times New Roman"/>
      <w:snapToGrid/>
      <w:sz w:val="22"/>
      <w:szCs w:val="20"/>
      <w:lang w:val="en-GB"/>
    </w:rPr>
  </w:style>
  <w:style w:type="paragraph" w:styleId="FootnoteText">
    <w:name w:val="footnote text"/>
    <w:basedOn w:val="Normal"/>
    <w:link w:val="FootnoteTextChar"/>
    <w:semiHidden/>
    <w:unhideWhenUsed/>
    <w:rsid w:val="00115774"/>
    <w:rPr>
      <w:sz w:val="20"/>
      <w:szCs w:val="20"/>
    </w:rPr>
  </w:style>
  <w:style w:type="character" w:customStyle="1" w:styleId="FootnoteTextChar">
    <w:name w:val="Footnote Text Char"/>
    <w:basedOn w:val="DefaultParagraphFont"/>
    <w:link w:val="FootnoteText"/>
    <w:semiHidden/>
    <w:rsid w:val="00115774"/>
    <w:rPr>
      <w:rFonts w:ascii="Calibri" w:hAnsi="Calibri" w:cs="Arial"/>
      <w:snapToGrid w:val="0"/>
      <w:lang w:eastAsia="en-US"/>
    </w:rPr>
  </w:style>
  <w:style w:type="character" w:styleId="FootnoteReference">
    <w:name w:val="footnote reference"/>
    <w:basedOn w:val="DefaultParagraphFont"/>
    <w:semiHidden/>
    <w:unhideWhenUsed/>
    <w:rsid w:val="00115774"/>
    <w:rPr>
      <w:vertAlign w:val="superscript"/>
    </w:rPr>
  </w:style>
  <w:style w:type="paragraph" w:customStyle="1" w:styleId="Tablenotes">
    <w:name w:val="Table notes"/>
    <w:basedOn w:val="Normal"/>
    <w:qFormat/>
    <w:rsid w:val="00471BD0"/>
    <w:pPr>
      <w:widowControl/>
      <w:spacing w:before="40" w:after="360"/>
      <w:contextualSpacing/>
      <w:jc w:val="left"/>
    </w:pPr>
    <w:rPr>
      <w:rFonts w:ascii="Arial Narrow" w:hAnsi="Arial Narrow" w:cs="Times New Roman"/>
      <w:snapToGrid/>
      <w:sz w:val="16"/>
    </w:rPr>
  </w:style>
  <w:style w:type="paragraph" w:customStyle="1" w:styleId="TableNotes1">
    <w:name w:val="Table Notes"/>
    <w:basedOn w:val="Normal"/>
    <w:next w:val="Normal"/>
    <w:link w:val="TableNotesChar"/>
    <w:qFormat/>
    <w:rsid w:val="00FC6DDB"/>
    <w:pPr>
      <w:keepNext/>
      <w:keepLines/>
      <w:widowControl/>
      <w:spacing w:before="60" w:after="240"/>
      <w:contextualSpacing/>
      <w:jc w:val="left"/>
    </w:pPr>
    <w:rPr>
      <w:rFonts w:ascii="Arial" w:hAnsi="Arial" w:cs="Times New Roman"/>
      <w:snapToGrid/>
      <w:sz w:val="16"/>
      <w:szCs w:val="16"/>
      <w:lang w:eastAsia="en-AU"/>
    </w:rPr>
  </w:style>
  <w:style w:type="character" w:customStyle="1" w:styleId="TableNotesChar">
    <w:name w:val="Table Notes Char"/>
    <w:link w:val="TableNotes1"/>
    <w:rsid w:val="00FC6DDB"/>
    <w:rPr>
      <w:rFonts w:ascii="Arial" w:hAnsi="Arial"/>
      <w:sz w:val="16"/>
      <w:szCs w:val="16"/>
    </w:rPr>
  </w:style>
  <w:style w:type="paragraph" w:customStyle="1" w:styleId="TableFooter0">
    <w:name w:val="TableFooter"/>
    <w:basedOn w:val="Normal"/>
    <w:link w:val="TableFooterChar0"/>
    <w:qFormat/>
    <w:rsid w:val="00EA772C"/>
    <w:pPr>
      <w:widowControl/>
      <w:spacing w:after="120"/>
      <w:jc w:val="left"/>
    </w:pPr>
    <w:rPr>
      <w:rFonts w:ascii="Arial" w:eastAsia="MS Mincho" w:hAnsi="Arial" w:cstheme="minorBidi"/>
      <w:snapToGrid/>
      <w:sz w:val="16"/>
    </w:rPr>
  </w:style>
  <w:style w:type="character" w:customStyle="1" w:styleId="TableFooterChar0">
    <w:name w:val="TableFooter Char"/>
    <w:basedOn w:val="DefaultParagraphFont"/>
    <w:link w:val="TableFooter0"/>
    <w:rsid w:val="00EA772C"/>
    <w:rPr>
      <w:rFonts w:ascii="Arial" w:eastAsia="MS Mincho" w:hAnsi="Arial" w:cstheme="minorBidi"/>
      <w:sz w:val="16"/>
      <w:szCs w:val="22"/>
      <w:lang w:eastAsia="en-US"/>
    </w:rPr>
  </w:style>
  <w:style w:type="table" w:customStyle="1" w:styleId="TableGrid1">
    <w:name w:val="Table Grid1"/>
    <w:basedOn w:val="TableNormal"/>
    <w:next w:val="TableGrid"/>
    <w:uiPriority w:val="59"/>
    <w:rsid w:val="007635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F0301"/>
    <w:pPr>
      <w:autoSpaceDE w:val="0"/>
      <w:autoSpaceDN w:val="0"/>
      <w:adjustRightInd w:val="0"/>
    </w:pPr>
    <w:rPr>
      <w:color w:val="000000"/>
      <w:sz w:val="24"/>
      <w:szCs w:val="24"/>
    </w:rPr>
  </w:style>
  <w:style w:type="paragraph" w:customStyle="1" w:styleId="COMtbl-HEADLeftAligned">
    <w:name w:val="COMtbl-HEAD Left Aligned"/>
    <w:basedOn w:val="Normal"/>
    <w:qFormat/>
    <w:rsid w:val="003A7292"/>
    <w:pPr>
      <w:tabs>
        <w:tab w:val="left" w:pos="720"/>
      </w:tabs>
      <w:jc w:val="left"/>
    </w:pPr>
    <w:rPr>
      <w:rFonts w:ascii="Arial Narrow" w:hAnsi="Arial Narrow"/>
      <w:b/>
      <w:sz w:val="20"/>
      <w:szCs w:val="20"/>
    </w:rPr>
  </w:style>
  <w:style w:type="paragraph" w:customStyle="1" w:styleId="COMtbl-HEADCentred">
    <w:name w:val="COMtbl-HEAD Centred"/>
    <w:basedOn w:val="COMtbl-HEADLeftAligned"/>
    <w:qFormat/>
    <w:rsid w:val="003A7292"/>
    <w:pPr>
      <w:jc w:val="center"/>
    </w:pPr>
  </w:style>
  <w:style w:type="paragraph" w:customStyle="1" w:styleId="COMTbl-foot">
    <w:name w:val="COMTbl-foot"/>
    <w:basedOn w:val="Normal"/>
    <w:link w:val="COMTbl-footChar"/>
    <w:qFormat/>
    <w:rsid w:val="003A7292"/>
    <w:rPr>
      <w:rFonts w:ascii="Arial" w:hAnsi="Arial"/>
      <w:sz w:val="18"/>
      <w:szCs w:val="20"/>
    </w:rPr>
  </w:style>
  <w:style w:type="character" w:customStyle="1" w:styleId="COMTbl-footChar">
    <w:name w:val="COMTbl-foot Char"/>
    <w:basedOn w:val="DefaultParagraphFont"/>
    <w:link w:val="COMTbl-foot"/>
    <w:rsid w:val="003A7292"/>
    <w:rPr>
      <w:rFonts w:ascii="Arial" w:hAnsi="Arial" w:cs="Arial"/>
      <w:snapToGrid w:val="0"/>
      <w:sz w:val="18"/>
      <w:lang w:eastAsia="en-US"/>
    </w:rPr>
  </w:style>
  <w:style w:type="paragraph" w:customStyle="1" w:styleId="COMtbl-textLeftAligned">
    <w:name w:val="COMtbl-text Left Aligned"/>
    <w:basedOn w:val="COMtbl-HEADLeftAligned"/>
    <w:qFormat/>
    <w:rsid w:val="003A7292"/>
    <w:rPr>
      <w:b w:val="0"/>
    </w:rPr>
  </w:style>
  <w:style w:type="paragraph" w:customStyle="1" w:styleId="COMtbl-textCentred">
    <w:name w:val="COMtbl-text Centred"/>
    <w:basedOn w:val="COMtbl-HEADCentred"/>
    <w:qFormat/>
    <w:rsid w:val="003A7292"/>
    <w:rPr>
      <w:b w:val="0"/>
    </w:rPr>
  </w:style>
  <w:style w:type="paragraph" w:customStyle="1" w:styleId="TableText0">
    <w:name w:val="Table Text"/>
    <w:basedOn w:val="Normal"/>
    <w:link w:val="TableTextChar0"/>
    <w:qFormat/>
    <w:rsid w:val="002F5358"/>
    <w:pPr>
      <w:keepNext/>
      <w:widowControl/>
      <w:spacing w:before="40" w:after="40"/>
      <w:jc w:val="left"/>
    </w:pPr>
    <w:rPr>
      <w:rFonts w:ascii="Arial Narrow" w:eastAsiaTheme="minorHAnsi" w:hAnsi="Arial Narrow" w:cstheme="minorBidi"/>
      <w:snapToGrid/>
      <w:sz w:val="20"/>
    </w:rPr>
  </w:style>
  <w:style w:type="paragraph" w:customStyle="1" w:styleId="TableHeading0">
    <w:name w:val="Table Heading"/>
    <w:basedOn w:val="Normal"/>
    <w:qFormat/>
    <w:rsid w:val="002F5358"/>
    <w:pPr>
      <w:keepNext/>
      <w:widowControl/>
      <w:spacing w:after="60"/>
      <w:jc w:val="left"/>
    </w:pPr>
    <w:rPr>
      <w:rFonts w:ascii="Arial Narrow" w:eastAsiaTheme="minorHAnsi" w:hAnsi="Arial Narrow" w:cstheme="minorBidi"/>
      <w:b/>
      <w:snapToGrid/>
      <w:sz w:val="20"/>
    </w:rPr>
  </w:style>
  <w:style w:type="character" w:customStyle="1" w:styleId="TableTextChar0">
    <w:name w:val="Table Text Char"/>
    <w:link w:val="TableText0"/>
    <w:locked/>
    <w:rsid w:val="002F5358"/>
    <w:rPr>
      <w:rFonts w:ascii="Arial Narrow" w:eastAsiaTheme="minorHAnsi" w:hAnsi="Arial Narrow" w:cstheme="minorBidi"/>
      <w:szCs w:val="22"/>
      <w:lang w:eastAsia="en-US"/>
    </w:rPr>
  </w:style>
  <w:style w:type="table" w:customStyle="1" w:styleId="TableGrid21">
    <w:name w:val="Table Grid21"/>
    <w:basedOn w:val="TableNormal"/>
    <w:next w:val="TableGrid"/>
    <w:rsid w:val="00861213"/>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4C6993"/>
    <w:pPr>
      <w:widowControl/>
      <w:spacing w:after="160" w:line="240" w:lineRule="exact"/>
      <w:jc w:val="left"/>
    </w:pPr>
    <w:rPr>
      <w:rFonts w:ascii="Verdana" w:eastAsia="MS Mincho" w:hAnsi="Verdana" w:cs="Verdana"/>
      <w:snapToGrid/>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958224">
      <w:bodyDiv w:val="1"/>
      <w:marLeft w:val="0"/>
      <w:marRight w:val="0"/>
      <w:marTop w:val="0"/>
      <w:marBottom w:val="0"/>
      <w:divBdr>
        <w:top w:val="none" w:sz="0" w:space="0" w:color="auto"/>
        <w:left w:val="none" w:sz="0" w:space="0" w:color="auto"/>
        <w:bottom w:val="none" w:sz="0" w:space="0" w:color="auto"/>
        <w:right w:val="none" w:sz="0" w:space="0" w:color="auto"/>
      </w:divBdr>
    </w:div>
    <w:div w:id="249045310">
      <w:bodyDiv w:val="1"/>
      <w:marLeft w:val="0"/>
      <w:marRight w:val="0"/>
      <w:marTop w:val="0"/>
      <w:marBottom w:val="0"/>
      <w:divBdr>
        <w:top w:val="none" w:sz="0" w:space="0" w:color="auto"/>
        <w:left w:val="none" w:sz="0" w:space="0" w:color="auto"/>
        <w:bottom w:val="none" w:sz="0" w:space="0" w:color="auto"/>
        <w:right w:val="none" w:sz="0" w:space="0" w:color="auto"/>
      </w:divBdr>
    </w:div>
    <w:div w:id="249698943">
      <w:bodyDiv w:val="1"/>
      <w:marLeft w:val="0"/>
      <w:marRight w:val="0"/>
      <w:marTop w:val="0"/>
      <w:marBottom w:val="0"/>
      <w:divBdr>
        <w:top w:val="none" w:sz="0" w:space="0" w:color="auto"/>
        <w:left w:val="none" w:sz="0" w:space="0" w:color="auto"/>
        <w:bottom w:val="none" w:sz="0" w:space="0" w:color="auto"/>
        <w:right w:val="none" w:sz="0" w:space="0" w:color="auto"/>
      </w:divBdr>
    </w:div>
    <w:div w:id="406997038">
      <w:bodyDiv w:val="1"/>
      <w:marLeft w:val="0"/>
      <w:marRight w:val="0"/>
      <w:marTop w:val="0"/>
      <w:marBottom w:val="0"/>
      <w:divBdr>
        <w:top w:val="none" w:sz="0" w:space="0" w:color="auto"/>
        <w:left w:val="none" w:sz="0" w:space="0" w:color="auto"/>
        <w:bottom w:val="none" w:sz="0" w:space="0" w:color="auto"/>
        <w:right w:val="none" w:sz="0" w:space="0" w:color="auto"/>
      </w:divBdr>
    </w:div>
    <w:div w:id="569272564">
      <w:bodyDiv w:val="1"/>
      <w:marLeft w:val="0"/>
      <w:marRight w:val="0"/>
      <w:marTop w:val="0"/>
      <w:marBottom w:val="0"/>
      <w:divBdr>
        <w:top w:val="none" w:sz="0" w:space="0" w:color="auto"/>
        <w:left w:val="none" w:sz="0" w:space="0" w:color="auto"/>
        <w:bottom w:val="none" w:sz="0" w:space="0" w:color="auto"/>
        <w:right w:val="none" w:sz="0" w:space="0" w:color="auto"/>
      </w:divBdr>
    </w:div>
    <w:div w:id="617179725">
      <w:bodyDiv w:val="1"/>
      <w:marLeft w:val="0"/>
      <w:marRight w:val="0"/>
      <w:marTop w:val="0"/>
      <w:marBottom w:val="0"/>
      <w:divBdr>
        <w:top w:val="none" w:sz="0" w:space="0" w:color="auto"/>
        <w:left w:val="none" w:sz="0" w:space="0" w:color="auto"/>
        <w:bottom w:val="none" w:sz="0" w:space="0" w:color="auto"/>
        <w:right w:val="none" w:sz="0" w:space="0" w:color="auto"/>
      </w:divBdr>
      <w:divsChild>
        <w:div w:id="380061185">
          <w:marLeft w:val="446"/>
          <w:marRight w:val="0"/>
          <w:marTop w:val="0"/>
          <w:marBottom w:val="0"/>
          <w:divBdr>
            <w:top w:val="none" w:sz="0" w:space="0" w:color="auto"/>
            <w:left w:val="none" w:sz="0" w:space="0" w:color="auto"/>
            <w:bottom w:val="none" w:sz="0" w:space="0" w:color="auto"/>
            <w:right w:val="none" w:sz="0" w:space="0" w:color="auto"/>
          </w:divBdr>
        </w:div>
      </w:divsChild>
    </w:div>
    <w:div w:id="690961155">
      <w:bodyDiv w:val="1"/>
      <w:marLeft w:val="0"/>
      <w:marRight w:val="0"/>
      <w:marTop w:val="0"/>
      <w:marBottom w:val="0"/>
      <w:divBdr>
        <w:top w:val="none" w:sz="0" w:space="0" w:color="auto"/>
        <w:left w:val="none" w:sz="0" w:space="0" w:color="auto"/>
        <w:bottom w:val="none" w:sz="0" w:space="0" w:color="auto"/>
        <w:right w:val="none" w:sz="0" w:space="0" w:color="auto"/>
      </w:divBdr>
    </w:div>
    <w:div w:id="941036601">
      <w:bodyDiv w:val="1"/>
      <w:marLeft w:val="0"/>
      <w:marRight w:val="0"/>
      <w:marTop w:val="0"/>
      <w:marBottom w:val="0"/>
      <w:divBdr>
        <w:top w:val="none" w:sz="0" w:space="0" w:color="auto"/>
        <w:left w:val="none" w:sz="0" w:space="0" w:color="auto"/>
        <w:bottom w:val="none" w:sz="0" w:space="0" w:color="auto"/>
        <w:right w:val="none" w:sz="0" w:space="0" w:color="auto"/>
      </w:divBdr>
    </w:div>
    <w:div w:id="991955486">
      <w:bodyDiv w:val="1"/>
      <w:marLeft w:val="0"/>
      <w:marRight w:val="0"/>
      <w:marTop w:val="0"/>
      <w:marBottom w:val="0"/>
      <w:divBdr>
        <w:top w:val="none" w:sz="0" w:space="0" w:color="auto"/>
        <w:left w:val="none" w:sz="0" w:space="0" w:color="auto"/>
        <w:bottom w:val="none" w:sz="0" w:space="0" w:color="auto"/>
        <w:right w:val="none" w:sz="0" w:space="0" w:color="auto"/>
      </w:divBdr>
      <w:divsChild>
        <w:div w:id="1153761952">
          <w:marLeft w:val="360"/>
          <w:marRight w:val="0"/>
          <w:marTop w:val="200"/>
          <w:marBottom w:val="0"/>
          <w:divBdr>
            <w:top w:val="none" w:sz="0" w:space="0" w:color="auto"/>
            <w:left w:val="none" w:sz="0" w:space="0" w:color="auto"/>
            <w:bottom w:val="none" w:sz="0" w:space="0" w:color="auto"/>
            <w:right w:val="none" w:sz="0" w:space="0" w:color="auto"/>
          </w:divBdr>
        </w:div>
      </w:divsChild>
    </w:div>
    <w:div w:id="1038823526">
      <w:bodyDiv w:val="1"/>
      <w:marLeft w:val="0"/>
      <w:marRight w:val="0"/>
      <w:marTop w:val="0"/>
      <w:marBottom w:val="0"/>
      <w:divBdr>
        <w:top w:val="none" w:sz="0" w:space="0" w:color="auto"/>
        <w:left w:val="none" w:sz="0" w:space="0" w:color="auto"/>
        <w:bottom w:val="none" w:sz="0" w:space="0" w:color="auto"/>
        <w:right w:val="none" w:sz="0" w:space="0" w:color="auto"/>
      </w:divBdr>
    </w:div>
    <w:div w:id="1096947763">
      <w:bodyDiv w:val="1"/>
      <w:marLeft w:val="0"/>
      <w:marRight w:val="0"/>
      <w:marTop w:val="0"/>
      <w:marBottom w:val="0"/>
      <w:divBdr>
        <w:top w:val="none" w:sz="0" w:space="0" w:color="auto"/>
        <w:left w:val="none" w:sz="0" w:space="0" w:color="auto"/>
        <w:bottom w:val="none" w:sz="0" w:space="0" w:color="auto"/>
        <w:right w:val="none" w:sz="0" w:space="0" w:color="auto"/>
      </w:divBdr>
    </w:div>
    <w:div w:id="1139306158">
      <w:bodyDiv w:val="1"/>
      <w:marLeft w:val="0"/>
      <w:marRight w:val="0"/>
      <w:marTop w:val="0"/>
      <w:marBottom w:val="0"/>
      <w:divBdr>
        <w:top w:val="none" w:sz="0" w:space="0" w:color="auto"/>
        <w:left w:val="none" w:sz="0" w:space="0" w:color="auto"/>
        <w:bottom w:val="none" w:sz="0" w:space="0" w:color="auto"/>
        <w:right w:val="none" w:sz="0" w:space="0" w:color="auto"/>
      </w:divBdr>
    </w:div>
    <w:div w:id="1170371910">
      <w:bodyDiv w:val="1"/>
      <w:marLeft w:val="0"/>
      <w:marRight w:val="0"/>
      <w:marTop w:val="0"/>
      <w:marBottom w:val="0"/>
      <w:divBdr>
        <w:top w:val="none" w:sz="0" w:space="0" w:color="auto"/>
        <w:left w:val="none" w:sz="0" w:space="0" w:color="auto"/>
        <w:bottom w:val="none" w:sz="0" w:space="0" w:color="auto"/>
        <w:right w:val="none" w:sz="0" w:space="0" w:color="auto"/>
      </w:divBdr>
    </w:div>
    <w:div w:id="1449853464">
      <w:bodyDiv w:val="1"/>
      <w:marLeft w:val="0"/>
      <w:marRight w:val="0"/>
      <w:marTop w:val="0"/>
      <w:marBottom w:val="0"/>
      <w:divBdr>
        <w:top w:val="none" w:sz="0" w:space="0" w:color="auto"/>
        <w:left w:val="none" w:sz="0" w:space="0" w:color="auto"/>
        <w:bottom w:val="none" w:sz="0" w:space="0" w:color="auto"/>
        <w:right w:val="none" w:sz="0" w:space="0" w:color="auto"/>
      </w:divBdr>
      <w:divsChild>
        <w:div w:id="2052146673">
          <w:marLeft w:val="1080"/>
          <w:marRight w:val="0"/>
          <w:marTop w:val="100"/>
          <w:marBottom w:val="0"/>
          <w:divBdr>
            <w:top w:val="none" w:sz="0" w:space="0" w:color="auto"/>
            <w:left w:val="none" w:sz="0" w:space="0" w:color="auto"/>
            <w:bottom w:val="none" w:sz="0" w:space="0" w:color="auto"/>
            <w:right w:val="none" w:sz="0" w:space="0" w:color="auto"/>
          </w:divBdr>
        </w:div>
      </w:divsChild>
    </w:div>
    <w:div w:id="1617179120">
      <w:bodyDiv w:val="1"/>
      <w:marLeft w:val="0"/>
      <w:marRight w:val="0"/>
      <w:marTop w:val="0"/>
      <w:marBottom w:val="0"/>
      <w:divBdr>
        <w:top w:val="none" w:sz="0" w:space="0" w:color="auto"/>
        <w:left w:val="none" w:sz="0" w:space="0" w:color="auto"/>
        <w:bottom w:val="none" w:sz="0" w:space="0" w:color="auto"/>
        <w:right w:val="none" w:sz="0" w:space="0" w:color="auto"/>
      </w:divBdr>
    </w:div>
    <w:div w:id="1643382428">
      <w:bodyDiv w:val="1"/>
      <w:marLeft w:val="0"/>
      <w:marRight w:val="0"/>
      <w:marTop w:val="0"/>
      <w:marBottom w:val="0"/>
      <w:divBdr>
        <w:top w:val="none" w:sz="0" w:space="0" w:color="auto"/>
        <w:left w:val="none" w:sz="0" w:space="0" w:color="auto"/>
        <w:bottom w:val="none" w:sz="0" w:space="0" w:color="auto"/>
        <w:right w:val="none" w:sz="0" w:space="0" w:color="auto"/>
      </w:divBdr>
    </w:div>
    <w:div w:id="1787894836">
      <w:bodyDiv w:val="1"/>
      <w:marLeft w:val="0"/>
      <w:marRight w:val="0"/>
      <w:marTop w:val="0"/>
      <w:marBottom w:val="0"/>
      <w:divBdr>
        <w:top w:val="none" w:sz="0" w:space="0" w:color="auto"/>
        <w:left w:val="none" w:sz="0" w:space="0" w:color="auto"/>
        <w:bottom w:val="none" w:sz="0" w:space="0" w:color="auto"/>
        <w:right w:val="none" w:sz="0" w:space="0" w:color="auto"/>
      </w:divBdr>
    </w:div>
    <w:div w:id="1788549940">
      <w:bodyDiv w:val="1"/>
      <w:marLeft w:val="0"/>
      <w:marRight w:val="0"/>
      <w:marTop w:val="0"/>
      <w:marBottom w:val="0"/>
      <w:divBdr>
        <w:top w:val="none" w:sz="0" w:space="0" w:color="auto"/>
        <w:left w:val="none" w:sz="0" w:space="0" w:color="auto"/>
        <w:bottom w:val="none" w:sz="0" w:space="0" w:color="auto"/>
        <w:right w:val="none" w:sz="0" w:space="0" w:color="auto"/>
      </w:divBdr>
    </w:div>
    <w:div w:id="1980841059">
      <w:bodyDiv w:val="1"/>
      <w:marLeft w:val="0"/>
      <w:marRight w:val="0"/>
      <w:marTop w:val="0"/>
      <w:marBottom w:val="0"/>
      <w:divBdr>
        <w:top w:val="none" w:sz="0" w:space="0" w:color="auto"/>
        <w:left w:val="none" w:sz="0" w:space="0" w:color="auto"/>
        <w:bottom w:val="none" w:sz="0" w:space="0" w:color="auto"/>
        <w:right w:val="none" w:sz="0" w:space="0" w:color="auto"/>
      </w:divBdr>
    </w:div>
    <w:div w:id="2068450959">
      <w:bodyDiv w:val="1"/>
      <w:marLeft w:val="0"/>
      <w:marRight w:val="0"/>
      <w:marTop w:val="0"/>
      <w:marBottom w:val="0"/>
      <w:divBdr>
        <w:top w:val="none" w:sz="0" w:space="0" w:color="auto"/>
        <w:left w:val="none" w:sz="0" w:space="0" w:color="auto"/>
        <w:bottom w:val="none" w:sz="0" w:space="0" w:color="auto"/>
        <w:right w:val="none" w:sz="0" w:space="0" w:color="auto"/>
      </w:divBdr>
      <w:divsChild>
        <w:div w:id="2005543115">
          <w:marLeft w:val="1080"/>
          <w:marRight w:val="0"/>
          <w:marTop w:val="100"/>
          <w:marBottom w:val="0"/>
          <w:divBdr>
            <w:top w:val="none" w:sz="0" w:space="0" w:color="auto"/>
            <w:left w:val="none" w:sz="0" w:space="0" w:color="auto"/>
            <w:bottom w:val="none" w:sz="0" w:space="0" w:color="auto"/>
            <w:right w:val="none" w:sz="0" w:space="0" w:color="auto"/>
          </w:divBdr>
        </w:div>
        <w:div w:id="901716210">
          <w:marLeft w:val="360"/>
          <w:marRight w:val="0"/>
          <w:marTop w:val="200"/>
          <w:marBottom w:val="0"/>
          <w:divBdr>
            <w:top w:val="none" w:sz="0" w:space="0" w:color="auto"/>
            <w:left w:val="none" w:sz="0" w:space="0" w:color="auto"/>
            <w:bottom w:val="none" w:sz="0" w:space="0" w:color="auto"/>
            <w:right w:val="none" w:sz="0" w:space="0" w:color="auto"/>
          </w:divBdr>
        </w:div>
      </w:divsChild>
    </w:div>
    <w:div w:id="2084331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23" Type="http://schemas.microsoft.com/office/2011/relationships/commentsExtended" Target="commentsExtended.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11655</Words>
  <Characters>68784</Characters>
  <Application>Microsoft Office Word</Application>
  <DocSecurity>0</DocSecurity>
  <Lines>573</Lines>
  <Paragraphs>160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80279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2018-06-19T05:20:00Z</dcterms:created>
  <dcterms:modified xsi:type="dcterms:W3CDTF">2018-06-22T00:21:00Z</dcterms:modified>
</cp:coreProperties>
</file>